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4.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5.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6.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oter9.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footer10.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614C" w14:textId="19FDF5BA" w:rsidR="005D04B2" w:rsidRDefault="003A7468" w:rsidP="00122CDD">
      <w:pPr>
        <w:ind w:left="360" w:hanging="360"/>
        <w:jc w:val="center"/>
        <w:rPr>
          <w:b/>
          <w:bCs/>
        </w:rPr>
      </w:pPr>
      <w:r>
        <w:rPr>
          <w:b/>
          <w:bCs/>
        </w:rPr>
        <w:t>CA-</w:t>
      </w:r>
      <w:proofErr w:type="spellStart"/>
      <w:r>
        <w:rPr>
          <w:b/>
          <w:bCs/>
        </w:rPr>
        <w:t>IeDEA</w:t>
      </w:r>
      <w:proofErr w:type="spellEnd"/>
      <w:r>
        <w:rPr>
          <w:b/>
          <w:bCs/>
        </w:rPr>
        <w:t xml:space="preserve"> </w:t>
      </w:r>
      <w:r w:rsidR="005D04B2" w:rsidRPr="00830781">
        <w:rPr>
          <w:b/>
          <w:bCs/>
        </w:rPr>
        <w:t xml:space="preserve">HIV </w:t>
      </w:r>
      <w:r w:rsidR="006448DB">
        <w:rPr>
          <w:b/>
          <w:bCs/>
        </w:rPr>
        <w:t xml:space="preserve">dynamic </w:t>
      </w:r>
      <w:r w:rsidR="005D04B2" w:rsidRPr="00830781">
        <w:rPr>
          <w:b/>
          <w:bCs/>
        </w:rPr>
        <w:t>transmission model</w:t>
      </w:r>
      <w:r>
        <w:rPr>
          <w:b/>
          <w:bCs/>
        </w:rPr>
        <w:t>: Documentation of approach</w:t>
      </w:r>
    </w:p>
    <w:p w14:paraId="4022AC67" w14:textId="08A831BF" w:rsidR="000F0BE3" w:rsidRDefault="000F0BE3" w:rsidP="00122CDD">
      <w:pPr>
        <w:ind w:left="360" w:hanging="360"/>
        <w:jc w:val="both"/>
        <w:rPr>
          <w:b/>
          <w:bCs/>
        </w:rPr>
      </w:pPr>
    </w:p>
    <w:p w14:paraId="37891FDD" w14:textId="229832F6" w:rsidR="00B1612A" w:rsidRDefault="00B1612A" w:rsidP="00122CDD">
      <w:pPr>
        <w:ind w:left="360" w:hanging="360"/>
        <w:jc w:val="both"/>
        <w:rPr>
          <w:b/>
          <w:bCs/>
        </w:rPr>
      </w:pPr>
    </w:p>
    <w:p w14:paraId="43E7BA65" w14:textId="1EB80926" w:rsidR="00B1612A" w:rsidRDefault="00B1612A" w:rsidP="00B1612A">
      <w:pPr>
        <w:ind w:left="360" w:hanging="360"/>
        <w:jc w:val="center"/>
        <w:rPr>
          <w:bCs/>
        </w:rPr>
      </w:pPr>
      <w:r>
        <w:rPr>
          <w:bCs/>
        </w:rPr>
        <w:t>Prepared by</w:t>
      </w:r>
    </w:p>
    <w:p w14:paraId="1543C7BB" w14:textId="64520B00" w:rsidR="00B1612A" w:rsidRDefault="00B1612A" w:rsidP="00B1612A">
      <w:pPr>
        <w:ind w:left="360" w:hanging="360"/>
        <w:jc w:val="center"/>
        <w:rPr>
          <w:bCs/>
        </w:rPr>
      </w:pPr>
    </w:p>
    <w:p w14:paraId="79F9596F" w14:textId="77777777" w:rsidR="00B1612A" w:rsidRDefault="00B1612A" w:rsidP="00B1612A">
      <w:pPr>
        <w:ind w:left="360" w:hanging="360"/>
        <w:jc w:val="center"/>
        <w:rPr>
          <w:bCs/>
        </w:rPr>
      </w:pPr>
    </w:p>
    <w:p w14:paraId="3A7CF670" w14:textId="6DE900D1" w:rsidR="00B1612A" w:rsidRDefault="00B1612A" w:rsidP="00B1612A">
      <w:pPr>
        <w:ind w:left="360" w:hanging="360"/>
        <w:jc w:val="center"/>
        <w:rPr>
          <w:bCs/>
        </w:rPr>
      </w:pPr>
      <w:r>
        <w:rPr>
          <w:bCs/>
        </w:rPr>
        <w:t xml:space="preserve">Zhongzhe ‘Portia’ Pan, Deo </w:t>
      </w:r>
      <w:proofErr w:type="spellStart"/>
      <w:r>
        <w:rPr>
          <w:bCs/>
        </w:rPr>
        <w:t>Mujwara</w:t>
      </w:r>
      <w:proofErr w:type="spellEnd"/>
      <w:r>
        <w:rPr>
          <w:bCs/>
        </w:rPr>
        <w:t>, and April Kimmel</w:t>
      </w:r>
    </w:p>
    <w:p w14:paraId="1ED137C1" w14:textId="5B54BB42" w:rsidR="00B1612A" w:rsidRDefault="00B1612A" w:rsidP="00B1612A">
      <w:pPr>
        <w:ind w:left="360" w:hanging="360"/>
        <w:jc w:val="center"/>
        <w:rPr>
          <w:bCs/>
        </w:rPr>
      </w:pPr>
    </w:p>
    <w:p w14:paraId="5CA0AC24" w14:textId="2A6F09B6" w:rsidR="00B1612A" w:rsidRDefault="00B1612A" w:rsidP="00B1612A">
      <w:pPr>
        <w:ind w:left="360" w:hanging="360"/>
        <w:jc w:val="center"/>
        <w:rPr>
          <w:bCs/>
        </w:rPr>
      </w:pPr>
      <w:r>
        <w:rPr>
          <w:bCs/>
        </w:rPr>
        <w:t>Department of Health Behavior and Policy, Virginia Commonwealth University</w:t>
      </w:r>
    </w:p>
    <w:p w14:paraId="1A0A7F3C" w14:textId="1FBFDD57" w:rsidR="00B1612A" w:rsidRDefault="00B1612A" w:rsidP="00B1612A">
      <w:pPr>
        <w:ind w:left="360" w:hanging="360"/>
        <w:jc w:val="center"/>
        <w:rPr>
          <w:bCs/>
        </w:rPr>
      </w:pPr>
    </w:p>
    <w:p w14:paraId="1C518100" w14:textId="77777777" w:rsidR="00B1612A" w:rsidRDefault="00B1612A" w:rsidP="00B1612A">
      <w:pPr>
        <w:ind w:left="360" w:hanging="360"/>
        <w:jc w:val="center"/>
        <w:rPr>
          <w:bCs/>
        </w:rPr>
      </w:pPr>
    </w:p>
    <w:p w14:paraId="1E9B2375" w14:textId="5A23664E" w:rsidR="00B1612A" w:rsidRDefault="00B1612A" w:rsidP="00B1612A">
      <w:pPr>
        <w:ind w:left="360" w:hanging="360"/>
        <w:jc w:val="center"/>
        <w:rPr>
          <w:bCs/>
        </w:rPr>
      </w:pPr>
      <w:r>
        <w:rPr>
          <w:bCs/>
        </w:rPr>
        <w:t>for the Central Africa-International Epidemiologic Databases on AIDS (CA-</w:t>
      </w:r>
      <w:proofErr w:type="spellStart"/>
      <w:r>
        <w:rPr>
          <w:bCs/>
        </w:rPr>
        <w:t>IeDEA</w:t>
      </w:r>
      <w:proofErr w:type="spellEnd"/>
      <w:r>
        <w:rPr>
          <w:bCs/>
        </w:rPr>
        <w:t>) Consortium</w:t>
      </w:r>
    </w:p>
    <w:p w14:paraId="1B189BB3" w14:textId="1A19E1F2" w:rsidR="00B1612A" w:rsidRDefault="00B1612A" w:rsidP="00B1612A">
      <w:pPr>
        <w:ind w:left="360" w:hanging="360"/>
        <w:jc w:val="center"/>
        <w:rPr>
          <w:bCs/>
        </w:rPr>
      </w:pPr>
    </w:p>
    <w:p w14:paraId="6DFDB211" w14:textId="38A51603" w:rsidR="00B1612A" w:rsidRDefault="00B1612A" w:rsidP="00B1612A">
      <w:pPr>
        <w:ind w:left="360" w:hanging="360"/>
        <w:jc w:val="center"/>
        <w:rPr>
          <w:bCs/>
        </w:rPr>
      </w:pPr>
    </w:p>
    <w:p w14:paraId="304A30DB" w14:textId="0B184F80" w:rsidR="00B1612A" w:rsidRPr="00B1612A" w:rsidRDefault="00B1612A" w:rsidP="00B1612A">
      <w:pPr>
        <w:ind w:left="360" w:hanging="360"/>
        <w:jc w:val="center"/>
        <w:rPr>
          <w:bCs/>
        </w:rPr>
      </w:pPr>
    </w:p>
    <w:p w14:paraId="7B54038C" w14:textId="77777777" w:rsidR="00B1612A" w:rsidRDefault="00B1612A">
      <w:pPr>
        <w:rPr>
          <w:b/>
          <w:bCs/>
        </w:rPr>
      </w:pPr>
      <w:r>
        <w:rPr>
          <w:b/>
          <w:bCs/>
        </w:rPr>
        <w:br w:type="page"/>
      </w:r>
    </w:p>
    <w:p w14:paraId="0C2D45D7" w14:textId="2FE18FBD" w:rsidR="00B1612A" w:rsidRDefault="00B1612A" w:rsidP="00122CDD">
      <w:pPr>
        <w:ind w:left="360" w:hanging="360"/>
        <w:jc w:val="both"/>
        <w:rPr>
          <w:bCs/>
        </w:rPr>
      </w:pPr>
      <w:commentRangeStart w:id="0"/>
      <w:commentRangeStart w:id="1"/>
      <w:r>
        <w:rPr>
          <w:b/>
          <w:bCs/>
        </w:rPr>
        <w:lastRenderedPageBreak/>
        <w:t>Contents</w:t>
      </w:r>
      <w:commentRangeEnd w:id="0"/>
      <w:r w:rsidR="00E861FA">
        <w:rPr>
          <w:rStyle w:val="CommentReference"/>
        </w:rPr>
        <w:commentReference w:id="0"/>
      </w:r>
      <w:commentRangeEnd w:id="1"/>
      <w:r w:rsidR="00352CE1">
        <w:rPr>
          <w:rStyle w:val="CommentReference"/>
        </w:rPr>
        <w:commentReference w:id="1"/>
      </w:r>
    </w:p>
    <w:p w14:paraId="2747A2F7" w14:textId="0ED21125" w:rsidR="001E49BE" w:rsidRDefault="00352CE1">
      <w:pPr>
        <w:pStyle w:val="TOC1"/>
        <w:tabs>
          <w:tab w:val="right" w:leader="dot" w:pos="9350"/>
        </w:tabs>
        <w:rPr>
          <w:rFonts w:asciiTheme="minorHAnsi" w:eastAsiaTheme="minorEastAsia" w:hAnsiTheme="minorHAnsi" w:cstheme="minorBidi"/>
          <w:noProof/>
        </w:rPr>
      </w:pPr>
      <w:r>
        <w:rPr>
          <w:bCs/>
        </w:rPr>
        <w:fldChar w:fldCharType="begin"/>
      </w:r>
      <w:r>
        <w:rPr>
          <w:bCs/>
        </w:rPr>
        <w:instrText xml:space="preserve"> TOC \o "1-4" \h \z \u </w:instrText>
      </w:r>
      <w:r>
        <w:rPr>
          <w:bCs/>
        </w:rPr>
        <w:fldChar w:fldCharType="separate"/>
      </w:r>
      <w:hyperlink w:anchor="_Toc82592637" w:history="1">
        <w:r w:rsidR="001E49BE" w:rsidRPr="00031D30">
          <w:rPr>
            <w:rStyle w:val="Hyperlink"/>
            <w:noProof/>
          </w:rPr>
          <w:t>List of Figures</w:t>
        </w:r>
        <w:r w:rsidR="001E49BE">
          <w:rPr>
            <w:noProof/>
            <w:webHidden/>
          </w:rPr>
          <w:tab/>
        </w:r>
        <w:r w:rsidR="001E49BE">
          <w:rPr>
            <w:noProof/>
            <w:webHidden/>
          </w:rPr>
          <w:fldChar w:fldCharType="begin"/>
        </w:r>
        <w:r w:rsidR="001E49BE">
          <w:rPr>
            <w:noProof/>
            <w:webHidden/>
          </w:rPr>
          <w:instrText xml:space="preserve"> PAGEREF _Toc82592637 \h </w:instrText>
        </w:r>
        <w:r w:rsidR="001E49BE">
          <w:rPr>
            <w:noProof/>
            <w:webHidden/>
          </w:rPr>
        </w:r>
        <w:r w:rsidR="001E49BE">
          <w:rPr>
            <w:noProof/>
            <w:webHidden/>
          </w:rPr>
          <w:fldChar w:fldCharType="separate"/>
        </w:r>
        <w:r w:rsidR="001E49BE">
          <w:rPr>
            <w:noProof/>
            <w:webHidden/>
          </w:rPr>
          <w:t>4</w:t>
        </w:r>
        <w:r w:rsidR="001E49BE">
          <w:rPr>
            <w:noProof/>
            <w:webHidden/>
          </w:rPr>
          <w:fldChar w:fldCharType="end"/>
        </w:r>
      </w:hyperlink>
    </w:p>
    <w:p w14:paraId="02439DB9" w14:textId="77D0C21A" w:rsidR="001E49BE" w:rsidRDefault="00000000">
      <w:pPr>
        <w:pStyle w:val="TOC1"/>
        <w:tabs>
          <w:tab w:val="right" w:leader="dot" w:pos="9350"/>
        </w:tabs>
        <w:rPr>
          <w:rFonts w:asciiTheme="minorHAnsi" w:eastAsiaTheme="minorEastAsia" w:hAnsiTheme="minorHAnsi" w:cstheme="minorBidi"/>
          <w:noProof/>
        </w:rPr>
      </w:pPr>
      <w:hyperlink w:anchor="_Toc82592638" w:history="1">
        <w:r w:rsidR="001E49BE" w:rsidRPr="00031D30">
          <w:rPr>
            <w:rStyle w:val="Hyperlink"/>
            <w:noProof/>
          </w:rPr>
          <w:t>List of Tables</w:t>
        </w:r>
        <w:r w:rsidR="001E49BE">
          <w:rPr>
            <w:noProof/>
            <w:webHidden/>
          </w:rPr>
          <w:tab/>
        </w:r>
        <w:r w:rsidR="001E49BE">
          <w:rPr>
            <w:noProof/>
            <w:webHidden/>
          </w:rPr>
          <w:fldChar w:fldCharType="begin"/>
        </w:r>
        <w:r w:rsidR="001E49BE">
          <w:rPr>
            <w:noProof/>
            <w:webHidden/>
          </w:rPr>
          <w:instrText xml:space="preserve"> PAGEREF _Toc82592638 \h </w:instrText>
        </w:r>
        <w:r w:rsidR="001E49BE">
          <w:rPr>
            <w:noProof/>
            <w:webHidden/>
          </w:rPr>
        </w:r>
        <w:r w:rsidR="001E49BE">
          <w:rPr>
            <w:noProof/>
            <w:webHidden/>
          </w:rPr>
          <w:fldChar w:fldCharType="separate"/>
        </w:r>
        <w:r w:rsidR="001E49BE">
          <w:rPr>
            <w:noProof/>
            <w:webHidden/>
          </w:rPr>
          <w:t>4</w:t>
        </w:r>
        <w:r w:rsidR="001E49BE">
          <w:rPr>
            <w:noProof/>
            <w:webHidden/>
          </w:rPr>
          <w:fldChar w:fldCharType="end"/>
        </w:r>
      </w:hyperlink>
    </w:p>
    <w:p w14:paraId="77067A53" w14:textId="3F8D8F61" w:rsidR="001E49BE" w:rsidRDefault="00000000">
      <w:pPr>
        <w:pStyle w:val="TOC1"/>
        <w:tabs>
          <w:tab w:val="left" w:pos="480"/>
          <w:tab w:val="right" w:leader="dot" w:pos="9350"/>
        </w:tabs>
        <w:rPr>
          <w:rFonts w:asciiTheme="minorHAnsi" w:eastAsiaTheme="minorEastAsia" w:hAnsiTheme="minorHAnsi" w:cstheme="minorBidi"/>
          <w:noProof/>
        </w:rPr>
      </w:pPr>
      <w:hyperlink w:anchor="_Toc82592639" w:history="1">
        <w:r w:rsidR="001E49BE" w:rsidRPr="00031D30">
          <w:rPr>
            <w:rStyle w:val="Hyperlink"/>
            <w:noProof/>
          </w:rPr>
          <w:t>1</w:t>
        </w:r>
        <w:r w:rsidR="001E49BE">
          <w:rPr>
            <w:rFonts w:asciiTheme="minorHAnsi" w:eastAsiaTheme="minorEastAsia" w:hAnsiTheme="minorHAnsi" w:cstheme="minorBidi"/>
            <w:noProof/>
          </w:rPr>
          <w:tab/>
        </w:r>
        <w:r w:rsidR="001E49BE" w:rsidRPr="00031D30">
          <w:rPr>
            <w:rStyle w:val="Hyperlink"/>
            <w:noProof/>
          </w:rPr>
          <w:t>Overview</w:t>
        </w:r>
        <w:r w:rsidR="001E49BE">
          <w:rPr>
            <w:noProof/>
            <w:webHidden/>
          </w:rPr>
          <w:tab/>
        </w:r>
        <w:r w:rsidR="001E49BE">
          <w:rPr>
            <w:noProof/>
            <w:webHidden/>
          </w:rPr>
          <w:fldChar w:fldCharType="begin"/>
        </w:r>
        <w:r w:rsidR="001E49BE">
          <w:rPr>
            <w:noProof/>
            <w:webHidden/>
          </w:rPr>
          <w:instrText xml:space="preserve"> PAGEREF _Toc82592639 \h </w:instrText>
        </w:r>
        <w:r w:rsidR="001E49BE">
          <w:rPr>
            <w:noProof/>
            <w:webHidden/>
          </w:rPr>
        </w:r>
        <w:r w:rsidR="001E49BE">
          <w:rPr>
            <w:noProof/>
            <w:webHidden/>
          </w:rPr>
          <w:fldChar w:fldCharType="separate"/>
        </w:r>
        <w:r w:rsidR="001E49BE">
          <w:rPr>
            <w:noProof/>
            <w:webHidden/>
          </w:rPr>
          <w:t>6</w:t>
        </w:r>
        <w:r w:rsidR="001E49BE">
          <w:rPr>
            <w:noProof/>
            <w:webHidden/>
          </w:rPr>
          <w:fldChar w:fldCharType="end"/>
        </w:r>
      </w:hyperlink>
    </w:p>
    <w:p w14:paraId="4E8FC43B" w14:textId="6E3CCA65" w:rsidR="001E49BE" w:rsidRDefault="00000000">
      <w:pPr>
        <w:pStyle w:val="TOC1"/>
        <w:tabs>
          <w:tab w:val="left" w:pos="480"/>
          <w:tab w:val="right" w:leader="dot" w:pos="9350"/>
        </w:tabs>
        <w:rPr>
          <w:rFonts w:asciiTheme="minorHAnsi" w:eastAsiaTheme="minorEastAsia" w:hAnsiTheme="minorHAnsi" w:cstheme="minorBidi"/>
          <w:noProof/>
        </w:rPr>
      </w:pPr>
      <w:hyperlink w:anchor="_Toc82592640" w:history="1">
        <w:r w:rsidR="001E49BE" w:rsidRPr="00031D30">
          <w:rPr>
            <w:rStyle w:val="Hyperlink"/>
            <w:noProof/>
          </w:rPr>
          <w:t>2</w:t>
        </w:r>
        <w:r w:rsidR="001E49BE">
          <w:rPr>
            <w:rFonts w:asciiTheme="minorHAnsi" w:eastAsiaTheme="minorEastAsia" w:hAnsiTheme="minorHAnsi" w:cstheme="minorBidi"/>
            <w:noProof/>
          </w:rPr>
          <w:tab/>
        </w:r>
        <w:r w:rsidR="001E49BE" w:rsidRPr="00031D30">
          <w:rPr>
            <w:rStyle w:val="Hyperlink"/>
            <w:noProof/>
          </w:rPr>
          <w:t>Motivating research question</w:t>
        </w:r>
        <w:r w:rsidR="001E49BE">
          <w:rPr>
            <w:noProof/>
            <w:webHidden/>
          </w:rPr>
          <w:tab/>
        </w:r>
        <w:r w:rsidR="001E49BE">
          <w:rPr>
            <w:noProof/>
            <w:webHidden/>
          </w:rPr>
          <w:fldChar w:fldCharType="begin"/>
        </w:r>
        <w:r w:rsidR="001E49BE">
          <w:rPr>
            <w:noProof/>
            <w:webHidden/>
          </w:rPr>
          <w:instrText xml:space="preserve"> PAGEREF _Toc82592640 \h </w:instrText>
        </w:r>
        <w:r w:rsidR="001E49BE">
          <w:rPr>
            <w:noProof/>
            <w:webHidden/>
          </w:rPr>
        </w:r>
        <w:r w:rsidR="001E49BE">
          <w:rPr>
            <w:noProof/>
            <w:webHidden/>
          </w:rPr>
          <w:fldChar w:fldCharType="separate"/>
        </w:r>
        <w:r w:rsidR="001E49BE">
          <w:rPr>
            <w:noProof/>
            <w:webHidden/>
          </w:rPr>
          <w:t>6</w:t>
        </w:r>
        <w:r w:rsidR="001E49BE">
          <w:rPr>
            <w:noProof/>
            <w:webHidden/>
          </w:rPr>
          <w:fldChar w:fldCharType="end"/>
        </w:r>
      </w:hyperlink>
    </w:p>
    <w:p w14:paraId="7C67E292" w14:textId="69518D77" w:rsidR="001E49BE" w:rsidRDefault="00000000">
      <w:pPr>
        <w:pStyle w:val="TOC1"/>
        <w:tabs>
          <w:tab w:val="left" w:pos="480"/>
          <w:tab w:val="right" w:leader="dot" w:pos="9350"/>
        </w:tabs>
        <w:rPr>
          <w:rFonts w:asciiTheme="minorHAnsi" w:eastAsiaTheme="minorEastAsia" w:hAnsiTheme="minorHAnsi" w:cstheme="minorBidi"/>
          <w:noProof/>
        </w:rPr>
      </w:pPr>
      <w:hyperlink w:anchor="_Toc82592641" w:history="1">
        <w:r w:rsidR="001E49BE" w:rsidRPr="00031D30">
          <w:rPr>
            <w:rStyle w:val="Hyperlink"/>
            <w:noProof/>
          </w:rPr>
          <w:t>3</w:t>
        </w:r>
        <w:r w:rsidR="001E49BE">
          <w:rPr>
            <w:rFonts w:asciiTheme="minorHAnsi" w:eastAsiaTheme="minorEastAsia" w:hAnsiTheme="minorHAnsi" w:cstheme="minorBidi"/>
            <w:noProof/>
          </w:rPr>
          <w:tab/>
        </w:r>
        <w:r w:rsidR="001E49BE" w:rsidRPr="00031D30">
          <w:rPr>
            <w:rStyle w:val="Hyperlink"/>
            <w:noProof/>
          </w:rPr>
          <w:t>Model structure</w:t>
        </w:r>
        <w:r w:rsidR="001E49BE">
          <w:rPr>
            <w:noProof/>
            <w:webHidden/>
          </w:rPr>
          <w:tab/>
        </w:r>
        <w:r w:rsidR="001E49BE">
          <w:rPr>
            <w:noProof/>
            <w:webHidden/>
          </w:rPr>
          <w:fldChar w:fldCharType="begin"/>
        </w:r>
        <w:r w:rsidR="001E49BE">
          <w:rPr>
            <w:noProof/>
            <w:webHidden/>
          </w:rPr>
          <w:instrText xml:space="preserve"> PAGEREF _Toc82592641 \h </w:instrText>
        </w:r>
        <w:r w:rsidR="001E49BE">
          <w:rPr>
            <w:noProof/>
            <w:webHidden/>
          </w:rPr>
        </w:r>
        <w:r w:rsidR="001E49BE">
          <w:rPr>
            <w:noProof/>
            <w:webHidden/>
          </w:rPr>
          <w:fldChar w:fldCharType="separate"/>
        </w:r>
        <w:r w:rsidR="001E49BE">
          <w:rPr>
            <w:noProof/>
            <w:webHidden/>
          </w:rPr>
          <w:t>7</w:t>
        </w:r>
        <w:r w:rsidR="001E49BE">
          <w:rPr>
            <w:noProof/>
            <w:webHidden/>
          </w:rPr>
          <w:fldChar w:fldCharType="end"/>
        </w:r>
      </w:hyperlink>
    </w:p>
    <w:p w14:paraId="386C04C2" w14:textId="5A336151" w:rsidR="001E49BE" w:rsidRDefault="00000000">
      <w:pPr>
        <w:pStyle w:val="TOC1"/>
        <w:tabs>
          <w:tab w:val="left" w:pos="480"/>
          <w:tab w:val="right" w:leader="dot" w:pos="9350"/>
        </w:tabs>
        <w:rPr>
          <w:rFonts w:asciiTheme="minorHAnsi" w:eastAsiaTheme="minorEastAsia" w:hAnsiTheme="minorHAnsi" w:cstheme="minorBidi"/>
          <w:noProof/>
        </w:rPr>
      </w:pPr>
      <w:hyperlink w:anchor="_Toc82592642" w:history="1">
        <w:r w:rsidR="001E49BE" w:rsidRPr="00031D30">
          <w:rPr>
            <w:rStyle w:val="Hyperlink"/>
            <w:noProof/>
          </w:rPr>
          <w:t>4</w:t>
        </w:r>
        <w:r w:rsidR="001E49BE">
          <w:rPr>
            <w:rFonts w:asciiTheme="minorHAnsi" w:eastAsiaTheme="minorEastAsia" w:hAnsiTheme="minorHAnsi" w:cstheme="minorBidi"/>
            <w:noProof/>
          </w:rPr>
          <w:tab/>
        </w:r>
        <w:r w:rsidR="001E49BE" w:rsidRPr="00031D30">
          <w:rPr>
            <w:rStyle w:val="Hyperlink"/>
            <w:noProof/>
          </w:rPr>
          <w:t>Sub-populations and mixing</w:t>
        </w:r>
        <w:r w:rsidR="001E49BE">
          <w:rPr>
            <w:noProof/>
            <w:webHidden/>
          </w:rPr>
          <w:tab/>
        </w:r>
        <w:r w:rsidR="001E49BE">
          <w:rPr>
            <w:noProof/>
            <w:webHidden/>
          </w:rPr>
          <w:fldChar w:fldCharType="begin"/>
        </w:r>
        <w:r w:rsidR="001E49BE">
          <w:rPr>
            <w:noProof/>
            <w:webHidden/>
          </w:rPr>
          <w:instrText xml:space="preserve"> PAGEREF _Toc82592642 \h </w:instrText>
        </w:r>
        <w:r w:rsidR="001E49BE">
          <w:rPr>
            <w:noProof/>
            <w:webHidden/>
          </w:rPr>
        </w:r>
        <w:r w:rsidR="001E49BE">
          <w:rPr>
            <w:noProof/>
            <w:webHidden/>
          </w:rPr>
          <w:fldChar w:fldCharType="separate"/>
        </w:r>
        <w:r w:rsidR="001E49BE">
          <w:rPr>
            <w:noProof/>
            <w:webHidden/>
          </w:rPr>
          <w:t>9</w:t>
        </w:r>
        <w:r w:rsidR="001E49BE">
          <w:rPr>
            <w:noProof/>
            <w:webHidden/>
          </w:rPr>
          <w:fldChar w:fldCharType="end"/>
        </w:r>
      </w:hyperlink>
    </w:p>
    <w:p w14:paraId="22FF5AEC" w14:textId="15C470A9" w:rsidR="001E49BE" w:rsidRDefault="00000000">
      <w:pPr>
        <w:pStyle w:val="TOC1"/>
        <w:tabs>
          <w:tab w:val="left" w:pos="480"/>
          <w:tab w:val="right" w:leader="dot" w:pos="9350"/>
        </w:tabs>
        <w:rPr>
          <w:rFonts w:asciiTheme="minorHAnsi" w:eastAsiaTheme="minorEastAsia" w:hAnsiTheme="minorHAnsi" w:cstheme="minorBidi"/>
          <w:noProof/>
        </w:rPr>
      </w:pPr>
      <w:hyperlink w:anchor="_Toc82592643" w:history="1">
        <w:r w:rsidR="001E49BE" w:rsidRPr="00031D30">
          <w:rPr>
            <w:rStyle w:val="Hyperlink"/>
            <w:noProof/>
          </w:rPr>
          <w:t>5</w:t>
        </w:r>
        <w:r w:rsidR="001E49BE">
          <w:rPr>
            <w:rFonts w:asciiTheme="minorHAnsi" w:eastAsiaTheme="minorEastAsia" w:hAnsiTheme="minorHAnsi" w:cstheme="minorBidi"/>
            <w:noProof/>
          </w:rPr>
          <w:tab/>
        </w:r>
        <w:r w:rsidR="001E49BE" w:rsidRPr="00031D30">
          <w:rPr>
            <w:rStyle w:val="Hyperlink"/>
            <w:noProof/>
          </w:rPr>
          <w:t>System of equations</w:t>
        </w:r>
        <w:r w:rsidR="001E49BE">
          <w:rPr>
            <w:noProof/>
            <w:webHidden/>
          </w:rPr>
          <w:tab/>
        </w:r>
        <w:r w:rsidR="001E49BE">
          <w:rPr>
            <w:noProof/>
            <w:webHidden/>
          </w:rPr>
          <w:fldChar w:fldCharType="begin"/>
        </w:r>
        <w:r w:rsidR="001E49BE">
          <w:rPr>
            <w:noProof/>
            <w:webHidden/>
          </w:rPr>
          <w:instrText xml:space="preserve"> PAGEREF _Toc82592643 \h </w:instrText>
        </w:r>
        <w:r w:rsidR="001E49BE">
          <w:rPr>
            <w:noProof/>
            <w:webHidden/>
          </w:rPr>
        </w:r>
        <w:r w:rsidR="001E49BE">
          <w:rPr>
            <w:noProof/>
            <w:webHidden/>
          </w:rPr>
          <w:fldChar w:fldCharType="separate"/>
        </w:r>
        <w:r w:rsidR="001E49BE">
          <w:rPr>
            <w:noProof/>
            <w:webHidden/>
          </w:rPr>
          <w:t>12</w:t>
        </w:r>
        <w:r w:rsidR="001E49BE">
          <w:rPr>
            <w:noProof/>
            <w:webHidden/>
          </w:rPr>
          <w:fldChar w:fldCharType="end"/>
        </w:r>
      </w:hyperlink>
    </w:p>
    <w:p w14:paraId="394FDE69" w14:textId="45ECD99E" w:rsidR="001E49BE" w:rsidRDefault="00000000">
      <w:pPr>
        <w:pStyle w:val="TOC1"/>
        <w:tabs>
          <w:tab w:val="left" w:pos="480"/>
          <w:tab w:val="right" w:leader="dot" w:pos="9350"/>
        </w:tabs>
        <w:rPr>
          <w:rFonts w:asciiTheme="minorHAnsi" w:eastAsiaTheme="minorEastAsia" w:hAnsiTheme="minorHAnsi" w:cstheme="minorBidi"/>
          <w:noProof/>
        </w:rPr>
      </w:pPr>
      <w:hyperlink w:anchor="_Toc82592644" w:history="1">
        <w:r w:rsidR="001E49BE" w:rsidRPr="00031D30">
          <w:rPr>
            <w:rStyle w:val="Hyperlink"/>
            <w:noProof/>
          </w:rPr>
          <w:t>6</w:t>
        </w:r>
        <w:r w:rsidR="001E49BE">
          <w:rPr>
            <w:rFonts w:asciiTheme="minorHAnsi" w:eastAsiaTheme="minorEastAsia" w:hAnsiTheme="minorHAnsi" w:cstheme="minorBidi"/>
            <w:noProof/>
          </w:rPr>
          <w:tab/>
        </w:r>
        <w:r w:rsidR="001E49BE" w:rsidRPr="00031D30">
          <w:rPr>
            <w:rStyle w:val="Hyperlink"/>
            <w:noProof/>
          </w:rPr>
          <w:t>Force of infection</w:t>
        </w:r>
        <w:r w:rsidR="001E49BE">
          <w:rPr>
            <w:noProof/>
            <w:webHidden/>
          </w:rPr>
          <w:tab/>
        </w:r>
        <w:r w:rsidR="001E49BE">
          <w:rPr>
            <w:noProof/>
            <w:webHidden/>
          </w:rPr>
          <w:fldChar w:fldCharType="begin"/>
        </w:r>
        <w:r w:rsidR="001E49BE">
          <w:rPr>
            <w:noProof/>
            <w:webHidden/>
          </w:rPr>
          <w:instrText xml:space="preserve"> PAGEREF _Toc82592644 \h </w:instrText>
        </w:r>
        <w:r w:rsidR="001E49BE">
          <w:rPr>
            <w:noProof/>
            <w:webHidden/>
          </w:rPr>
        </w:r>
        <w:r w:rsidR="001E49BE">
          <w:rPr>
            <w:noProof/>
            <w:webHidden/>
          </w:rPr>
          <w:fldChar w:fldCharType="separate"/>
        </w:r>
        <w:r w:rsidR="001E49BE">
          <w:rPr>
            <w:noProof/>
            <w:webHidden/>
          </w:rPr>
          <w:t>15</w:t>
        </w:r>
        <w:r w:rsidR="001E49BE">
          <w:rPr>
            <w:noProof/>
            <w:webHidden/>
          </w:rPr>
          <w:fldChar w:fldCharType="end"/>
        </w:r>
      </w:hyperlink>
    </w:p>
    <w:p w14:paraId="48143158" w14:textId="19F71B0A" w:rsidR="001E49BE" w:rsidRDefault="00000000">
      <w:pPr>
        <w:pStyle w:val="TOC2"/>
        <w:tabs>
          <w:tab w:val="left" w:pos="960"/>
          <w:tab w:val="right" w:leader="dot" w:pos="9350"/>
        </w:tabs>
        <w:rPr>
          <w:rFonts w:asciiTheme="minorHAnsi" w:eastAsiaTheme="minorEastAsia" w:hAnsiTheme="minorHAnsi" w:cstheme="minorBidi"/>
          <w:noProof/>
        </w:rPr>
      </w:pPr>
      <w:hyperlink w:anchor="_Toc82592645" w:history="1">
        <w:r w:rsidR="001E49BE" w:rsidRPr="00031D30">
          <w:rPr>
            <w:rStyle w:val="Hyperlink"/>
            <w:noProof/>
          </w:rPr>
          <w:t>6.1</w:t>
        </w:r>
        <w:r w:rsidR="001E49BE">
          <w:rPr>
            <w:rFonts w:asciiTheme="minorHAnsi" w:eastAsiaTheme="minorEastAsia" w:hAnsiTheme="minorHAnsi" w:cstheme="minorBidi"/>
            <w:noProof/>
          </w:rPr>
          <w:tab/>
        </w:r>
        <w:r w:rsidR="001E49BE" w:rsidRPr="00031D30">
          <w:rPr>
            <w:rStyle w:val="Hyperlink"/>
            <w:noProof/>
          </w:rPr>
          <w:t>Assumptions and expression</w:t>
        </w:r>
        <w:r w:rsidR="001E49BE">
          <w:rPr>
            <w:noProof/>
            <w:webHidden/>
          </w:rPr>
          <w:tab/>
        </w:r>
        <w:r w:rsidR="001E49BE">
          <w:rPr>
            <w:noProof/>
            <w:webHidden/>
          </w:rPr>
          <w:fldChar w:fldCharType="begin"/>
        </w:r>
        <w:r w:rsidR="001E49BE">
          <w:rPr>
            <w:noProof/>
            <w:webHidden/>
          </w:rPr>
          <w:instrText xml:space="preserve"> PAGEREF _Toc82592645 \h </w:instrText>
        </w:r>
        <w:r w:rsidR="001E49BE">
          <w:rPr>
            <w:noProof/>
            <w:webHidden/>
          </w:rPr>
        </w:r>
        <w:r w:rsidR="001E49BE">
          <w:rPr>
            <w:noProof/>
            <w:webHidden/>
          </w:rPr>
          <w:fldChar w:fldCharType="separate"/>
        </w:r>
        <w:r w:rsidR="001E49BE">
          <w:rPr>
            <w:noProof/>
            <w:webHidden/>
          </w:rPr>
          <w:t>15</w:t>
        </w:r>
        <w:r w:rsidR="001E49BE">
          <w:rPr>
            <w:noProof/>
            <w:webHidden/>
          </w:rPr>
          <w:fldChar w:fldCharType="end"/>
        </w:r>
      </w:hyperlink>
    </w:p>
    <w:p w14:paraId="49B5D695" w14:textId="1F8179A9" w:rsidR="001E49BE" w:rsidRDefault="00000000">
      <w:pPr>
        <w:pStyle w:val="TOC2"/>
        <w:tabs>
          <w:tab w:val="left" w:pos="960"/>
          <w:tab w:val="right" w:leader="dot" w:pos="9350"/>
        </w:tabs>
        <w:rPr>
          <w:rFonts w:asciiTheme="minorHAnsi" w:eastAsiaTheme="minorEastAsia" w:hAnsiTheme="minorHAnsi" w:cstheme="minorBidi"/>
          <w:noProof/>
        </w:rPr>
      </w:pPr>
      <w:hyperlink w:anchor="_Toc82592646" w:history="1">
        <w:r w:rsidR="001E49BE" w:rsidRPr="00031D30">
          <w:rPr>
            <w:rStyle w:val="Hyperlink"/>
            <w:noProof/>
          </w:rPr>
          <w:t>6.2</w:t>
        </w:r>
        <w:r w:rsidR="001E49BE">
          <w:rPr>
            <w:rFonts w:asciiTheme="minorHAnsi" w:eastAsiaTheme="minorEastAsia" w:hAnsiTheme="minorHAnsi" w:cstheme="minorBidi"/>
            <w:noProof/>
          </w:rPr>
          <w:tab/>
        </w:r>
        <w:r w:rsidR="001E49BE" w:rsidRPr="00031D30">
          <w:rPr>
            <w:rStyle w:val="Hyperlink"/>
            <w:noProof/>
          </w:rPr>
          <w:t>Probability of HIV transmission per sex act</w:t>
        </w:r>
        <w:r w:rsidR="001E49BE">
          <w:rPr>
            <w:noProof/>
            <w:webHidden/>
          </w:rPr>
          <w:tab/>
        </w:r>
        <w:r w:rsidR="001E49BE">
          <w:rPr>
            <w:noProof/>
            <w:webHidden/>
          </w:rPr>
          <w:fldChar w:fldCharType="begin"/>
        </w:r>
        <w:r w:rsidR="001E49BE">
          <w:rPr>
            <w:noProof/>
            <w:webHidden/>
          </w:rPr>
          <w:instrText xml:space="preserve"> PAGEREF _Toc82592646 \h </w:instrText>
        </w:r>
        <w:r w:rsidR="001E49BE">
          <w:rPr>
            <w:noProof/>
            <w:webHidden/>
          </w:rPr>
        </w:r>
        <w:r w:rsidR="001E49BE">
          <w:rPr>
            <w:noProof/>
            <w:webHidden/>
          </w:rPr>
          <w:fldChar w:fldCharType="separate"/>
        </w:r>
        <w:r w:rsidR="001E49BE">
          <w:rPr>
            <w:noProof/>
            <w:webHidden/>
          </w:rPr>
          <w:t>17</w:t>
        </w:r>
        <w:r w:rsidR="001E49BE">
          <w:rPr>
            <w:noProof/>
            <w:webHidden/>
          </w:rPr>
          <w:fldChar w:fldCharType="end"/>
        </w:r>
      </w:hyperlink>
    </w:p>
    <w:p w14:paraId="5FF5F542" w14:textId="695A3A9D" w:rsidR="001E49BE" w:rsidRDefault="00000000">
      <w:pPr>
        <w:pStyle w:val="TOC2"/>
        <w:tabs>
          <w:tab w:val="left" w:pos="960"/>
          <w:tab w:val="right" w:leader="dot" w:pos="9350"/>
        </w:tabs>
        <w:rPr>
          <w:rFonts w:asciiTheme="minorHAnsi" w:eastAsiaTheme="minorEastAsia" w:hAnsiTheme="minorHAnsi" w:cstheme="minorBidi"/>
          <w:noProof/>
        </w:rPr>
      </w:pPr>
      <w:hyperlink w:anchor="_Toc82592647" w:history="1">
        <w:r w:rsidR="001E49BE" w:rsidRPr="00031D30">
          <w:rPr>
            <w:rStyle w:val="Hyperlink"/>
            <w:noProof/>
          </w:rPr>
          <w:t>6.3</w:t>
        </w:r>
        <w:r w:rsidR="001E49BE">
          <w:rPr>
            <w:rFonts w:asciiTheme="minorHAnsi" w:eastAsiaTheme="minorEastAsia" w:hAnsiTheme="minorHAnsi" w:cstheme="minorBidi"/>
            <w:noProof/>
          </w:rPr>
          <w:tab/>
        </w:r>
        <w:r w:rsidR="001E49BE" w:rsidRPr="00031D30">
          <w:rPr>
            <w:rStyle w:val="Hyperlink"/>
            <w:noProof/>
          </w:rPr>
          <w:t>Condom effectiveness</w:t>
        </w:r>
        <w:r w:rsidR="001E49BE">
          <w:rPr>
            <w:noProof/>
            <w:webHidden/>
          </w:rPr>
          <w:tab/>
        </w:r>
        <w:r w:rsidR="001E49BE">
          <w:rPr>
            <w:noProof/>
            <w:webHidden/>
          </w:rPr>
          <w:fldChar w:fldCharType="begin"/>
        </w:r>
        <w:r w:rsidR="001E49BE">
          <w:rPr>
            <w:noProof/>
            <w:webHidden/>
          </w:rPr>
          <w:instrText xml:space="preserve"> PAGEREF _Toc82592647 \h </w:instrText>
        </w:r>
        <w:r w:rsidR="001E49BE">
          <w:rPr>
            <w:noProof/>
            <w:webHidden/>
          </w:rPr>
        </w:r>
        <w:r w:rsidR="001E49BE">
          <w:rPr>
            <w:noProof/>
            <w:webHidden/>
          </w:rPr>
          <w:fldChar w:fldCharType="separate"/>
        </w:r>
        <w:r w:rsidR="001E49BE">
          <w:rPr>
            <w:noProof/>
            <w:webHidden/>
          </w:rPr>
          <w:t>18</w:t>
        </w:r>
        <w:r w:rsidR="001E49BE">
          <w:rPr>
            <w:noProof/>
            <w:webHidden/>
          </w:rPr>
          <w:fldChar w:fldCharType="end"/>
        </w:r>
      </w:hyperlink>
    </w:p>
    <w:p w14:paraId="79CECABA" w14:textId="2334CAEA" w:rsidR="001E49BE" w:rsidRDefault="00000000">
      <w:pPr>
        <w:pStyle w:val="TOC2"/>
        <w:tabs>
          <w:tab w:val="left" w:pos="960"/>
          <w:tab w:val="right" w:leader="dot" w:pos="9350"/>
        </w:tabs>
        <w:rPr>
          <w:rFonts w:asciiTheme="minorHAnsi" w:eastAsiaTheme="minorEastAsia" w:hAnsiTheme="minorHAnsi" w:cstheme="minorBidi"/>
          <w:noProof/>
        </w:rPr>
      </w:pPr>
      <w:hyperlink w:anchor="_Toc82592648" w:history="1">
        <w:r w:rsidR="001E49BE" w:rsidRPr="00031D30">
          <w:rPr>
            <w:rStyle w:val="Hyperlink"/>
            <w:noProof/>
          </w:rPr>
          <w:t>6.4</w:t>
        </w:r>
        <w:r w:rsidR="001E49BE">
          <w:rPr>
            <w:rFonts w:asciiTheme="minorHAnsi" w:eastAsiaTheme="minorEastAsia" w:hAnsiTheme="minorHAnsi" w:cstheme="minorBidi"/>
            <w:noProof/>
          </w:rPr>
          <w:tab/>
        </w:r>
        <w:r w:rsidR="001E49BE" w:rsidRPr="00031D30">
          <w:rPr>
            <w:rStyle w:val="Hyperlink"/>
            <w:noProof/>
          </w:rPr>
          <w:t>Proportion with consistent condom use</w:t>
        </w:r>
        <w:r w:rsidR="001E49BE">
          <w:rPr>
            <w:noProof/>
            <w:webHidden/>
          </w:rPr>
          <w:tab/>
        </w:r>
        <w:r w:rsidR="001E49BE">
          <w:rPr>
            <w:noProof/>
            <w:webHidden/>
          </w:rPr>
          <w:fldChar w:fldCharType="begin"/>
        </w:r>
        <w:r w:rsidR="001E49BE">
          <w:rPr>
            <w:noProof/>
            <w:webHidden/>
          </w:rPr>
          <w:instrText xml:space="preserve"> PAGEREF _Toc82592648 \h </w:instrText>
        </w:r>
        <w:r w:rsidR="001E49BE">
          <w:rPr>
            <w:noProof/>
            <w:webHidden/>
          </w:rPr>
        </w:r>
        <w:r w:rsidR="001E49BE">
          <w:rPr>
            <w:noProof/>
            <w:webHidden/>
          </w:rPr>
          <w:fldChar w:fldCharType="separate"/>
        </w:r>
        <w:r w:rsidR="001E49BE">
          <w:rPr>
            <w:noProof/>
            <w:webHidden/>
          </w:rPr>
          <w:t>19</w:t>
        </w:r>
        <w:r w:rsidR="001E49BE">
          <w:rPr>
            <w:noProof/>
            <w:webHidden/>
          </w:rPr>
          <w:fldChar w:fldCharType="end"/>
        </w:r>
      </w:hyperlink>
    </w:p>
    <w:p w14:paraId="0D44350A" w14:textId="17D88DFB" w:rsidR="001E49BE" w:rsidRDefault="00000000">
      <w:pPr>
        <w:pStyle w:val="TOC2"/>
        <w:tabs>
          <w:tab w:val="left" w:pos="960"/>
          <w:tab w:val="right" w:leader="dot" w:pos="9350"/>
        </w:tabs>
        <w:rPr>
          <w:rFonts w:asciiTheme="minorHAnsi" w:eastAsiaTheme="minorEastAsia" w:hAnsiTheme="minorHAnsi" w:cstheme="minorBidi"/>
          <w:noProof/>
        </w:rPr>
      </w:pPr>
      <w:hyperlink w:anchor="_Toc82592649" w:history="1">
        <w:r w:rsidR="001E49BE" w:rsidRPr="00031D30">
          <w:rPr>
            <w:rStyle w:val="Hyperlink"/>
            <w:noProof/>
          </w:rPr>
          <w:t>6.5</w:t>
        </w:r>
        <w:r w:rsidR="001E49BE">
          <w:rPr>
            <w:rFonts w:asciiTheme="minorHAnsi" w:eastAsiaTheme="minorEastAsia" w:hAnsiTheme="minorHAnsi" w:cstheme="minorBidi"/>
            <w:noProof/>
          </w:rPr>
          <w:tab/>
        </w:r>
        <w:r w:rsidR="001E49BE" w:rsidRPr="00031D30">
          <w:rPr>
            <w:rStyle w:val="Hyperlink"/>
            <w:noProof/>
          </w:rPr>
          <w:t>Effectiveness of viral suppression in reducing HIV transmission</w:t>
        </w:r>
        <w:r w:rsidR="001E49BE">
          <w:rPr>
            <w:noProof/>
            <w:webHidden/>
          </w:rPr>
          <w:tab/>
        </w:r>
        <w:r w:rsidR="001E49BE">
          <w:rPr>
            <w:noProof/>
            <w:webHidden/>
          </w:rPr>
          <w:fldChar w:fldCharType="begin"/>
        </w:r>
        <w:r w:rsidR="001E49BE">
          <w:rPr>
            <w:noProof/>
            <w:webHidden/>
          </w:rPr>
          <w:instrText xml:space="preserve"> PAGEREF _Toc82592649 \h </w:instrText>
        </w:r>
        <w:r w:rsidR="001E49BE">
          <w:rPr>
            <w:noProof/>
            <w:webHidden/>
          </w:rPr>
        </w:r>
        <w:r w:rsidR="001E49BE">
          <w:rPr>
            <w:noProof/>
            <w:webHidden/>
          </w:rPr>
          <w:fldChar w:fldCharType="separate"/>
        </w:r>
        <w:r w:rsidR="001E49BE">
          <w:rPr>
            <w:noProof/>
            <w:webHidden/>
          </w:rPr>
          <w:t>21</w:t>
        </w:r>
        <w:r w:rsidR="001E49BE">
          <w:rPr>
            <w:noProof/>
            <w:webHidden/>
          </w:rPr>
          <w:fldChar w:fldCharType="end"/>
        </w:r>
      </w:hyperlink>
    </w:p>
    <w:p w14:paraId="0CB370AA" w14:textId="5D14735A" w:rsidR="001E49BE" w:rsidRDefault="00000000">
      <w:pPr>
        <w:pStyle w:val="TOC2"/>
        <w:tabs>
          <w:tab w:val="left" w:pos="960"/>
          <w:tab w:val="right" w:leader="dot" w:pos="9350"/>
        </w:tabs>
        <w:rPr>
          <w:rFonts w:asciiTheme="minorHAnsi" w:eastAsiaTheme="minorEastAsia" w:hAnsiTheme="minorHAnsi" w:cstheme="minorBidi"/>
          <w:noProof/>
        </w:rPr>
      </w:pPr>
      <w:hyperlink w:anchor="_Toc82592650" w:history="1">
        <w:r w:rsidR="001E49BE" w:rsidRPr="00031D30">
          <w:rPr>
            <w:rStyle w:val="Hyperlink"/>
            <w:noProof/>
          </w:rPr>
          <w:t>6.6</w:t>
        </w:r>
        <w:r w:rsidR="001E49BE">
          <w:rPr>
            <w:rFonts w:asciiTheme="minorHAnsi" w:eastAsiaTheme="minorEastAsia" w:hAnsiTheme="minorHAnsi" w:cstheme="minorBidi"/>
            <w:noProof/>
          </w:rPr>
          <w:tab/>
        </w:r>
        <w:r w:rsidR="001E49BE" w:rsidRPr="00031D30">
          <w:rPr>
            <w:rStyle w:val="Hyperlink"/>
            <w:noProof/>
          </w:rPr>
          <w:t>Number of sexual acts</w:t>
        </w:r>
        <w:r w:rsidR="001E49BE">
          <w:rPr>
            <w:noProof/>
            <w:webHidden/>
          </w:rPr>
          <w:tab/>
        </w:r>
        <w:r w:rsidR="001E49BE">
          <w:rPr>
            <w:noProof/>
            <w:webHidden/>
          </w:rPr>
          <w:fldChar w:fldCharType="begin"/>
        </w:r>
        <w:r w:rsidR="001E49BE">
          <w:rPr>
            <w:noProof/>
            <w:webHidden/>
          </w:rPr>
          <w:instrText xml:space="preserve"> PAGEREF _Toc82592650 \h </w:instrText>
        </w:r>
        <w:r w:rsidR="001E49BE">
          <w:rPr>
            <w:noProof/>
            <w:webHidden/>
          </w:rPr>
        </w:r>
        <w:r w:rsidR="001E49BE">
          <w:rPr>
            <w:noProof/>
            <w:webHidden/>
          </w:rPr>
          <w:fldChar w:fldCharType="separate"/>
        </w:r>
        <w:r w:rsidR="001E49BE">
          <w:rPr>
            <w:noProof/>
            <w:webHidden/>
          </w:rPr>
          <w:t>22</w:t>
        </w:r>
        <w:r w:rsidR="001E49BE">
          <w:rPr>
            <w:noProof/>
            <w:webHidden/>
          </w:rPr>
          <w:fldChar w:fldCharType="end"/>
        </w:r>
      </w:hyperlink>
    </w:p>
    <w:p w14:paraId="5AF5EDCB" w14:textId="73669C21" w:rsidR="001E49BE" w:rsidRDefault="00000000">
      <w:pPr>
        <w:pStyle w:val="TOC1"/>
        <w:tabs>
          <w:tab w:val="left" w:pos="480"/>
          <w:tab w:val="right" w:leader="dot" w:pos="9350"/>
        </w:tabs>
        <w:rPr>
          <w:rFonts w:asciiTheme="minorHAnsi" w:eastAsiaTheme="minorEastAsia" w:hAnsiTheme="minorHAnsi" w:cstheme="minorBidi"/>
          <w:noProof/>
        </w:rPr>
      </w:pPr>
      <w:hyperlink w:anchor="_Toc82592651" w:history="1">
        <w:r w:rsidR="001E49BE" w:rsidRPr="00031D30">
          <w:rPr>
            <w:rStyle w:val="Hyperlink"/>
            <w:noProof/>
          </w:rPr>
          <w:t>7</w:t>
        </w:r>
        <w:r w:rsidR="001E49BE">
          <w:rPr>
            <w:rFonts w:asciiTheme="minorHAnsi" w:eastAsiaTheme="minorEastAsia" w:hAnsiTheme="minorHAnsi" w:cstheme="minorBidi"/>
            <w:noProof/>
          </w:rPr>
          <w:tab/>
        </w:r>
        <w:r w:rsidR="001E49BE" w:rsidRPr="00031D30">
          <w:rPr>
            <w:rStyle w:val="Hyperlink"/>
            <w:noProof/>
          </w:rPr>
          <w:t>Parameter inputs</w:t>
        </w:r>
        <w:r w:rsidR="001E49BE">
          <w:rPr>
            <w:noProof/>
            <w:webHidden/>
          </w:rPr>
          <w:tab/>
        </w:r>
        <w:r w:rsidR="001E49BE">
          <w:rPr>
            <w:noProof/>
            <w:webHidden/>
          </w:rPr>
          <w:fldChar w:fldCharType="begin"/>
        </w:r>
        <w:r w:rsidR="001E49BE">
          <w:rPr>
            <w:noProof/>
            <w:webHidden/>
          </w:rPr>
          <w:instrText xml:space="preserve"> PAGEREF _Toc82592651 \h </w:instrText>
        </w:r>
        <w:r w:rsidR="001E49BE">
          <w:rPr>
            <w:noProof/>
            <w:webHidden/>
          </w:rPr>
        </w:r>
        <w:r w:rsidR="001E49BE">
          <w:rPr>
            <w:noProof/>
            <w:webHidden/>
          </w:rPr>
          <w:fldChar w:fldCharType="separate"/>
        </w:r>
        <w:r w:rsidR="001E49BE">
          <w:rPr>
            <w:noProof/>
            <w:webHidden/>
          </w:rPr>
          <w:t>23</w:t>
        </w:r>
        <w:r w:rsidR="001E49BE">
          <w:rPr>
            <w:noProof/>
            <w:webHidden/>
          </w:rPr>
          <w:fldChar w:fldCharType="end"/>
        </w:r>
      </w:hyperlink>
    </w:p>
    <w:p w14:paraId="27B05BE4" w14:textId="703B765C" w:rsidR="001E49BE" w:rsidRDefault="00000000">
      <w:pPr>
        <w:pStyle w:val="TOC2"/>
        <w:tabs>
          <w:tab w:val="left" w:pos="960"/>
          <w:tab w:val="right" w:leader="dot" w:pos="9350"/>
        </w:tabs>
        <w:rPr>
          <w:rFonts w:asciiTheme="minorHAnsi" w:eastAsiaTheme="minorEastAsia" w:hAnsiTheme="minorHAnsi" w:cstheme="minorBidi"/>
          <w:noProof/>
        </w:rPr>
      </w:pPr>
      <w:hyperlink w:anchor="_Toc82592652" w:history="1">
        <w:r w:rsidR="001E49BE" w:rsidRPr="00031D30">
          <w:rPr>
            <w:rStyle w:val="Hyperlink"/>
            <w:noProof/>
          </w:rPr>
          <w:t>7.1</w:t>
        </w:r>
        <w:r w:rsidR="001E49BE">
          <w:rPr>
            <w:rFonts w:asciiTheme="minorHAnsi" w:eastAsiaTheme="minorEastAsia" w:hAnsiTheme="minorHAnsi" w:cstheme="minorBidi"/>
            <w:noProof/>
          </w:rPr>
          <w:tab/>
        </w:r>
        <w:r w:rsidR="001E49BE" w:rsidRPr="00031D30">
          <w:rPr>
            <w:rStyle w:val="Hyperlink"/>
            <w:noProof/>
          </w:rPr>
          <w:t>Initial population</w:t>
        </w:r>
        <w:r w:rsidR="001E49BE">
          <w:rPr>
            <w:noProof/>
            <w:webHidden/>
          </w:rPr>
          <w:tab/>
        </w:r>
        <w:r w:rsidR="001E49BE">
          <w:rPr>
            <w:noProof/>
            <w:webHidden/>
          </w:rPr>
          <w:fldChar w:fldCharType="begin"/>
        </w:r>
        <w:r w:rsidR="001E49BE">
          <w:rPr>
            <w:noProof/>
            <w:webHidden/>
          </w:rPr>
          <w:instrText xml:space="preserve"> PAGEREF _Toc82592652 \h </w:instrText>
        </w:r>
        <w:r w:rsidR="001E49BE">
          <w:rPr>
            <w:noProof/>
            <w:webHidden/>
          </w:rPr>
        </w:r>
        <w:r w:rsidR="001E49BE">
          <w:rPr>
            <w:noProof/>
            <w:webHidden/>
          </w:rPr>
          <w:fldChar w:fldCharType="separate"/>
        </w:r>
        <w:r w:rsidR="001E49BE">
          <w:rPr>
            <w:noProof/>
            <w:webHidden/>
          </w:rPr>
          <w:t>23</w:t>
        </w:r>
        <w:r w:rsidR="001E49BE">
          <w:rPr>
            <w:noProof/>
            <w:webHidden/>
          </w:rPr>
          <w:fldChar w:fldCharType="end"/>
        </w:r>
      </w:hyperlink>
    </w:p>
    <w:p w14:paraId="33C1F6D2" w14:textId="5D98A839" w:rsidR="001E49BE" w:rsidRDefault="00000000">
      <w:pPr>
        <w:pStyle w:val="TOC3"/>
        <w:tabs>
          <w:tab w:val="left" w:pos="1440"/>
          <w:tab w:val="right" w:leader="dot" w:pos="9350"/>
        </w:tabs>
        <w:rPr>
          <w:rFonts w:asciiTheme="minorHAnsi" w:eastAsiaTheme="minorEastAsia" w:hAnsiTheme="minorHAnsi" w:cstheme="minorBidi"/>
          <w:noProof/>
        </w:rPr>
      </w:pPr>
      <w:hyperlink w:anchor="_Toc82592654" w:history="1">
        <w:r w:rsidR="001E49BE" w:rsidRPr="00031D30">
          <w:rPr>
            <w:rStyle w:val="Hyperlink"/>
            <w:noProof/>
          </w:rPr>
          <w:t>7.1.1</w:t>
        </w:r>
        <w:r w:rsidR="001E49BE">
          <w:rPr>
            <w:rFonts w:asciiTheme="minorHAnsi" w:eastAsiaTheme="minorEastAsia" w:hAnsiTheme="minorHAnsi" w:cstheme="minorBidi"/>
            <w:noProof/>
          </w:rPr>
          <w:tab/>
        </w:r>
        <w:r w:rsidR="001E49BE" w:rsidRPr="00031D30">
          <w:rPr>
            <w:rStyle w:val="Hyperlink"/>
            <w:noProof/>
          </w:rPr>
          <w:t>The size of sub-populations, by HIV status (Table 6 ):</w:t>
        </w:r>
        <w:r w:rsidR="001E49BE">
          <w:rPr>
            <w:noProof/>
            <w:webHidden/>
          </w:rPr>
          <w:tab/>
        </w:r>
        <w:r w:rsidR="001E49BE">
          <w:rPr>
            <w:noProof/>
            <w:webHidden/>
          </w:rPr>
          <w:fldChar w:fldCharType="begin"/>
        </w:r>
        <w:r w:rsidR="001E49BE">
          <w:rPr>
            <w:noProof/>
            <w:webHidden/>
          </w:rPr>
          <w:instrText xml:space="preserve"> PAGEREF _Toc82592654 \h </w:instrText>
        </w:r>
        <w:r w:rsidR="001E49BE">
          <w:rPr>
            <w:noProof/>
            <w:webHidden/>
          </w:rPr>
        </w:r>
        <w:r w:rsidR="001E49BE">
          <w:rPr>
            <w:noProof/>
            <w:webHidden/>
          </w:rPr>
          <w:fldChar w:fldCharType="separate"/>
        </w:r>
        <w:r w:rsidR="001E49BE">
          <w:rPr>
            <w:noProof/>
            <w:webHidden/>
          </w:rPr>
          <w:t>23</w:t>
        </w:r>
        <w:r w:rsidR="001E49BE">
          <w:rPr>
            <w:noProof/>
            <w:webHidden/>
          </w:rPr>
          <w:fldChar w:fldCharType="end"/>
        </w:r>
      </w:hyperlink>
    </w:p>
    <w:p w14:paraId="3326AA96" w14:textId="4674DFC7" w:rsidR="001E49BE" w:rsidRDefault="00000000">
      <w:pPr>
        <w:pStyle w:val="TOC3"/>
        <w:tabs>
          <w:tab w:val="left" w:pos="1440"/>
          <w:tab w:val="right" w:leader="dot" w:pos="9350"/>
        </w:tabs>
        <w:rPr>
          <w:rFonts w:asciiTheme="minorHAnsi" w:eastAsiaTheme="minorEastAsia" w:hAnsiTheme="minorHAnsi" w:cstheme="minorBidi"/>
          <w:noProof/>
        </w:rPr>
      </w:pPr>
      <w:hyperlink w:anchor="_Toc82592656" w:history="1">
        <w:r w:rsidR="001E49BE" w:rsidRPr="00031D30">
          <w:rPr>
            <w:rStyle w:val="Hyperlink"/>
            <w:noProof/>
          </w:rPr>
          <w:t>7.1.2</w:t>
        </w:r>
        <w:r w:rsidR="001E49BE">
          <w:rPr>
            <w:rFonts w:asciiTheme="minorHAnsi" w:eastAsiaTheme="minorEastAsia" w:hAnsiTheme="minorHAnsi" w:cstheme="minorBidi"/>
            <w:noProof/>
          </w:rPr>
          <w:tab/>
        </w:r>
        <w:r w:rsidR="001E49BE" w:rsidRPr="00031D30">
          <w:rPr>
            <w:rStyle w:val="Hyperlink"/>
            <w:noProof/>
          </w:rPr>
          <w:t>The size of sub-populations living with HIV across compartments (Table 7):</w:t>
        </w:r>
        <w:r w:rsidR="001E49BE">
          <w:rPr>
            <w:noProof/>
            <w:webHidden/>
          </w:rPr>
          <w:tab/>
        </w:r>
        <w:r w:rsidR="001E49BE">
          <w:rPr>
            <w:noProof/>
            <w:webHidden/>
          </w:rPr>
          <w:fldChar w:fldCharType="begin"/>
        </w:r>
        <w:r w:rsidR="001E49BE">
          <w:rPr>
            <w:noProof/>
            <w:webHidden/>
          </w:rPr>
          <w:instrText xml:space="preserve"> PAGEREF _Toc82592656 \h </w:instrText>
        </w:r>
        <w:r w:rsidR="001E49BE">
          <w:rPr>
            <w:noProof/>
            <w:webHidden/>
          </w:rPr>
        </w:r>
        <w:r w:rsidR="001E49BE">
          <w:rPr>
            <w:noProof/>
            <w:webHidden/>
          </w:rPr>
          <w:fldChar w:fldCharType="separate"/>
        </w:r>
        <w:r w:rsidR="001E49BE">
          <w:rPr>
            <w:noProof/>
            <w:webHidden/>
          </w:rPr>
          <w:t>25</w:t>
        </w:r>
        <w:r w:rsidR="001E49BE">
          <w:rPr>
            <w:noProof/>
            <w:webHidden/>
          </w:rPr>
          <w:fldChar w:fldCharType="end"/>
        </w:r>
      </w:hyperlink>
    </w:p>
    <w:p w14:paraId="6D6AFD3A" w14:textId="7A54C21D" w:rsidR="001E49BE" w:rsidRDefault="00000000">
      <w:pPr>
        <w:pStyle w:val="TOC2"/>
        <w:tabs>
          <w:tab w:val="left" w:pos="960"/>
          <w:tab w:val="right" w:leader="dot" w:pos="9350"/>
        </w:tabs>
        <w:rPr>
          <w:rFonts w:asciiTheme="minorHAnsi" w:eastAsiaTheme="minorEastAsia" w:hAnsiTheme="minorHAnsi" w:cstheme="minorBidi"/>
          <w:noProof/>
        </w:rPr>
      </w:pPr>
      <w:hyperlink w:anchor="_Toc82592657" w:history="1">
        <w:r w:rsidR="001E49BE" w:rsidRPr="00031D30">
          <w:rPr>
            <w:rStyle w:val="Hyperlink"/>
            <w:noProof/>
          </w:rPr>
          <w:t>7.2</w:t>
        </w:r>
        <w:r w:rsidR="001E49BE">
          <w:rPr>
            <w:rFonts w:asciiTheme="minorHAnsi" w:eastAsiaTheme="minorEastAsia" w:hAnsiTheme="minorHAnsi" w:cstheme="minorBidi"/>
            <w:noProof/>
          </w:rPr>
          <w:tab/>
        </w:r>
        <w:r w:rsidR="001E49BE" w:rsidRPr="00031D30">
          <w:rPr>
            <w:rStyle w:val="Hyperlink"/>
            <w:noProof/>
          </w:rPr>
          <w:t>Susceptible population growth rate</w:t>
        </w:r>
        <w:r w:rsidR="001E49BE">
          <w:rPr>
            <w:noProof/>
            <w:webHidden/>
          </w:rPr>
          <w:tab/>
        </w:r>
        <w:r w:rsidR="001E49BE">
          <w:rPr>
            <w:noProof/>
            <w:webHidden/>
          </w:rPr>
          <w:fldChar w:fldCharType="begin"/>
        </w:r>
        <w:r w:rsidR="001E49BE">
          <w:rPr>
            <w:noProof/>
            <w:webHidden/>
          </w:rPr>
          <w:instrText xml:space="preserve"> PAGEREF _Toc82592657 \h </w:instrText>
        </w:r>
        <w:r w:rsidR="001E49BE">
          <w:rPr>
            <w:noProof/>
            <w:webHidden/>
          </w:rPr>
        </w:r>
        <w:r w:rsidR="001E49BE">
          <w:rPr>
            <w:noProof/>
            <w:webHidden/>
          </w:rPr>
          <w:fldChar w:fldCharType="separate"/>
        </w:r>
        <w:r w:rsidR="001E49BE">
          <w:rPr>
            <w:noProof/>
            <w:webHidden/>
          </w:rPr>
          <w:t>29</w:t>
        </w:r>
        <w:r w:rsidR="001E49BE">
          <w:rPr>
            <w:noProof/>
            <w:webHidden/>
          </w:rPr>
          <w:fldChar w:fldCharType="end"/>
        </w:r>
      </w:hyperlink>
    </w:p>
    <w:p w14:paraId="3C8197E0" w14:textId="408DB634" w:rsidR="001E49BE" w:rsidRDefault="00000000">
      <w:pPr>
        <w:pStyle w:val="TOC2"/>
        <w:tabs>
          <w:tab w:val="left" w:pos="960"/>
          <w:tab w:val="right" w:leader="dot" w:pos="9350"/>
        </w:tabs>
        <w:rPr>
          <w:rFonts w:asciiTheme="minorHAnsi" w:eastAsiaTheme="minorEastAsia" w:hAnsiTheme="minorHAnsi" w:cstheme="minorBidi"/>
          <w:noProof/>
        </w:rPr>
      </w:pPr>
      <w:hyperlink w:anchor="_Toc82592658" w:history="1">
        <w:r w:rsidR="001E49BE" w:rsidRPr="00031D30">
          <w:rPr>
            <w:rStyle w:val="Hyperlink"/>
            <w:noProof/>
          </w:rPr>
          <w:t>7.3</w:t>
        </w:r>
        <w:r w:rsidR="001E49BE">
          <w:rPr>
            <w:rFonts w:asciiTheme="minorHAnsi" w:eastAsiaTheme="minorEastAsia" w:hAnsiTheme="minorHAnsi" w:cstheme="minorBidi"/>
            <w:noProof/>
          </w:rPr>
          <w:tab/>
        </w:r>
        <w:r w:rsidR="001E49BE" w:rsidRPr="00031D30">
          <w:rPr>
            <w:rStyle w:val="Hyperlink"/>
            <w:noProof/>
          </w:rPr>
          <w:t>HIV diagnosis</w:t>
        </w:r>
        <w:r w:rsidR="001E49BE">
          <w:rPr>
            <w:noProof/>
            <w:webHidden/>
          </w:rPr>
          <w:tab/>
        </w:r>
        <w:r w:rsidR="001E49BE">
          <w:rPr>
            <w:noProof/>
            <w:webHidden/>
          </w:rPr>
          <w:fldChar w:fldCharType="begin"/>
        </w:r>
        <w:r w:rsidR="001E49BE">
          <w:rPr>
            <w:noProof/>
            <w:webHidden/>
          </w:rPr>
          <w:instrText xml:space="preserve"> PAGEREF _Toc82592658 \h </w:instrText>
        </w:r>
        <w:r w:rsidR="001E49BE">
          <w:rPr>
            <w:noProof/>
            <w:webHidden/>
          </w:rPr>
        </w:r>
        <w:r w:rsidR="001E49BE">
          <w:rPr>
            <w:noProof/>
            <w:webHidden/>
          </w:rPr>
          <w:fldChar w:fldCharType="separate"/>
        </w:r>
        <w:r w:rsidR="001E49BE">
          <w:rPr>
            <w:noProof/>
            <w:webHidden/>
          </w:rPr>
          <w:t>31</w:t>
        </w:r>
        <w:r w:rsidR="001E49BE">
          <w:rPr>
            <w:noProof/>
            <w:webHidden/>
          </w:rPr>
          <w:fldChar w:fldCharType="end"/>
        </w:r>
      </w:hyperlink>
    </w:p>
    <w:p w14:paraId="52AC4550" w14:textId="0E6C58C3" w:rsidR="001E49BE" w:rsidRDefault="00000000">
      <w:pPr>
        <w:pStyle w:val="TOC2"/>
        <w:tabs>
          <w:tab w:val="left" w:pos="960"/>
          <w:tab w:val="right" w:leader="dot" w:pos="9350"/>
        </w:tabs>
        <w:rPr>
          <w:rFonts w:asciiTheme="minorHAnsi" w:eastAsiaTheme="minorEastAsia" w:hAnsiTheme="minorHAnsi" w:cstheme="minorBidi"/>
          <w:noProof/>
        </w:rPr>
      </w:pPr>
      <w:hyperlink w:anchor="_Toc82592659" w:history="1">
        <w:r w:rsidR="001E49BE" w:rsidRPr="00031D30">
          <w:rPr>
            <w:rStyle w:val="Hyperlink"/>
            <w:noProof/>
          </w:rPr>
          <w:t>7.4</w:t>
        </w:r>
        <w:r w:rsidR="001E49BE">
          <w:rPr>
            <w:rFonts w:asciiTheme="minorHAnsi" w:eastAsiaTheme="minorEastAsia" w:hAnsiTheme="minorHAnsi" w:cstheme="minorBidi"/>
            <w:noProof/>
          </w:rPr>
          <w:tab/>
        </w:r>
        <w:r w:rsidR="001E49BE" w:rsidRPr="00031D30">
          <w:rPr>
            <w:rStyle w:val="Hyperlink"/>
            <w:noProof/>
          </w:rPr>
          <w:t>Natural history</w:t>
        </w:r>
        <w:r w:rsidR="001E49BE">
          <w:rPr>
            <w:noProof/>
            <w:webHidden/>
          </w:rPr>
          <w:tab/>
        </w:r>
        <w:r w:rsidR="001E49BE">
          <w:rPr>
            <w:noProof/>
            <w:webHidden/>
          </w:rPr>
          <w:fldChar w:fldCharType="begin"/>
        </w:r>
        <w:r w:rsidR="001E49BE">
          <w:rPr>
            <w:noProof/>
            <w:webHidden/>
          </w:rPr>
          <w:instrText xml:space="preserve"> PAGEREF _Toc82592659 \h </w:instrText>
        </w:r>
        <w:r w:rsidR="001E49BE">
          <w:rPr>
            <w:noProof/>
            <w:webHidden/>
          </w:rPr>
        </w:r>
        <w:r w:rsidR="001E49BE">
          <w:rPr>
            <w:noProof/>
            <w:webHidden/>
          </w:rPr>
          <w:fldChar w:fldCharType="separate"/>
        </w:r>
        <w:r w:rsidR="001E49BE">
          <w:rPr>
            <w:noProof/>
            <w:webHidden/>
          </w:rPr>
          <w:t>34</w:t>
        </w:r>
        <w:r w:rsidR="001E49BE">
          <w:rPr>
            <w:noProof/>
            <w:webHidden/>
          </w:rPr>
          <w:fldChar w:fldCharType="end"/>
        </w:r>
      </w:hyperlink>
    </w:p>
    <w:p w14:paraId="35EBFF35" w14:textId="6F7F51F0" w:rsidR="001E49BE" w:rsidRDefault="00000000">
      <w:pPr>
        <w:pStyle w:val="TOC2"/>
        <w:tabs>
          <w:tab w:val="left" w:pos="960"/>
          <w:tab w:val="right" w:leader="dot" w:pos="9350"/>
        </w:tabs>
        <w:rPr>
          <w:rFonts w:asciiTheme="minorHAnsi" w:eastAsiaTheme="minorEastAsia" w:hAnsiTheme="minorHAnsi" w:cstheme="minorBidi"/>
          <w:noProof/>
        </w:rPr>
      </w:pPr>
      <w:hyperlink w:anchor="_Toc82592660" w:history="1">
        <w:r w:rsidR="001E49BE" w:rsidRPr="00031D30">
          <w:rPr>
            <w:rStyle w:val="Hyperlink"/>
            <w:noProof/>
          </w:rPr>
          <w:t>7.5</w:t>
        </w:r>
        <w:r w:rsidR="001E49BE">
          <w:rPr>
            <w:rFonts w:asciiTheme="minorHAnsi" w:eastAsiaTheme="minorEastAsia" w:hAnsiTheme="minorHAnsi" w:cstheme="minorBidi"/>
            <w:noProof/>
          </w:rPr>
          <w:tab/>
        </w:r>
        <w:r w:rsidR="001E49BE" w:rsidRPr="00031D30">
          <w:rPr>
            <w:rStyle w:val="Hyperlink"/>
            <w:noProof/>
          </w:rPr>
          <w:t>Linked to care</w:t>
        </w:r>
        <w:r w:rsidR="001E49BE">
          <w:rPr>
            <w:noProof/>
            <w:webHidden/>
          </w:rPr>
          <w:tab/>
        </w:r>
        <w:r w:rsidR="001E49BE">
          <w:rPr>
            <w:noProof/>
            <w:webHidden/>
          </w:rPr>
          <w:fldChar w:fldCharType="begin"/>
        </w:r>
        <w:r w:rsidR="001E49BE">
          <w:rPr>
            <w:noProof/>
            <w:webHidden/>
          </w:rPr>
          <w:instrText xml:space="preserve"> PAGEREF _Toc82592660 \h </w:instrText>
        </w:r>
        <w:r w:rsidR="001E49BE">
          <w:rPr>
            <w:noProof/>
            <w:webHidden/>
          </w:rPr>
        </w:r>
        <w:r w:rsidR="001E49BE">
          <w:rPr>
            <w:noProof/>
            <w:webHidden/>
          </w:rPr>
          <w:fldChar w:fldCharType="separate"/>
        </w:r>
        <w:r w:rsidR="001E49BE">
          <w:rPr>
            <w:noProof/>
            <w:webHidden/>
          </w:rPr>
          <w:t>37</w:t>
        </w:r>
        <w:r w:rsidR="001E49BE">
          <w:rPr>
            <w:noProof/>
            <w:webHidden/>
          </w:rPr>
          <w:fldChar w:fldCharType="end"/>
        </w:r>
      </w:hyperlink>
    </w:p>
    <w:p w14:paraId="39AA525F" w14:textId="53EB8C8E" w:rsidR="001E49BE" w:rsidRDefault="00000000">
      <w:pPr>
        <w:pStyle w:val="TOC2"/>
        <w:tabs>
          <w:tab w:val="left" w:pos="960"/>
          <w:tab w:val="right" w:leader="dot" w:pos="9350"/>
        </w:tabs>
        <w:rPr>
          <w:rFonts w:asciiTheme="minorHAnsi" w:eastAsiaTheme="minorEastAsia" w:hAnsiTheme="minorHAnsi" w:cstheme="minorBidi"/>
          <w:noProof/>
        </w:rPr>
      </w:pPr>
      <w:hyperlink w:anchor="_Toc82592661" w:history="1">
        <w:r w:rsidR="001E49BE" w:rsidRPr="00031D30">
          <w:rPr>
            <w:rStyle w:val="Hyperlink"/>
            <w:noProof/>
          </w:rPr>
          <w:t>7.6</w:t>
        </w:r>
        <w:r w:rsidR="001E49BE">
          <w:rPr>
            <w:rFonts w:asciiTheme="minorHAnsi" w:eastAsiaTheme="minorEastAsia" w:hAnsiTheme="minorHAnsi" w:cstheme="minorBidi"/>
            <w:noProof/>
          </w:rPr>
          <w:tab/>
        </w:r>
        <w:r w:rsidR="001E49BE" w:rsidRPr="00031D30">
          <w:rPr>
            <w:rStyle w:val="Hyperlink"/>
            <w:noProof/>
          </w:rPr>
          <w:t>Lost to follow-up</w:t>
        </w:r>
        <w:r w:rsidR="001E49BE">
          <w:rPr>
            <w:noProof/>
            <w:webHidden/>
          </w:rPr>
          <w:tab/>
        </w:r>
        <w:r w:rsidR="001E49BE">
          <w:rPr>
            <w:noProof/>
            <w:webHidden/>
          </w:rPr>
          <w:fldChar w:fldCharType="begin"/>
        </w:r>
        <w:r w:rsidR="001E49BE">
          <w:rPr>
            <w:noProof/>
            <w:webHidden/>
          </w:rPr>
          <w:instrText xml:space="preserve"> PAGEREF _Toc82592661 \h </w:instrText>
        </w:r>
        <w:r w:rsidR="001E49BE">
          <w:rPr>
            <w:noProof/>
            <w:webHidden/>
          </w:rPr>
        </w:r>
        <w:r w:rsidR="001E49BE">
          <w:rPr>
            <w:noProof/>
            <w:webHidden/>
          </w:rPr>
          <w:fldChar w:fldCharType="separate"/>
        </w:r>
        <w:r w:rsidR="001E49BE">
          <w:rPr>
            <w:noProof/>
            <w:webHidden/>
          </w:rPr>
          <w:t>38</w:t>
        </w:r>
        <w:r w:rsidR="001E49BE">
          <w:rPr>
            <w:noProof/>
            <w:webHidden/>
          </w:rPr>
          <w:fldChar w:fldCharType="end"/>
        </w:r>
      </w:hyperlink>
    </w:p>
    <w:p w14:paraId="5626D03D" w14:textId="56F34506" w:rsidR="001E49BE" w:rsidRDefault="00000000">
      <w:pPr>
        <w:pStyle w:val="TOC2"/>
        <w:tabs>
          <w:tab w:val="left" w:pos="960"/>
          <w:tab w:val="right" w:leader="dot" w:pos="9350"/>
        </w:tabs>
        <w:rPr>
          <w:rFonts w:asciiTheme="minorHAnsi" w:eastAsiaTheme="minorEastAsia" w:hAnsiTheme="minorHAnsi" w:cstheme="minorBidi"/>
          <w:noProof/>
        </w:rPr>
      </w:pPr>
      <w:hyperlink w:anchor="_Toc82592748" w:history="1">
        <w:r w:rsidR="001E49BE" w:rsidRPr="00031D30">
          <w:rPr>
            <w:rStyle w:val="Hyperlink"/>
            <w:noProof/>
          </w:rPr>
          <w:t>7.7</w:t>
        </w:r>
        <w:r w:rsidR="001E49BE">
          <w:rPr>
            <w:rFonts w:asciiTheme="minorHAnsi" w:eastAsiaTheme="minorEastAsia" w:hAnsiTheme="minorHAnsi" w:cstheme="minorBidi"/>
            <w:noProof/>
          </w:rPr>
          <w:tab/>
        </w:r>
        <w:r w:rsidR="001E49BE" w:rsidRPr="00031D30">
          <w:rPr>
            <w:rStyle w:val="Hyperlink"/>
            <w:noProof/>
          </w:rPr>
          <w:t>On ART, Suppressed</w:t>
        </w:r>
        <w:r w:rsidR="001E49BE">
          <w:rPr>
            <w:noProof/>
            <w:webHidden/>
          </w:rPr>
          <w:tab/>
        </w:r>
        <w:r w:rsidR="001E49BE">
          <w:rPr>
            <w:noProof/>
            <w:webHidden/>
          </w:rPr>
          <w:fldChar w:fldCharType="begin"/>
        </w:r>
        <w:r w:rsidR="001E49BE">
          <w:rPr>
            <w:noProof/>
            <w:webHidden/>
          </w:rPr>
          <w:instrText xml:space="preserve"> PAGEREF _Toc82592748 \h </w:instrText>
        </w:r>
        <w:r w:rsidR="001E49BE">
          <w:rPr>
            <w:noProof/>
            <w:webHidden/>
          </w:rPr>
        </w:r>
        <w:r w:rsidR="001E49BE">
          <w:rPr>
            <w:noProof/>
            <w:webHidden/>
          </w:rPr>
          <w:fldChar w:fldCharType="separate"/>
        </w:r>
        <w:r w:rsidR="001E49BE">
          <w:rPr>
            <w:noProof/>
            <w:webHidden/>
          </w:rPr>
          <w:t>42</w:t>
        </w:r>
        <w:r w:rsidR="001E49BE">
          <w:rPr>
            <w:noProof/>
            <w:webHidden/>
          </w:rPr>
          <w:fldChar w:fldCharType="end"/>
        </w:r>
      </w:hyperlink>
    </w:p>
    <w:p w14:paraId="2A0FAA2D" w14:textId="730A6D2D" w:rsidR="001E49BE" w:rsidRDefault="00000000">
      <w:pPr>
        <w:pStyle w:val="TOC2"/>
        <w:tabs>
          <w:tab w:val="left" w:pos="960"/>
          <w:tab w:val="right" w:leader="dot" w:pos="9350"/>
        </w:tabs>
        <w:rPr>
          <w:rFonts w:asciiTheme="minorHAnsi" w:eastAsiaTheme="minorEastAsia" w:hAnsiTheme="minorHAnsi" w:cstheme="minorBidi"/>
          <w:noProof/>
        </w:rPr>
      </w:pPr>
      <w:hyperlink w:anchor="_Toc82592749" w:history="1">
        <w:r w:rsidR="001E49BE" w:rsidRPr="00031D30">
          <w:rPr>
            <w:rStyle w:val="Hyperlink"/>
            <w:noProof/>
          </w:rPr>
          <w:t>7.8</w:t>
        </w:r>
        <w:r w:rsidR="001E49BE">
          <w:rPr>
            <w:rFonts w:asciiTheme="minorHAnsi" w:eastAsiaTheme="minorEastAsia" w:hAnsiTheme="minorHAnsi" w:cstheme="minorBidi"/>
            <w:noProof/>
          </w:rPr>
          <w:tab/>
        </w:r>
        <w:r w:rsidR="001E49BE" w:rsidRPr="00031D30">
          <w:rPr>
            <w:rStyle w:val="Hyperlink"/>
            <w:noProof/>
          </w:rPr>
          <w:t>On ART, Not Suppressed</w:t>
        </w:r>
        <w:r w:rsidR="001E49BE">
          <w:rPr>
            <w:noProof/>
            <w:webHidden/>
          </w:rPr>
          <w:tab/>
        </w:r>
        <w:r w:rsidR="001E49BE">
          <w:rPr>
            <w:noProof/>
            <w:webHidden/>
          </w:rPr>
          <w:fldChar w:fldCharType="begin"/>
        </w:r>
        <w:r w:rsidR="001E49BE">
          <w:rPr>
            <w:noProof/>
            <w:webHidden/>
          </w:rPr>
          <w:instrText xml:space="preserve"> PAGEREF _Toc82592749 \h </w:instrText>
        </w:r>
        <w:r w:rsidR="001E49BE">
          <w:rPr>
            <w:noProof/>
            <w:webHidden/>
          </w:rPr>
        </w:r>
        <w:r w:rsidR="001E49BE">
          <w:rPr>
            <w:noProof/>
            <w:webHidden/>
          </w:rPr>
          <w:fldChar w:fldCharType="separate"/>
        </w:r>
        <w:r w:rsidR="001E49BE">
          <w:rPr>
            <w:noProof/>
            <w:webHidden/>
          </w:rPr>
          <w:t>45</w:t>
        </w:r>
        <w:r w:rsidR="001E49BE">
          <w:rPr>
            <w:noProof/>
            <w:webHidden/>
          </w:rPr>
          <w:fldChar w:fldCharType="end"/>
        </w:r>
      </w:hyperlink>
    </w:p>
    <w:p w14:paraId="3600370C" w14:textId="57345916" w:rsidR="001E49BE" w:rsidRDefault="00000000">
      <w:pPr>
        <w:pStyle w:val="TOC2"/>
        <w:tabs>
          <w:tab w:val="left" w:pos="960"/>
          <w:tab w:val="right" w:leader="dot" w:pos="9350"/>
        </w:tabs>
        <w:rPr>
          <w:rFonts w:asciiTheme="minorHAnsi" w:eastAsiaTheme="minorEastAsia" w:hAnsiTheme="minorHAnsi" w:cstheme="minorBidi"/>
          <w:noProof/>
        </w:rPr>
      </w:pPr>
      <w:hyperlink w:anchor="_Toc82592750" w:history="1">
        <w:r w:rsidR="001E49BE" w:rsidRPr="00031D30">
          <w:rPr>
            <w:rStyle w:val="Hyperlink"/>
            <w:noProof/>
          </w:rPr>
          <w:t>7.9</w:t>
        </w:r>
        <w:r w:rsidR="001E49BE">
          <w:rPr>
            <w:rFonts w:asciiTheme="minorHAnsi" w:eastAsiaTheme="minorEastAsia" w:hAnsiTheme="minorHAnsi" w:cstheme="minorBidi"/>
            <w:noProof/>
          </w:rPr>
          <w:tab/>
        </w:r>
        <w:r w:rsidR="001E49BE" w:rsidRPr="00031D30">
          <w:rPr>
            <w:rStyle w:val="Hyperlink"/>
            <w:noProof/>
          </w:rPr>
          <w:t>Death</w:t>
        </w:r>
        <w:r w:rsidR="001E49BE">
          <w:rPr>
            <w:noProof/>
            <w:webHidden/>
          </w:rPr>
          <w:tab/>
        </w:r>
        <w:r w:rsidR="001E49BE">
          <w:rPr>
            <w:noProof/>
            <w:webHidden/>
          </w:rPr>
          <w:fldChar w:fldCharType="begin"/>
        </w:r>
        <w:r w:rsidR="001E49BE">
          <w:rPr>
            <w:noProof/>
            <w:webHidden/>
          </w:rPr>
          <w:instrText xml:space="preserve"> PAGEREF _Toc82592750 \h </w:instrText>
        </w:r>
        <w:r w:rsidR="001E49BE">
          <w:rPr>
            <w:noProof/>
            <w:webHidden/>
          </w:rPr>
        </w:r>
        <w:r w:rsidR="001E49BE">
          <w:rPr>
            <w:noProof/>
            <w:webHidden/>
          </w:rPr>
          <w:fldChar w:fldCharType="separate"/>
        </w:r>
        <w:r w:rsidR="001E49BE">
          <w:rPr>
            <w:noProof/>
            <w:webHidden/>
          </w:rPr>
          <w:t>48</w:t>
        </w:r>
        <w:r w:rsidR="001E49BE">
          <w:rPr>
            <w:noProof/>
            <w:webHidden/>
          </w:rPr>
          <w:fldChar w:fldCharType="end"/>
        </w:r>
      </w:hyperlink>
    </w:p>
    <w:p w14:paraId="414C91C3" w14:textId="3B090588" w:rsidR="001E49BE" w:rsidRDefault="00000000">
      <w:pPr>
        <w:pStyle w:val="TOC1"/>
        <w:tabs>
          <w:tab w:val="left" w:pos="480"/>
          <w:tab w:val="right" w:leader="dot" w:pos="9350"/>
        </w:tabs>
        <w:rPr>
          <w:rFonts w:asciiTheme="minorHAnsi" w:eastAsiaTheme="minorEastAsia" w:hAnsiTheme="minorHAnsi" w:cstheme="minorBidi"/>
          <w:noProof/>
        </w:rPr>
      </w:pPr>
      <w:hyperlink w:anchor="_Toc82592751" w:history="1">
        <w:r w:rsidR="001E49BE" w:rsidRPr="00031D30">
          <w:rPr>
            <w:rStyle w:val="Hyperlink"/>
            <w:noProof/>
          </w:rPr>
          <w:t>8</w:t>
        </w:r>
        <w:r w:rsidR="001E49BE">
          <w:rPr>
            <w:rFonts w:asciiTheme="minorHAnsi" w:eastAsiaTheme="minorEastAsia" w:hAnsiTheme="minorHAnsi" w:cstheme="minorBidi"/>
            <w:noProof/>
          </w:rPr>
          <w:tab/>
        </w:r>
        <w:r w:rsidR="001E49BE" w:rsidRPr="00031D30">
          <w:rPr>
            <w:rStyle w:val="Hyperlink"/>
            <w:noProof/>
          </w:rPr>
          <w:t>Calibration approach</w:t>
        </w:r>
        <w:r w:rsidR="001E49BE">
          <w:rPr>
            <w:noProof/>
            <w:webHidden/>
          </w:rPr>
          <w:tab/>
        </w:r>
        <w:r w:rsidR="001E49BE">
          <w:rPr>
            <w:noProof/>
            <w:webHidden/>
          </w:rPr>
          <w:fldChar w:fldCharType="begin"/>
        </w:r>
        <w:r w:rsidR="001E49BE">
          <w:rPr>
            <w:noProof/>
            <w:webHidden/>
          </w:rPr>
          <w:instrText xml:space="preserve"> PAGEREF _Toc82592751 \h </w:instrText>
        </w:r>
        <w:r w:rsidR="001E49BE">
          <w:rPr>
            <w:noProof/>
            <w:webHidden/>
          </w:rPr>
        </w:r>
        <w:r w:rsidR="001E49BE">
          <w:rPr>
            <w:noProof/>
            <w:webHidden/>
          </w:rPr>
          <w:fldChar w:fldCharType="separate"/>
        </w:r>
        <w:r w:rsidR="001E49BE">
          <w:rPr>
            <w:noProof/>
            <w:webHidden/>
          </w:rPr>
          <w:t>51</w:t>
        </w:r>
        <w:r w:rsidR="001E49BE">
          <w:rPr>
            <w:noProof/>
            <w:webHidden/>
          </w:rPr>
          <w:fldChar w:fldCharType="end"/>
        </w:r>
      </w:hyperlink>
    </w:p>
    <w:p w14:paraId="3180CDD7" w14:textId="208D724A" w:rsidR="001E49BE" w:rsidRDefault="00000000">
      <w:pPr>
        <w:pStyle w:val="TOC2"/>
        <w:tabs>
          <w:tab w:val="left" w:pos="960"/>
          <w:tab w:val="right" w:leader="dot" w:pos="9350"/>
        </w:tabs>
        <w:rPr>
          <w:rFonts w:asciiTheme="minorHAnsi" w:eastAsiaTheme="minorEastAsia" w:hAnsiTheme="minorHAnsi" w:cstheme="minorBidi"/>
          <w:noProof/>
        </w:rPr>
      </w:pPr>
      <w:hyperlink w:anchor="_Toc82592752" w:history="1">
        <w:r w:rsidR="001E49BE" w:rsidRPr="00031D30">
          <w:rPr>
            <w:rStyle w:val="Hyperlink"/>
            <w:noProof/>
          </w:rPr>
          <w:t>8.1</w:t>
        </w:r>
        <w:r w:rsidR="001E49BE">
          <w:rPr>
            <w:rFonts w:asciiTheme="minorHAnsi" w:eastAsiaTheme="minorEastAsia" w:hAnsiTheme="minorHAnsi" w:cstheme="minorBidi"/>
            <w:noProof/>
          </w:rPr>
          <w:tab/>
        </w:r>
        <w:r w:rsidR="001E49BE" w:rsidRPr="00031D30">
          <w:rPr>
            <w:rStyle w:val="Hyperlink"/>
            <w:noProof/>
          </w:rPr>
          <w:t>Calibration targets</w:t>
        </w:r>
        <w:r w:rsidR="001E49BE">
          <w:rPr>
            <w:noProof/>
            <w:webHidden/>
          </w:rPr>
          <w:tab/>
        </w:r>
        <w:r w:rsidR="001E49BE">
          <w:rPr>
            <w:noProof/>
            <w:webHidden/>
          </w:rPr>
          <w:fldChar w:fldCharType="begin"/>
        </w:r>
        <w:r w:rsidR="001E49BE">
          <w:rPr>
            <w:noProof/>
            <w:webHidden/>
          </w:rPr>
          <w:instrText xml:space="preserve"> PAGEREF _Toc82592752 \h </w:instrText>
        </w:r>
        <w:r w:rsidR="001E49BE">
          <w:rPr>
            <w:noProof/>
            <w:webHidden/>
          </w:rPr>
        </w:r>
        <w:r w:rsidR="001E49BE">
          <w:rPr>
            <w:noProof/>
            <w:webHidden/>
          </w:rPr>
          <w:fldChar w:fldCharType="separate"/>
        </w:r>
        <w:r w:rsidR="001E49BE">
          <w:rPr>
            <w:noProof/>
            <w:webHidden/>
          </w:rPr>
          <w:t>51</w:t>
        </w:r>
        <w:r w:rsidR="001E49BE">
          <w:rPr>
            <w:noProof/>
            <w:webHidden/>
          </w:rPr>
          <w:fldChar w:fldCharType="end"/>
        </w:r>
      </w:hyperlink>
    </w:p>
    <w:p w14:paraId="35658F71" w14:textId="1F703B95" w:rsidR="001E49BE" w:rsidRDefault="00000000">
      <w:pPr>
        <w:pStyle w:val="TOC2"/>
        <w:tabs>
          <w:tab w:val="left" w:pos="960"/>
          <w:tab w:val="right" w:leader="dot" w:pos="9350"/>
        </w:tabs>
        <w:rPr>
          <w:rFonts w:asciiTheme="minorHAnsi" w:eastAsiaTheme="minorEastAsia" w:hAnsiTheme="minorHAnsi" w:cstheme="minorBidi"/>
          <w:noProof/>
        </w:rPr>
      </w:pPr>
      <w:hyperlink w:anchor="_Toc82592753" w:history="1">
        <w:r w:rsidR="001E49BE" w:rsidRPr="00031D30">
          <w:rPr>
            <w:rStyle w:val="Hyperlink"/>
            <w:noProof/>
          </w:rPr>
          <w:t>8.2</w:t>
        </w:r>
        <w:r w:rsidR="001E49BE">
          <w:rPr>
            <w:rFonts w:asciiTheme="minorHAnsi" w:eastAsiaTheme="minorEastAsia" w:hAnsiTheme="minorHAnsi" w:cstheme="minorBidi"/>
            <w:noProof/>
          </w:rPr>
          <w:tab/>
        </w:r>
        <w:r w:rsidR="001E49BE" w:rsidRPr="00031D30">
          <w:rPr>
            <w:rStyle w:val="Hyperlink"/>
            <w:noProof/>
          </w:rPr>
          <w:t>Approach: Parameters used in the calibration process</w:t>
        </w:r>
        <w:r w:rsidR="001E49BE">
          <w:rPr>
            <w:noProof/>
            <w:webHidden/>
          </w:rPr>
          <w:tab/>
        </w:r>
        <w:r w:rsidR="001E49BE">
          <w:rPr>
            <w:noProof/>
            <w:webHidden/>
          </w:rPr>
          <w:fldChar w:fldCharType="begin"/>
        </w:r>
        <w:r w:rsidR="001E49BE">
          <w:rPr>
            <w:noProof/>
            <w:webHidden/>
          </w:rPr>
          <w:instrText xml:space="preserve"> PAGEREF _Toc82592753 \h </w:instrText>
        </w:r>
        <w:r w:rsidR="001E49BE">
          <w:rPr>
            <w:noProof/>
            <w:webHidden/>
          </w:rPr>
        </w:r>
        <w:r w:rsidR="001E49BE">
          <w:rPr>
            <w:noProof/>
            <w:webHidden/>
          </w:rPr>
          <w:fldChar w:fldCharType="separate"/>
        </w:r>
        <w:r w:rsidR="001E49BE">
          <w:rPr>
            <w:noProof/>
            <w:webHidden/>
          </w:rPr>
          <w:t>56</w:t>
        </w:r>
        <w:r w:rsidR="001E49BE">
          <w:rPr>
            <w:noProof/>
            <w:webHidden/>
          </w:rPr>
          <w:fldChar w:fldCharType="end"/>
        </w:r>
      </w:hyperlink>
    </w:p>
    <w:p w14:paraId="143CAFD4" w14:textId="6E0EE6AE" w:rsidR="001E49BE" w:rsidRDefault="00000000">
      <w:pPr>
        <w:pStyle w:val="TOC2"/>
        <w:tabs>
          <w:tab w:val="left" w:pos="960"/>
          <w:tab w:val="right" w:leader="dot" w:pos="9350"/>
        </w:tabs>
        <w:rPr>
          <w:rFonts w:asciiTheme="minorHAnsi" w:eastAsiaTheme="minorEastAsia" w:hAnsiTheme="minorHAnsi" w:cstheme="minorBidi"/>
          <w:noProof/>
        </w:rPr>
      </w:pPr>
      <w:hyperlink w:anchor="_Toc82592754" w:history="1">
        <w:r w:rsidR="001E49BE" w:rsidRPr="00031D30">
          <w:rPr>
            <w:rStyle w:val="Hyperlink"/>
            <w:noProof/>
          </w:rPr>
          <w:t>8.3</w:t>
        </w:r>
        <w:r w:rsidR="001E49BE">
          <w:rPr>
            <w:rFonts w:asciiTheme="minorHAnsi" w:eastAsiaTheme="minorEastAsia" w:hAnsiTheme="minorHAnsi" w:cstheme="minorBidi"/>
            <w:noProof/>
          </w:rPr>
          <w:tab/>
        </w:r>
        <w:r w:rsidR="001E49BE" w:rsidRPr="00031D30">
          <w:rPr>
            <w:rStyle w:val="Hyperlink"/>
            <w:noProof/>
          </w:rPr>
          <w:t>Approach: Goodness of fit</w:t>
        </w:r>
        <w:r w:rsidR="001E49BE">
          <w:rPr>
            <w:noProof/>
            <w:webHidden/>
          </w:rPr>
          <w:tab/>
        </w:r>
        <w:r w:rsidR="001E49BE">
          <w:rPr>
            <w:noProof/>
            <w:webHidden/>
          </w:rPr>
          <w:fldChar w:fldCharType="begin"/>
        </w:r>
        <w:r w:rsidR="001E49BE">
          <w:rPr>
            <w:noProof/>
            <w:webHidden/>
          </w:rPr>
          <w:instrText xml:space="preserve"> PAGEREF _Toc82592754 \h </w:instrText>
        </w:r>
        <w:r w:rsidR="001E49BE">
          <w:rPr>
            <w:noProof/>
            <w:webHidden/>
          </w:rPr>
        </w:r>
        <w:r w:rsidR="001E49BE">
          <w:rPr>
            <w:noProof/>
            <w:webHidden/>
          </w:rPr>
          <w:fldChar w:fldCharType="separate"/>
        </w:r>
        <w:r w:rsidR="001E49BE">
          <w:rPr>
            <w:noProof/>
            <w:webHidden/>
          </w:rPr>
          <w:t>56</w:t>
        </w:r>
        <w:r w:rsidR="001E49BE">
          <w:rPr>
            <w:noProof/>
            <w:webHidden/>
          </w:rPr>
          <w:fldChar w:fldCharType="end"/>
        </w:r>
      </w:hyperlink>
    </w:p>
    <w:p w14:paraId="77322052" w14:textId="43DB6600" w:rsidR="001E49BE" w:rsidRDefault="00000000">
      <w:pPr>
        <w:pStyle w:val="TOC2"/>
        <w:tabs>
          <w:tab w:val="left" w:pos="960"/>
          <w:tab w:val="right" w:leader="dot" w:pos="9350"/>
        </w:tabs>
        <w:rPr>
          <w:rFonts w:asciiTheme="minorHAnsi" w:eastAsiaTheme="minorEastAsia" w:hAnsiTheme="minorHAnsi" w:cstheme="minorBidi"/>
          <w:noProof/>
        </w:rPr>
      </w:pPr>
      <w:hyperlink w:anchor="_Toc82592755" w:history="1">
        <w:r w:rsidR="001E49BE" w:rsidRPr="00031D30">
          <w:rPr>
            <w:rStyle w:val="Hyperlink"/>
            <w:noProof/>
          </w:rPr>
          <w:t>8.4</w:t>
        </w:r>
        <w:r w:rsidR="001E49BE">
          <w:rPr>
            <w:rFonts w:asciiTheme="minorHAnsi" w:eastAsiaTheme="minorEastAsia" w:hAnsiTheme="minorHAnsi" w:cstheme="minorBidi"/>
            <w:noProof/>
          </w:rPr>
          <w:tab/>
        </w:r>
        <w:r w:rsidR="001E49BE" w:rsidRPr="00031D30">
          <w:rPr>
            <w:rStyle w:val="Hyperlink"/>
            <w:noProof/>
          </w:rPr>
          <w:t>Approach: Method for identifying appropriate values for parameters inputs</w:t>
        </w:r>
        <w:r w:rsidR="001E49BE">
          <w:rPr>
            <w:noProof/>
            <w:webHidden/>
          </w:rPr>
          <w:tab/>
        </w:r>
        <w:r w:rsidR="001E49BE">
          <w:rPr>
            <w:noProof/>
            <w:webHidden/>
          </w:rPr>
          <w:fldChar w:fldCharType="begin"/>
        </w:r>
        <w:r w:rsidR="001E49BE">
          <w:rPr>
            <w:noProof/>
            <w:webHidden/>
          </w:rPr>
          <w:instrText xml:space="preserve"> PAGEREF _Toc82592755 \h </w:instrText>
        </w:r>
        <w:r w:rsidR="001E49BE">
          <w:rPr>
            <w:noProof/>
            <w:webHidden/>
          </w:rPr>
        </w:r>
        <w:r w:rsidR="001E49BE">
          <w:rPr>
            <w:noProof/>
            <w:webHidden/>
          </w:rPr>
          <w:fldChar w:fldCharType="separate"/>
        </w:r>
        <w:r w:rsidR="001E49BE">
          <w:rPr>
            <w:noProof/>
            <w:webHidden/>
          </w:rPr>
          <w:t>57</w:t>
        </w:r>
        <w:r w:rsidR="001E49BE">
          <w:rPr>
            <w:noProof/>
            <w:webHidden/>
          </w:rPr>
          <w:fldChar w:fldCharType="end"/>
        </w:r>
      </w:hyperlink>
    </w:p>
    <w:p w14:paraId="590ECE7E" w14:textId="1FE0939E" w:rsidR="001E49BE" w:rsidRDefault="00000000">
      <w:pPr>
        <w:pStyle w:val="TOC2"/>
        <w:tabs>
          <w:tab w:val="left" w:pos="960"/>
          <w:tab w:val="right" w:leader="dot" w:pos="9350"/>
        </w:tabs>
        <w:rPr>
          <w:rFonts w:asciiTheme="minorHAnsi" w:eastAsiaTheme="minorEastAsia" w:hAnsiTheme="minorHAnsi" w:cstheme="minorBidi"/>
          <w:noProof/>
        </w:rPr>
      </w:pPr>
      <w:hyperlink w:anchor="_Toc82592756" w:history="1">
        <w:r w:rsidR="001E49BE" w:rsidRPr="00031D30">
          <w:rPr>
            <w:rStyle w:val="Hyperlink"/>
            <w:noProof/>
          </w:rPr>
          <w:t>8.5</w:t>
        </w:r>
        <w:r w:rsidR="001E49BE">
          <w:rPr>
            <w:rFonts w:asciiTheme="minorHAnsi" w:eastAsiaTheme="minorEastAsia" w:hAnsiTheme="minorHAnsi" w:cstheme="minorBidi"/>
            <w:noProof/>
          </w:rPr>
          <w:tab/>
        </w:r>
        <w:r w:rsidR="001E49BE" w:rsidRPr="00031D30">
          <w:rPr>
            <w:rStyle w:val="Hyperlink"/>
            <w:noProof/>
          </w:rPr>
          <w:t>Approach: Defining convergence criteria</w:t>
        </w:r>
        <w:r w:rsidR="001E49BE">
          <w:rPr>
            <w:noProof/>
            <w:webHidden/>
          </w:rPr>
          <w:tab/>
        </w:r>
        <w:r w:rsidR="001E49BE">
          <w:rPr>
            <w:noProof/>
            <w:webHidden/>
          </w:rPr>
          <w:fldChar w:fldCharType="begin"/>
        </w:r>
        <w:r w:rsidR="001E49BE">
          <w:rPr>
            <w:noProof/>
            <w:webHidden/>
          </w:rPr>
          <w:instrText xml:space="preserve"> PAGEREF _Toc82592756 \h </w:instrText>
        </w:r>
        <w:r w:rsidR="001E49BE">
          <w:rPr>
            <w:noProof/>
            <w:webHidden/>
          </w:rPr>
        </w:r>
        <w:r w:rsidR="001E49BE">
          <w:rPr>
            <w:noProof/>
            <w:webHidden/>
          </w:rPr>
          <w:fldChar w:fldCharType="separate"/>
        </w:r>
        <w:r w:rsidR="001E49BE">
          <w:rPr>
            <w:noProof/>
            <w:webHidden/>
          </w:rPr>
          <w:t>57</w:t>
        </w:r>
        <w:r w:rsidR="001E49BE">
          <w:rPr>
            <w:noProof/>
            <w:webHidden/>
          </w:rPr>
          <w:fldChar w:fldCharType="end"/>
        </w:r>
      </w:hyperlink>
    </w:p>
    <w:p w14:paraId="28149669" w14:textId="0CF5FA4D" w:rsidR="001E49BE" w:rsidRDefault="00000000">
      <w:pPr>
        <w:pStyle w:val="TOC2"/>
        <w:tabs>
          <w:tab w:val="left" w:pos="960"/>
          <w:tab w:val="right" w:leader="dot" w:pos="9350"/>
        </w:tabs>
        <w:rPr>
          <w:rFonts w:asciiTheme="minorHAnsi" w:eastAsiaTheme="minorEastAsia" w:hAnsiTheme="minorHAnsi" w:cstheme="minorBidi"/>
          <w:noProof/>
        </w:rPr>
      </w:pPr>
      <w:hyperlink w:anchor="_Toc82592757" w:history="1">
        <w:r w:rsidR="001E49BE" w:rsidRPr="00031D30">
          <w:rPr>
            <w:rStyle w:val="Hyperlink"/>
            <w:noProof/>
          </w:rPr>
          <w:t>8.6</w:t>
        </w:r>
        <w:r w:rsidR="001E49BE">
          <w:rPr>
            <w:rFonts w:asciiTheme="minorHAnsi" w:eastAsiaTheme="minorEastAsia" w:hAnsiTheme="minorHAnsi" w:cstheme="minorBidi"/>
            <w:noProof/>
          </w:rPr>
          <w:tab/>
        </w:r>
        <w:r w:rsidR="001E49BE" w:rsidRPr="00031D30">
          <w:rPr>
            <w:rStyle w:val="Hyperlink"/>
            <w:noProof/>
          </w:rPr>
          <w:t>Approach: Stopping rule (i.e. when calibration process is complete)</w:t>
        </w:r>
        <w:r w:rsidR="001E49BE">
          <w:rPr>
            <w:noProof/>
            <w:webHidden/>
          </w:rPr>
          <w:tab/>
        </w:r>
        <w:r w:rsidR="001E49BE">
          <w:rPr>
            <w:noProof/>
            <w:webHidden/>
          </w:rPr>
          <w:fldChar w:fldCharType="begin"/>
        </w:r>
        <w:r w:rsidR="001E49BE">
          <w:rPr>
            <w:noProof/>
            <w:webHidden/>
          </w:rPr>
          <w:instrText xml:space="preserve"> PAGEREF _Toc82592757 \h </w:instrText>
        </w:r>
        <w:r w:rsidR="001E49BE">
          <w:rPr>
            <w:noProof/>
            <w:webHidden/>
          </w:rPr>
        </w:r>
        <w:r w:rsidR="001E49BE">
          <w:rPr>
            <w:noProof/>
            <w:webHidden/>
          </w:rPr>
          <w:fldChar w:fldCharType="separate"/>
        </w:r>
        <w:r w:rsidR="001E49BE">
          <w:rPr>
            <w:noProof/>
            <w:webHidden/>
          </w:rPr>
          <w:t>58</w:t>
        </w:r>
        <w:r w:rsidR="001E49BE">
          <w:rPr>
            <w:noProof/>
            <w:webHidden/>
          </w:rPr>
          <w:fldChar w:fldCharType="end"/>
        </w:r>
      </w:hyperlink>
    </w:p>
    <w:p w14:paraId="38DAFD6E" w14:textId="233270E8" w:rsidR="001E49BE" w:rsidRDefault="00000000">
      <w:pPr>
        <w:pStyle w:val="TOC2"/>
        <w:tabs>
          <w:tab w:val="left" w:pos="960"/>
          <w:tab w:val="right" w:leader="dot" w:pos="9350"/>
        </w:tabs>
        <w:rPr>
          <w:rFonts w:asciiTheme="minorHAnsi" w:eastAsiaTheme="minorEastAsia" w:hAnsiTheme="minorHAnsi" w:cstheme="minorBidi"/>
          <w:noProof/>
        </w:rPr>
      </w:pPr>
      <w:hyperlink w:anchor="_Toc82592758" w:history="1">
        <w:r w:rsidR="001E49BE" w:rsidRPr="00031D30">
          <w:rPr>
            <w:rStyle w:val="Hyperlink"/>
            <w:noProof/>
          </w:rPr>
          <w:t>8.7</w:t>
        </w:r>
        <w:r w:rsidR="001E49BE">
          <w:rPr>
            <w:rFonts w:asciiTheme="minorHAnsi" w:eastAsiaTheme="minorEastAsia" w:hAnsiTheme="minorHAnsi" w:cstheme="minorBidi"/>
            <w:noProof/>
          </w:rPr>
          <w:tab/>
        </w:r>
        <w:r w:rsidR="001E49BE" w:rsidRPr="00031D30">
          <w:rPr>
            <w:rStyle w:val="Hyperlink"/>
            <w:noProof/>
          </w:rPr>
          <w:t>Calibration approach: Probabilistic distributions for model parameters</w:t>
        </w:r>
        <w:r w:rsidR="001E49BE">
          <w:rPr>
            <w:noProof/>
            <w:webHidden/>
          </w:rPr>
          <w:tab/>
        </w:r>
        <w:r w:rsidR="001E49BE">
          <w:rPr>
            <w:noProof/>
            <w:webHidden/>
          </w:rPr>
          <w:fldChar w:fldCharType="begin"/>
        </w:r>
        <w:r w:rsidR="001E49BE">
          <w:rPr>
            <w:noProof/>
            <w:webHidden/>
          </w:rPr>
          <w:instrText xml:space="preserve"> PAGEREF _Toc82592758 \h </w:instrText>
        </w:r>
        <w:r w:rsidR="001E49BE">
          <w:rPr>
            <w:noProof/>
            <w:webHidden/>
          </w:rPr>
        </w:r>
        <w:r w:rsidR="001E49BE">
          <w:rPr>
            <w:noProof/>
            <w:webHidden/>
          </w:rPr>
          <w:fldChar w:fldCharType="separate"/>
        </w:r>
        <w:r w:rsidR="001E49BE">
          <w:rPr>
            <w:noProof/>
            <w:webHidden/>
          </w:rPr>
          <w:t>58</w:t>
        </w:r>
        <w:r w:rsidR="001E49BE">
          <w:rPr>
            <w:noProof/>
            <w:webHidden/>
          </w:rPr>
          <w:fldChar w:fldCharType="end"/>
        </w:r>
      </w:hyperlink>
    </w:p>
    <w:p w14:paraId="44394325" w14:textId="7104BAF2" w:rsidR="001E49BE" w:rsidRDefault="00000000">
      <w:pPr>
        <w:pStyle w:val="TOC1"/>
        <w:tabs>
          <w:tab w:val="left" w:pos="480"/>
          <w:tab w:val="right" w:leader="dot" w:pos="9350"/>
        </w:tabs>
        <w:rPr>
          <w:rFonts w:asciiTheme="minorHAnsi" w:eastAsiaTheme="minorEastAsia" w:hAnsiTheme="minorHAnsi" w:cstheme="minorBidi"/>
          <w:noProof/>
        </w:rPr>
      </w:pPr>
      <w:hyperlink w:anchor="_Toc82592759" w:history="1">
        <w:r w:rsidR="001E49BE" w:rsidRPr="00031D30">
          <w:rPr>
            <w:rStyle w:val="Hyperlink"/>
            <w:noProof/>
          </w:rPr>
          <w:t>9</w:t>
        </w:r>
        <w:r w:rsidR="001E49BE">
          <w:rPr>
            <w:rFonts w:asciiTheme="minorHAnsi" w:eastAsiaTheme="minorEastAsia" w:hAnsiTheme="minorHAnsi" w:cstheme="minorBidi"/>
            <w:noProof/>
          </w:rPr>
          <w:tab/>
        </w:r>
        <w:r w:rsidR="001E49BE" w:rsidRPr="00031D30">
          <w:rPr>
            <w:rStyle w:val="Hyperlink"/>
            <w:noProof/>
          </w:rPr>
          <w:t>Implementation (in R)</w:t>
        </w:r>
        <w:r w:rsidR="001E49BE">
          <w:rPr>
            <w:noProof/>
            <w:webHidden/>
          </w:rPr>
          <w:tab/>
        </w:r>
        <w:r w:rsidR="001E49BE">
          <w:rPr>
            <w:noProof/>
            <w:webHidden/>
          </w:rPr>
          <w:fldChar w:fldCharType="begin"/>
        </w:r>
        <w:r w:rsidR="001E49BE">
          <w:rPr>
            <w:noProof/>
            <w:webHidden/>
          </w:rPr>
          <w:instrText xml:space="preserve"> PAGEREF _Toc82592759 \h </w:instrText>
        </w:r>
        <w:r w:rsidR="001E49BE">
          <w:rPr>
            <w:noProof/>
            <w:webHidden/>
          </w:rPr>
        </w:r>
        <w:r w:rsidR="001E49BE">
          <w:rPr>
            <w:noProof/>
            <w:webHidden/>
          </w:rPr>
          <w:fldChar w:fldCharType="separate"/>
        </w:r>
        <w:r w:rsidR="001E49BE">
          <w:rPr>
            <w:noProof/>
            <w:webHidden/>
          </w:rPr>
          <w:t>65</w:t>
        </w:r>
        <w:r w:rsidR="001E49BE">
          <w:rPr>
            <w:noProof/>
            <w:webHidden/>
          </w:rPr>
          <w:fldChar w:fldCharType="end"/>
        </w:r>
      </w:hyperlink>
    </w:p>
    <w:p w14:paraId="63D1C8A4" w14:textId="18059658" w:rsidR="001E49BE" w:rsidRDefault="00000000">
      <w:pPr>
        <w:pStyle w:val="TOC1"/>
        <w:tabs>
          <w:tab w:val="left" w:pos="720"/>
          <w:tab w:val="right" w:leader="dot" w:pos="9350"/>
        </w:tabs>
        <w:rPr>
          <w:rFonts w:asciiTheme="minorHAnsi" w:eastAsiaTheme="minorEastAsia" w:hAnsiTheme="minorHAnsi" w:cstheme="minorBidi"/>
          <w:noProof/>
        </w:rPr>
      </w:pPr>
      <w:hyperlink w:anchor="_Toc82592760" w:history="1">
        <w:r w:rsidR="001E49BE" w:rsidRPr="00031D30">
          <w:rPr>
            <w:rStyle w:val="Hyperlink"/>
            <w:noProof/>
          </w:rPr>
          <w:t>10</w:t>
        </w:r>
        <w:r w:rsidR="001E49BE">
          <w:rPr>
            <w:rFonts w:asciiTheme="minorHAnsi" w:eastAsiaTheme="minorEastAsia" w:hAnsiTheme="minorHAnsi" w:cstheme="minorBidi"/>
            <w:noProof/>
          </w:rPr>
          <w:tab/>
        </w:r>
        <w:r w:rsidR="001E49BE" w:rsidRPr="00031D30">
          <w:rPr>
            <w:rStyle w:val="Hyperlink"/>
            <w:noProof/>
          </w:rPr>
          <w:t>References</w:t>
        </w:r>
        <w:r w:rsidR="001E49BE">
          <w:rPr>
            <w:noProof/>
            <w:webHidden/>
          </w:rPr>
          <w:tab/>
        </w:r>
        <w:r w:rsidR="001E49BE">
          <w:rPr>
            <w:noProof/>
            <w:webHidden/>
          </w:rPr>
          <w:fldChar w:fldCharType="begin"/>
        </w:r>
        <w:r w:rsidR="001E49BE">
          <w:rPr>
            <w:noProof/>
            <w:webHidden/>
          </w:rPr>
          <w:instrText xml:space="preserve"> PAGEREF _Toc82592760 \h </w:instrText>
        </w:r>
        <w:r w:rsidR="001E49BE">
          <w:rPr>
            <w:noProof/>
            <w:webHidden/>
          </w:rPr>
        </w:r>
        <w:r w:rsidR="001E49BE">
          <w:rPr>
            <w:noProof/>
            <w:webHidden/>
          </w:rPr>
          <w:fldChar w:fldCharType="separate"/>
        </w:r>
        <w:r w:rsidR="001E49BE">
          <w:rPr>
            <w:noProof/>
            <w:webHidden/>
          </w:rPr>
          <w:t>95</w:t>
        </w:r>
        <w:r w:rsidR="001E49BE">
          <w:rPr>
            <w:noProof/>
            <w:webHidden/>
          </w:rPr>
          <w:fldChar w:fldCharType="end"/>
        </w:r>
      </w:hyperlink>
    </w:p>
    <w:p w14:paraId="020B327E" w14:textId="657E6671" w:rsidR="001E49BE" w:rsidRDefault="00000000">
      <w:pPr>
        <w:pStyle w:val="TOC1"/>
        <w:tabs>
          <w:tab w:val="left" w:pos="720"/>
          <w:tab w:val="right" w:leader="dot" w:pos="9350"/>
        </w:tabs>
        <w:rPr>
          <w:rFonts w:asciiTheme="minorHAnsi" w:eastAsiaTheme="minorEastAsia" w:hAnsiTheme="minorHAnsi" w:cstheme="minorBidi"/>
          <w:noProof/>
        </w:rPr>
      </w:pPr>
      <w:hyperlink w:anchor="_Toc82592761" w:history="1">
        <w:r w:rsidR="001E49BE" w:rsidRPr="00031D30">
          <w:rPr>
            <w:rStyle w:val="Hyperlink"/>
            <w:noProof/>
          </w:rPr>
          <w:t>11</w:t>
        </w:r>
        <w:r w:rsidR="001E49BE">
          <w:rPr>
            <w:rFonts w:asciiTheme="minorHAnsi" w:eastAsiaTheme="minorEastAsia" w:hAnsiTheme="minorHAnsi" w:cstheme="minorBidi"/>
            <w:noProof/>
          </w:rPr>
          <w:tab/>
        </w:r>
        <w:r w:rsidR="001E49BE" w:rsidRPr="00031D30">
          <w:rPr>
            <w:rStyle w:val="Hyperlink"/>
            <w:noProof/>
          </w:rPr>
          <w:t>Appendix A</w:t>
        </w:r>
        <w:r w:rsidR="001E49BE">
          <w:rPr>
            <w:noProof/>
            <w:webHidden/>
          </w:rPr>
          <w:tab/>
        </w:r>
        <w:r w:rsidR="001E49BE">
          <w:rPr>
            <w:noProof/>
            <w:webHidden/>
          </w:rPr>
          <w:fldChar w:fldCharType="begin"/>
        </w:r>
        <w:r w:rsidR="001E49BE">
          <w:rPr>
            <w:noProof/>
            <w:webHidden/>
          </w:rPr>
          <w:instrText xml:space="preserve"> PAGEREF _Toc82592761 \h </w:instrText>
        </w:r>
        <w:r w:rsidR="001E49BE">
          <w:rPr>
            <w:noProof/>
            <w:webHidden/>
          </w:rPr>
        </w:r>
        <w:r w:rsidR="001E49BE">
          <w:rPr>
            <w:noProof/>
            <w:webHidden/>
          </w:rPr>
          <w:fldChar w:fldCharType="separate"/>
        </w:r>
        <w:r w:rsidR="001E49BE">
          <w:rPr>
            <w:noProof/>
            <w:webHidden/>
          </w:rPr>
          <w:t>100</w:t>
        </w:r>
        <w:r w:rsidR="001E49BE">
          <w:rPr>
            <w:noProof/>
            <w:webHidden/>
          </w:rPr>
          <w:fldChar w:fldCharType="end"/>
        </w:r>
      </w:hyperlink>
    </w:p>
    <w:p w14:paraId="029CC95E" w14:textId="6941C9A6" w:rsidR="001E49BE" w:rsidRDefault="00000000">
      <w:pPr>
        <w:pStyle w:val="TOC2"/>
        <w:tabs>
          <w:tab w:val="left" w:pos="960"/>
          <w:tab w:val="right" w:leader="dot" w:pos="9350"/>
        </w:tabs>
        <w:rPr>
          <w:rFonts w:asciiTheme="minorHAnsi" w:eastAsiaTheme="minorEastAsia" w:hAnsiTheme="minorHAnsi" w:cstheme="minorBidi"/>
          <w:noProof/>
        </w:rPr>
      </w:pPr>
      <w:hyperlink w:anchor="_Toc82592762" w:history="1">
        <w:r w:rsidR="001E49BE" w:rsidRPr="00031D30">
          <w:rPr>
            <w:rStyle w:val="Hyperlink"/>
            <w:noProof/>
          </w:rPr>
          <w:t>11.1</w:t>
        </w:r>
        <w:r w:rsidR="001E49BE">
          <w:rPr>
            <w:rFonts w:asciiTheme="minorHAnsi" w:eastAsiaTheme="minorEastAsia" w:hAnsiTheme="minorHAnsi" w:cstheme="minorBidi"/>
            <w:noProof/>
          </w:rPr>
          <w:tab/>
        </w:r>
        <w:r w:rsidR="001E49BE" w:rsidRPr="00031D30">
          <w:rPr>
            <w:rStyle w:val="Hyperlink"/>
            <w:noProof/>
          </w:rPr>
          <w:t>Datasets</w:t>
        </w:r>
        <w:r w:rsidR="001E49BE">
          <w:rPr>
            <w:noProof/>
            <w:webHidden/>
          </w:rPr>
          <w:tab/>
        </w:r>
        <w:r w:rsidR="001E49BE">
          <w:rPr>
            <w:noProof/>
            <w:webHidden/>
          </w:rPr>
          <w:fldChar w:fldCharType="begin"/>
        </w:r>
        <w:r w:rsidR="001E49BE">
          <w:rPr>
            <w:noProof/>
            <w:webHidden/>
          </w:rPr>
          <w:instrText xml:space="preserve"> PAGEREF _Toc82592762 \h </w:instrText>
        </w:r>
        <w:r w:rsidR="001E49BE">
          <w:rPr>
            <w:noProof/>
            <w:webHidden/>
          </w:rPr>
        </w:r>
        <w:r w:rsidR="001E49BE">
          <w:rPr>
            <w:noProof/>
            <w:webHidden/>
          </w:rPr>
          <w:fldChar w:fldCharType="separate"/>
        </w:r>
        <w:r w:rsidR="001E49BE">
          <w:rPr>
            <w:noProof/>
            <w:webHidden/>
          </w:rPr>
          <w:t>100</w:t>
        </w:r>
        <w:r w:rsidR="001E49BE">
          <w:rPr>
            <w:noProof/>
            <w:webHidden/>
          </w:rPr>
          <w:fldChar w:fldCharType="end"/>
        </w:r>
      </w:hyperlink>
    </w:p>
    <w:p w14:paraId="53E5DA77" w14:textId="32E0757A" w:rsidR="001E49BE" w:rsidRDefault="00000000">
      <w:pPr>
        <w:pStyle w:val="TOC2"/>
        <w:tabs>
          <w:tab w:val="left" w:pos="960"/>
          <w:tab w:val="right" w:leader="dot" w:pos="9350"/>
        </w:tabs>
        <w:rPr>
          <w:rFonts w:asciiTheme="minorHAnsi" w:eastAsiaTheme="minorEastAsia" w:hAnsiTheme="minorHAnsi" w:cstheme="minorBidi"/>
          <w:noProof/>
        </w:rPr>
      </w:pPr>
      <w:hyperlink w:anchor="_Toc82592763" w:history="1">
        <w:r w:rsidR="001E49BE" w:rsidRPr="00031D30">
          <w:rPr>
            <w:rStyle w:val="Hyperlink"/>
            <w:noProof/>
          </w:rPr>
          <w:t>11.2</w:t>
        </w:r>
        <w:r w:rsidR="001E49BE">
          <w:rPr>
            <w:rFonts w:asciiTheme="minorHAnsi" w:eastAsiaTheme="minorEastAsia" w:hAnsiTheme="minorHAnsi" w:cstheme="minorBidi"/>
            <w:noProof/>
          </w:rPr>
          <w:tab/>
        </w:r>
        <w:r w:rsidR="001E49BE" w:rsidRPr="00031D30">
          <w:rPr>
            <w:rStyle w:val="Hyperlink"/>
            <w:noProof/>
            <w:highlight w:val="yellow"/>
          </w:rPr>
          <w:t>Codes to derive parameter inputs</w:t>
        </w:r>
        <w:r w:rsidR="001E49BE">
          <w:rPr>
            <w:noProof/>
            <w:webHidden/>
          </w:rPr>
          <w:tab/>
        </w:r>
        <w:r w:rsidR="001E49BE">
          <w:rPr>
            <w:noProof/>
            <w:webHidden/>
          </w:rPr>
          <w:fldChar w:fldCharType="begin"/>
        </w:r>
        <w:r w:rsidR="001E49BE">
          <w:rPr>
            <w:noProof/>
            <w:webHidden/>
          </w:rPr>
          <w:instrText xml:space="preserve"> PAGEREF _Toc82592763 \h </w:instrText>
        </w:r>
        <w:r w:rsidR="001E49BE">
          <w:rPr>
            <w:noProof/>
            <w:webHidden/>
          </w:rPr>
        </w:r>
        <w:r w:rsidR="001E49BE">
          <w:rPr>
            <w:noProof/>
            <w:webHidden/>
          </w:rPr>
          <w:fldChar w:fldCharType="separate"/>
        </w:r>
        <w:r w:rsidR="001E49BE">
          <w:rPr>
            <w:noProof/>
            <w:webHidden/>
          </w:rPr>
          <w:t>100</w:t>
        </w:r>
        <w:r w:rsidR="001E49BE">
          <w:rPr>
            <w:noProof/>
            <w:webHidden/>
          </w:rPr>
          <w:fldChar w:fldCharType="end"/>
        </w:r>
      </w:hyperlink>
    </w:p>
    <w:p w14:paraId="33FAE45D" w14:textId="1D1BDDC7" w:rsidR="001E49BE" w:rsidRDefault="00000000">
      <w:pPr>
        <w:pStyle w:val="TOC2"/>
        <w:tabs>
          <w:tab w:val="left" w:pos="960"/>
          <w:tab w:val="right" w:leader="dot" w:pos="9350"/>
        </w:tabs>
        <w:rPr>
          <w:rFonts w:asciiTheme="minorHAnsi" w:eastAsiaTheme="minorEastAsia" w:hAnsiTheme="minorHAnsi" w:cstheme="minorBidi"/>
          <w:noProof/>
        </w:rPr>
      </w:pPr>
      <w:hyperlink w:anchor="_Toc82592764" w:history="1">
        <w:r w:rsidR="001E49BE" w:rsidRPr="00031D30">
          <w:rPr>
            <w:rStyle w:val="Hyperlink"/>
            <w:noProof/>
          </w:rPr>
          <w:t>11.3</w:t>
        </w:r>
        <w:r w:rsidR="001E49BE">
          <w:rPr>
            <w:rFonts w:asciiTheme="minorHAnsi" w:eastAsiaTheme="minorEastAsia" w:hAnsiTheme="minorHAnsi" w:cstheme="minorBidi"/>
            <w:noProof/>
          </w:rPr>
          <w:tab/>
        </w:r>
        <w:r w:rsidR="001E49BE" w:rsidRPr="00031D30">
          <w:rPr>
            <w:rStyle w:val="Hyperlink"/>
            <w:noProof/>
          </w:rPr>
          <w:t>System of Differential Equations</w:t>
        </w:r>
        <w:r w:rsidR="001E49BE">
          <w:rPr>
            <w:noProof/>
            <w:webHidden/>
          </w:rPr>
          <w:tab/>
        </w:r>
        <w:r w:rsidR="001E49BE">
          <w:rPr>
            <w:noProof/>
            <w:webHidden/>
          </w:rPr>
          <w:fldChar w:fldCharType="begin"/>
        </w:r>
        <w:r w:rsidR="001E49BE">
          <w:rPr>
            <w:noProof/>
            <w:webHidden/>
          </w:rPr>
          <w:instrText xml:space="preserve"> PAGEREF _Toc82592764 \h </w:instrText>
        </w:r>
        <w:r w:rsidR="001E49BE">
          <w:rPr>
            <w:noProof/>
            <w:webHidden/>
          </w:rPr>
        </w:r>
        <w:r w:rsidR="001E49BE">
          <w:rPr>
            <w:noProof/>
            <w:webHidden/>
          </w:rPr>
          <w:fldChar w:fldCharType="separate"/>
        </w:r>
        <w:r w:rsidR="001E49BE">
          <w:rPr>
            <w:noProof/>
            <w:webHidden/>
          </w:rPr>
          <w:t>100</w:t>
        </w:r>
        <w:r w:rsidR="001E49BE">
          <w:rPr>
            <w:noProof/>
            <w:webHidden/>
          </w:rPr>
          <w:fldChar w:fldCharType="end"/>
        </w:r>
      </w:hyperlink>
    </w:p>
    <w:p w14:paraId="3B178D84" w14:textId="52DF4917" w:rsidR="001E49BE" w:rsidRDefault="00000000">
      <w:pPr>
        <w:pStyle w:val="TOC2"/>
        <w:tabs>
          <w:tab w:val="left" w:pos="960"/>
          <w:tab w:val="right" w:leader="dot" w:pos="9350"/>
        </w:tabs>
        <w:rPr>
          <w:rFonts w:asciiTheme="minorHAnsi" w:eastAsiaTheme="minorEastAsia" w:hAnsiTheme="minorHAnsi" w:cstheme="minorBidi"/>
          <w:noProof/>
        </w:rPr>
      </w:pPr>
      <w:hyperlink w:anchor="_Toc82592765" w:history="1">
        <w:r w:rsidR="001E49BE" w:rsidRPr="00031D30">
          <w:rPr>
            <w:rStyle w:val="Hyperlink"/>
            <w:noProof/>
          </w:rPr>
          <w:t>11.4</w:t>
        </w:r>
        <w:r w:rsidR="001E49BE">
          <w:rPr>
            <w:rFonts w:asciiTheme="minorHAnsi" w:eastAsiaTheme="minorEastAsia" w:hAnsiTheme="minorHAnsi" w:cstheme="minorBidi"/>
            <w:noProof/>
          </w:rPr>
          <w:tab/>
        </w:r>
        <w:r w:rsidR="001E49BE" w:rsidRPr="00031D30">
          <w:rPr>
            <w:rStyle w:val="Hyperlink"/>
            <w:noProof/>
          </w:rPr>
          <w:t>Methods to estimate CD4 strata and time-at-risk patient living with HIV</w:t>
        </w:r>
        <w:r w:rsidR="001E49BE">
          <w:rPr>
            <w:noProof/>
            <w:webHidden/>
          </w:rPr>
          <w:tab/>
        </w:r>
        <w:r w:rsidR="001E49BE">
          <w:rPr>
            <w:noProof/>
            <w:webHidden/>
          </w:rPr>
          <w:fldChar w:fldCharType="begin"/>
        </w:r>
        <w:r w:rsidR="001E49BE">
          <w:rPr>
            <w:noProof/>
            <w:webHidden/>
          </w:rPr>
          <w:instrText xml:space="preserve"> PAGEREF _Toc82592765 \h </w:instrText>
        </w:r>
        <w:r w:rsidR="001E49BE">
          <w:rPr>
            <w:noProof/>
            <w:webHidden/>
          </w:rPr>
        </w:r>
        <w:r w:rsidR="001E49BE">
          <w:rPr>
            <w:noProof/>
            <w:webHidden/>
          </w:rPr>
          <w:fldChar w:fldCharType="separate"/>
        </w:r>
        <w:r w:rsidR="001E49BE">
          <w:rPr>
            <w:noProof/>
            <w:webHidden/>
          </w:rPr>
          <w:t>102</w:t>
        </w:r>
        <w:r w:rsidR="001E49BE">
          <w:rPr>
            <w:noProof/>
            <w:webHidden/>
          </w:rPr>
          <w:fldChar w:fldCharType="end"/>
        </w:r>
      </w:hyperlink>
    </w:p>
    <w:p w14:paraId="119CD09B" w14:textId="5AC9F4F7" w:rsidR="001E49BE" w:rsidRDefault="00000000">
      <w:pPr>
        <w:pStyle w:val="TOC2"/>
        <w:tabs>
          <w:tab w:val="left" w:pos="960"/>
          <w:tab w:val="right" w:leader="dot" w:pos="9350"/>
        </w:tabs>
        <w:rPr>
          <w:rFonts w:asciiTheme="minorHAnsi" w:eastAsiaTheme="minorEastAsia" w:hAnsiTheme="minorHAnsi" w:cstheme="minorBidi"/>
          <w:noProof/>
        </w:rPr>
      </w:pPr>
      <w:hyperlink w:anchor="_Toc82592766" w:history="1">
        <w:r w:rsidR="001E49BE" w:rsidRPr="00031D30">
          <w:rPr>
            <w:rStyle w:val="Hyperlink"/>
            <w:noProof/>
          </w:rPr>
          <w:t>11.5</w:t>
        </w:r>
        <w:r w:rsidR="001E49BE">
          <w:rPr>
            <w:rFonts w:asciiTheme="minorHAnsi" w:eastAsiaTheme="minorEastAsia" w:hAnsiTheme="minorHAnsi" w:cstheme="minorBidi"/>
            <w:noProof/>
          </w:rPr>
          <w:tab/>
        </w:r>
        <w:r w:rsidR="001E49BE" w:rsidRPr="00031D30">
          <w:rPr>
            <w:rStyle w:val="Hyperlink"/>
            <w:noProof/>
          </w:rPr>
          <w:t>Average monthly population growth rate, by sub-population</w:t>
        </w:r>
        <w:r w:rsidR="001E49BE" w:rsidRPr="00031D30">
          <w:rPr>
            <w:rStyle w:val="Hyperlink"/>
            <w:noProof/>
            <w:vertAlign w:val="superscript"/>
          </w:rPr>
          <w:t>a</w:t>
        </w:r>
        <w:r w:rsidR="001E49BE">
          <w:rPr>
            <w:noProof/>
            <w:webHidden/>
          </w:rPr>
          <w:tab/>
        </w:r>
        <w:r w:rsidR="001E49BE">
          <w:rPr>
            <w:noProof/>
            <w:webHidden/>
          </w:rPr>
          <w:fldChar w:fldCharType="begin"/>
        </w:r>
        <w:r w:rsidR="001E49BE">
          <w:rPr>
            <w:noProof/>
            <w:webHidden/>
          </w:rPr>
          <w:instrText xml:space="preserve"> PAGEREF _Toc82592766 \h </w:instrText>
        </w:r>
        <w:r w:rsidR="001E49BE">
          <w:rPr>
            <w:noProof/>
            <w:webHidden/>
          </w:rPr>
        </w:r>
        <w:r w:rsidR="001E49BE">
          <w:rPr>
            <w:noProof/>
            <w:webHidden/>
          </w:rPr>
          <w:fldChar w:fldCharType="separate"/>
        </w:r>
        <w:r w:rsidR="001E49BE">
          <w:rPr>
            <w:noProof/>
            <w:webHidden/>
          </w:rPr>
          <w:t>103</w:t>
        </w:r>
        <w:r w:rsidR="001E49BE">
          <w:rPr>
            <w:noProof/>
            <w:webHidden/>
          </w:rPr>
          <w:fldChar w:fldCharType="end"/>
        </w:r>
      </w:hyperlink>
    </w:p>
    <w:p w14:paraId="47FB8102" w14:textId="3736BD1C" w:rsidR="001E49BE" w:rsidRDefault="00000000">
      <w:pPr>
        <w:pStyle w:val="TOC2"/>
        <w:tabs>
          <w:tab w:val="left" w:pos="960"/>
          <w:tab w:val="right" w:leader="dot" w:pos="9350"/>
        </w:tabs>
        <w:rPr>
          <w:rFonts w:asciiTheme="minorHAnsi" w:eastAsiaTheme="minorEastAsia" w:hAnsiTheme="minorHAnsi" w:cstheme="minorBidi"/>
          <w:noProof/>
        </w:rPr>
      </w:pPr>
      <w:hyperlink w:anchor="_Toc82592767" w:history="1">
        <w:r w:rsidR="001E49BE" w:rsidRPr="00031D30">
          <w:rPr>
            <w:rStyle w:val="Hyperlink"/>
            <w:noProof/>
          </w:rPr>
          <w:t>11.6</w:t>
        </w:r>
        <w:r w:rsidR="001E49BE">
          <w:rPr>
            <w:rFonts w:asciiTheme="minorHAnsi" w:eastAsiaTheme="minorEastAsia" w:hAnsiTheme="minorHAnsi" w:cstheme="minorBidi"/>
            <w:noProof/>
          </w:rPr>
          <w:tab/>
        </w:r>
        <w:r w:rsidR="001E49BE" w:rsidRPr="00031D30">
          <w:rPr>
            <w:rStyle w:val="Hyperlink"/>
            <w:noProof/>
          </w:rPr>
          <w:t>Comparing different for measuring the goodness of fit in the calibration process.</w:t>
        </w:r>
        <w:r w:rsidR="001E49BE">
          <w:rPr>
            <w:noProof/>
            <w:webHidden/>
          </w:rPr>
          <w:tab/>
        </w:r>
        <w:r w:rsidR="001E49BE">
          <w:rPr>
            <w:noProof/>
            <w:webHidden/>
          </w:rPr>
          <w:fldChar w:fldCharType="begin"/>
        </w:r>
        <w:r w:rsidR="001E49BE">
          <w:rPr>
            <w:noProof/>
            <w:webHidden/>
          </w:rPr>
          <w:instrText xml:space="preserve"> PAGEREF _Toc82592767 \h </w:instrText>
        </w:r>
        <w:r w:rsidR="001E49BE">
          <w:rPr>
            <w:noProof/>
            <w:webHidden/>
          </w:rPr>
        </w:r>
        <w:r w:rsidR="001E49BE">
          <w:rPr>
            <w:noProof/>
            <w:webHidden/>
          </w:rPr>
          <w:fldChar w:fldCharType="separate"/>
        </w:r>
        <w:r w:rsidR="001E49BE">
          <w:rPr>
            <w:noProof/>
            <w:webHidden/>
          </w:rPr>
          <w:t>104</w:t>
        </w:r>
        <w:r w:rsidR="001E49BE">
          <w:rPr>
            <w:noProof/>
            <w:webHidden/>
          </w:rPr>
          <w:fldChar w:fldCharType="end"/>
        </w:r>
      </w:hyperlink>
    </w:p>
    <w:p w14:paraId="1690F422" w14:textId="1DEADCFA" w:rsidR="001E49BE" w:rsidRDefault="00000000">
      <w:pPr>
        <w:pStyle w:val="TOC2"/>
        <w:tabs>
          <w:tab w:val="left" w:pos="960"/>
          <w:tab w:val="right" w:leader="dot" w:pos="9350"/>
        </w:tabs>
        <w:rPr>
          <w:rFonts w:asciiTheme="minorHAnsi" w:eastAsiaTheme="minorEastAsia" w:hAnsiTheme="minorHAnsi" w:cstheme="minorBidi"/>
          <w:noProof/>
        </w:rPr>
      </w:pPr>
      <w:hyperlink w:anchor="_Toc82592768" w:history="1">
        <w:r w:rsidR="001E49BE" w:rsidRPr="00031D30">
          <w:rPr>
            <w:rStyle w:val="Hyperlink"/>
            <w:noProof/>
          </w:rPr>
          <w:t>11.7</w:t>
        </w:r>
        <w:r w:rsidR="001E49BE">
          <w:rPr>
            <w:rFonts w:asciiTheme="minorHAnsi" w:eastAsiaTheme="minorEastAsia" w:hAnsiTheme="minorHAnsi" w:cstheme="minorBidi"/>
            <w:noProof/>
          </w:rPr>
          <w:tab/>
        </w:r>
        <w:r w:rsidR="001E49BE" w:rsidRPr="00031D30">
          <w:rPr>
            <w:rStyle w:val="Hyperlink"/>
            <w:noProof/>
          </w:rPr>
          <w:t>Methods for searching for parameters.</w:t>
        </w:r>
        <w:r w:rsidR="001E49BE">
          <w:rPr>
            <w:noProof/>
            <w:webHidden/>
          </w:rPr>
          <w:tab/>
        </w:r>
        <w:r w:rsidR="001E49BE">
          <w:rPr>
            <w:noProof/>
            <w:webHidden/>
          </w:rPr>
          <w:fldChar w:fldCharType="begin"/>
        </w:r>
        <w:r w:rsidR="001E49BE">
          <w:rPr>
            <w:noProof/>
            <w:webHidden/>
          </w:rPr>
          <w:instrText xml:space="preserve"> PAGEREF _Toc82592768 \h </w:instrText>
        </w:r>
        <w:r w:rsidR="001E49BE">
          <w:rPr>
            <w:noProof/>
            <w:webHidden/>
          </w:rPr>
        </w:r>
        <w:r w:rsidR="001E49BE">
          <w:rPr>
            <w:noProof/>
            <w:webHidden/>
          </w:rPr>
          <w:fldChar w:fldCharType="separate"/>
        </w:r>
        <w:r w:rsidR="001E49BE">
          <w:rPr>
            <w:noProof/>
            <w:webHidden/>
          </w:rPr>
          <w:t>110</w:t>
        </w:r>
        <w:r w:rsidR="001E49BE">
          <w:rPr>
            <w:noProof/>
            <w:webHidden/>
          </w:rPr>
          <w:fldChar w:fldCharType="end"/>
        </w:r>
      </w:hyperlink>
    </w:p>
    <w:p w14:paraId="51F27DFD" w14:textId="329E9A34" w:rsidR="001E49BE" w:rsidRDefault="00000000">
      <w:pPr>
        <w:pStyle w:val="TOC2"/>
        <w:tabs>
          <w:tab w:val="left" w:pos="960"/>
          <w:tab w:val="right" w:leader="dot" w:pos="9350"/>
        </w:tabs>
        <w:rPr>
          <w:rFonts w:asciiTheme="minorHAnsi" w:eastAsiaTheme="minorEastAsia" w:hAnsiTheme="minorHAnsi" w:cstheme="minorBidi"/>
          <w:noProof/>
        </w:rPr>
      </w:pPr>
      <w:hyperlink w:anchor="_Toc82592769" w:history="1">
        <w:r w:rsidR="001E49BE" w:rsidRPr="00031D30">
          <w:rPr>
            <w:rStyle w:val="Hyperlink"/>
            <w:noProof/>
          </w:rPr>
          <w:t>11.8</w:t>
        </w:r>
        <w:r w:rsidR="001E49BE">
          <w:rPr>
            <w:rFonts w:asciiTheme="minorHAnsi" w:eastAsiaTheme="minorEastAsia" w:hAnsiTheme="minorHAnsi" w:cstheme="minorBidi"/>
            <w:noProof/>
          </w:rPr>
          <w:tab/>
        </w:r>
        <w:r w:rsidR="001E49BE" w:rsidRPr="00031D30">
          <w:rPr>
            <w:rStyle w:val="Hyperlink"/>
            <w:noProof/>
          </w:rPr>
          <w:t>Probabilistic distribution assigned to model parameters</w:t>
        </w:r>
        <w:r w:rsidR="001E49BE">
          <w:rPr>
            <w:noProof/>
            <w:webHidden/>
          </w:rPr>
          <w:tab/>
        </w:r>
        <w:r w:rsidR="001E49BE">
          <w:rPr>
            <w:noProof/>
            <w:webHidden/>
          </w:rPr>
          <w:fldChar w:fldCharType="begin"/>
        </w:r>
        <w:r w:rsidR="001E49BE">
          <w:rPr>
            <w:noProof/>
            <w:webHidden/>
          </w:rPr>
          <w:instrText xml:space="preserve"> PAGEREF _Toc82592769 \h </w:instrText>
        </w:r>
        <w:r w:rsidR="001E49BE">
          <w:rPr>
            <w:noProof/>
            <w:webHidden/>
          </w:rPr>
        </w:r>
        <w:r w:rsidR="001E49BE">
          <w:rPr>
            <w:noProof/>
            <w:webHidden/>
          </w:rPr>
          <w:fldChar w:fldCharType="separate"/>
        </w:r>
        <w:r w:rsidR="001E49BE">
          <w:rPr>
            <w:noProof/>
            <w:webHidden/>
          </w:rPr>
          <w:t>117</w:t>
        </w:r>
        <w:r w:rsidR="001E49BE">
          <w:rPr>
            <w:noProof/>
            <w:webHidden/>
          </w:rPr>
          <w:fldChar w:fldCharType="end"/>
        </w:r>
      </w:hyperlink>
    </w:p>
    <w:p w14:paraId="31AC3715" w14:textId="5ED8313E" w:rsidR="00352CE1" w:rsidRDefault="00352CE1" w:rsidP="00122CDD">
      <w:pPr>
        <w:ind w:left="360" w:hanging="360"/>
        <w:jc w:val="both"/>
        <w:rPr>
          <w:bCs/>
        </w:rPr>
      </w:pPr>
      <w:r>
        <w:rPr>
          <w:bCs/>
        </w:rPr>
        <w:fldChar w:fldCharType="end"/>
      </w:r>
    </w:p>
    <w:p w14:paraId="452CA626" w14:textId="77777777" w:rsidR="00352CE1" w:rsidRDefault="00352CE1">
      <w:pPr>
        <w:rPr>
          <w:bCs/>
        </w:rPr>
      </w:pPr>
      <w:r>
        <w:rPr>
          <w:bCs/>
        </w:rPr>
        <w:br w:type="page"/>
      </w:r>
    </w:p>
    <w:p w14:paraId="0ACEA006" w14:textId="3F61296C" w:rsidR="002E52A6" w:rsidRDefault="002E52A6" w:rsidP="00626DD9">
      <w:pPr>
        <w:pStyle w:val="Heading1"/>
        <w:numPr>
          <w:ilvl w:val="0"/>
          <w:numId w:val="0"/>
        </w:numPr>
      </w:pPr>
      <w:bookmarkStart w:id="2" w:name="_Toc82592637"/>
      <w:r w:rsidRPr="002E52A6">
        <w:lastRenderedPageBreak/>
        <w:t xml:space="preserve">List of </w:t>
      </w:r>
      <w:r w:rsidR="00E861FA" w:rsidRPr="002E52A6">
        <w:t>Figures</w:t>
      </w:r>
      <w:bookmarkEnd w:id="2"/>
    </w:p>
    <w:p w14:paraId="0D7EF4E5" w14:textId="183FEE98" w:rsidR="002E52A6" w:rsidRDefault="002E52A6" w:rsidP="002E52A6">
      <w:pPr>
        <w:rPr>
          <w:b/>
          <w:color w:val="000000" w:themeColor="text1"/>
        </w:rPr>
      </w:pPr>
    </w:p>
    <w:p w14:paraId="6B979240" w14:textId="77777777" w:rsidR="001E49BE" w:rsidRPr="00626DD9" w:rsidRDefault="002D6988">
      <w:pPr>
        <w:pStyle w:val="TableofFigures"/>
        <w:tabs>
          <w:tab w:val="right" w:leader="dot" w:pos="9350"/>
        </w:tabs>
        <w:rPr>
          <w:rFonts w:asciiTheme="minorHAnsi" w:eastAsiaTheme="minorEastAsia" w:hAnsiTheme="minorHAnsi" w:cstheme="minorBidi"/>
          <w:bCs/>
          <w:noProof/>
        </w:rPr>
      </w:pPr>
      <w:r w:rsidRPr="00626DD9">
        <w:rPr>
          <w:bCs/>
          <w:color w:val="000000" w:themeColor="text1"/>
        </w:rPr>
        <w:fldChar w:fldCharType="begin"/>
      </w:r>
      <w:r w:rsidRPr="00626DD9">
        <w:rPr>
          <w:bCs/>
          <w:color w:val="000000" w:themeColor="text1"/>
        </w:rPr>
        <w:instrText xml:space="preserve"> TOC \n \p " " \h \z \c "Figure" </w:instrText>
      </w:r>
      <w:r w:rsidRPr="00626DD9">
        <w:rPr>
          <w:bCs/>
          <w:color w:val="000000" w:themeColor="text1"/>
        </w:rPr>
        <w:fldChar w:fldCharType="separate"/>
      </w:r>
      <w:hyperlink w:anchor="_Toc82592770" w:history="1">
        <w:r w:rsidR="001E49BE" w:rsidRPr="00626DD9">
          <w:rPr>
            <w:rStyle w:val="Hyperlink"/>
            <w:noProof/>
          </w:rPr>
          <w:t>Figure 1. Simplified schematic for the CA-IeDEA model</w:t>
        </w:r>
      </w:hyperlink>
    </w:p>
    <w:p w14:paraId="30D2959D" w14:textId="77777777" w:rsidR="001E49BE" w:rsidRPr="00626DD9" w:rsidRDefault="00000000">
      <w:pPr>
        <w:pStyle w:val="TableofFigures"/>
        <w:tabs>
          <w:tab w:val="right" w:leader="dot" w:pos="9350"/>
        </w:tabs>
        <w:rPr>
          <w:rFonts w:asciiTheme="minorHAnsi" w:eastAsiaTheme="minorEastAsia" w:hAnsiTheme="minorHAnsi" w:cstheme="minorBidi"/>
          <w:bCs/>
          <w:noProof/>
        </w:rPr>
      </w:pPr>
      <w:hyperlink w:anchor="_Toc82592771" w:history="1">
        <w:r w:rsidR="001E49BE" w:rsidRPr="00626DD9">
          <w:rPr>
            <w:rStyle w:val="Hyperlink"/>
            <w:noProof/>
          </w:rPr>
          <w:t>Figure 2. Sub-populations and mixing patterns in the CA-IeDEA model</w:t>
        </w:r>
      </w:hyperlink>
    </w:p>
    <w:p w14:paraId="5ED6BB27" w14:textId="5C562045" w:rsidR="00592C48" w:rsidRDefault="002D6988">
      <w:pPr>
        <w:rPr>
          <w:color w:val="000000" w:themeColor="text1"/>
        </w:rPr>
      </w:pPr>
      <w:r w:rsidRPr="00626DD9">
        <w:rPr>
          <w:bCs/>
          <w:color w:val="000000" w:themeColor="text1"/>
        </w:rPr>
        <w:fldChar w:fldCharType="end"/>
      </w:r>
    </w:p>
    <w:p w14:paraId="3932785F" w14:textId="5DBB2D7F" w:rsidR="00592C48" w:rsidRDefault="002E52A6" w:rsidP="00FA0F83">
      <w:pPr>
        <w:pStyle w:val="Heading1"/>
        <w:numPr>
          <w:ilvl w:val="0"/>
          <w:numId w:val="0"/>
        </w:numPr>
        <w:spacing w:before="0"/>
      </w:pPr>
      <w:bookmarkStart w:id="3" w:name="_Toc82592638"/>
      <w:r>
        <w:t xml:space="preserve">List of </w:t>
      </w:r>
      <w:commentRangeStart w:id="4"/>
      <w:commentRangeStart w:id="5"/>
      <w:r w:rsidR="00592C48">
        <w:t>Tables</w:t>
      </w:r>
      <w:commentRangeEnd w:id="4"/>
      <w:r w:rsidR="008E1E92">
        <w:rPr>
          <w:rStyle w:val="CommentReference"/>
        </w:rPr>
        <w:commentReference w:id="4"/>
      </w:r>
      <w:commentRangeEnd w:id="5"/>
      <w:r w:rsidR="00956614">
        <w:rPr>
          <w:rStyle w:val="CommentReference"/>
          <w:rFonts w:eastAsia="Times New Roman" w:cs="Times New Roman"/>
          <w:b w:val="0"/>
          <w:bCs w:val="0"/>
          <w:color w:val="auto"/>
          <w:lang w:eastAsia="zh-CN"/>
        </w:rPr>
        <w:commentReference w:id="5"/>
      </w:r>
      <w:bookmarkEnd w:id="3"/>
    </w:p>
    <w:p w14:paraId="2B9E8DAE" w14:textId="75D581F5" w:rsidR="00592C48" w:rsidRDefault="00592C48">
      <w:pPr>
        <w:rPr>
          <w:color w:val="000000" w:themeColor="text1"/>
        </w:rPr>
      </w:pPr>
    </w:p>
    <w:p w14:paraId="471F0798" w14:textId="77777777" w:rsidR="00626DD9" w:rsidRPr="00626DD9" w:rsidRDefault="00626DD9">
      <w:pPr>
        <w:pStyle w:val="TableofFigures"/>
        <w:tabs>
          <w:tab w:val="right" w:leader="dot" w:pos="9350"/>
        </w:tabs>
        <w:rPr>
          <w:rFonts w:asciiTheme="minorHAnsi" w:eastAsiaTheme="minorEastAsia" w:hAnsiTheme="minorHAnsi" w:cstheme="minorBidi"/>
          <w:noProof/>
        </w:rPr>
      </w:pPr>
      <w:r w:rsidRPr="00626DD9">
        <w:rPr>
          <w:color w:val="000000" w:themeColor="text1"/>
        </w:rPr>
        <w:fldChar w:fldCharType="begin"/>
      </w:r>
      <w:r w:rsidRPr="00626DD9">
        <w:rPr>
          <w:color w:val="000000" w:themeColor="text1"/>
        </w:rPr>
        <w:instrText xml:space="preserve"> TOC \n \h \z \c "Table" </w:instrText>
      </w:r>
      <w:r w:rsidRPr="00626DD9">
        <w:rPr>
          <w:color w:val="000000" w:themeColor="text1"/>
        </w:rPr>
        <w:fldChar w:fldCharType="separate"/>
      </w:r>
      <w:hyperlink w:anchor="_Toc82599260" w:history="1">
        <w:r w:rsidRPr="00626DD9">
          <w:rPr>
            <w:rStyle w:val="Hyperlink"/>
            <w:bCs w:val="0"/>
            <w:noProof/>
          </w:rPr>
          <w:t>Table 1. Model sub-populations: model implementation, justification, and supporting evidence</w:t>
        </w:r>
      </w:hyperlink>
    </w:p>
    <w:p w14:paraId="0C733401"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61" w:history="1">
        <w:r w:rsidR="00626DD9" w:rsidRPr="00626DD9">
          <w:rPr>
            <w:rStyle w:val="Hyperlink"/>
            <w:bCs w:val="0"/>
            <w:noProof/>
          </w:rPr>
          <w:t>Table 2. Model compartments: a legend for the system of equations</w:t>
        </w:r>
      </w:hyperlink>
    </w:p>
    <w:p w14:paraId="3A9EBF6A"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62" w:history="1">
        <w:r w:rsidR="00626DD9" w:rsidRPr="00626DD9">
          <w:rPr>
            <w:rStyle w:val="Hyperlink"/>
            <w:bCs w:val="0"/>
            <w:noProof/>
          </w:rPr>
          <w:t>Table 3. CA-IeDEA model parameters</w:t>
        </w:r>
      </w:hyperlink>
    </w:p>
    <w:p w14:paraId="7722100F"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63" w:history="1">
        <w:r w:rsidR="00626DD9" w:rsidRPr="00626DD9">
          <w:rPr>
            <w:rStyle w:val="Hyperlink"/>
            <w:bCs w:val="0"/>
            <w:noProof/>
            <w:lang w:eastAsia="ja-JP"/>
          </w:rPr>
          <w:t>Table 4: Probabilities of HIV transmission per sex act, by sub-group and direction</w:t>
        </w:r>
      </w:hyperlink>
    </w:p>
    <w:p w14:paraId="70CF0562"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64" w:history="1">
        <w:r w:rsidR="00626DD9" w:rsidRPr="00626DD9">
          <w:rPr>
            <w:rStyle w:val="Hyperlink"/>
            <w:bCs w:val="0"/>
            <w:noProof/>
          </w:rPr>
          <w:t>Table 5: Proportion of consistent condom use, by sub-population</w:t>
        </w:r>
      </w:hyperlink>
    </w:p>
    <w:p w14:paraId="510E7D35"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65" w:history="1">
        <w:r w:rsidR="00626DD9" w:rsidRPr="00626DD9">
          <w:rPr>
            <w:rStyle w:val="Hyperlink"/>
            <w:bCs w:val="0"/>
            <w:noProof/>
          </w:rPr>
          <w:t>Table 6. Initial population size by sub-population and HIV status</w:t>
        </w:r>
      </w:hyperlink>
    </w:p>
    <w:p w14:paraId="33E636CB"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66" w:history="1">
        <w:r w:rsidR="00626DD9" w:rsidRPr="00626DD9">
          <w:rPr>
            <w:rStyle w:val="Hyperlink"/>
            <w:bCs w:val="0"/>
            <w:noProof/>
          </w:rPr>
          <w:t>Table 7. Size of initial sub-populations, by CD4 stratum and engagement in care</w:t>
        </w:r>
      </w:hyperlink>
    </w:p>
    <w:p w14:paraId="21D0C9BD"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67" w:history="1">
        <w:r w:rsidR="00626DD9" w:rsidRPr="00626DD9">
          <w:rPr>
            <w:rStyle w:val="Hyperlink"/>
            <w:bCs w:val="0"/>
            <w:noProof/>
          </w:rPr>
          <w:t>Table 8. Average monthly population growth rate</w:t>
        </w:r>
        <w:r w:rsidR="00626DD9" w:rsidRPr="00626DD9">
          <w:rPr>
            <w:rStyle w:val="Hyperlink"/>
            <w:bCs w:val="0"/>
            <w:noProof/>
            <w:vertAlign w:val="superscript"/>
          </w:rPr>
          <w:t>a</w:t>
        </w:r>
      </w:hyperlink>
    </w:p>
    <w:p w14:paraId="61D80FC8"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68" w:history="1">
        <w:r w:rsidR="00626DD9" w:rsidRPr="00626DD9">
          <w:rPr>
            <w:rStyle w:val="Hyperlink"/>
            <w:bCs w:val="0"/>
            <w:noProof/>
          </w:rPr>
          <w:t>Table 9. Monthly probability of HIV diagnosis, by sub-population and CD4 stratum</w:t>
        </w:r>
      </w:hyperlink>
    </w:p>
    <w:p w14:paraId="38E2475F"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69" w:history="1">
        <w:r w:rsidR="00626DD9" w:rsidRPr="00626DD9">
          <w:rPr>
            <w:rStyle w:val="Hyperlink"/>
            <w:bCs w:val="0"/>
            <w:noProof/>
          </w:rPr>
          <w:t>Table 10. Sub-population monthly probability of disease progression, by CD4 stratum and engagement in care</w:t>
        </w:r>
      </w:hyperlink>
    </w:p>
    <w:p w14:paraId="5BD8C793"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70" w:history="1">
        <w:r w:rsidR="00626DD9" w:rsidRPr="00626DD9">
          <w:rPr>
            <w:rStyle w:val="Hyperlink"/>
            <w:bCs w:val="0"/>
            <w:noProof/>
          </w:rPr>
          <w:t>Table 11: Monthly probability of sub-population linkage to HIV care, by CD4 stratum</w:t>
        </w:r>
      </w:hyperlink>
    </w:p>
    <w:p w14:paraId="266D37DB"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71" w:history="1">
        <w:r w:rsidR="00626DD9" w:rsidRPr="00626DD9">
          <w:rPr>
            <w:rStyle w:val="Hyperlink"/>
            <w:bCs w:val="0"/>
            <w:noProof/>
            <w:lang w:eastAsia="zh-TW"/>
          </w:rPr>
          <w:t>Table 12: Monthly probability of sub-population LTFU, by CD4 stratum and engagement in care</w:t>
        </w:r>
      </w:hyperlink>
    </w:p>
    <w:p w14:paraId="4704A426"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72" w:history="1">
        <w:r w:rsidR="00626DD9" w:rsidRPr="00626DD9">
          <w:rPr>
            <w:rStyle w:val="Hyperlink"/>
            <w:bCs w:val="0"/>
            <w:noProof/>
          </w:rPr>
          <w:t>Table 13: IeDEA variables for estimating model parameter inputs</w:t>
        </w:r>
        <w:r w:rsidR="00626DD9" w:rsidRPr="00626DD9">
          <w:rPr>
            <w:rStyle w:val="Hyperlink"/>
            <w:bCs w:val="0"/>
            <w:noProof/>
            <w:vertAlign w:val="superscript"/>
          </w:rPr>
          <w:t>a</w:t>
        </w:r>
      </w:hyperlink>
    </w:p>
    <w:p w14:paraId="181A2C9C"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73" w:history="1">
        <w:r w:rsidR="00626DD9" w:rsidRPr="00626DD9">
          <w:rPr>
            <w:rStyle w:val="Hyperlink"/>
            <w:bCs w:val="0"/>
            <w:noProof/>
          </w:rPr>
          <w:t xml:space="preserve">Table 14: Monthly probability of sub-population On ART, Suppressed, by CD4 stratum </w:t>
        </w:r>
      </w:hyperlink>
    </w:p>
    <w:p w14:paraId="3F2E183E"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74" w:history="1">
        <w:r w:rsidR="00626DD9" w:rsidRPr="00626DD9">
          <w:rPr>
            <w:rStyle w:val="Hyperlink"/>
            <w:bCs w:val="0"/>
            <w:noProof/>
          </w:rPr>
          <w:t>Table 15: Monthly probability of sub-population virologic failure</w:t>
        </w:r>
      </w:hyperlink>
    </w:p>
    <w:p w14:paraId="6664C582"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75" w:history="1">
        <w:r w:rsidR="00626DD9" w:rsidRPr="00626DD9">
          <w:rPr>
            <w:rStyle w:val="Hyperlink"/>
            <w:bCs w:val="0"/>
            <w:noProof/>
          </w:rPr>
          <w:t>Table 16: Monthly probability of sub-population death, by CD4 stratum and engagement in care</w:t>
        </w:r>
      </w:hyperlink>
    </w:p>
    <w:p w14:paraId="42F9F4E7"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76" w:history="1">
        <w:r w:rsidR="00626DD9" w:rsidRPr="00626DD9">
          <w:rPr>
            <w:rStyle w:val="Hyperlink"/>
            <w:bCs w:val="0"/>
            <w:noProof/>
          </w:rPr>
          <w:t>Table 17. Calibration targets: Sub-population HIV prevalence over time</w:t>
        </w:r>
      </w:hyperlink>
    </w:p>
    <w:p w14:paraId="0A35123F"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77" w:history="1">
        <w:r w:rsidR="00626DD9" w:rsidRPr="00626DD9">
          <w:rPr>
            <w:rStyle w:val="Hyperlink"/>
            <w:bCs w:val="0"/>
            <w:noProof/>
            <w:lang w:eastAsia="ja-JP"/>
          </w:rPr>
          <w:t>Table 18: Calibration targets: Sub-population HIV incidence over time</w:t>
        </w:r>
      </w:hyperlink>
    </w:p>
    <w:p w14:paraId="3109A393"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78" w:history="1">
        <w:r w:rsidR="00626DD9" w:rsidRPr="00626DD9">
          <w:rPr>
            <w:rStyle w:val="Hyperlink"/>
            <w:bCs w:val="0"/>
            <w:noProof/>
          </w:rPr>
          <w:t>Table 19: Calibration targets: Number of people on ART over time</w:t>
        </w:r>
      </w:hyperlink>
    </w:p>
    <w:p w14:paraId="59D50A14"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79" w:history="1">
        <w:r w:rsidR="00626DD9" w:rsidRPr="00626DD9">
          <w:rPr>
            <w:rStyle w:val="Hyperlink"/>
            <w:bCs w:val="0"/>
            <w:noProof/>
          </w:rPr>
          <w:t>Table 20: Calibration targets: Percentage at Different Steps Along the HIV Care Continuum based on 2018-2019 Rwanda Population-based HIV Impact Assessment Survey</w:t>
        </w:r>
        <w:r w:rsidR="00626DD9" w:rsidRPr="00626DD9">
          <w:rPr>
            <w:rStyle w:val="Hyperlink"/>
            <w:bCs w:val="0"/>
            <w:noProof/>
            <w:vertAlign w:val="superscript"/>
          </w:rPr>
          <w:t>19</w:t>
        </w:r>
      </w:hyperlink>
    </w:p>
    <w:p w14:paraId="5CF08CA3"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80" w:history="1">
        <w:r w:rsidR="00626DD9" w:rsidRPr="00626DD9">
          <w:rPr>
            <w:rStyle w:val="Hyperlink"/>
            <w:bCs w:val="0"/>
            <w:noProof/>
          </w:rPr>
          <w:t>Table 21. Calibration: Parameter estimates for beta distribution assigned to probabilities of HIV diagnosis</w:t>
        </w:r>
      </w:hyperlink>
    </w:p>
    <w:p w14:paraId="13502E39"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81" w:history="1">
        <w:r w:rsidR="00626DD9" w:rsidRPr="00626DD9">
          <w:rPr>
            <w:rStyle w:val="Hyperlink"/>
            <w:bCs w:val="0"/>
            <w:noProof/>
          </w:rPr>
          <w:t>Table 22. Calibration: Parameter estimates for multiplier applied to probability of HIV diagnosis and linkage to care</w:t>
        </w:r>
      </w:hyperlink>
    </w:p>
    <w:p w14:paraId="0609EE7E"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82" w:history="1">
        <w:r w:rsidR="00626DD9" w:rsidRPr="00626DD9">
          <w:rPr>
            <w:rStyle w:val="Hyperlink"/>
            <w:bCs w:val="0"/>
            <w:noProof/>
          </w:rPr>
          <w:t>Table 23. Calibration: Parameter estimates for beta distribution assigned to probabilities of linkage to care</w:t>
        </w:r>
      </w:hyperlink>
    </w:p>
    <w:p w14:paraId="460F0A93"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83" w:history="1">
        <w:r w:rsidR="00626DD9" w:rsidRPr="00626DD9">
          <w:rPr>
            <w:rStyle w:val="Hyperlink"/>
            <w:bCs w:val="0"/>
            <w:noProof/>
          </w:rPr>
          <w:t>Table 24. Calibration: Parameter estimates for distributions assigned to the probabilities of HIV transmission</w:t>
        </w:r>
      </w:hyperlink>
    </w:p>
    <w:p w14:paraId="4A158916" w14:textId="77777777" w:rsidR="00626DD9" w:rsidRPr="00626DD9" w:rsidRDefault="00000000">
      <w:pPr>
        <w:pStyle w:val="TableofFigures"/>
        <w:tabs>
          <w:tab w:val="right" w:leader="dot" w:pos="9350"/>
        </w:tabs>
        <w:rPr>
          <w:rFonts w:asciiTheme="minorHAnsi" w:eastAsiaTheme="minorEastAsia" w:hAnsiTheme="minorHAnsi" w:cstheme="minorBidi"/>
          <w:noProof/>
        </w:rPr>
      </w:pPr>
      <w:hyperlink w:anchor="_Toc82599284" w:history="1">
        <w:r w:rsidR="00626DD9" w:rsidRPr="00626DD9">
          <w:rPr>
            <w:rStyle w:val="Hyperlink"/>
            <w:bCs w:val="0"/>
            <w:noProof/>
          </w:rPr>
          <w:t>Table 25. Calibration: Parameter estimates for beta distribution assigned to proportion of condom use</w:t>
        </w:r>
      </w:hyperlink>
    </w:p>
    <w:p w14:paraId="3802DDAE" w14:textId="59D59C20" w:rsidR="009F275B" w:rsidRPr="00626DD9" w:rsidRDefault="00626DD9">
      <w:pPr>
        <w:rPr>
          <w:color w:val="000000" w:themeColor="text1"/>
        </w:rPr>
      </w:pPr>
      <w:r w:rsidRPr="00626DD9">
        <w:rPr>
          <w:color w:val="000000" w:themeColor="text1"/>
        </w:rPr>
        <w:fldChar w:fldCharType="end"/>
      </w:r>
    </w:p>
    <w:p w14:paraId="7627AC00" w14:textId="1D53A207" w:rsidR="009F275B" w:rsidRDefault="002E52A6">
      <w:pPr>
        <w:rPr>
          <w:b/>
          <w:bCs/>
        </w:rPr>
      </w:pPr>
      <w:r w:rsidRPr="00626DD9">
        <w:rPr>
          <w:b/>
          <w:bCs/>
        </w:rPr>
        <w:t xml:space="preserve">List of </w:t>
      </w:r>
      <w:r w:rsidR="00592C48" w:rsidRPr="00626DD9">
        <w:rPr>
          <w:b/>
          <w:bCs/>
        </w:rPr>
        <w:t>Equati</w:t>
      </w:r>
      <w:r w:rsidR="009F275B" w:rsidRPr="00626DD9">
        <w:rPr>
          <w:b/>
          <w:bCs/>
        </w:rPr>
        <w:t>o</w:t>
      </w:r>
      <w:r w:rsidR="00592C48" w:rsidRPr="00626DD9">
        <w:rPr>
          <w:b/>
          <w:bCs/>
        </w:rPr>
        <w:t>ns</w:t>
      </w:r>
    </w:p>
    <w:p w14:paraId="2C7BABA1" w14:textId="77777777" w:rsidR="00626DD9" w:rsidRPr="00626DD9" w:rsidRDefault="00626DD9">
      <w:pPr>
        <w:rPr>
          <w:b/>
          <w:bCs/>
        </w:rPr>
      </w:pPr>
    </w:p>
    <w:p w14:paraId="7C59BDDE" w14:textId="0D1095D1" w:rsidR="001E49BE" w:rsidRPr="00626DD9" w:rsidRDefault="00000000">
      <w:pPr>
        <w:rPr>
          <w:rStyle w:val="Hyperlink"/>
        </w:rPr>
      </w:pPr>
      <w:hyperlink w:anchor="_Assumptions_and_expression" w:history="1">
        <w:r w:rsidR="001E49BE" w:rsidRPr="00626DD9">
          <w:rPr>
            <w:rStyle w:val="Hyperlink"/>
          </w:rPr>
          <w:t>Equation 1 Force of infection</w:t>
        </w:r>
      </w:hyperlink>
    </w:p>
    <w:p w14:paraId="101F56AB" w14:textId="4C93EB17" w:rsidR="00876823" w:rsidRDefault="00000000">
      <w:hyperlink w:anchor="_Effectiveness__" w:history="1">
        <w:r w:rsidR="00876823" w:rsidRPr="00876823">
          <w:rPr>
            <w:rStyle w:val="Hyperlink"/>
            <w:rFonts w:eastAsia="Times New Roman"/>
            <w:szCs w:val="24"/>
          </w:rPr>
          <w:t>Equation 2 Force of infection: Estimating the effectiveness of viral suppression</w:t>
        </w:r>
      </w:hyperlink>
    </w:p>
    <w:p w14:paraId="61AEA92B" w14:textId="28CD5B28" w:rsidR="00876823" w:rsidRDefault="00000000">
      <w:hyperlink w:anchor="_The_size_of" w:history="1">
        <w:r w:rsidR="00876823" w:rsidRPr="0003118A">
          <w:rPr>
            <w:rStyle w:val="Hyperlink"/>
            <w:rFonts w:eastAsia="Times New Roman"/>
            <w:szCs w:val="24"/>
          </w:rPr>
          <w:t>Equation 3 Initial population: Estimating the proportion of lost to follow-up</w:t>
        </w:r>
        <w:r w:rsidR="009B1AA0" w:rsidRPr="0003118A">
          <w:rPr>
            <w:rStyle w:val="Hyperlink"/>
            <w:rFonts w:eastAsia="Times New Roman"/>
            <w:szCs w:val="24"/>
          </w:rPr>
          <w:t xml:space="preserve"> (pre-ART)</w:t>
        </w:r>
      </w:hyperlink>
    </w:p>
    <w:p w14:paraId="0901F6D2" w14:textId="41D46D3F" w:rsidR="009B1AA0" w:rsidRDefault="00000000">
      <w:hyperlink w:anchor="_The_size_of" w:history="1">
        <w:r w:rsidR="009B1AA0" w:rsidRPr="0003118A">
          <w:rPr>
            <w:rStyle w:val="Hyperlink"/>
            <w:rFonts w:eastAsia="Times New Roman"/>
            <w:szCs w:val="24"/>
          </w:rPr>
          <w:t>Equation 4 Initial population: Estimating the proportion of lost to follow-up (on ART)</w:t>
        </w:r>
      </w:hyperlink>
    </w:p>
    <w:p w14:paraId="563B98EF" w14:textId="78FC5496" w:rsidR="009B1AA0" w:rsidRDefault="00000000">
      <w:hyperlink w:anchor="_The_size_of" w:history="1">
        <w:r w:rsidR="009B1AA0" w:rsidRPr="0003118A">
          <w:rPr>
            <w:rStyle w:val="Hyperlink"/>
            <w:rFonts w:eastAsia="Times New Roman"/>
            <w:szCs w:val="24"/>
          </w:rPr>
          <w:t>Equation 5 Initial population: Estimating the proportion on ART</w:t>
        </w:r>
      </w:hyperlink>
    </w:p>
    <w:p w14:paraId="09F08003" w14:textId="7D1A33E8" w:rsidR="009B1AA0" w:rsidRDefault="00000000">
      <w:hyperlink w:anchor="_The_size_of" w:history="1">
        <w:r w:rsidR="009B1AA0" w:rsidRPr="0003118A">
          <w:rPr>
            <w:rStyle w:val="Hyperlink"/>
            <w:rFonts w:eastAsia="Times New Roman"/>
            <w:szCs w:val="24"/>
          </w:rPr>
          <w:t xml:space="preserve">Equation 6 Initial population: Estimating the number </w:t>
        </w:r>
        <w:proofErr w:type="gramStart"/>
        <w:r w:rsidR="001F3344">
          <w:rPr>
            <w:rStyle w:val="Hyperlink"/>
            <w:rFonts w:eastAsia="Times New Roman"/>
            <w:szCs w:val="24"/>
          </w:rPr>
          <w:t>O</w:t>
        </w:r>
        <w:r w:rsidR="0003118A" w:rsidRPr="0003118A">
          <w:rPr>
            <w:rStyle w:val="Hyperlink"/>
            <w:rFonts w:eastAsia="Times New Roman"/>
            <w:szCs w:val="24"/>
          </w:rPr>
          <w:t>n</w:t>
        </w:r>
        <w:proofErr w:type="gramEnd"/>
        <w:r w:rsidR="0003118A" w:rsidRPr="0003118A">
          <w:rPr>
            <w:rStyle w:val="Hyperlink"/>
            <w:rFonts w:eastAsia="Times New Roman"/>
            <w:szCs w:val="24"/>
          </w:rPr>
          <w:t xml:space="preserve"> ART, </w:t>
        </w:r>
        <w:r w:rsidR="001F3344">
          <w:rPr>
            <w:rStyle w:val="Hyperlink"/>
            <w:rFonts w:eastAsia="Times New Roman"/>
            <w:szCs w:val="24"/>
          </w:rPr>
          <w:t>N</w:t>
        </w:r>
        <w:r w:rsidR="0003118A" w:rsidRPr="0003118A">
          <w:rPr>
            <w:rStyle w:val="Hyperlink"/>
            <w:rFonts w:eastAsia="Times New Roman"/>
            <w:szCs w:val="24"/>
          </w:rPr>
          <w:t xml:space="preserve">ot </w:t>
        </w:r>
        <w:r w:rsidR="001F3344">
          <w:rPr>
            <w:rStyle w:val="Hyperlink"/>
            <w:rFonts w:eastAsia="Times New Roman"/>
            <w:szCs w:val="24"/>
          </w:rPr>
          <w:t>S</w:t>
        </w:r>
        <w:r w:rsidR="0003118A" w:rsidRPr="0003118A">
          <w:rPr>
            <w:rStyle w:val="Hyperlink"/>
            <w:rFonts w:eastAsia="Times New Roman"/>
            <w:szCs w:val="24"/>
          </w:rPr>
          <w:t>uppressed</w:t>
        </w:r>
      </w:hyperlink>
    </w:p>
    <w:p w14:paraId="4AB91641" w14:textId="4C80AE2E" w:rsidR="00876823" w:rsidRDefault="00000000">
      <w:hyperlink w:anchor="_Susceptible_population_growth" w:history="1">
        <w:r w:rsidR="0003118A" w:rsidRPr="001F3344">
          <w:rPr>
            <w:rStyle w:val="Hyperlink"/>
            <w:rFonts w:eastAsia="Times New Roman"/>
            <w:szCs w:val="24"/>
          </w:rPr>
          <w:t xml:space="preserve">Equation 7 Susceptible population: </w:t>
        </w:r>
        <w:r w:rsidR="00577C94" w:rsidRPr="001F3344">
          <w:rPr>
            <w:rStyle w:val="Hyperlink"/>
            <w:rFonts w:eastAsia="Times New Roman"/>
            <w:szCs w:val="24"/>
          </w:rPr>
          <w:t>pop</w:t>
        </w:r>
        <w:r w:rsidR="001F3344" w:rsidRPr="001F3344">
          <w:rPr>
            <w:rStyle w:val="Hyperlink"/>
            <w:rFonts w:eastAsia="Times New Roman"/>
            <w:szCs w:val="24"/>
          </w:rPr>
          <w:t>ulation growth</w:t>
        </w:r>
      </w:hyperlink>
    </w:p>
    <w:p w14:paraId="216F8198" w14:textId="12115B85" w:rsidR="001F3344" w:rsidRDefault="00000000">
      <w:hyperlink w:anchor="_Natural__" w:history="1">
        <w:r w:rsidR="001F3344" w:rsidRPr="001F3344">
          <w:rPr>
            <w:rStyle w:val="Hyperlink"/>
            <w:rFonts w:eastAsia="Times New Roman"/>
            <w:szCs w:val="24"/>
          </w:rPr>
          <w:t>Equation 8 Disease progression parameterization: Weighted competing risks model</w:t>
        </w:r>
      </w:hyperlink>
    </w:p>
    <w:p w14:paraId="191EAB8F" w14:textId="16FD4539" w:rsidR="001F3344" w:rsidRPr="00626DD9" w:rsidRDefault="00000000">
      <w:hyperlink w:anchor="_Natural__" w:history="1">
        <w:r w:rsidR="001F3344" w:rsidRPr="001F3344">
          <w:rPr>
            <w:rStyle w:val="Hyperlink"/>
            <w:rFonts w:eastAsia="Times New Roman"/>
            <w:szCs w:val="24"/>
          </w:rPr>
          <w:t>Equation 9 Disease progression parameterization: Calculating probability weights</w:t>
        </w:r>
      </w:hyperlink>
    </w:p>
    <w:p w14:paraId="08A2CCA1" w14:textId="713617FF" w:rsidR="001E49BE" w:rsidRDefault="00000000">
      <w:hyperlink w:anchor="_Lost_to_follow-up" w:history="1">
        <w:r w:rsidR="001F3344" w:rsidRPr="001F3344">
          <w:rPr>
            <w:rStyle w:val="Hyperlink"/>
            <w:rFonts w:eastAsia="Times New Roman"/>
            <w:szCs w:val="24"/>
          </w:rPr>
          <w:t>Equation 10 Lost to follow-up parameterization: Weighted competing risks model</w:t>
        </w:r>
      </w:hyperlink>
    </w:p>
    <w:p w14:paraId="0CA3FC10" w14:textId="1FFB5936" w:rsidR="001F3344" w:rsidRDefault="00000000">
      <w:hyperlink w:anchor="_Lost_to_follow-up" w:history="1">
        <w:r w:rsidR="001F3344" w:rsidRPr="001F3344">
          <w:rPr>
            <w:rStyle w:val="Hyperlink"/>
            <w:rFonts w:eastAsia="Times New Roman"/>
            <w:szCs w:val="24"/>
          </w:rPr>
          <w:t>Equation 11 Lost to follow-up parameterization: Calculating probability weights</w:t>
        </w:r>
      </w:hyperlink>
    </w:p>
    <w:p w14:paraId="6B0003A6" w14:textId="318BAE14" w:rsidR="001F3344" w:rsidRDefault="00000000" w:rsidP="0003118A">
      <w:pPr>
        <w:pStyle w:val="TableofFigures"/>
        <w:tabs>
          <w:tab w:val="right" w:leader="dot" w:pos="9350"/>
        </w:tabs>
      </w:pPr>
      <w:hyperlink w:anchor="_On_ART,_Suppressed" w:history="1">
        <w:r w:rsidR="001F3344" w:rsidRPr="009F042F">
          <w:rPr>
            <w:rStyle w:val="Hyperlink"/>
            <w:rFonts w:eastAsia="Times New Roman" w:hint="eastAsia"/>
            <w:szCs w:val="24"/>
          </w:rPr>
          <w:t>E</w:t>
        </w:r>
        <w:r w:rsidR="001F3344" w:rsidRPr="009F042F">
          <w:rPr>
            <w:rStyle w:val="Hyperlink"/>
            <w:rFonts w:eastAsia="Times New Roman"/>
            <w:szCs w:val="24"/>
          </w:rPr>
          <w:t>quation 12 On ART, Suppressed parameterization: Weighted competing risks model</w:t>
        </w:r>
      </w:hyperlink>
    </w:p>
    <w:p w14:paraId="578D924B" w14:textId="34D5E711" w:rsidR="001F3344" w:rsidRDefault="00000000" w:rsidP="001F3344">
      <w:hyperlink w:anchor="_On_ART,_Suppressed" w:history="1">
        <w:r w:rsidR="001F3344" w:rsidRPr="009F042F">
          <w:rPr>
            <w:rStyle w:val="Hyperlink"/>
            <w:rFonts w:eastAsia="Times New Roman"/>
            <w:szCs w:val="24"/>
          </w:rPr>
          <w:t>Equation 13</w:t>
        </w:r>
        <w:r w:rsidR="009F042F" w:rsidRPr="009F042F">
          <w:rPr>
            <w:rStyle w:val="Hyperlink"/>
            <w:rFonts w:eastAsia="Times New Roman"/>
            <w:szCs w:val="24"/>
          </w:rPr>
          <w:t xml:space="preserve"> On ART, </w:t>
        </w:r>
        <w:proofErr w:type="gramStart"/>
        <w:r w:rsidR="009F042F" w:rsidRPr="009F042F">
          <w:rPr>
            <w:rStyle w:val="Hyperlink"/>
            <w:rFonts w:eastAsia="Times New Roman"/>
            <w:szCs w:val="24"/>
          </w:rPr>
          <w:t>Suppressed</w:t>
        </w:r>
        <w:proofErr w:type="gramEnd"/>
        <w:r w:rsidR="009F042F" w:rsidRPr="009F042F">
          <w:rPr>
            <w:rStyle w:val="Hyperlink"/>
            <w:rFonts w:eastAsia="Times New Roman"/>
            <w:szCs w:val="24"/>
          </w:rPr>
          <w:t xml:space="preserve"> parameterization: Calculating probability weights</w:t>
        </w:r>
      </w:hyperlink>
    </w:p>
    <w:p w14:paraId="0D0E525E" w14:textId="70224DBC" w:rsidR="009F042F" w:rsidRDefault="00000000" w:rsidP="001F3344">
      <w:hyperlink w:anchor="_On_ART,_Not" w:history="1">
        <w:r w:rsidR="009F042F" w:rsidRPr="00626DD9">
          <w:rPr>
            <w:rStyle w:val="Hyperlink"/>
            <w:rFonts w:eastAsia="Times New Roman"/>
            <w:szCs w:val="24"/>
          </w:rPr>
          <w:t>Equation 14 On ART, Not Suppressed parameterization: Weighted competing risks model</w:t>
        </w:r>
      </w:hyperlink>
    </w:p>
    <w:p w14:paraId="59DDC2F4" w14:textId="3063596C" w:rsidR="009F042F" w:rsidRDefault="00000000" w:rsidP="001F3344">
      <w:hyperlink w:anchor="_On_ART,_Not" w:history="1">
        <w:r w:rsidR="00626DD9" w:rsidRPr="00626DD9">
          <w:rPr>
            <w:rStyle w:val="Hyperlink"/>
            <w:rFonts w:eastAsia="Times New Roman"/>
            <w:szCs w:val="24"/>
          </w:rPr>
          <w:t>Equation 15 On ART, Not Suppressed parameterization: Calculating probability weights</w:t>
        </w:r>
      </w:hyperlink>
    </w:p>
    <w:p w14:paraId="6E6A55AE" w14:textId="0603DDE4" w:rsidR="00626DD9" w:rsidRDefault="00000000" w:rsidP="001F3344">
      <w:hyperlink w:anchor="_Death" w:history="1">
        <w:r w:rsidR="00626DD9" w:rsidRPr="00626DD9">
          <w:rPr>
            <w:rStyle w:val="Hyperlink"/>
            <w:rFonts w:eastAsia="Times New Roman"/>
            <w:szCs w:val="24"/>
          </w:rPr>
          <w:t>Equation 16 Death parameterization: Weighted competing risks model</w:t>
        </w:r>
      </w:hyperlink>
    </w:p>
    <w:p w14:paraId="145C790C" w14:textId="0477DC99" w:rsidR="00626DD9" w:rsidRDefault="00000000" w:rsidP="001F3344">
      <w:hyperlink w:anchor="_Death" w:history="1">
        <w:r w:rsidR="00626DD9" w:rsidRPr="00626DD9">
          <w:rPr>
            <w:rStyle w:val="Hyperlink"/>
            <w:rFonts w:eastAsia="Times New Roman"/>
            <w:szCs w:val="24"/>
          </w:rPr>
          <w:t>Equation 17 Death parameterization: Calculating probability weights</w:t>
        </w:r>
      </w:hyperlink>
    </w:p>
    <w:p w14:paraId="05569DC5" w14:textId="6B920FBA" w:rsidR="00626DD9" w:rsidRDefault="00000000" w:rsidP="001F3344">
      <w:hyperlink w:anchor="_Calibration_approach:_Probabilistic" w:history="1">
        <w:r w:rsidR="00626DD9" w:rsidRPr="00626DD9">
          <w:rPr>
            <w:rStyle w:val="Hyperlink"/>
            <w:rFonts w:eastAsia="Times New Roman"/>
            <w:szCs w:val="24"/>
          </w:rPr>
          <w:t>Equation 18 Probabilistic distributions for model parameters: Beta distribution weighted mean</w:t>
        </w:r>
      </w:hyperlink>
    </w:p>
    <w:p w14:paraId="1B3D0052" w14:textId="22FB62F5" w:rsidR="00626DD9" w:rsidRDefault="00000000" w:rsidP="001F3344">
      <w:hyperlink w:anchor="_Calibration_approach:_Probabilistic" w:history="1">
        <w:r w:rsidR="00626DD9" w:rsidRPr="00626DD9">
          <w:rPr>
            <w:rStyle w:val="Hyperlink"/>
            <w:rFonts w:eastAsia="Times New Roman"/>
            <w:szCs w:val="24"/>
          </w:rPr>
          <w:t>Equation 19 Probabilistic distributions for model parameters: Beta distribution standard deviation</w:t>
        </w:r>
      </w:hyperlink>
    </w:p>
    <w:p w14:paraId="4401D62F" w14:textId="6CA5FADE" w:rsidR="00626DD9" w:rsidRDefault="00000000" w:rsidP="001F3344">
      <w:hyperlink w:anchor="_Calibration_approach:_Probabilistic" w:history="1">
        <w:r w:rsidR="00626DD9" w:rsidRPr="00626DD9">
          <w:rPr>
            <w:rStyle w:val="Hyperlink"/>
            <w:rFonts w:eastAsia="Times New Roman"/>
            <w:szCs w:val="24"/>
          </w:rPr>
          <w:t>Equation 20 Probabilistic distributions for model parameters: Beta distribution shape parameter</w:t>
        </w:r>
      </w:hyperlink>
    </w:p>
    <w:p w14:paraId="517BCD4B" w14:textId="402E16C2" w:rsidR="00626DD9" w:rsidRDefault="00000000" w:rsidP="001F3344">
      <w:hyperlink w:anchor="_Calibration_approach:_Probabilistic" w:history="1">
        <w:r w:rsidR="00626DD9" w:rsidRPr="00626DD9">
          <w:rPr>
            <w:rStyle w:val="Hyperlink"/>
            <w:rFonts w:eastAsia="Times New Roman"/>
            <w:szCs w:val="24"/>
          </w:rPr>
          <w:t>Equation 21 Probabilistic distributions for model parameters: Beta distribution scale parameter</w:t>
        </w:r>
      </w:hyperlink>
    </w:p>
    <w:p w14:paraId="19D6EA19" w14:textId="79EE5808" w:rsidR="000C0C05" w:rsidRDefault="000C0C05" w:rsidP="00626DD9">
      <w:pPr>
        <w:pStyle w:val="TableofFigures"/>
        <w:tabs>
          <w:tab w:val="right" w:leader="dot" w:pos="9350"/>
        </w:tabs>
        <w:rPr>
          <w:color w:val="000000" w:themeColor="text1"/>
        </w:rPr>
        <w:sectPr w:rsidR="000C0C05" w:rsidSect="00B61BC0">
          <w:headerReference w:type="even" r:id="rId12"/>
          <w:headerReference w:type="default" r:id="rId13"/>
          <w:footerReference w:type="default" r:id="rId14"/>
          <w:headerReference w:type="first" r:id="rId15"/>
          <w:pgSz w:w="12240" w:h="15840"/>
          <w:pgMar w:top="1440" w:right="1440" w:bottom="1440" w:left="1440" w:header="720" w:footer="720" w:gutter="0"/>
          <w:cols w:space="720"/>
          <w:titlePg/>
          <w:docGrid w:linePitch="360"/>
        </w:sectPr>
      </w:pPr>
    </w:p>
    <w:p w14:paraId="7835ABE5" w14:textId="7B4ABD1E" w:rsidR="00D762C5" w:rsidRPr="00615E45" w:rsidRDefault="00AB6253" w:rsidP="00122CDD">
      <w:pPr>
        <w:pStyle w:val="Heading1"/>
        <w:spacing w:before="0"/>
        <w:rPr>
          <w:rFonts w:cs="Times New Roman"/>
          <w:szCs w:val="24"/>
        </w:rPr>
      </w:pPr>
      <w:bookmarkStart w:id="6" w:name="_Ref81774407"/>
      <w:bookmarkStart w:id="7" w:name="_Toc82592639"/>
      <w:r w:rsidRPr="00615E45">
        <w:rPr>
          <w:rFonts w:cs="Times New Roman"/>
          <w:szCs w:val="24"/>
        </w:rPr>
        <w:lastRenderedPageBreak/>
        <w:t>Overview</w:t>
      </w:r>
      <w:bookmarkEnd w:id="6"/>
      <w:bookmarkEnd w:id="7"/>
      <w:r w:rsidRPr="00615E45">
        <w:rPr>
          <w:rFonts w:cs="Times New Roman"/>
          <w:szCs w:val="24"/>
        </w:rPr>
        <w:t xml:space="preserve"> </w:t>
      </w:r>
    </w:p>
    <w:p w14:paraId="728C3252" w14:textId="7180E3EE" w:rsidR="00830781" w:rsidRDefault="00AB6253" w:rsidP="00122CDD">
      <w:pPr>
        <w:jc w:val="both"/>
      </w:pPr>
      <w:r>
        <w:t xml:space="preserve">This </w:t>
      </w:r>
      <w:r w:rsidR="007921AB">
        <w:t xml:space="preserve">document details and justifies </w:t>
      </w:r>
      <w:r>
        <w:t>analytic decisions</w:t>
      </w:r>
      <w:r w:rsidR="007921AB">
        <w:t xml:space="preserve"> for the CA-</w:t>
      </w:r>
      <w:proofErr w:type="spellStart"/>
      <w:r w:rsidR="007921AB">
        <w:t>IeDEA</w:t>
      </w:r>
      <w:proofErr w:type="spellEnd"/>
      <w:r w:rsidR="007921AB">
        <w:t xml:space="preserve"> HIV dynamic transmission model, including model structure, </w:t>
      </w:r>
      <w:r>
        <w:t>parameter inputs, model implementation</w:t>
      </w:r>
      <w:r w:rsidR="00F926AD">
        <w:t>, and model calibration</w:t>
      </w:r>
      <w:r>
        <w:t xml:space="preserve"> procedures.</w:t>
      </w:r>
      <w:r w:rsidR="00F371FD">
        <w:t xml:space="preserve"> This documentation of approach is a living record of model-related analytic decisions, which are presented in nine sections. </w:t>
      </w:r>
      <w:r w:rsidR="00CC65CD">
        <w:t xml:space="preserve">Section 2 </w:t>
      </w:r>
      <w:r w:rsidR="00F371FD">
        <w:t xml:space="preserve">outlines </w:t>
      </w:r>
      <w:r w:rsidR="00CC65CD">
        <w:t>the research question</w:t>
      </w:r>
      <w:r w:rsidR="00F926AD">
        <w:t>s</w:t>
      </w:r>
      <w:r w:rsidR="00CC65CD">
        <w:t xml:space="preserve"> </w:t>
      </w:r>
      <w:r w:rsidR="00F371FD">
        <w:t>motivating this initial work</w:t>
      </w:r>
      <w:r w:rsidR="00114935">
        <w:t>. Section 3 discusses</w:t>
      </w:r>
      <w:r w:rsidR="00CC65CD">
        <w:t xml:space="preserve"> the model structure and </w:t>
      </w:r>
      <w:r w:rsidR="00F371FD">
        <w:t xml:space="preserve">justifies the </w:t>
      </w:r>
      <w:r w:rsidR="00CC65CD">
        <w:t xml:space="preserve">inclusion/exclusion of </w:t>
      </w:r>
      <w:r w:rsidR="00F371FD">
        <w:t xml:space="preserve">individual </w:t>
      </w:r>
      <w:r w:rsidR="00CC65CD">
        <w:t>c</w:t>
      </w:r>
      <w:r w:rsidR="00114935">
        <w:t>ompartments. Section 4 describes</w:t>
      </w:r>
      <w:r w:rsidR="00CC65CD">
        <w:t xml:space="preserve"> </w:t>
      </w:r>
      <w:r w:rsidR="00F371FD">
        <w:t xml:space="preserve">model </w:t>
      </w:r>
      <w:r w:rsidR="00464588">
        <w:t>sub-population</w:t>
      </w:r>
      <w:r w:rsidR="00CC65CD">
        <w:t>s</w:t>
      </w:r>
      <w:r w:rsidR="00F371FD">
        <w:t xml:space="preserve">, assumptions regarding </w:t>
      </w:r>
      <w:r w:rsidR="00464588">
        <w:t>sub-population</w:t>
      </w:r>
      <w:r w:rsidR="00F371FD">
        <w:t xml:space="preserve"> mixing (</w:t>
      </w:r>
      <w:r w:rsidR="00CC65CD">
        <w:t>i.e.</w:t>
      </w:r>
      <w:r w:rsidR="00F371FD">
        <w:t xml:space="preserve">, </w:t>
      </w:r>
      <w:r w:rsidR="00CC65CD">
        <w:t>sexual interact</w:t>
      </w:r>
      <w:r w:rsidR="00F371FD">
        <w:t>ion</w:t>
      </w:r>
      <w:r w:rsidR="00CC65CD">
        <w:t xml:space="preserve">). Section 5 presents the systems of equations that </w:t>
      </w:r>
      <w:r w:rsidR="00F371FD">
        <w:t xml:space="preserve">represent </w:t>
      </w:r>
      <w:r w:rsidR="00CC65CD">
        <w:t xml:space="preserve">how population move across compartments. Section 6 </w:t>
      </w:r>
      <w:r w:rsidR="00F371FD">
        <w:t xml:space="preserve">introduces an expression for </w:t>
      </w:r>
      <w:r w:rsidR="00CC65CD">
        <w:t>the force of infection</w:t>
      </w:r>
      <w:r w:rsidR="00F371FD">
        <w:t xml:space="preserve">, which calculates </w:t>
      </w:r>
      <w:r w:rsidR="00CC65CD">
        <w:t xml:space="preserve">risk of HIV acquisition. Section 7 describes </w:t>
      </w:r>
      <w:r w:rsidR="00F371FD">
        <w:t xml:space="preserve">the </w:t>
      </w:r>
      <w:r w:rsidR="00CC65CD">
        <w:t xml:space="preserve">estimation procedures </w:t>
      </w:r>
      <w:r w:rsidR="00F371FD">
        <w:t xml:space="preserve">for </w:t>
      </w:r>
      <w:r w:rsidR="00CC65CD">
        <w:t>parameter inputs</w:t>
      </w:r>
      <w:r w:rsidR="00F371FD">
        <w:t xml:space="preserve">, while </w:t>
      </w:r>
      <w:r w:rsidR="00CC65CD">
        <w:t xml:space="preserve">Section 8 describes the model calibration </w:t>
      </w:r>
      <w:r w:rsidR="00F371FD">
        <w:t xml:space="preserve">approach and current </w:t>
      </w:r>
      <w:r w:rsidR="00CC65CD">
        <w:t xml:space="preserve">targets. </w:t>
      </w:r>
      <w:r w:rsidR="00F371FD">
        <w:t xml:space="preserve">Finally, </w:t>
      </w:r>
      <w:r w:rsidR="00CC65CD">
        <w:t xml:space="preserve">Section 9 </w:t>
      </w:r>
      <w:r w:rsidR="00F371FD">
        <w:t xml:space="preserve">shows </w:t>
      </w:r>
      <w:r w:rsidR="00CC65CD">
        <w:t xml:space="preserve">implementation of the model in R and the output. </w:t>
      </w:r>
      <w:r w:rsidR="00207494">
        <w:t>Data sources and statistical procedures to derive parameter inputs are shown in the Appendix.</w:t>
      </w:r>
    </w:p>
    <w:p w14:paraId="78B5270E" w14:textId="77777777" w:rsidR="00615E45" w:rsidRPr="00615E45" w:rsidRDefault="00615E45" w:rsidP="00122CDD">
      <w:pPr>
        <w:jc w:val="both"/>
      </w:pPr>
    </w:p>
    <w:p w14:paraId="3E10768A" w14:textId="077FE6E2" w:rsidR="00D762C5" w:rsidRPr="00615E45" w:rsidRDefault="00207494" w:rsidP="00122CDD">
      <w:pPr>
        <w:pStyle w:val="Heading1"/>
        <w:spacing w:before="0"/>
        <w:rPr>
          <w:rFonts w:cs="Times New Roman"/>
          <w:szCs w:val="24"/>
        </w:rPr>
      </w:pPr>
      <w:bookmarkStart w:id="8" w:name="_Toc82592640"/>
      <w:r w:rsidRPr="00615E45">
        <w:rPr>
          <w:rFonts w:cs="Times New Roman"/>
          <w:szCs w:val="24"/>
        </w:rPr>
        <w:t>Motivating r</w:t>
      </w:r>
      <w:r w:rsidR="00D762C5" w:rsidRPr="00615E45">
        <w:rPr>
          <w:rFonts w:cs="Times New Roman"/>
          <w:szCs w:val="24"/>
        </w:rPr>
        <w:t>esearch question</w:t>
      </w:r>
      <w:bookmarkEnd w:id="8"/>
    </w:p>
    <w:p w14:paraId="4657BC17" w14:textId="58A83F31" w:rsidR="00830781" w:rsidRPr="00615E45" w:rsidRDefault="00A4199A" w:rsidP="00FA7C7E">
      <w:pPr>
        <w:pStyle w:val="BodyText"/>
        <w:spacing w:before="0" w:after="0"/>
        <w:jc w:val="both"/>
      </w:pPr>
      <w:r>
        <w:t xml:space="preserve">This model was motivated by the following research question: </w:t>
      </w:r>
      <w:r w:rsidR="00830781" w:rsidRPr="00830781">
        <w:t xml:space="preserve">What improvements are needed </w:t>
      </w:r>
      <w:r>
        <w:t xml:space="preserve">along the HIV care </w:t>
      </w:r>
      <w:r w:rsidR="00830781" w:rsidRPr="00830781">
        <w:t xml:space="preserve">continuum to achieve </w:t>
      </w:r>
      <w:r>
        <w:t xml:space="preserve">Treat All and </w:t>
      </w:r>
      <w:r w:rsidR="00830781" w:rsidRPr="00830781">
        <w:t xml:space="preserve">the 95-95-95 UNAIDS targets </w:t>
      </w:r>
      <w:r>
        <w:t>in Rwanda</w:t>
      </w:r>
      <w:r w:rsidR="00830781" w:rsidRPr="00830781">
        <w:t>?</w:t>
      </w:r>
    </w:p>
    <w:p w14:paraId="27E9E2C1" w14:textId="67FFFCD0" w:rsidR="00D62DD8" w:rsidRPr="00830781" w:rsidRDefault="00B82C68" w:rsidP="00122CDD">
      <w:pPr>
        <w:jc w:val="both"/>
        <w:rPr>
          <w:color w:val="000000" w:themeColor="text1"/>
        </w:rPr>
      </w:pPr>
      <w:r w:rsidRPr="00CC65CD">
        <w:rPr>
          <w:b/>
          <w:bCs/>
          <w:i/>
          <w:color w:val="000000" w:themeColor="text1"/>
        </w:rPr>
        <w:t>Purpose of the model:</w:t>
      </w:r>
      <w:r w:rsidRPr="00830781">
        <w:rPr>
          <w:color w:val="000000" w:themeColor="text1"/>
        </w:rPr>
        <w:t xml:space="preserve"> </w:t>
      </w:r>
      <w:r w:rsidR="00D62DD8" w:rsidRPr="00830781">
        <w:rPr>
          <w:color w:val="000000" w:themeColor="text1"/>
        </w:rPr>
        <w:t xml:space="preserve">The </w:t>
      </w:r>
      <w:r w:rsidR="00A4199A">
        <w:rPr>
          <w:color w:val="000000" w:themeColor="text1"/>
        </w:rPr>
        <w:t xml:space="preserve">model’s </w:t>
      </w:r>
      <w:r w:rsidR="00D62DD8" w:rsidRPr="00830781">
        <w:rPr>
          <w:color w:val="000000" w:themeColor="text1"/>
        </w:rPr>
        <w:t xml:space="preserve">purpose </w:t>
      </w:r>
      <w:r w:rsidR="00A4199A">
        <w:rPr>
          <w:color w:val="000000" w:themeColor="text1"/>
        </w:rPr>
        <w:t xml:space="preserve">is </w:t>
      </w:r>
      <w:r w:rsidR="003E749C">
        <w:rPr>
          <w:color w:val="000000" w:themeColor="text1"/>
        </w:rPr>
        <w:t xml:space="preserve">to </w:t>
      </w:r>
      <w:r w:rsidR="00830781" w:rsidRPr="00830781">
        <w:rPr>
          <w:color w:val="000000" w:themeColor="text1"/>
        </w:rPr>
        <w:t xml:space="preserve">examine </w:t>
      </w:r>
      <w:r w:rsidR="00A4199A">
        <w:rPr>
          <w:color w:val="000000" w:themeColor="text1"/>
        </w:rPr>
        <w:t xml:space="preserve">the spectrum of </w:t>
      </w:r>
      <w:r w:rsidR="00D62DD8" w:rsidRPr="00830781">
        <w:rPr>
          <w:color w:val="000000" w:themeColor="text1"/>
        </w:rPr>
        <w:t>HIV policies and response programs</w:t>
      </w:r>
      <w:r w:rsidR="00C56AFA">
        <w:rPr>
          <w:color w:val="000000" w:themeColor="text1"/>
        </w:rPr>
        <w:t>, including for different sub-populations and sub-national units,</w:t>
      </w:r>
      <w:r w:rsidR="00D62DD8" w:rsidRPr="00830781">
        <w:rPr>
          <w:color w:val="000000" w:themeColor="text1"/>
        </w:rPr>
        <w:t xml:space="preserve"> needed in Rwanda to</w:t>
      </w:r>
      <w:r w:rsidR="003E749C">
        <w:rPr>
          <w:color w:val="000000" w:themeColor="text1"/>
        </w:rPr>
        <w:t xml:space="preserve"> </w:t>
      </w:r>
      <w:r w:rsidR="00A4199A">
        <w:rPr>
          <w:color w:val="000000" w:themeColor="text1"/>
        </w:rPr>
        <w:t>realize universal ART and propel movement toward ending the epidemic</w:t>
      </w:r>
      <w:r w:rsidR="00D62DD8" w:rsidRPr="00830781">
        <w:rPr>
          <w:color w:val="000000" w:themeColor="text1"/>
        </w:rPr>
        <w:t xml:space="preserve">. </w:t>
      </w:r>
    </w:p>
    <w:p w14:paraId="37391FFC" w14:textId="77777777" w:rsidR="00830781" w:rsidRDefault="00830781" w:rsidP="001D10D4">
      <w:pPr>
        <w:jc w:val="both"/>
        <w:rPr>
          <w:b/>
          <w:bCs/>
          <w:color w:val="000000" w:themeColor="text1"/>
        </w:rPr>
      </w:pPr>
    </w:p>
    <w:p w14:paraId="397786B5" w14:textId="7B6CEFA0" w:rsidR="00CC763B" w:rsidRDefault="00D62DD8" w:rsidP="00527179">
      <w:pPr>
        <w:jc w:val="both"/>
        <w:rPr>
          <w:color w:val="000000" w:themeColor="text1"/>
        </w:rPr>
      </w:pPr>
      <w:r w:rsidRPr="00CC65CD">
        <w:rPr>
          <w:b/>
          <w:bCs/>
          <w:i/>
          <w:color w:val="000000" w:themeColor="text1"/>
        </w:rPr>
        <w:t>The audience</w:t>
      </w:r>
      <w:r w:rsidR="00B82C68" w:rsidRPr="00CC65CD">
        <w:rPr>
          <w:b/>
          <w:bCs/>
          <w:i/>
          <w:color w:val="000000" w:themeColor="text1"/>
        </w:rPr>
        <w:t>:</w:t>
      </w:r>
      <w:r w:rsidR="00B82C68" w:rsidRPr="00830781">
        <w:rPr>
          <w:color w:val="000000" w:themeColor="text1"/>
        </w:rPr>
        <w:t xml:space="preserve"> The </w:t>
      </w:r>
      <w:r w:rsidR="00995B04">
        <w:rPr>
          <w:color w:val="000000" w:themeColor="text1"/>
        </w:rPr>
        <w:t xml:space="preserve">target </w:t>
      </w:r>
      <w:r w:rsidR="00B82C68" w:rsidRPr="00830781">
        <w:rPr>
          <w:color w:val="000000" w:themeColor="text1"/>
        </w:rPr>
        <w:t>audience</w:t>
      </w:r>
      <w:r w:rsidRPr="00830781">
        <w:rPr>
          <w:color w:val="000000" w:themeColor="text1"/>
        </w:rPr>
        <w:t xml:space="preserve"> includes </w:t>
      </w:r>
      <w:r w:rsidR="00A4199A">
        <w:rPr>
          <w:color w:val="000000" w:themeColor="text1"/>
        </w:rPr>
        <w:t xml:space="preserve">the variety of </w:t>
      </w:r>
      <w:r w:rsidRPr="00830781">
        <w:rPr>
          <w:color w:val="000000" w:themeColor="text1"/>
        </w:rPr>
        <w:t xml:space="preserve">stakeholders </w:t>
      </w:r>
      <w:r w:rsidR="00A4199A">
        <w:rPr>
          <w:color w:val="000000" w:themeColor="text1"/>
        </w:rPr>
        <w:t xml:space="preserve">supporting the </w:t>
      </w:r>
      <w:r w:rsidR="00C56AFA">
        <w:rPr>
          <w:color w:val="000000" w:themeColor="text1"/>
        </w:rPr>
        <w:t xml:space="preserve">HIV response, </w:t>
      </w:r>
      <w:r w:rsidRPr="00830781">
        <w:rPr>
          <w:color w:val="000000" w:themeColor="text1"/>
        </w:rPr>
        <w:t xml:space="preserve">particularly the </w:t>
      </w:r>
      <w:r w:rsidR="00C56AFA">
        <w:rPr>
          <w:color w:val="000000" w:themeColor="text1"/>
        </w:rPr>
        <w:t xml:space="preserve">Rwandan </w:t>
      </w:r>
      <w:r w:rsidRPr="00830781">
        <w:rPr>
          <w:color w:val="000000" w:themeColor="text1"/>
        </w:rPr>
        <w:t>Ministry of Health</w:t>
      </w:r>
      <w:r w:rsidR="00C56AFA">
        <w:rPr>
          <w:color w:val="000000" w:themeColor="text1"/>
        </w:rPr>
        <w:t xml:space="preserve"> and donors</w:t>
      </w:r>
      <w:r w:rsidR="00055C0F">
        <w:rPr>
          <w:color w:val="000000" w:themeColor="text1"/>
        </w:rPr>
        <w:t xml:space="preserve">. </w:t>
      </w:r>
      <w:r w:rsidR="00C56AFA">
        <w:rPr>
          <w:color w:val="000000" w:themeColor="text1"/>
        </w:rPr>
        <w:t xml:space="preserve">For the current model version, stakeholder interest has influenced decisions related to model structure, including for high-risk sub-populations (e.g., female sex workers) and for different sub-national units (e.g., urban vs rural). </w:t>
      </w:r>
    </w:p>
    <w:p w14:paraId="2C0DCA91" w14:textId="77777777" w:rsidR="00CC763B" w:rsidRDefault="00CC763B" w:rsidP="00527179">
      <w:pPr>
        <w:jc w:val="both"/>
        <w:rPr>
          <w:color w:val="000000" w:themeColor="text1"/>
        </w:rPr>
      </w:pPr>
    </w:p>
    <w:p w14:paraId="361765A0" w14:textId="6BC1F958" w:rsidR="00BA6ECE" w:rsidRDefault="00C56AFA" w:rsidP="00527179">
      <w:pPr>
        <w:jc w:val="both"/>
        <w:rPr>
          <w:color w:val="000000" w:themeColor="text1"/>
        </w:rPr>
      </w:pPr>
      <w:r>
        <w:rPr>
          <w:b/>
          <w:bCs/>
          <w:i/>
          <w:color w:val="000000" w:themeColor="text1"/>
        </w:rPr>
        <w:t>L</w:t>
      </w:r>
      <w:r w:rsidR="00D62DD8" w:rsidRPr="00CC65CD">
        <w:rPr>
          <w:b/>
          <w:bCs/>
          <w:i/>
          <w:color w:val="000000" w:themeColor="text1"/>
        </w:rPr>
        <w:t>ong</w:t>
      </w:r>
      <w:r>
        <w:rPr>
          <w:b/>
          <w:bCs/>
          <w:i/>
          <w:color w:val="000000" w:themeColor="text1"/>
        </w:rPr>
        <w:t xml:space="preserve">er </w:t>
      </w:r>
      <w:r w:rsidR="00D62DD8" w:rsidRPr="00CC65CD">
        <w:rPr>
          <w:b/>
          <w:bCs/>
          <w:i/>
          <w:color w:val="000000" w:themeColor="text1"/>
        </w:rPr>
        <w:t>term plan</w:t>
      </w:r>
      <w:r w:rsidR="00B82C68" w:rsidRPr="00CC65CD">
        <w:rPr>
          <w:b/>
          <w:bCs/>
          <w:i/>
          <w:color w:val="000000" w:themeColor="text1"/>
        </w:rPr>
        <w:t>:</w:t>
      </w:r>
      <w:r w:rsidR="00B82C68" w:rsidRPr="00CC763B">
        <w:rPr>
          <w:color w:val="000000" w:themeColor="text1"/>
        </w:rPr>
        <w:t xml:space="preserve"> The </w:t>
      </w:r>
      <w:r>
        <w:rPr>
          <w:color w:val="000000" w:themeColor="text1"/>
        </w:rPr>
        <w:t xml:space="preserve">current </w:t>
      </w:r>
      <w:r w:rsidR="003924A7">
        <w:rPr>
          <w:color w:val="000000" w:themeColor="text1"/>
        </w:rPr>
        <w:t xml:space="preserve">model </w:t>
      </w:r>
      <w:r>
        <w:rPr>
          <w:color w:val="000000" w:themeColor="text1"/>
        </w:rPr>
        <w:t xml:space="preserve">will </w:t>
      </w:r>
      <w:r w:rsidR="003924A7">
        <w:rPr>
          <w:color w:val="000000" w:themeColor="text1"/>
        </w:rPr>
        <w:t xml:space="preserve">serve as a foundation for future work, such as the efficiency and affordability of alternative </w:t>
      </w:r>
      <w:r w:rsidR="00D62DD8" w:rsidRPr="00CC763B">
        <w:rPr>
          <w:color w:val="000000" w:themeColor="text1"/>
        </w:rPr>
        <w:t xml:space="preserve">strategies </w:t>
      </w:r>
      <w:r w:rsidR="003924A7">
        <w:rPr>
          <w:color w:val="000000" w:themeColor="text1"/>
        </w:rPr>
        <w:t xml:space="preserve">to achieve </w:t>
      </w:r>
      <w:r w:rsidR="00BA6ECE" w:rsidRPr="00830781">
        <w:t xml:space="preserve">95-95-95 UNAIDS targets </w:t>
      </w:r>
      <w:r w:rsidR="003924A7">
        <w:t xml:space="preserve">in Rwanda </w:t>
      </w:r>
      <w:r w:rsidR="00BA6ECE" w:rsidRPr="00830781">
        <w:t>by 2030</w:t>
      </w:r>
      <w:r w:rsidR="003924A7">
        <w:t xml:space="preserve">. It will also serve </w:t>
      </w:r>
      <w:r w:rsidR="00F926AD">
        <w:t xml:space="preserve">as the foundation for similar country-specific models in the </w:t>
      </w:r>
      <w:proofErr w:type="spellStart"/>
      <w:r w:rsidR="00F926AD">
        <w:t>IeDEA</w:t>
      </w:r>
      <w:proofErr w:type="spellEnd"/>
      <w:r w:rsidR="00F926AD">
        <w:t xml:space="preserve"> Central Africa region</w:t>
      </w:r>
      <w:r w:rsidR="00BA6ECE">
        <w:rPr>
          <w:color w:val="000000" w:themeColor="text1"/>
        </w:rPr>
        <w:t xml:space="preserve">. </w:t>
      </w:r>
    </w:p>
    <w:p w14:paraId="7F865E24" w14:textId="77777777" w:rsidR="007C1743" w:rsidRPr="00CC763B" w:rsidRDefault="007C1743" w:rsidP="00E71320">
      <w:pPr>
        <w:jc w:val="both"/>
        <w:rPr>
          <w:color w:val="000000" w:themeColor="text1"/>
        </w:rPr>
      </w:pPr>
    </w:p>
    <w:p w14:paraId="0FCE3825" w14:textId="77777777" w:rsidR="000B5381" w:rsidRDefault="000B5381" w:rsidP="00E71320">
      <w:pPr>
        <w:pStyle w:val="Heading1"/>
        <w:spacing w:before="0"/>
        <w:rPr>
          <w:rFonts w:cs="Times New Roman"/>
          <w:szCs w:val="24"/>
        </w:rPr>
        <w:sectPr w:rsidR="000B5381" w:rsidSect="000C0C05">
          <w:headerReference w:type="even" r:id="rId16"/>
          <w:headerReference w:type="default" r:id="rId17"/>
          <w:headerReference w:type="first" r:id="rId18"/>
          <w:pgSz w:w="12240" w:h="15840" w:code="1"/>
          <w:pgMar w:top="1440" w:right="1440" w:bottom="1440" w:left="1440" w:header="720" w:footer="720" w:gutter="0"/>
          <w:cols w:space="720"/>
          <w:docGrid w:linePitch="360"/>
        </w:sectPr>
      </w:pPr>
    </w:p>
    <w:p w14:paraId="7FF592CE" w14:textId="436B8B5D" w:rsidR="00361459" w:rsidRPr="00615E45" w:rsidRDefault="00207494" w:rsidP="00E71320">
      <w:pPr>
        <w:pStyle w:val="Heading1"/>
        <w:spacing w:before="0"/>
        <w:rPr>
          <w:rFonts w:cs="Times New Roman"/>
          <w:szCs w:val="24"/>
        </w:rPr>
      </w:pPr>
      <w:bookmarkStart w:id="9" w:name="_Toc82592641"/>
      <w:r w:rsidRPr="00615E45">
        <w:rPr>
          <w:rFonts w:cs="Times New Roman"/>
          <w:szCs w:val="24"/>
        </w:rPr>
        <w:lastRenderedPageBreak/>
        <w:t>M</w:t>
      </w:r>
      <w:r w:rsidR="00D762C5" w:rsidRPr="00615E45">
        <w:rPr>
          <w:rFonts w:cs="Times New Roman"/>
          <w:szCs w:val="24"/>
        </w:rPr>
        <w:t>odel structure</w:t>
      </w:r>
      <w:bookmarkEnd w:id="9"/>
      <w:r w:rsidR="00EE7DFF" w:rsidRPr="00615E45">
        <w:rPr>
          <w:rFonts w:cs="Times New Roman"/>
          <w:szCs w:val="24"/>
        </w:rPr>
        <w:t xml:space="preserve"> </w:t>
      </w:r>
    </w:p>
    <w:p w14:paraId="22FC0710" w14:textId="77777777" w:rsidR="00B7441E" w:rsidRDefault="00B7441E" w:rsidP="00E71320">
      <w:pPr>
        <w:jc w:val="both"/>
        <w:rPr>
          <w:bCs/>
        </w:rPr>
      </w:pPr>
    </w:p>
    <w:p w14:paraId="73D90830" w14:textId="3378F814" w:rsidR="00DD6F21" w:rsidRPr="00830781" w:rsidRDefault="00DD6F21" w:rsidP="00E71320">
      <w:pPr>
        <w:jc w:val="both"/>
        <w:rPr>
          <w:color w:val="000000" w:themeColor="text1"/>
        </w:rPr>
      </w:pPr>
      <w:r w:rsidRPr="00830781">
        <w:rPr>
          <w:bCs/>
        </w:rPr>
        <w:t>The model is a</w:t>
      </w:r>
      <w:r w:rsidR="00A91177">
        <w:rPr>
          <w:bCs/>
        </w:rPr>
        <w:t>n open</w:t>
      </w:r>
      <w:r w:rsidRPr="00830781">
        <w:rPr>
          <w:bCs/>
        </w:rPr>
        <w:t xml:space="preserve"> </w:t>
      </w:r>
      <w:r w:rsidR="00B53B61">
        <w:rPr>
          <w:bCs/>
        </w:rPr>
        <w:t xml:space="preserve">systems model, specifically a </w:t>
      </w:r>
      <w:r w:rsidRPr="00830781">
        <w:rPr>
          <w:bCs/>
        </w:rPr>
        <w:t>dynamic compartmental model</w:t>
      </w:r>
      <w:r w:rsidR="00B53B61">
        <w:rPr>
          <w:bCs/>
        </w:rPr>
        <w:t xml:space="preserve">. These types of models are also </w:t>
      </w:r>
      <w:r w:rsidR="00207494">
        <w:rPr>
          <w:bCs/>
        </w:rPr>
        <w:t>referred to as a dynamic transmission model</w:t>
      </w:r>
      <w:r w:rsidR="00B53B61">
        <w:rPr>
          <w:bCs/>
        </w:rPr>
        <w:t xml:space="preserve"> or dynamic epidemiologic transmission model</w:t>
      </w:r>
      <w:r w:rsidRPr="00830781">
        <w:rPr>
          <w:bCs/>
        </w:rPr>
        <w:t xml:space="preserve">. </w:t>
      </w:r>
      <w:r w:rsidR="00B53B61">
        <w:rPr>
          <w:bCs/>
        </w:rPr>
        <w:t>‘</w:t>
      </w:r>
      <w:r w:rsidR="00B8285B">
        <w:rPr>
          <w:bCs/>
        </w:rPr>
        <w:t>D</w:t>
      </w:r>
      <w:r w:rsidR="00B53B61">
        <w:rPr>
          <w:bCs/>
        </w:rPr>
        <w:t xml:space="preserve">ynamic’ refers </w:t>
      </w:r>
      <w:r w:rsidR="00B8285B">
        <w:rPr>
          <w:bCs/>
        </w:rPr>
        <w:t xml:space="preserve">to the mathematical approximation of HIV disease spread over time. </w:t>
      </w:r>
      <w:r w:rsidR="00207494">
        <w:rPr>
          <w:bCs/>
        </w:rPr>
        <w:t xml:space="preserve">The model is </w:t>
      </w:r>
      <w:r w:rsidR="003924A7">
        <w:rPr>
          <w:bCs/>
        </w:rPr>
        <w:t xml:space="preserve">a simple SIR </w:t>
      </w:r>
      <w:r w:rsidR="00207494">
        <w:rPr>
          <w:bCs/>
        </w:rPr>
        <w:t>model</w:t>
      </w:r>
      <w:r w:rsidR="003924A7">
        <w:rPr>
          <w:bCs/>
        </w:rPr>
        <w:t xml:space="preserve">, </w:t>
      </w:r>
      <w:r w:rsidRPr="00830781">
        <w:rPr>
          <w:bCs/>
        </w:rPr>
        <w:t xml:space="preserve">where </w:t>
      </w:r>
      <w:r w:rsidRPr="00941D1C">
        <w:rPr>
          <w:bCs/>
          <w:i/>
        </w:rPr>
        <w:t>S</w:t>
      </w:r>
      <w:r w:rsidRPr="00830781">
        <w:rPr>
          <w:bCs/>
        </w:rPr>
        <w:t xml:space="preserve"> is susceptible, </w:t>
      </w:r>
      <w:r w:rsidRPr="00941D1C">
        <w:rPr>
          <w:bCs/>
          <w:i/>
        </w:rPr>
        <w:t>I</w:t>
      </w:r>
      <w:r w:rsidRPr="00830781">
        <w:rPr>
          <w:bCs/>
        </w:rPr>
        <w:t xml:space="preserve"> </w:t>
      </w:r>
      <w:proofErr w:type="gramStart"/>
      <w:r w:rsidRPr="00830781">
        <w:rPr>
          <w:bCs/>
        </w:rPr>
        <w:t>is</w:t>
      </w:r>
      <w:proofErr w:type="gramEnd"/>
      <w:r w:rsidRPr="00830781">
        <w:rPr>
          <w:bCs/>
        </w:rPr>
        <w:t xml:space="preserve"> infectious, and </w:t>
      </w:r>
      <w:r w:rsidRPr="00941D1C">
        <w:rPr>
          <w:bCs/>
          <w:i/>
        </w:rPr>
        <w:t>R</w:t>
      </w:r>
      <w:r w:rsidRPr="00830781">
        <w:rPr>
          <w:bCs/>
        </w:rPr>
        <w:t xml:space="preserve"> is removed (i.e. death). The infectious compartment is furthe</w:t>
      </w:r>
      <w:r w:rsidR="00904A9D">
        <w:rPr>
          <w:bCs/>
        </w:rPr>
        <w:t>r adapted so that it contains 26</w:t>
      </w:r>
      <w:r w:rsidRPr="00830781">
        <w:rPr>
          <w:bCs/>
        </w:rPr>
        <w:t xml:space="preserve"> compartments</w:t>
      </w:r>
      <w:r w:rsidR="001B17BB">
        <w:rPr>
          <w:bCs/>
        </w:rPr>
        <w:t xml:space="preserve">, which are defined by </w:t>
      </w:r>
      <w:r w:rsidRPr="00830781">
        <w:rPr>
          <w:bCs/>
        </w:rPr>
        <w:t xml:space="preserve">disease progression </w:t>
      </w:r>
      <w:r w:rsidRPr="00830781">
        <w:rPr>
          <w:color w:val="000000" w:themeColor="text1"/>
        </w:rPr>
        <w:t>and engagement in HIV care (</w:t>
      </w:r>
      <w:r w:rsidR="00E147B0">
        <w:rPr>
          <w:color w:val="000000" w:themeColor="text1"/>
        </w:rPr>
        <w:fldChar w:fldCharType="begin"/>
      </w:r>
      <w:r w:rsidR="00E147B0">
        <w:rPr>
          <w:color w:val="000000" w:themeColor="text1"/>
        </w:rPr>
        <w:instrText xml:space="preserve"> REF _Ref81779170 \h </w:instrText>
      </w:r>
      <w:r w:rsidR="00E147B0">
        <w:rPr>
          <w:color w:val="000000" w:themeColor="text1"/>
        </w:rPr>
      </w:r>
      <w:r w:rsidR="00E147B0">
        <w:rPr>
          <w:color w:val="000000" w:themeColor="text1"/>
        </w:rPr>
        <w:fldChar w:fldCharType="separate"/>
      </w:r>
      <w:r w:rsidR="001E49BE" w:rsidRPr="001169A9">
        <w:rPr>
          <w:b/>
          <w:color w:val="000000" w:themeColor="text1"/>
        </w:rPr>
        <w:t xml:space="preserve">Figure </w:t>
      </w:r>
      <w:r w:rsidR="001E49BE">
        <w:rPr>
          <w:b/>
          <w:noProof/>
          <w:color w:val="000000" w:themeColor="text1"/>
        </w:rPr>
        <w:t>1</w:t>
      </w:r>
      <w:r w:rsidR="00E147B0">
        <w:rPr>
          <w:color w:val="000000" w:themeColor="text1"/>
        </w:rPr>
        <w:fldChar w:fldCharType="end"/>
      </w:r>
      <w:r w:rsidRPr="00830781">
        <w:rPr>
          <w:color w:val="000000" w:themeColor="text1"/>
        </w:rPr>
        <w:t>)</w:t>
      </w:r>
      <w:r w:rsidR="00207494">
        <w:rPr>
          <w:color w:val="000000" w:themeColor="text1"/>
        </w:rPr>
        <w:t xml:space="preserve"> </w:t>
      </w:r>
      <w:r w:rsidR="00F926AD">
        <w:rPr>
          <w:color w:val="000000" w:themeColor="text1"/>
        </w:rPr>
        <w:t>The model captures 25 different sub-populations defined by sex, age group, risk</w:t>
      </w:r>
      <w:r w:rsidR="001B17BB">
        <w:rPr>
          <w:color w:val="000000" w:themeColor="text1"/>
        </w:rPr>
        <w:t xml:space="preserve"> of HIV acquisition</w:t>
      </w:r>
      <w:r w:rsidR="00F926AD">
        <w:rPr>
          <w:color w:val="000000" w:themeColor="text1"/>
        </w:rPr>
        <w:t>, and urbanicity. Each of t</w:t>
      </w:r>
      <w:r w:rsidR="00207494">
        <w:rPr>
          <w:color w:val="000000" w:themeColor="text1"/>
        </w:rPr>
        <w:t xml:space="preserve">he model’s 25 </w:t>
      </w:r>
      <w:r w:rsidR="00464588">
        <w:rPr>
          <w:color w:val="000000" w:themeColor="text1"/>
        </w:rPr>
        <w:t>sub-population</w:t>
      </w:r>
      <w:r w:rsidR="00207494">
        <w:rPr>
          <w:color w:val="000000" w:themeColor="text1"/>
        </w:rPr>
        <w:t>s</w:t>
      </w:r>
      <w:r w:rsidR="003924A7">
        <w:rPr>
          <w:color w:val="000000" w:themeColor="text1"/>
        </w:rPr>
        <w:t xml:space="preserve"> </w:t>
      </w:r>
      <w:r w:rsidR="00F926AD">
        <w:rPr>
          <w:color w:val="000000" w:themeColor="text1"/>
        </w:rPr>
        <w:t xml:space="preserve">are represented by </w:t>
      </w:r>
      <w:r w:rsidR="003924A7">
        <w:rPr>
          <w:color w:val="000000" w:themeColor="text1"/>
        </w:rPr>
        <w:t>the compartments described</w:t>
      </w:r>
      <w:r w:rsidR="00F926AD">
        <w:rPr>
          <w:color w:val="000000" w:themeColor="text1"/>
        </w:rPr>
        <w:t xml:space="preserve">, resulting in a total of 650 model compartments (25 </w:t>
      </w:r>
      <w:r w:rsidR="00464588">
        <w:rPr>
          <w:color w:val="000000" w:themeColor="text1"/>
        </w:rPr>
        <w:t>sub-population</w:t>
      </w:r>
      <w:r w:rsidR="00F926AD">
        <w:rPr>
          <w:color w:val="000000" w:themeColor="text1"/>
        </w:rPr>
        <w:t xml:space="preserve">s x 26 compartments = 650 </w:t>
      </w:r>
      <w:r w:rsidR="00464588">
        <w:rPr>
          <w:color w:val="000000" w:themeColor="text1"/>
        </w:rPr>
        <w:t>sub-population</w:t>
      </w:r>
      <w:r w:rsidR="00F926AD">
        <w:rPr>
          <w:color w:val="000000" w:themeColor="text1"/>
        </w:rPr>
        <w:t xml:space="preserve"> compartments)</w:t>
      </w:r>
      <w:r w:rsidR="003924A7">
        <w:rPr>
          <w:color w:val="000000" w:themeColor="text1"/>
        </w:rPr>
        <w:t>.</w:t>
      </w:r>
      <w:r w:rsidR="00207494">
        <w:rPr>
          <w:color w:val="000000" w:themeColor="text1"/>
        </w:rPr>
        <w:t xml:space="preserve"> </w:t>
      </w:r>
      <w:r w:rsidR="00B53B61">
        <w:rPr>
          <w:color w:val="000000" w:themeColor="text1"/>
        </w:rPr>
        <w:t>The model is deterministic to reduce computational time and has a one-month time step to reflect real-world clinical decision making and disease progression.</w:t>
      </w:r>
      <w:r w:rsidR="00D013FF">
        <w:rPr>
          <w:color w:val="000000" w:themeColor="text1"/>
        </w:rPr>
        <w:t xml:space="preserve"> The model will be calibrated to historical data between 2003 and 20</w:t>
      </w:r>
      <w:r w:rsidR="007656A9">
        <w:rPr>
          <w:color w:val="000000" w:themeColor="text1"/>
        </w:rPr>
        <w:t>20</w:t>
      </w:r>
      <w:r w:rsidR="00D013FF">
        <w:rPr>
          <w:color w:val="000000" w:themeColor="text1"/>
        </w:rPr>
        <w:t xml:space="preserve">, with model projections </w:t>
      </w:r>
      <w:r w:rsidR="007656A9">
        <w:rPr>
          <w:color w:val="000000" w:themeColor="text1"/>
        </w:rPr>
        <w:t xml:space="preserve">over a 30-year time horizon </w:t>
      </w:r>
      <w:r w:rsidR="00D013FF">
        <w:rPr>
          <w:color w:val="000000" w:themeColor="text1"/>
        </w:rPr>
        <w:t>until 20</w:t>
      </w:r>
      <w:r w:rsidR="007656A9">
        <w:rPr>
          <w:color w:val="000000" w:themeColor="text1"/>
        </w:rPr>
        <w:t>50. The 30-year analytic time horizon captures both short- and longer-term decision making.</w:t>
      </w:r>
    </w:p>
    <w:p w14:paraId="71870B73" w14:textId="1295DD13" w:rsidR="00BA6ECE" w:rsidRDefault="00BA6ECE" w:rsidP="00E71320">
      <w:pPr>
        <w:jc w:val="both"/>
        <w:rPr>
          <w:b/>
        </w:rPr>
      </w:pPr>
    </w:p>
    <w:p w14:paraId="5DF5150E" w14:textId="77777777" w:rsidR="00BD46A2" w:rsidRPr="00F529C3" w:rsidRDefault="00BD46A2" w:rsidP="00BD46A2">
      <w:pPr>
        <w:jc w:val="both"/>
      </w:pPr>
      <w:r>
        <w:t xml:space="preserve">We describe analytic decision regarding the model’s infectious compartments below. </w:t>
      </w:r>
    </w:p>
    <w:p w14:paraId="229FD09A" w14:textId="77777777" w:rsidR="00BD46A2" w:rsidRDefault="00BD46A2" w:rsidP="00E71320">
      <w:pPr>
        <w:jc w:val="both"/>
        <w:rPr>
          <w:b/>
          <w:color w:val="000000" w:themeColor="text1"/>
        </w:rPr>
      </w:pPr>
    </w:p>
    <w:p w14:paraId="237CB2BA" w14:textId="77777777" w:rsidR="00BD46A2" w:rsidRDefault="00BD46A2" w:rsidP="00E71320">
      <w:pPr>
        <w:jc w:val="both"/>
        <w:rPr>
          <w:b/>
          <w:color w:val="000000" w:themeColor="text1"/>
        </w:rPr>
      </w:pPr>
    </w:p>
    <w:p w14:paraId="7CC487E9" w14:textId="0F7C2FD9" w:rsidR="00D11A55" w:rsidRPr="000938D7" w:rsidRDefault="00CC502A" w:rsidP="00E71320">
      <w:pPr>
        <w:jc w:val="both"/>
        <w:rPr>
          <w:b/>
        </w:rPr>
      </w:pPr>
      <w:bookmarkStart w:id="10" w:name="_Ref81779170"/>
      <w:bookmarkStart w:id="11" w:name="_Ref81774269"/>
      <w:bookmarkStart w:id="12" w:name="_Toc82592770"/>
      <w:r w:rsidRPr="001169A9">
        <w:rPr>
          <w:b/>
          <w:color w:val="000000" w:themeColor="text1"/>
        </w:rPr>
        <w:t xml:space="preserve">Figure </w:t>
      </w:r>
      <w:r w:rsidRPr="001169A9">
        <w:rPr>
          <w:b/>
          <w:color w:val="000000" w:themeColor="text1"/>
        </w:rPr>
        <w:fldChar w:fldCharType="begin"/>
      </w:r>
      <w:r w:rsidRPr="001169A9">
        <w:rPr>
          <w:b/>
          <w:color w:val="000000" w:themeColor="text1"/>
        </w:rPr>
        <w:instrText xml:space="preserve"> SEQ Figure \* ARABIC </w:instrText>
      </w:r>
      <w:r w:rsidRPr="001169A9">
        <w:rPr>
          <w:b/>
          <w:color w:val="000000" w:themeColor="text1"/>
        </w:rPr>
        <w:fldChar w:fldCharType="separate"/>
      </w:r>
      <w:r w:rsidR="001E49BE">
        <w:rPr>
          <w:b/>
          <w:noProof/>
          <w:color w:val="000000" w:themeColor="text1"/>
        </w:rPr>
        <w:t>1</w:t>
      </w:r>
      <w:r w:rsidRPr="001169A9">
        <w:rPr>
          <w:b/>
          <w:color w:val="000000" w:themeColor="text1"/>
        </w:rPr>
        <w:fldChar w:fldCharType="end"/>
      </w:r>
      <w:bookmarkEnd w:id="10"/>
      <w:r w:rsidRPr="000938D7">
        <w:rPr>
          <w:b/>
          <w:color w:val="000000" w:themeColor="text1"/>
        </w:rPr>
        <w:t xml:space="preserve">. Simplified schematic </w:t>
      </w:r>
      <w:r w:rsidRPr="000938D7">
        <w:rPr>
          <w:b/>
        </w:rPr>
        <w:t xml:space="preserve">for the </w:t>
      </w:r>
      <w:r w:rsidR="00E861FA">
        <w:rPr>
          <w:b/>
        </w:rPr>
        <w:t>CA-</w:t>
      </w:r>
      <w:proofErr w:type="spellStart"/>
      <w:r w:rsidRPr="000938D7">
        <w:rPr>
          <w:b/>
        </w:rPr>
        <w:t>IeDEA</w:t>
      </w:r>
      <w:proofErr w:type="spellEnd"/>
      <w:r w:rsidRPr="000938D7">
        <w:rPr>
          <w:b/>
        </w:rPr>
        <w:t xml:space="preserve"> model</w:t>
      </w:r>
      <w:bookmarkEnd w:id="11"/>
      <w:bookmarkEnd w:id="12"/>
    </w:p>
    <w:p w14:paraId="43615D58" w14:textId="3C394979" w:rsidR="00CC502A" w:rsidRPr="00DF1813" w:rsidRDefault="00D1452D" w:rsidP="00E71320">
      <w:pPr>
        <w:keepNext/>
        <w:jc w:val="both"/>
        <w:rPr>
          <w:color w:val="000000" w:themeColor="text1"/>
        </w:rPr>
      </w:pPr>
      <w:r w:rsidRPr="00D11A55">
        <w:rPr>
          <w:bCs/>
          <w:color w:val="000000" w:themeColor="text1"/>
          <w:sz w:val="20"/>
          <w:szCs w:val="20"/>
        </w:rPr>
        <w:t xml:space="preserve">Legend: </w:t>
      </w:r>
      <w:r w:rsidRPr="00DF1813">
        <w:rPr>
          <w:color w:val="000000" w:themeColor="text1"/>
          <w:sz w:val="20"/>
          <w:szCs w:val="20"/>
        </w:rPr>
        <w:t xml:space="preserve">The arrows represent the movement of population across compartments. </w:t>
      </w:r>
      <w:r w:rsidR="007C7BF7" w:rsidRPr="00DF1813">
        <w:rPr>
          <w:color w:val="000000" w:themeColor="text1"/>
          <w:sz w:val="20"/>
          <w:szCs w:val="20"/>
        </w:rPr>
        <w:t xml:space="preserve">The definition of compartments and parameters are described in Table 2 and Table 3. </w:t>
      </w:r>
      <w:r w:rsidR="00A91177" w:rsidRPr="00DF1813">
        <w:rPr>
          <w:color w:val="000000" w:themeColor="text1"/>
          <w:sz w:val="20"/>
          <w:szCs w:val="20"/>
        </w:rPr>
        <w:t xml:space="preserve">For simplicity, the </w:t>
      </w:r>
      <w:proofErr w:type="gramStart"/>
      <w:r w:rsidR="00A91177" w:rsidRPr="00DF1813">
        <w:rPr>
          <w:color w:val="000000" w:themeColor="text1"/>
          <w:sz w:val="20"/>
          <w:szCs w:val="20"/>
        </w:rPr>
        <w:t>subscripts</w:t>
      </w:r>
      <w:proofErr w:type="gramEnd"/>
      <w:r w:rsidR="00A91177" w:rsidRPr="00DF1813">
        <w:rPr>
          <w:color w:val="000000" w:themeColor="text1"/>
          <w:sz w:val="20"/>
          <w:szCs w:val="20"/>
        </w:rPr>
        <w:t xml:space="preserve"> indicating time is not presented</w:t>
      </w:r>
      <w:r w:rsidR="007C7BF7" w:rsidRPr="00DF1813">
        <w:rPr>
          <w:color w:val="000000" w:themeColor="text1"/>
          <w:sz w:val="20"/>
          <w:szCs w:val="20"/>
        </w:rPr>
        <w:t xml:space="preserve">. The probability of death in each compartment is presented in aggregated form, despite that it varies by compartments. </w:t>
      </w:r>
    </w:p>
    <w:p w14:paraId="6DFC1B43" w14:textId="38A274A9" w:rsidR="00CC502A" w:rsidRDefault="00CC502A" w:rsidP="00E71320">
      <w:pPr>
        <w:jc w:val="both"/>
        <w:rPr>
          <w:b/>
        </w:rPr>
      </w:pPr>
    </w:p>
    <w:p w14:paraId="0DC1A2C7" w14:textId="39F90D2A" w:rsidR="007656A9" w:rsidRDefault="003569D4" w:rsidP="00E71320">
      <w:r>
        <w:rPr>
          <w:b/>
          <w:noProof/>
        </w:rPr>
        <w:drawing>
          <wp:inline distT="0" distB="0" distL="0" distR="0" wp14:anchorId="00C33E95" wp14:editId="1A22FE39">
            <wp:extent cx="5943600" cy="37338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19"/>
                    <a:stretch>
                      <a:fillRect/>
                    </a:stretch>
                  </pic:blipFill>
                  <pic:spPr>
                    <a:xfrm>
                      <a:off x="0" y="0"/>
                      <a:ext cx="5943600" cy="3733800"/>
                    </a:xfrm>
                    <a:prstGeom prst="rect">
                      <a:avLst/>
                    </a:prstGeom>
                  </pic:spPr>
                </pic:pic>
              </a:graphicData>
            </a:graphic>
          </wp:inline>
        </w:drawing>
      </w:r>
      <w:r w:rsidR="007656A9">
        <w:br w:type="page"/>
      </w:r>
    </w:p>
    <w:p w14:paraId="42BC221B" w14:textId="4060FEE4" w:rsidR="00DD6F21" w:rsidRPr="00EC2E0B" w:rsidRDefault="00EC2E0B" w:rsidP="002C3EFA">
      <w:pPr>
        <w:jc w:val="both"/>
        <w:rPr>
          <w:b/>
          <w:lang w:eastAsia="ja-JP"/>
        </w:rPr>
      </w:pPr>
      <w:r w:rsidRPr="00CC65CD">
        <w:rPr>
          <w:b/>
          <w:i/>
        </w:rPr>
        <w:lastRenderedPageBreak/>
        <w:t>Disease progression</w:t>
      </w:r>
      <w:r w:rsidR="009353AE">
        <w:rPr>
          <w:b/>
          <w:i/>
        </w:rPr>
        <w:t xml:space="preserve">: </w:t>
      </w:r>
      <w:r w:rsidR="003924A7">
        <w:rPr>
          <w:color w:val="000000" w:themeColor="text1"/>
        </w:rPr>
        <w:t>D</w:t>
      </w:r>
      <w:r w:rsidR="00DD6F21" w:rsidRPr="00830781">
        <w:rPr>
          <w:color w:val="000000" w:themeColor="text1"/>
        </w:rPr>
        <w:t xml:space="preserve">isease progression </w:t>
      </w:r>
      <w:r w:rsidR="00B329B9">
        <w:rPr>
          <w:color w:val="000000" w:themeColor="text1"/>
        </w:rPr>
        <w:t xml:space="preserve">in the absence of antiretroviral therapy </w:t>
      </w:r>
      <w:r w:rsidR="003924A7">
        <w:rPr>
          <w:color w:val="000000" w:themeColor="text1"/>
        </w:rPr>
        <w:t xml:space="preserve">is defined according to </w:t>
      </w:r>
      <w:r w:rsidR="00105A8C">
        <w:rPr>
          <w:color w:val="000000" w:themeColor="text1"/>
        </w:rPr>
        <w:t xml:space="preserve">4 </w:t>
      </w:r>
      <w:r w:rsidR="003924A7">
        <w:rPr>
          <w:color w:val="000000" w:themeColor="text1"/>
        </w:rPr>
        <w:t>CD4 strata</w:t>
      </w:r>
      <w:r w:rsidR="00B329B9">
        <w:rPr>
          <w:color w:val="000000" w:themeColor="text1"/>
        </w:rPr>
        <w:t xml:space="preserve"> (see below). These strata were selected to reflect historical World Health Organization (WHO) guidelines for ART initiation,</w:t>
      </w:r>
      <w:r w:rsidR="001B1E53">
        <w:rPr>
          <w:color w:val="000000" w:themeColor="text1"/>
        </w:rPr>
        <w:fldChar w:fldCharType="begin" w:fldLock="1"/>
      </w:r>
      <w:r w:rsidR="008B4D0B">
        <w:rPr>
          <w:color w:val="000000" w:themeColor="text1"/>
        </w:rPr>
        <w:instrText>ADDIN CSL_CITATION {"citationItems":[{"id":"ITEM-1","itemData":{"author":[{"dropping-particle":"","family":"World Health Organization","given":"","non-dropping-particle":"","parse-names":false,"suffix":""}],"id":"ITEM-1","issued":{"date-parts":[["2006"]]},"title":"Antiretroviral therapy for HIV infection in adults and adolescents: recommendations for a public health approach","type":"report"},"uris":["http://www.mendeley.com/documents/?uuid=3384eadc-fbfd-403a-8f26-356d73963fb9"]},{"id":"ITEM-2","itemData":{"author":[{"dropping-particle":"","family":"World Health Organization","given":"","non-dropping-particle":"","parse-names":false,"suffix":""}],"id":"ITEM-2","issued":{"date-parts":[["2010"]]},"title":"Antiretroviral therapy for HIV infection in adults and adolescents: recommendations for a public health approach","type":"report"},"uris":["http://www.mendeley.com/documents/?uuid=bc99111c-1c28-4578-af6a-1f4138d98057"]},{"id":"ITEM-3","itemData":{"author":[{"dropping-particle":"","family":"World Health Organization","given":"","non-dropping-particle":"","parse-names":false,"suffix":""}],"id":"ITEM-3","issued":{"date-parts":[["2013"]]},"title":"Consolidated guidelines on the use of antiretroviral drugs for treating and preventing HIV infection: recommendations for a public health approach","type":"report"},"uris":["http://www.mendeley.com/documents/?uuid=14329806-a9e9-4b32-8967-f58485a2eb98"]},{"id":"ITEM-4","itemData":{"DOI":"10.1016/j.jped.2014.04.007","ISBN":"9789241549684","ISSN":"9241549688","PMID":"27466667","abstract":"These guidelines provide guidance on the diagnosis of human immunodeficiency virus\\r\\n(HIV) infection, the use of antiretroviral (ARV) drugs for treating and preventing HIV\\r\\ninfection and the care of people living with HIV. They are structured along the continuum\\r\\nof HIV testing, prevention, treatment and care.","author":[{"dropping-particle":"","family":"World Health Organization","given":"","non-dropping-particle":"","parse-names":false,"suffix":""}],"container-title":"World Health Organization","id":"ITEM-4","issued":{"date-parts":[["2016"]]},"number-of-pages":"155 p.","title":"Consolidated guidelines on the use of antiretroviral drugs for treating and preventing HIV infection: recommendations for a public health approach","type":"report"},"uris":["http://www.mendeley.com/documents/?uuid=21a24c13-1296-44fe-83fe-44f4126818fc"]}],"mendeley":{"formattedCitation":"&lt;sup&gt;1–4&lt;/sup&gt;","plainTextFormattedCitation":"1–4","previouslyFormattedCitation":"&lt;sup&gt;1–4&lt;/sup&gt;"},"properties":{"noteIndex":0},"schema":"https://github.com/citation-style-language/schema/raw/master/csl-citation.json"}</w:instrText>
      </w:r>
      <w:r w:rsidR="001B1E53">
        <w:rPr>
          <w:color w:val="000000" w:themeColor="text1"/>
        </w:rPr>
        <w:fldChar w:fldCharType="separate"/>
      </w:r>
      <w:r w:rsidR="001B1E53" w:rsidRPr="001B1E53">
        <w:rPr>
          <w:noProof/>
          <w:color w:val="000000" w:themeColor="text1"/>
          <w:vertAlign w:val="superscript"/>
        </w:rPr>
        <w:t>1–4</w:t>
      </w:r>
      <w:r w:rsidR="001B1E53">
        <w:rPr>
          <w:color w:val="000000" w:themeColor="text1"/>
        </w:rPr>
        <w:fldChar w:fldCharType="end"/>
      </w:r>
      <w:r w:rsidR="00B329B9">
        <w:rPr>
          <w:color w:val="000000" w:themeColor="text1"/>
        </w:rPr>
        <w:t xml:space="preserve"> which informs model calibration</w:t>
      </w:r>
      <w:r w:rsidR="009353AE">
        <w:rPr>
          <w:color w:val="000000" w:themeColor="text1"/>
        </w:rPr>
        <w:t xml:space="preserve"> and validation</w:t>
      </w:r>
      <w:r w:rsidR="00B329B9">
        <w:rPr>
          <w:color w:val="000000" w:themeColor="text1"/>
        </w:rPr>
        <w:t>. Their inclusion also</w:t>
      </w:r>
      <w:r w:rsidR="003924A7">
        <w:rPr>
          <w:color w:val="000000" w:themeColor="text1"/>
        </w:rPr>
        <w:t xml:space="preserve"> </w:t>
      </w:r>
      <w:r w:rsidR="00B329B9">
        <w:rPr>
          <w:color w:val="000000" w:themeColor="text1"/>
        </w:rPr>
        <w:t xml:space="preserve">captures </w:t>
      </w:r>
      <w:r w:rsidR="009353AE">
        <w:rPr>
          <w:color w:val="000000" w:themeColor="text1"/>
        </w:rPr>
        <w:t xml:space="preserve">empirical </w:t>
      </w:r>
      <w:r w:rsidR="00105A8C">
        <w:rPr>
          <w:color w:val="000000" w:themeColor="text1"/>
        </w:rPr>
        <w:t xml:space="preserve">differences in </w:t>
      </w:r>
      <w:r w:rsidR="002E57B0">
        <w:rPr>
          <w:color w:val="000000" w:themeColor="text1"/>
        </w:rPr>
        <w:t xml:space="preserve">HIV testing uptake, linkage to care, ART initiation and </w:t>
      </w:r>
      <w:r w:rsidR="00105A8C">
        <w:rPr>
          <w:color w:val="000000" w:themeColor="text1"/>
        </w:rPr>
        <w:t xml:space="preserve">mortality based on </w:t>
      </w:r>
      <w:r w:rsidR="002E57B0">
        <w:rPr>
          <w:color w:val="000000" w:themeColor="text1"/>
        </w:rPr>
        <w:t>baseline CD4 cell count</w:t>
      </w:r>
      <w:r w:rsidR="00105A8C">
        <w:rPr>
          <w:color w:val="000000" w:themeColor="text1"/>
        </w:rPr>
        <w:t>.</w:t>
      </w:r>
      <w:r w:rsidR="00E845CE">
        <w:rPr>
          <w:color w:val="000000" w:themeColor="text1"/>
        </w:rPr>
        <w:fldChar w:fldCharType="begin" w:fldLock="1"/>
      </w:r>
      <w:r w:rsidR="008B4D0B">
        <w:rPr>
          <w:color w:val="000000" w:themeColor="text1"/>
        </w:rPr>
        <w:instrText>ADDIN CSL_CITATION {"citationItems":[{"id":"ITEM-1","itemData":{"DOI":"10.1016/S2352-3018(15)00024-7","ISSN":"23523018","abstract":"BACKGROUND: Rwanda has made remarkable progress towards HIV care programme with strong national monitoring and surveillance. Knowledge about the HIV care continuum model can help to improve outcomes in patients. We aimed to quantify engagement, mortality, and loss to follow-up of patients along the HIV care continuum in Rwanda in 2013. METHODS: We collated data for individuals with HIV who participated in the national HIV care programme in Rwanda and calculated the numbers of individuals or proportions of the population at each stage and the transition probabilities between stages of the continuum. We calculated factors associated with mortality and loss to follow-up by fitting Cox proportional hazards regression models, one for the stage of care before antiretroviral therapy (ART) initiation and another for stage of care during ART. FINDINGS: An estimated 204 899 individuals were HIV-positive in Rwanda in 2013. Among these individuals, 176 174 (86%) were in pre-ART or in ART stages and 129 405 (63%) had initiated ART by the end of 2013. 82·1% (95% CI 80·7-83·4) of patients with viral load measurements (n=3066) were virally suppressed (translating to 106 371 individuals or 52% of HIV-positive individuals). Mortality was 0·6% (304 patients) in the pre-ART stage and 1·0% (1255 patients) in the ART stage; 2247 (3·9%) patients were lost to follow-up in pre-ART stage and 2847 (2·2%) lost in ART stage. Risk factors for mortality among patients in both pre-ART and ART stages included older age, CD4 cell count at initiation, and male sex. Risk factors for loss to follow-up among patients at both pre-ART and ART stages included younger age (age 10-29 year) and male sex. s: The HIV care continuum is a multitrajectory pathway in which patients have many opportunities to leave and re-engage in care. Knowledge about the points at which individuals are most likely to leave care could improve large-scale delivery of HIV programmes. FUNDING: The Bill &amp; Melinda Gates Foundation.","author":[{"dropping-particle":"","family":"Nsanzimana","given":"Sabin","non-dropping-particle":"","parse-names":false,"suffix":""},{"dropping-particle":"","family":"Kanters","given":"Steve","non-dropping-particle":"","parse-names":false,"suffix":""},{"dropping-particle":"","family":"Remera","given":"Eric","non-dropping-particle":"","parse-names":false,"suffix":""},{"dropping-particle":"","family":"Forrest","given":"Jamie I.","non-dropping-particle":"","parse-names":false,"suffix":""},{"dropping-particle":"","family":"Binagwaho","given":"Agnes","non-dropping-particle":"","parse-names":false,"suffix":""},{"dropping-particle":"","family":"Condo","given":"Jeanine","non-dropping-particle":"","parse-names":false,"suffix":""},{"dropping-particle":"","family":"Mills","given":"Edward J.","non-dropping-particle":"","parse-names":false,"suffix":""}],"container-title":"The Lancet HIV","id":"ITEM-1","issue":"5","issued":{"date-parts":[["2015"]]},"page":"e208-e215","publisher":"Elsevier Ltd","title":"HIV care continuum in Rwanda: A cross-sectional analysis of the national programme","type":"article-journal","volume":"2"},"uris":["http://www.mendeley.com/documents/?uuid=4b32ede6-9603-4447-abeb-72941f0f711d","http://www.mendeley.com/documents/?uuid=a4f00708-4944-40e8-a115-b5bdefcc23d9"]},{"id":"ITEM-2","itemData":{"DOI":"10.1016/S2214-109X(14)70364-X","ISSN":"2214109X","abstract":"Background: Rwanda has achieved substantial progress in scaling up of antiretroviral therapy. We aimed to assess the effect of increased access to antiretroviral therapy on life expectancy among HIV-positive patients in two distinct periods of lower and higher antiretroviral therapy coverage (1997-2007 and 2008-11). Methods: In a retrospective observational cohort study, we collected clinical and demographic data for all HIV-positive patients enrolled in care at 110 health facilities across all five provinces of Rwanda. We included patients aged 15 years or older with a known enrolment date between 1997 and 2014. We constructed abridged life tables from age-specific mortality rates and life expectancy stratified by sex, CD4 cell count, and WHO disease stage at enrolment in care and initiation of antiretroviral therapy. Findings: We included 72 061 patients in this study, contributing 213 983 person-years of follow-up. The crude mortality rate was 33·4 deaths per 1000 person-years (95% CI 32·7-34·2). Life expectancy for the overall cohort was 25·6 additional years (95% CI 25·1-26·1) at 20 years of age and 23·3 additional years (95% CI 22·9-23·7) at 35 years of age. Life expectancy at 20 years of age in the period of 1997-2007 was 20·4 additional years (95% CI 19·5-21·3); for the period of 2008-11, life expectancy had increased to 25·6 additional years (95% CI 24·8-26·4). Individuals enrolling in care with CD4 cell counts of 500 cells per μL or more, and with WHO disease stage I, had the highest life expectancies. Interpretation: This study adds to the growing body of evidence showing the benefit to HIV-positive patients of early enrolment in care and initiation of antiretroviral therapy. Funding: Bill &amp; Melinda Gates Foundation.","author":[{"dropping-particle":"","family":"Nsanzimana","given":"Sabin","non-dropping-particle":"","parse-names":false,"suffix":""},{"dropping-particle":"","family":"Remera","given":"Eric","non-dropping-particle":"","parse-names":false,"suffix":""},{"dropping-particle":"","family":"Kanters","given":"Steve","non-dropping-particle":"","parse-names":false,"suffix":""},{"drop</w:instrText>
      </w:r>
      <w:r w:rsidR="008B4D0B">
        <w:rPr>
          <w:color w:val="000000" w:themeColor="text1"/>
          <w:lang w:eastAsia="ja-JP"/>
        </w:rPr>
        <w:instrText>ping-particle":"","family":"Chan","given":"Keith","non-dropping-particle":"","parse-names":false,"suffix":""},{"dropping-particle":"","family":"Forrest","given":"Jamie I.","non-dropping-particle":"","parse-names":false,"suffix":""},{"dropping-particle":"","family":"Ford","given":"Nathan","non-dropping-particle":"","parse-names":false,"suffix":""},{"dropping-particle":"","family":"Condo","given":"Jeanine","non-dropping-particle":"","parse-names":false,"suffix":""},{"dropping-particle":"","family":"Binagwaho","given":"Agnes","non-dropping-particle":"","parse-names":false,"suffix":""},{"dropping-particle":"","family":"Mills","given":"Edward J.","non-dropping-particle":"","parse-names":false,"suffix":""}],"container-title":"The Lancet Global Health","id":"ITEM-2","issue":"3","issued":{"date-parts":[["2015"]]},"page":"e169-e177","publisher":"Nsanzimana et al. Open Access article distributed under the terms of CC BY-NC-SA.","title":"Life expectancy among HIV-positive patients in Rwanda: A retrospective observational cohort study","type":"article-journal","volume":"3"},"uris":["http://www.mendeley.com/documents/?uuid=b1939a70-f0e6-427c-9a87-1d3e1675dd71","http://www.mendeley.com/documents/?uuid=8e96ddea-5f3a-419e-b56d-9183405583f9"]}],"mendeley":{"formattedCitation":"&lt;sup&gt;5,6&lt;/sup&gt;","plainTextFormattedCitation":"5,6","previouslyFormattedCitation":"&lt;sup&gt;5,6&lt;/sup&gt;"},"properties":{"noteIndex":0},"schema":"https://github.com/citation-style-language/schema/raw/master/csl-citation.json"}</w:instrText>
      </w:r>
      <w:r w:rsidR="00E845CE">
        <w:rPr>
          <w:color w:val="000000" w:themeColor="text1"/>
        </w:rPr>
        <w:fldChar w:fldCharType="separate"/>
      </w:r>
      <w:r w:rsidR="001B1E53" w:rsidRPr="001B1E53">
        <w:rPr>
          <w:noProof/>
          <w:color w:val="000000" w:themeColor="text1"/>
          <w:vertAlign w:val="superscript"/>
          <w:lang w:eastAsia="ja-JP"/>
        </w:rPr>
        <w:t>5,6</w:t>
      </w:r>
      <w:r w:rsidR="00E845CE">
        <w:rPr>
          <w:color w:val="000000" w:themeColor="text1"/>
        </w:rPr>
        <w:fldChar w:fldCharType="end"/>
      </w:r>
      <w:r w:rsidR="00105A8C">
        <w:rPr>
          <w:color w:val="000000" w:themeColor="text1"/>
          <w:lang w:eastAsia="ja-JP"/>
        </w:rPr>
        <w:t xml:space="preserve">  </w:t>
      </w:r>
    </w:p>
    <w:p w14:paraId="1F2CD271" w14:textId="370EEB2C" w:rsidR="00DD6F21" w:rsidRPr="00830781" w:rsidRDefault="00DD6F21" w:rsidP="002E50FA">
      <w:pPr>
        <w:pStyle w:val="BodyText"/>
        <w:numPr>
          <w:ilvl w:val="0"/>
          <w:numId w:val="2"/>
        </w:numPr>
        <w:spacing w:before="0" w:after="0"/>
        <w:jc w:val="both"/>
        <w:rPr>
          <w:color w:val="000000" w:themeColor="text1"/>
          <w:lang w:eastAsia="ja-JP"/>
        </w:rPr>
      </w:pPr>
      <w:r w:rsidRPr="00830781">
        <w:rPr>
          <w:color w:val="000000" w:themeColor="text1"/>
          <w:lang w:eastAsia="ja-JP"/>
        </w:rPr>
        <w:t xml:space="preserve">Asymptomatic </w:t>
      </w:r>
      <w:r w:rsidR="00F532BE">
        <w:rPr>
          <w:color w:val="000000" w:themeColor="text1"/>
          <w:lang w:eastAsia="ja-JP"/>
        </w:rPr>
        <w:t>e</w:t>
      </w:r>
      <w:r w:rsidRPr="00830781">
        <w:rPr>
          <w:color w:val="000000" w:themeColor="text1"/>
          <w:lang w:eastAsia="ja-JP"/>
        </w:rPr>
        <w:t>arly (CD4 &gt;500)</w:t>
      </w:r>
    </w:p>
    <w:p w14:paraId="1591F24D" w14:textId="66A2870C" w:rsidR="00DD6F21" w:rsidRPr="00830781" w:rsidRDefault="00DD6F21" w:rsidP="002E50FA">
      <w:pPr>
        <w:pStyle w:val="BodyText"/>
        <w:numPr>
          <w:ilvl w:val="0"/>
          <w:numId w:val="2"/>
        </w:numPr>
        <w:spacing w:before="0" w:after="0"/>
        <w:jc w:val="both"/>
        <w:rPr>
          <w:color w:val="000000" w:themeColor="text1"/>
          <w:lang w:eastAsia="ja-JP"/>
        </w:rPr>
      </w:pPr>
      <w:r w:rsidRPr="00830781">
        <w:rPr>
          <w:color w:val="000000" w:themeColor="text1"/>
          <w:lang w:eastAsia="ja-JP"/>
        </w:rPr>
        <w:t xml:space="preserve">Asymptomatic </w:t>
      </w:r>
      <w:r w:rsidR="00F532BE">
        <w:rPr>
          <w:color w:val="000000" w:themeColor="text1"/>
          <w:lang w:eastAsia="ja-JP"/>
        </w:rPr>
        <w:t>l</w:t>
      </w:r>
      <w:r w:rsidRPr="00830781">
        <w:rPr>
          <w:color w:val="000000" w:themeColor="text1"/>
          <w:lang w:eastAsia="ja-JP"/>
        </w:rPr>
        <w:t>ate (CD4 &gt;350 - 500)</w:t>
      </w:r>
    </w:p>
    <w:p w14:paraId="1B091EC2" w14:textId="77777777" w:rsidR="00DD6F21" w:rsidRPr="00830781" w:rsidRDefault="00DD6F21" w:rsidP="002E50FA">
      <w:pPr>
        <w:pStyle w:val="BodyText"/>
        <w:numPr>
          <w:ilvl w:val="0"/>
          <w:numId w:val="2"/>
        </w:numPr>
        <w:spacing w:before="0" w:after="0"/>
        <w:jc w:val="both"/>
        <w:rPr>
          <w:color w:val="000000" w:themeColor="text1"/>
          <w:lang w:eastAsia="ja-JP"/>
        </w:rPr>
      </w:pPr>
      <w:r w:rsidRPr="00830781">
        <w:rPr>
          <w:color w:val="000000" w:themeColor="text1"/>
          <w:lang w:eastAsia="ja-JP"/>
        </w:rPr>
        <w:t>Symptomatic (CD4 &gt;200-350)</w:t>
      </w:r>
    </w:p>
    <w:p w14:paraId="47EDC773" w14:textId="77777777" w:rsidR="00DD6F21" w:rsidRPr="00830781" w:rsidRDefault="00DD6F21" w:rsidP="002E50FA">
      <w:pPr>
        <w:pStyle w:val="BodyText"/>
        <w:numPr>
          <w:ilvl w:val="0"/>
          <w:numId w:val="2"/>
        </w:numPr>
        <w:spacing w:before="0" w:after="0"/>
        <w:jc w:val="both"/>
        <w:rPr>
          <w:color w:val="000000" w:themeColor="text1"/>
          <w:lang w:eastAsia="ja-JP"/>
        </w:rPr>
      </w:pPr>
      <w:r w:rsidRPr="00830781">
        <w:rPr>
          <w:color w:val="000000" w:themeColor="text1"/>
          <w:lang w:eastAsia="ja-JP"/>
        </w:rPr>
        <w:t xml:space="preserve">AIDS (CD4 </w:t>
      </w:r>
      <m:oMath>
        <m:r>
          <w:rPr>
            <w:rFonts w:ascii="Cambria Math" w:hAnsi="Cambria Math"/>
            <w:color w:val="000000" w:themeColor="text1"/>
            <w:lang w:eastAsia="ja-JP"/>
          </w:rPr>
          <m:t>≤</m:t>
        </m:r>
      </m:oMath>
      <w:r w:rsidRPr="00830781">
        <w:rPr>
          <w:color w:val="000000" w:themeColor="text1"/>
          <w:lang w:eastAsia="ja-JP"/>
        </w:rPr>
        <w:t>200)</w:t>
      </w:r>
    </w:p>
    <w:p w14:paraId="691931C0" w14:textId="541D4888" w:rsidR="003A7468" w:rsidRDefault="003A7468">
      <w:pPr>
        <w:jc w:val="both"/>
        <w:rPr>
          <w:b/>
          <w:bCs/>
          <w:i/>
          <w:color w:val="000000" w:themeColor="text1"/>
          <w:lang w:eastAsia="ja-JP"/>
        </w:rPr>
      </w:pPr>
    </w:p>
    <w:p w14:paraId="14E06901" w14:textId="3F85AF1D" w:rsidR="00F96C81" w:rsidRPr="00830781" w:rsidRDefault="009353AE">
      <w:pPr>
        <w:jc w:val="both"/>
        <w:rPr>
          <w:color w:val="000000" w:themeColor="text1"/>
          <w:lang w:eastAsia="ja-JP"/>
        </w:rPr>
      </w:pPr>
      <w:r>
        <w:rPr>
          <w:color w:val="000000" w:themeColor="text1"/>
          <w:lang w:eastAsia="ja-JP"/>
        </w:rPr>
        <w:t>We emphasize that a</w:t>
      </w:r>
      <w:r w:rsidR="00F96C81" w:rsidRPr="00830781">
        <w:rPr>
          <w:color w:val="000000" w:themeColor="text1"/>
          <w:lang w:eastAsia="ja-JP"/>
        </w:rPr>
        <w:t xml:space="preserve">cute HIV was not </w:t>
      </w:r>
      <w:r w:rsidR="00B329B9">
        <w:rPr>
          <w:color w:val="000000" w:themeColor="text1"/>
          <w:lang w:eastAsia="ja-JP"/>
        </w:rPr>
        <w:t xml:space="preserve">explicitly </w:t>
      </w:r>
      <w:r w:rsidR="00F96C81" w:rsidRPr="00830781">
        <w:rPr>
          <w:color w:val="000000" w:themeColor="text1"/>
          <w:lang w:eastAsia="ja-JP"/>
        </w:rPr>
        <w:t>model</w:t>
      </w:r>
      <w:r w:rsidR="00B329B9">
        <w:rPr>
          <w:color w:val="000000" w:themeColor="text1"/>
          <w:lang w:eastAsia="ja-JP"/>
        </w:rPr>
        <w:t>ed</w:t>
      </w:r>
      <w:r>
        <w:rPr>
          <w:color w:val="000000" w:themeColor="text1"/>
          <w:lang w:eastAsia="ja-JP"/>
        </w:rPr>
        <w:t>. This is</w:t>
      </w:r>
      <w:r w:rsidR="00F96C81" w:rsidRPr="00830781">
        <w:rPr>
          <w:color w:val="000000" w:themeColor="text1"/>
          <w:lang w:eastAsia="ja-JP"/>
        </w:rPr>
        <w:t xml:space="preserve"> </w:t>
      </w:r>
      <w:r w:rsidR="00B11104">
        <w:rPr>
          <w:color w:val="000000" w:themeColor="text1"/>
          <w:lang w:eastAsia="ja-JP"/>
        </w:rPr>
        <w:t>because</w:t>
      </w:r>
      <w:r w:rsidR="00B8285B">
        <w:rPr>
          <w:color w:val="000000" w:themeColor="text1"/>
          <w:lang w:eastAsia="ja-JP"/>
        </w:rPr>
        <w:t>:</w:t>
      </w:r>
      <w:r w:rsidR="006019B6">
        <w:rPr>
          <w:color w:val="000000" w:themeColor="text1"/>
          <w:lang w:eastAsia="ja-JP"/>
        </w:rPr>
        <w:t xml:space="preserve"> 1)</w:t>
      </w:r>
      <w:r w:rsidR="00B8285B">
        <w:rPr>
          <w:color w:val="000000" w:themeColor="text1"/>
          <w:lang w:eastAsia="ja-JP"/>
        </w:rPr>
        <w:t xml:space="preserve"> acute HIV </w:t>
      </w:r>
      <w:r w:rsidR="00F96C81" w:rsidRPr="00830781">
        <w:rPr>
          <w:color w:val="000000" w:themeColor="text1"/>
          <w:lang w:eastAsia="ja-JP"/>
        </w:rPr>
        <w:t xml:space="preserve">has a small window </w:t>
      </w:r>
      <w:r w:rsidR="00B8285B">
        <w:rPr>
          <w:color w:val="000000" w:themeColor="text1"/>
          <w:lang w:eastAsia="ja-JP"/>
        </w:rPr>
        <w:t>of detection</w:t>
      </w:r>
      <w:r w:rsidR="00B329B9">
        <w:rPr>
          <w:color w:val="000000" w:themeColor="text1"/>
          <w:lang w:eastAsia="ja-JP"/>
        </w:rPr>
        <w:t xml:space="preserve"> (approximately 14 days)</w:t>
      </w:r>
      <w:r w:rsidR="006019B6">
        <w:rPr>
          <w:color w:val="000000" w:themeColor="text1"/>
          <w:lang w:eastAsia="ja-JP"/>
        </w:rPr>
        <w:t xml:space="preserve"> which will be captured in a single model cycle, </w:t>
      </w:r>
      <w:r w:rsidR="00B8285B">
        <w:rPr>
          <w:color w:val="000000" w:themeColor="text1"/>
          <w:lang w:eastAsia="ja-JP"/>
        </w:rPr>
        <w:t xml:space="preserve">2) </w:t>
      </w:r>
      <w:r w:rsidR="00F96C81" w:rsidRPr="00830781">
        <w:rPr>
          <w:color w:val="000000" w:themeColor="text1"/>
          <w:lang w:eastAsia="ja-JP"/>
        </w:rPr>
        <w:t xml:space="preserve">most commonly used HIV </w:t>
      </w:r>
      <w:r w:rsidR="00B8285B">
        <w:rPr>
          <w:color w:val="000000" w:themeColor="text1"/>
          <w:lang w:eastAsia="ja-JP"/>
        </w:rPr>
        <w:t xml:space="preserve">diagnostic </w:t>
      </w:r>
      <w:r w:rsidR="00F96C81" w:rsidRPr="00830781">
        <w:rPr>
          <w:color w:val="000000" w:themeColor="text1"/>
          <w:lang w:eastAsia="ja-JP"/>
        </w:rPr>
        <w:t xml:space="preserve">tests in </w:t>
      </w:r>
      <w:r w:rsidR="00B8285B">
        <w:rPr>
          <w:color w:val="000000" w:themeColor="text1"/>
          <w:lang w:eastAsia="ja-JP"/>
        </w:rPr>
        <w:t xml:space="preserve">settings like Rwanda </w:t>
      </w:r>
      <w:r w:rsidR="00F96C81" w:rsidRPr="00830781">
        <w:rPr>
          <w:color w:val="000000" w:themeColor="text1"/>
          <w:lang w:eastAsia="ja-JP"/>
        </w:rPr>
        <w:t>are unable to detect HIV at this stage</w:t>
      </w:r>
      <w:r w:rsidR="006019B6">
        <w:rPr>
          <w:color w:val="000000" w:themeColor="text1"/>
          <w:lang w:eastAsia="ja-JP"/>
        </w:rPr>
        <w:t>,</w:t>
      </w:r>
      <w:r w:rsidR="003F2CC5">
        <w:rPr>
          <w:color w:val="000000" w:themeColor="text1"/>
          <w:lang w:eastAsia="ja-JP"/>
        </w:rPr>
        <w:fldChar w:fldCharType="begin" w:fldLock="1"/>
      </w:r>
      <w:r w:rsidR="003F2CC5">
        <w:rPr>
          <w:color w:val="000000" w:themeColor="text1"/>
          <w:lang w:eastAsia="ja-JP"/>
        </w:rPr>
        <w:instrText>ADDIN CSL_CITATION {"citationItems":[{"id":"ITEM-1","itemData":{"author":[{"dropping-particle":"","family":"Ministry of Health (MOH) [Rwanda]","given":"","non-dropping-particle":"","parse-names":false,"suffix":""}],"id":"ITEM-1","issued":{"date-parts":[["2018"]]},"title":"Circular of key changes in HIV prevention and management guidelines","type":"webpage"},"uris":["http://www.mendeley.com/documents/?uuid=1da76e08-432a-4a9f-9401-d9d0be7501bc"]}],"mendeley":{"formattedCitation":"&lt;sup&gt;7&lt;/sup&gt;","plainTextFormattedCitation":"7","previouslyFormattedCitation":"&lt;sup&gt;7&lt;/sup&gt;"},"properties":{"noteIndex":0},"schema":"https://github.com/citation-style-language/schema/raw/master/csl-citation.json"}</w:instrText>
      </w:r>
      <w:r w:rsidR="003F2CC5">
        <w:rPr>
          <w:color w:val="000000" w:themeColor="text1"/>
          <w:lang w:eastAsia="ja-JP"/>
        </w:rPr>
        <w:fldChar w:fldCharType="separate"/>
      </w:r>
      <w:r w:rsidR="003F2CC5" w:rsidRPr="003F2CC5">
        <w:rPr>
          <w:noProof/>
          <w:color w:val="000000" w:themeColor="text1"/>
          <w:vertAlign w:val="superscript"/>
          <w:lang w:eastAsia="ja-JP"/>
        </w:rPr>
        <w:t>7</w:t>
      </w:r>
      <w:r w:rsidR="003F2CC5">
        <w:rPr>
          <w:color w:val="000000" w:themeColor="text1"/>
          <w:lang w:eastAsia="ja-JP"/>
        </w:rPr>
        <w:fldChar w:fldCharType="end"/>
      </w:r>
      <w:r w:rsidR="006019B6">
        <w:rPr>
          <w:color w:val="000000" w:themeColor="text1"/>
          <w:lang w:eastAsia="ja-JP"/>
        </w:rPr>
        <w:t xml:space="preserve">  3) evidence on its impact on disease spread is limited, and 4) this stage does not require different programmatic approaches for epidemic control.</w:t>
      </w:r>
      <w:r w:rsidR="00F96C81" w:rsidRPr="00830781">
        <w:rPr>
          <w:color w:val="000000" w:themeColor="text1"/>
        </w:rPr>
        <w:fldChar w:fldCharType="begin" w:fldLock="1"/>
      </w:r>
      <w:r w:rsidR="003F2CC5">
        <w:rPr>
          <w:color w:val="000000" w:themeColor="text1"/>
          <w:lang w:eastAsia="ja-JP"/>
        </w:rPr>
        <w:instrText>ADDIN CSL_CITATION {"citationItems":[{"id":"ITEM-1","itemData":{"DOI":"10.1093/infdis/jiv430","ISBN":"3124361881","ISSN":"15376613","PMID":"26310309","abstract":"Human immunodeficiency virus (HIV) infection includes acute, early, chronic, and late stages. Acute HIV infection lasts approximately 3 weeks and early HIV infection, which includes acute HIV infection, lasts approximately 7 weeks. Many testing and blood screening algorithms detect HIV antibodies about 3 weeks after HIV infection. Incidence estimates are based on results of modeling, cohort studies, surveillance, and/or assays. Viral load is the key modifiable risk factor for HIV transmission and peaks during acute and early HIV infection. Empirical evidence characterizing the impact of acute and early HIV infection on the spread of the HIV epidemic are limited. Time trends of HIV prevalence collected from concentrated and generalized epidemics suggest that acute and early HIV infection may have a limited role in population HIV transmission. Collectively, these data suggest that acute and early HIV infection is relatively short does not currently require fundamentally different programmatic approaches to manage the HIV/AIDS epidemic in most settings. Research and surveillance will inform which epidemic contexts and phases may require tailored strategies for these stages of HIV infection.","author":[{"dropping-particle":"","family":"Suthar","given":"Amitabh B.","non-dropping-particle":"","parse-names":false,"suffix":""},{"dropping-particle":"","family":"Granich","given":"Reuben M.","non-dropping-particle":"","parse-names":false,"suffix":""},{"dropping-particle":"","family":"Kato","given":"Masaya","non-dropping-particle":"","parse-names":false,"suffix":""},{"dropping-particle":"","family":"Nsanzimana","given":"Sabin","non-dropping-particle":"","parse-names":false,"suffix":""},{"dropping-particle":"","family":"Montaner","given":"Julio S.G.","non-dropping-particle":"","parse-names":false,"suffix":""},{"dropping-particle":"","family":"Williams","given":"Brian G.","non-dropping-particle":"","parse-names":false,"suffix":""}],"container-title":"Journal of Infectious Diseases","id":"ITEM-1","issue":"9","issued":{"date-parts":[["2015"]]},"page":"1351-1360","title":"Programmatic implications of acute and early HIV infection","type":"article-journal","volume":"212"},"uris":["http://www.mendeley.com/documents/?uuid=6d3f33ab-3a9f-4e40-b8bb-e11652331499","http://www.mendeley.com/documents/?uuid=357a004b-2dc3-479b-bf0c-4cf2f7987d15","http://www.mendeley.com/documents/?uuid=0fbedcec-2679-41ae-b42f-56746db3e9a8"]}],"mendeley":{"formattedCitation":"&lt;sup&gt;8&lt;/sup&gt;","plainTextFormattedCitation":"8","previouslyFormattedCitation":"&lt;sup&gt;8&lt;/sup&gt;"},"properties":{"noteIndex":0},"schema":"https://github.com/citation-style-language/schema/raw/master/csl-citation.json"}</w:instrText>
      </w:r>
      <w:r w:rsidR="00F96C81" w:rsidRPr="00830781">
        <w:rPr>
          <w:color w:val="000000" w:themeColor="text1"/>
        </w:rPr>
        <w:fldChar w:fldCharType="separate"/>
      </w:r>
      <w:r w:rsidR="003F2CC5" w:rsidRPr="003F2CC5">
        <w:rPr>
          <w:noProof/>
          <w:color w:val="000000" w:themeColor="text1"/>
          <w:vertAlign w:val="superscript"/>
          <w:lang w:eastAsia="ja-JP"/>
        </w:rPr>
        <w:t>8</w:t>
      </w:r>
      <w:r w:rsidR="00F96C81" w:rsidRPr="00830781">
        <w:rPr>
          <w:color w:val="000000" w:themeColor="text1"/>
        </w:rPr>
        <w:fldChar w:fldCharType="end"/>
      </w:r>
    </w:p>
    <w:p w14:paraId="2C0B0D17" w14:textId="11EF3D55" w:rsidR="00EC2E0B" w:rsidRDefault="00EC2E0B">
      <w:pPr>
        <w:jc w:val="both"/>
        <w:rPr>
          <w:b/>
          <w:bCs/>
          <w:color w:val="000000" w:themeColor="text1"/>
          <w:lang w:eastAsia="ja-JP"/>
        </w:rPr>
      </w:pPr>
    </w:p>
    <w:p w14:paraId="5B01DDCE" w14:textId="1509C73F" w:rsidR="00B11104" w:rsidRDefault="003F2CC5">
      <w:pPr>
        <w:jc w:val="both"/>
        <w:rPr>
          <w:b/>
          <w:bCs/>
          <w:i/>
          <w:color w:val="000000" w:themeColor="text1"/>
          <w:lang w:eastAsia="ja-JP"/>
        </w:rPr>
      </w:pPr>
      <w:r>
        <w:rPr>
          <w:bCs/>
          <w:color w:val="000000" w:themeColor="text1"/>
          <w:lang w:eastAsia="ja-JP"/>
        </w:rPr>
        <w:t xml:space="preserve">We assume no </w:t>
      </w:r>
      <w:r w:rsidR="009353AE">
        <w:rPr>
          <w:bCs/>
          <w:color w:val="000000" w:themeColor="text1"/>
          <w:lang w:eastAsia="ja-JP"/>
        </w:rPr>
        <w:t xml:space="preserve">explicit </w:t>
      </w:r>
      <w:r>
        <w:rPr>
          <w:bCs/>
          <w:color w:val="000000" w:themeColor="text1"/>
          <w:lang w:eastAsia="ja-JP"/>
        </w:rPr>
        <w:t xml:space="preserve">disease progression among individuals on ART </w:t>
      </w:r>
      <w:r w:rsidR="009353AE">
        <w:rPr>
          <w:bCs/>
          <w:color w:val="000000" w:themeColor="text1"/>
          <w:lang w:eastAsia="ja-JP"/>
        </w:rPr>
        <w:t xml:space="preserve">given </w:t>
      </w:r>
      <w:r>
        <w:rPr>
          <w:bCs/>
          <w:color w:val="000000" w:themeColor="text1"/>
          <w:lang w:eastAsia="ja-JP"/>
        </w:rPr>
        <w:t xml:space="preserve">evidence </w:t>
      </w:r>
      <w:r w:rsidR="009353AE">
        <w:rPr>
          <w:bCs/>
          <w:color w:val="000000" w:themeColor="text1"/>
          <w:lang w:eastAsia="ja-JP"/>
        </w:rPr>
        <w:t xml:space="preserve">suggesting CD4 at ART initiation as a primary predictor of </w:t>
      </w:r>
      <w:r>
        <w:rPr>
          <w:bCs/>
          <w:color w:val="000000" w:themeColor="text1"/>
          <w:lang w:eastAsia="ja-JP"/>
        </w:rPr>
        <w:t>health outcomes (</w:t>
      </w:r>
      <w:r w:rsidR="00B1612A">
        <w:rPr>
          <w:bCs/>
          <w:color w:val="000000" w:themeColor="text1"/>
          <w:lang w:eastAsia="ja-JP"/>
        </w:rPr>
        <w:t>e.g.,</w:t>
      </w:r>
      <w:r>
        <w:rPr>
          <w:bCs/>
          <w:color w:val="000000" w:themeColor="text1"/>
          <w:lang w:eastAsia="ja-JP"/>
        </w:rPr>
        <w:t xml:space="preserve"> </w:t>
      </w:r>
      <w:r w:rsidR="00B1612A">
        <w:rPr>
          <w:bCs/>
          <w:color w:val="000000" w:themeColor="text1"/>
          <w:lang w:eastAsia="ja-JP"/>
        </w:rPr>
        <w:t xml:space="preserve">time to </w:t>
      </w:r>
      <w:r>
        <w:rPr>
          <w:bCs/>
          <w:color w:val="000000" w:themeColor="text1"/>
          <w:lang w:eastAsia="ja-JP"/>
        </w:rPr>
        <w:t>AIDS or death).</w:t>
      </w:r>
      <w:r>
        <w:rPr>
          <w:bCs/>
          <w:color w:val="000000" w:themeColor="text1"/>
          <w:lang w:eastAsia="ja-JP"/>
        </w:rPr>
        <w:fldChar w:fldCharType="begin" w:fldLock="1"/>
      </w:r>
      <w:r>
        <w:rPr>
          <w:bCs/>
          <w:color w:val="000000" w:themeColor="text1"/>
          <w:lang w:eastAsia="ja-JP"/>
        </w:rPr>
        <w:instrText>ADDIN CSL_CITATION {"citationItems":[{"id":"ITEM-1","itemData":{"ISSN":"0140-6736","author":[{"dropping-particle":"","family":"Consortium","given":"When To Start","non-dropping-particle":"","parse-names":false,"suffix":""}],"container-title":"The Lancet","id":"ITEM-1","issue":"9672","issued":{"date-parts":[["2009"]]},"page":"1352-1363","publisher":"Elsevier","title":"Timing of initiation of antiretroviral therapy in AIDS-free HIV-1-infected patients: a collaborative analysis of 18 HIV cohort studies","type":"article-journal","volume":"373"},"uris":["http://www.mendeley.com/documents/?uuid=a8bd4a0d-e18c-437e-a94f-35e2c05ed037"]}],"mendeley":{"formattedCitation":"&lt;sup&gt;9&lt;/sup&gt;","plainTextFormattedCitation":"9","previouslyFormattedCitation":"&lt;sup&gt;9&lt;/sup&gt;"},"properties":{"noteIndex":0},"schema":"https://github.com/citation-style-language/schema/raw/master/csl-citation.json"}</w:instrText>
      </w:r>
      <w:r>
        <w:rPr>
          <w:bCs/>
          <w:color w:val="000000" w:themeColor="text1"/>
          <w:lang w:eastAsia="ja-JP"/>
        </w:rPr>
        <w:fldChar w:fldCharType="separate"/>
      </w:r>
      <w:r w:rsidRPr="003F2CC5">
        <w:rPr>
          <w:bCs/>
          <w:noProof/>
          <w:color w:val="000000" w:themeColor="text1"/>
          <w:vertAlign w:val="superscript"/>
          <w:lang w:eastAsia="ja-JP"/>
        </w:rPr>
        <w:t>9</w:t>
      </w:r>
      <w:r>
        <w:rPr>
          <w:bCs/>
          <w:color w:val="000000" w:themeColor="text1"/>
          <w:lang w:eastAsia="ja-JP"/>
        </w:rPr>
        <w:fldChar w:fldCharType="end"/>
      </w:r>
      <w:r w:rsidDel="003F2CC5">
        <w:rPr>
          <w:bCs/>
          <w:color w:val="000000" w:themeColor="text1"/>
          <w:lang w:eastAsia="ja-JP"/>
        </w:rPr>
        <w:t xml:space="preserve"> </w:t>
      </w:r>
    </w:p>
    <w:p w14:paraId="27614E34" w14:textId="77777777" w:rsidR="00B11104" w:rsidRDefault="00B11104">
      <w:pPr>
        <w:jc w:val="both"/>
        <w:rPr>
          <w:b/>
          <w:bCs/>
          <w:color w:val="000000" w:themeColor="text1"/>
          <w:lang w:eastAsia="ja-JP"/>
        </w:rPr>
      </w:pPr>
    </w:p>
    <w:p w14:paraId="01D3623A" w14:textId="1C5F1B53" w:rsidR="00CF7439" w:rsidRPr="00EC2E0B" w:rsidRDefault="009353AE">
      <w:pPr>
        <w:jc w:val="both"/>
        <w:rPr>
          <w:b/>
          <w:lang w:eastAsia="ja-JP"/>
        </w:rPr>
      </w:pPr>
      <w:r>
        <w:rPr>
          <w:b/>
          <w:bCs/>
          <w:i/>
          <w:lang w:eastAsia="ja-JP"/>
        </w:rPr>
        <w:t xml:space="preserve">Engagement in care: </w:t>
      </w:r>
      <w:r>
        <w:rPr>
          <w:bCs/>
          <w:lang w:eastAsia="ja-JP"/>
        </w:rPr>
        <w:t>We model distinct</w:t>
      </w:r>
      <w:r w:rsidR="00B1612A">
        <w:rPr>
          <w:bCs/>
          <w:lang w:eastAsia="ja-JP"/>
        </w:rPr>
        <w:t xml:space="preserve"> </w:t>
      </w:r>
      <w:r w:rsidR="00CF7439" w:rsidRPr="00830781">
        <w:rPr>
          <w:bCs/>
          <w:lang w:eastAsia="ja-JP"/>
        </w:rPr>
        <w:t>stages of engagement in HIV care</w:t>
      </w:r>
      <w:r w:rsidR="00B1612A">
        <w:rPr>
          <w:bCs/>
          <w:lang w:eastAsia="ja-JP"/>
        </w:rPr>
        <w:t xml:space="preserve"> and the HIV care continuum, namely</w:t>
      </w:r>
      <w:r w:rsidR="00CF7439" w:rsidRPr="00830781">
        <w:rPr>
          <w:bCs/>
          <w:lang w:eastAsia="ja-JP"/>
        </w:rPr>
        <w:t>:</w:t>
      </w:r>
    </w:p>
    <w:p w14:paraId="446C633F" w14:textId="482BF868" w:rsidR="00CF7439" w:rsidRPr="00830781" w:rsidRDefault="00941D1C" w:rsidP="002E50FA">
      <w:pPr>
        <w:pStyle w:val="BodyText"/>
        <w:numPr>
          <w:ilvl w:val="0"/>
          <w:numId w:val="3"/>
        </w:numPr>
        <w:spacing w:before="0" w:after="0"/>
        <w:jc w:val="both"/>
        <w:rPr>
          <w:color w:val="000000" w:themeColor="text1"/>
          <w:lang w:eastAsia="ja-JP"/>
        </w:rPr>
      </w:pPr>
      <w:r>
        <w:rPr>
          <w:color w:val="000000" w:themeColor="text1"/>
          <w:lang w:eastAsia="ja-JP"/>
        </w:rPr>
        <w:t>Undiagnosed</w:t>
      </w:r>
    </w:p>
    <w:p w14:paraId="0D28536A" w14:textId="6BED66EB" w:rsidR="00CF7439" w:rsidRPr="00830781" w:rsidRDefault="001B17BB" w:rsidP="002E50FA">
      <w:pPr>
        <w:pStyle w:val="BodyText"/>
        <w:numPr>
          <w:ilvl w:val="0"/>
          <w:numId w:val="3"/>
        </w:numPr>
        <w:spacing w:before="0" w:after="0"/>
        <w:jc w:val="both"/>
        <w:rPr>
          <w:color w:val="000000" w:themeColor="text1"/>
          <w:lang w:eastAsia="ja-JP"/>
        </w:rPr>
      </w:pPr>
      <w:r>
        <w:rPr>
          <w:color w:val="000000" w:themeColor="text1"/>
          <w:lang w:eastAsia="ja-JP"/>
        </w:rPr>
        <w:t>D</w:t>
      </w:r>
      <w:r w:rsidR="00CF7439" w:rsidRPr="00830781">
        <w:rPr>
          <w:color w:val="000000" w:themeColor="text1"/>
          <w:lang w:eastAsia="ja-JP"/>
        </w:rPr>
        <w:t xml:space="preserve">iagnosed </w:t>
      </w:r>
    </w:p>
    <w:p w14:paraId="5F14AFB8" w14:textId="55D2CD75" w:rsidR="00CF7439" w:rsidRPr="00941D1C" w:rsidRDefault="00941D1C" w:rsidP="002E50FA">
      <w:pPr>
        <w:pStyle w:val="BodyText"/>
        <w:numPr>
          <w:ilvl w:val="0"/>
          <w:numId w:val="3"/>
        </w:numPr>
        <w:spacing w:before="0" w:after="0"/>
        <w:jc w:val="both"/>
        <w:rPr>
          <w:color w:val="000000" w:themeColor="text1"/>
          <w:lang w:eastAsia="ja-JP"/>
        </w:rPr>
      </w:pPr>
      <w:r>
        <w:rPr>
          <w:color w:val="000000" w:themeColor="text1"/>
          <w:lang w:eastAsia="ja-JP"/>
        </w:rPr>
        <w:t>L</w:t>
      </w:r>
      <w:r w:rsidR="00CF7439" w:rsidRPr="00941D1C">
        <w:rPr>
          <w:color w:val="000000" w:themeColor="text1"/>
          <w:lang w:eastAsia="ja-JP"/>
        </w:rPr>
        <w:t>inked to</w:t>
      </w:r>
      <w:r w:rsidRPr="00941D1C">
        <w:rPr>
          <w:color w:val="000000" w:themeColor="text1"/>
          <w:lang w:eastAsia="ja-JP"/>
        </w:rPr>
        <w:t xml:space="preserve"> </w:t>
      </w:r>
      <w:r w:rsidR="00CF7439" w:rsidRPr="00941D1C">
        <w:rPr>
          <w:color w:val="000000" w:themeColor="text1"/>
          <w:lang w:eastAsia="ja-JP"/>
        </w:rPr>
        <w:t xml:space="preserve">care </w:t>
      </w:r>
    </w:p>
    <w:p w14:paraId="37A6181C" w14:textId="71854E5E" w:rsidR="00CF7439" w:rsidRPr="00830781" w:rsidRDefault="001B17BB" w:rsidP="002E50FA">
      <w:pPr>
        <w:pStyle w:val="BodyText"/>
        <w:numPr>
          <w:ilvl w:val="0"/>
          <w:numId w:val="3"/>
        </w:numPr>
        <w:spacing w:before="0" w:after="0"/>
        <w:jc w:val="both"/>
        <w:rPr>
          <w:color w:val="000000" w:themeColor="text1"/>
          <w:lang w:eastAsia="ja-JP"/>
        </w:rPr>
      </w:pPr>
      <w:r>
        <w:rPr>
          <w:color w:val="000000" w:themeColor="text1"/>
          <w:lang w:eastAsia="ja-JP"/>
        </w:rPr>
        <w:t>L</w:t>
      </w:r>
      <w:r w:rsidR="00EF6970">
        <w:rPr>
          <w:color w:val="000000" w:themeColor="text1"/>
          <w:lang w:eastAsia="ja-JP"/>
        </w:rPr>
        <w:t xml:space="preserve">ost </w:t>
      </w:r>
      <w:r w:rsidR="00D11A55">
        <w:rPr>
          <w:color w:val="000000" w:themeColor="text1"/>
          <w:lang w:eastAsia="ja-JP"/>
        </w:rPr>
        <w:t>from care</w:t>
      </w:r>
      <w:r w:rsidR="00D11A55" w:rsidDel="00D11A55">
        <w:rPr>
          <w:color w:val="000000" w:themeColor="text1"/>
          <w:lang w:eastAsia="ja-JP"/>
        </w:rPr>
        <w:t xml:space="preserve"> </w:t>
      </w:r>
    </w:p>
    <w:p w14:paraId="312A58A2" w14:textId="0B9372EF" w:rsidR="00CF7439" w:rsidRPr="00B1612A" w:rsidRDefault="001B17BB" w:rsidP="002E50FA">
      <w:pPr>
        <w:pStyle w:val="BodyText"/>
        <w:numPr>
          <w:ilvl w:val="0"/>
          <w:numId w:val="3"/>
        </w:numPr>
        <w:spacing w:before="0" w:after="0"/>
        <w:jc w:val="both"/>
        <w:rPr>
          <w:color w:val="000000" w:themeColor="text1"/>
        </w:rPr>
      </w:pPr>
      <w:r w:rsidRPr="00B1612A">
        <w:rPr>
          <w:color w:val="000000" w:themeColor="text1"/>
          <w:lang w:eastAsia="ja-JP"/>
        </w:rPr>
        <w:t>O</w:t>
      </w:r>
      <w:r w:rsidR="00CF7439" w:rsidRPr="00B1612A">
        <w:rPr>
          <w:color w:val="000000" w:themeColor="text1"/>
          <w:lang w:eastAsia="ja-JP"/>
        </w:rPr>
        <w:t>n ART</w:t>
      </w:r>
      <w:r w:rsidR="00B1612A">
        <w:rPr>
          <w:color w:val="000000" w:themeColor="text1"/>
          <w:lang w:eastAsia="ja-JP"/>
        </w:rPr>
        <w:t xml:space="preserve"> (both</w:t>
      </w:r>
      <w:r w:rsidR="00B11104" w:rsidRPr="00B1612A">
        <w:rPr>
          <w:color w:val="000000" w:themeColor="text1"/>
          <w:lang w:eastAsia="ja-JP"/>
        </w:rPr>
        <w:t xml:space="preserve"> virally </w:t>
      </w:r>
      <w:r w:rsidR="00CF7439" w:rsidRPr="00B1612A">
        <w:rPr>
          <w:color w:val="000000" w:themeColor="text1"/>
          <w:lang w:eastAsia="ja-JP"/>
        </w:rPr>
        <w:t>sup</w:t>
      </w:r>
      <w:r w:rsidR="00CF7439" w:rsidRPr="00B1612A">
        <w:rPr>
          <w:color w:val="000000" w:themeColor="text1"/>
        </w:rPr>
        <w:t xml:space="preserve">pressed </w:t>
      </w:r>
      <w:r w:rsidR="00B1612A" w:rsidRPr="00B1612A">
        <w:rPr>
          <w:color w:val="000000" w:themeColor="text1"/>
        </w:rPr>
        <w:t>and</w:t>
      </w:r>
      <w:r w:rsidR="00B11104" w:rsidRPr="00B1612A">
        <w:rPr>
          <w:color w:val="000000" w:themeColor="text1"/>
        </w:rPr>
        <w:t xml:space="preserve"> not virally </w:t>
      </w:r>
      <w:r w:rsidR="00CF7439" w:rsidRPr="00B1612A">
        <w:rPr>
          <w:color w:val="000000" w:themeColor="text1"/>
        </w:rPr>
        <w:t>suppressed</w:t>
      </w:r>
      <w:r w:rsidR="00B1612A">
        <w:rPr>
          <w:color w:val="000000" w:themeColor="text1"/>
        </w:rPr>
        <w:t>)</w:t>
      </w:r>
    </w:p>
    <w:p w14:paraId="676C6E8C" w14:textId="77777777" w:rsidR="00EC2E0B" w:rsidRDefault="00EC2E0B">
      <w:pPr>
        <w:jc w:val="both"/>
        <w:rPr>
          <w:b/>
          <w:bCs/>
          <w:color w:val="000000" w:themeColor="text1"/>
        </w:rPr>
      </w:pPr>
    </w:p>
    <w:p w14:paraId="49C61916" w14:textId="70FD12D9" w:rsidR="006103E9" w:rsidRDefault="00941D1C">
      <w:pPr>
        <w:jc w:val="both"/>
        <w:rPr>
          <w:color w:val="000000" w:themeColor="text1"/>
        </w:rPr>
      </w:pPr>
      <w:r w:rsidRPr="009353AE">
        <w:rPr>
          <w:bCs/>
          <w:color w:val="000000" w:themeColor="text1"/>
          <w:u w:val="single"/>
        </w:rPr>
        <w:t xml:space="preserve">Diagnosis and </w:t>
      </w:r>
      <w:proofErr w:type="gramStart"/>
      <w:r w:rsidRPr="009353AE">
        <w:rPr>
          <w:bCs/>
          <w:color w:val="000000" w:themeColor="text1"/>
          <w:u w:val="single"/>
        </w:rPr>
        <w:t>Linked</w:t>
      </w:r>
      <w:proofErr w:type="gramEnd"/>
      <w:r w:rsidRPr="009353AE">
        <w:rPr>
          <w:bCs/>
          <w:color w:val="000000" w:themeColor="text1"/>
          <w:u w:val="single"/>
        </w:rPr>
        <w:t xml:space="preserve"> to </w:t>
      </w:r>
      <w:r w:rsidR="00B11104" w:rsidRPr="009353AE">
        <w:rPr>
          <w:bCs/>
          <w:color w:val="000000" w:themeColor="text1"/>
          <w:u w:val="single"/>
        </w:rPr>
        <w:t>care</w:t>
      </w:r>
      <w:r w:rsidR="006103E9" w:rsidRPr="00CC65CD">
        <w:rPr>
          <w:i/>
          <w:color w:val="000000" w:themeColor="text1"/>
        </w:rPr>
        <w:t>:</w:t>
      </w:r>
      <w:r w:rsidR="006103E9">
        <w:rPr>
          <w:color w:val="000000" w:themeColor="text1"/>
        </w:rPr>
        <w:t xml:space="preserve"> </w:t>
      </w:r>
      <w:r>
        <w:rPr>
          <w:color w:val="000000" w:themeColor="text1"/>
        </w:rPr>
        <w:t xml:space="preserve">The analytic rationale to explicitly model </w:t>
      </w:r>
      <w:r w:rsidR="009353AE">
        <w:rPr>
          <w:color w:val="000000" w:themeColor="text1"/>
        </w:rPr>
        <w:t xml:space="preserve">(and decouple) diagnosis and </w:t>
      </w:r>
      <w:r>
        <w:rPr>
          <w:color w:val="000000" w:themeColor="text1"/>
        </w:rPr>
        <w:t xml:space="preserve">linkage to care is </w:t>
      </w:r>
      <w:r w:rsidR="00B1612A">
        <w:rPr>
          <w:color w:val="000000" w:themeColor="text1"/>
        </w:rPr>
        <w:t>based on current evidence.</w:t>
      </w:r>
      <w:r>
        <w:rPr>
          <w:color w:val="000000" w:themeColor="text1"/>
        </w:rPr>
        <w:t xml:space="preserve"> </w:t>
      </w:r>
      <w:commentRangeStart w:id="13"/>
      <w:commentRangeStart w:id="14"/>
      <w:r>
        <w:rPr>
          <w:color w:val="000000" w:themeColor="text1"/>
        </w:rPr>
        <w:t xml:space="preserve">First, recent </w:t>
      </w:r>
      <w:r w:rsidR="00622BD4">
        <w:rPr>
          <w:color w:val="000000" w:themeColor="text1"/>
        </w:rPr>
        <w:t xml:space="preserve">evidence </w:t>
      </w:r>
      <w:r>
        <w:rPr>
          <w:color w:val="000000" w:themeColor="text1"/>
        </w:rPr>
        <w:t xml:space="preserve">suggests </w:t>
      </w:r>
      <w:r w:rsidR="00622BD4">
        <w:rPr>
          <w:color w:val="000000" w:themeColor="text1"/>
        </w:rPr>
        <w:t>that not all</w:t>
      </w:r>
      <w:r w:rsidR="002B7CF7">
        <w:rPr>
          <w:color w:val="000000" w:themeColor="text1"/>
        </w:rPr>
        <w:t xml:space="preserve"> Rwandans</w:t>
      </w:r>
      <w:r w:rsidR="00622BD4">
        <w:rPr>
          <w:color w:val="000000" w:themeColor="text1"/>
        </w:rPr>
        <w:t xml:space="preserve"> diagnosed with HIV are linked to care and initiated on ART within 30 days</w:t>
      </w:r>
      <w:r w:rsidR="00C72BD4">
        <w:rPr>
          <w:color w:val="000000" w:themeColor="text1"/>
        </w:rPr>
        <w:t>,</w:t>
      </w:r>
      <w:r w:rsidR="00622BD4" w:rsidRPr="00830781">
        <w:rPr>
          <w:color w:val="000000" w:themeColor="text1"/>
        </w:rPr>
        <w:fldChar w:fldCharType="begin" w:fldLock="1"/>
      </w:r>
      <w:r w:rsidR="007527CC">
        <w:rPr>
          <w:color w:val="000000" w:themeColor="text1"/>
        </w:rPr>
        <w:instrText>ADDIN CSL_CITATION {"citationItems":[{"id":"ITEM-1","itemData":{"DOI":"10.1002/jia2.25279","ISSN":"1758-2652","author":[{"dropping-particle":"","family":"Ross","given":"Jonathan","non-dropping-particle":"","parse-names":false,"suffix":""},{"dropping-particle":"","family":"Sinayobye","given":"Jean d'Amour","non-dropping-particle":"","parse-names":false,"suffix":""},{"dropping-particle":"","family":"Yotebieng","given":"Marcel","non-dropping-particle":"","parse-names":false,"suffix":""},{"dropping-particle":"","family":"Hoover","given":"Donald R","non-dropping-particle":"","parse-names":false,"suffix":""},{"dropping-particle":"","family":"Shi","given":"Qiuhu","non-dropping-particle":"","parse-names":false,"suffix":""},{"dropping-particle":"","family":"Ribakare","given":"Muhayimpundu","non-dropping-particle":"","parse-names":false,"suffix":""},{"dropping-particle":"","family":"Remera","given":"Eric","non-dropping-particle":"","parse-names":false,"suffix":""},{"dropping-particle":"","family":"Bachhuber","given":"Marcus A","non-dropping-particle":"","parse-names":false,"suffix":""},{"dropping-particle":"","family":"Murenzi","given":"Gad","non-dropping-particle":"","parse-names":false,"suffix":""},{"dropping-particle":"","family":"Sugira","given":"Vincent","non-dropping-particle":"","parse-names":false,"suffix":""},{"dropping-particle":"","family":"Nash","given":"Denis","non-dropping-particle":"","parse-names":false,"suffix":""},{"dropping-particle":"","family":"Anastos","given":"Kathryn","non-dropping-particle":"","parse-names":false,"suffix":""}],"container-title":"Journal of the International AIDS Society","id":"ITEM-1","issue":"4","issued":{"date-parts":[["2019"]]},"page":"e25279","title":"Early outcomes after implementation of &lt;i&gt;treat all&lt;/i&gt; in Rwanda: an interrupted time series study","type":"article-journal","volume":"22"},"uris":["http://www.mendeley.com/documents/?uuid=add9f2cd-a9b8-4905-9f2d-d39f48095cf7","http://www.mendeley.com/documents/?uuid=b0c88856-6c9b-433c-97e0-78c4e326476a","http://www.mendeley.com/documents/?uuid=2fce40a2-d598-4685-bec9-6f0a5c93e1e7","http://www.mendeley.com/documents/?uuid=c5271765-f0ca-444b-8679-bfcc39d48b87"]},{"id":"ITEM-2","itemData":{"DOI":"10.1016/S2352-3018(15)00112-5","ISSN":"23523018","abstract":"Background Continued debate exists about whether initiation of antiretroviral therapy (ART) in symptom-free patients at higher baseline CD4 cell counts results in important clinical benefi ts. We aimed to examine to what extent baseline CD4 cell count at linkage to HIV care and at ART initiation predicts mortality in adults with HIV in Rwanda. Methods We included data for patients with HIV in Rwanda who were aged 15 years or older and linked to care or initiated ART between Jan 1, 1997, and April 30, 2014, from nationally representative databases. We analysed the eff ect on mortality of baseline CD4 cell count at ART initiation and at linkage to care. Follow-up time was measured from time of ART initiation and from linkage to HIV care to study exit. To account for eff ect modifi cation by time, we stratifi ed by era of linkage (before 2008 vs 2008 or after) and for other indications for initiation of ART. We also stratifi ed CD4 cell count by indication to initiate ART other than CD4 cell count status. We used Cox proportional hazard regressions to examine the eff ect of CD4 cell count at linkage and at ART initiation on mortality. Findings Our analysis was based on data from 50 147 patients who initiated ART and 72 061 patients linked to care. In the late era (2008 and after), linkage to care at a CD4 cell count of 100-199 cells per μL without any further indication was associated with higher mortality than linkage at 200-349 cells per μL (hazard ratio [HR] 1·37, 95% CI 0·95-1·97); the eff ect was much the same for initiation of ART in this CD4 stratum (1·37, 0·92-2·04). For higher CD4 strata, linkage to care at 500 cells per μL or more was protective (0·53, 0·39-0·72), whereas the reported eff ect of initiation of ART on mortality was not distinguishable from chance alone (0·82, 0·21-3·20). Interpretation Eff orts are needed to link and retain patients early in pre-ART HIV care. In settings where ART is not yet available for immediate treatment, retention in a strong pre-ART programme is eff ective at improving survival. Funding The Bill &amp; Melinda Gates Foundation.","author":[{"dropping-particle":"","family":"Nsanzimana","given":"Sabin","non-dropping-particle":"","parse-names":false,"suffix":""},{"dropping-particle":"","family":"Remera","given":"Eric","non-dropping-particle":"","parse-names":false,"suffix":""},{"dropping-particle":"","family":"Kanters","given":"Steve","non-dropping-particle":"","parse-names":false,"suffix":""},{"dropping-particle":"","family":"Forrest","given":"Jamie I.","non-dropping-particle":"","parse-names":false,"suffix":""},{"dropping-particle":"","family":"Ford","given":"Nathan","non-dropping-particle":"","parse-names":false,"suffix":""},{"dropping-particle":"","family":"Condo","given":"Jeanine","non-dropping-particle":"","parse-names":false,"suffix":""},{"dropping-particle":"","family":"Binagwaho","given":"Agnes","non-dropping-particle":"","parse-names":false,"suffix":""},{"dropping-particle":"","family":"Bucher","given":"Heiner","non-dropping-particle":"","parse-names":false,"suffix":""},{"dropping-particle":"","family":"Thorlund","given":"Kristian","non-dropping-particle":"","parse-names":false,"suffix":""},{"dropping-particle":"","family":"Vitoria","given":"Marco","non-dropping-particle":"","parse-names":false,"suffix":""},{"dropping-particle":"","family":"Mills","given":"Edward J.","non-dropping-particle":"","parse-names":false,"suffix":""}],"container-title":"The Lancet HIV","id":"ITEM-2","issue":"9","issued":{"date-parts":[["2015"]]},"page":"e376-e384","publisher":"Elsevier Ltd","title":"Effect of baseline cd4 cell count at linkage to hiv care and at initiation of antiretroviral therapy on mortality in hivpositive adult patients in Rwanda: A nationwide cohort study","type":"article-journal","volume":"2"},"uris":["http://www.mendeley.com/documents/?uuid=07030044-4636-4296-a7be-7467e7459c1d","http://www.mendeley.com/documents/?uuid=f8ea3394-de99-4bc2-9804-417f5c979229"]}],"mendeley":{"formattedCitation":"&lt;sup&gt;10,11&lt;/sup&gt;","plainTextFormattedCitation":"10,11","previouslyFormattedCitation":"&lt;sup&gt;11,12&lt;/sup&gt;"},"properties":{"noteIndex":0},"schema":"https://github.com/citation-style-language/schema/raw/master/csl-citation.json"}</w:instrText>
      </w:r>
      <w:r w:rsidR="00622BD4" w:rsidRPr="00830781">
        <w:rPr>
          <w:color w:val="000000" w:themeColor="text1"/>
        </w:rPr>
        <w:fldChar w:fldCharType="separate"/>
      </w:r>
      <w:r w:rsidR="007527CC" w:rsidRPr="007527CC">
        <w:rPr>
          <w:noProof/>
          <w:color w:val="000000" w:themeColor="text1"/>
          <w:vertAlign w:val="superscript"/>
        </w:rPr>
        <w:t>10,11</w:t>
      </w:r>
      <w:r w:rsidR="00622BD4" w:rsidRPr="00830781">
        <w:rPr>
          <w:color w:val="000000" w:themeColor="text1"/>
        </w:rPr>
        <w:fldChar w:fldCharType="end"/>
      </w:r>
      <w:r w:rsidR="00C72BD4">
        <w:rPr>
          <w:color w:val="000000" w:themeColor="text1"/>
        </w:rPr>
        <w:t xml:space="preserve"> despite that timely linkage to care</w:t>
      </w:r>
      <w:r w:rsidR="008C4818">
        <w:rPr>
          <w:color w:val="000000" w:themeColor="text1"/>
        </w:rPr>
        <w:t xml:space="preserve"> (i.e., within 30 days after diagnosis)</w:t>
      </w:r>
      <w:r w:rsidR="00C72BD4">
        <w:rPr>
          <w:color w:val="000000" w:themeColor="text1"/>
        </w:rPr>
        <w:t xml:space="preserve"> </w:t>
      </w:r>
      <w:r w:rsidR="008C4818">
        <w:rPr>
          <w:color w:val="000000" w:themeColor="text1"/>
        </w:rPr>
        <w:t>is recommended for HIV treatment and care.</w:t>
      </w:r>
      <w:r w:rsidR="008C4818">
        <w:rPr>
          <w:color w:val="000000" w:themeColor="text1"/>
        </w:rPr>
        <w:fldChar w:fldCharType="begin" w:fldLock="1"/>
      </w:r>
      <w:r w:rsidR="008C4818">
        <w:rPr>
          <w:color w:val="000000" w:themeColor="text1"/>
        </w:rPr>
        <w:instrText>ADDIN CSL_CITATION {"citationItems":[{"id":"ITEM-1","itemData":{"DOI":"10.1016/j.jped.2014.04.007","ISBN":"9789241549684","ISSN":"9241549688","PMID":"27466667","abstract":"These guidelines provide guidance on the diagnosis of human immunodeficiency virus\\r\\n(HIV) infection, the use of antiretroviral (ARV) drugs for treating and preventing HIV\\r\\ninfection and the care of people living with HIV. They are structured along the continuum\\r\\nof HIV testing, prevention, treatment and care.","author":[{"dropping-particle":"","family":"World Health Organization","given":"","non-dropping-particle":"","parse-names":false,"suffix":""}],"container-title":"World Health Organization","id":"ITEM-1","issued":{"date-parts":[["2016"]]},"number-of-pages":"155 p.","title":"Consolidated guidelines on the use of antiretroviral drugs for treating and preventing HIV infection: recommendations for a public health approach","type":"report"},"uris":["http://www.mendeley.com/documents/?uuid=97114698-7b07-40d2-ba68-c822081ef8e5","http://www.mendeley.com/documents/?uuid=21a24c13-1296-44fe-83fe-44f4126818fc"]}],"mendeley":{"formattedCitation":"&lt;sup&gt;4&lt;/sup&gt;","plainTextFormattedCitation":"4","previouslyFormattedCitation":"&lt;sup&gt;4&lt;/sup&gt;"},"properties":{"noteIndex":0},"schema":"https://github.com/citation-style-language/schema/raw/master/csl-citation.json"}</w:instrText>
      </w:r>
      <w:r w:rsidR="008C4818">
        <w:rPr>
          <w:color w:val="000000" w:themeColor="text1"/>
        </w:rPr>
        <w:fldChar w:fldCharType="separate"/>
      </w:r>
      <w:r w:rsidR="008C4818" w:rsidRPr="001B1E53">
        <w:rPr>
          <w:noProof/>
          <w:color w:val="000000" w:themeColor="text1"/>
          <w:vertAlign w:val="superscript"/>
        </w:rPr>
        <w:t>4</w:t>
      </w:r>
      <w:r w:rsidR="008C4818">
        <w:rPr>
          <w:color w:val="000000" w:themeColor="text1"/>
        </w:rPr>
        <w:fldChar w:fldCharType="end"/>
      </w:r>
      <w:r w:rsidR="00622BD4">
        <w:rPr>
          <w:color w:val="000000" w:themeColor="text1"/>
        </w:rPr>
        <w:t xml:space="preserve"> </w:t>
      </w:r>
      <w:commentRangeEnd w:id="13"/>
      <w:r w:rsidR="00B1612A">
        <w:rPr>
          <w:rStyle w:val="CommentReference"/>
        </w:rPr>
        <w:commentReference w:id="13"/>
      </w:r>
      <w:commentRangeEnd w:id="14"/>
      <w:r w:rsidR="008C4818">
        <w:rPr>
          <w:rStyle w:val="CommentReference"/>
        </w:rPr>
        <w:commentReference w:id="14"/>
      </w:r>
      <w:r w:rsidR="002B7CF7">
        <w:rPr>
          <w:color w:val="000000" w:themeColor="text1"/>
        </w:rPr>
        <w:t>Additionally</w:t>
      </w:r>
      <w:r>
        <w:rPr>
          <w:color w:val="000000" w:themeColor="text1"/>
        </w:rPr>
        <w:t>, e</w:t>
      </w:r>
      <w:r>
        <w:rPr>
          <w:bCs/>
          <w:color w:val="000000" w:themeColor="text1"/>
        </w:rPr>
        <w:t>vidence suggests that linkage to care varies by type of HIV testing strategy</w:t>
      </w:r>
      <w:r>
        <w:rPr>
          <w:bCs/>
          <w:color w:val="000000" w:themeColor="text1"/>
        </w:rPr>
        <w:fldChar w:fldCharType="begin" w:fldLock="1"/>
      </w:r>
      <w:r w:rsidR="007527CC">
        <w:rPr>
          <w:bCs/>
          <w:color w:val="000000" w:themeColor="text1"/>
        </w:rPr>
        <w:instrText>ADDIN CSL_CITATION {"citationItems":[{"id":"ITEM-1","itemData":{"DOI":"10.1038/nature16044.A","author":[{"dropping-particle":"","family":"Sharma","given":"Monisha","non-dropping-particle":"","parse-names":false,"suffix":""},{"dropping-particle":"","family":"Ying","given":"Roger","non-dropping-particle":"","parse-names":false,"suffix":""},{"dropping-particle":"","family":"Tarr","given":"Gillian","non-dropping-particle":"","parse-names":false,"suffix":""},{"dropping-particle":"","family":"Barnabas","given":"Ruanne","non-dropping-particle":"","parse-names":false,"suffix":""},{"dropping-particle":"","family":"Division","given":"Infectious Diseases","non-dropping-particle":"","parse-names":false,"suffix":""},{"dropping-particle":"","family":"Hutchinson","given":"Fred","non-dropping-particle":"","parse-names":false,"suffix":""}],"container-title":"Nature","id":"ITEM-1","issue":"7580","issued":{"date-parts":[["2015"]]},"page":"S77-S85","title":"A systematic review and meta-analysis of community and facility-based approaches to address gaps in HIV testing and linkage in sub-Saharan Africa","type":"article-journal","volume":"528"},"uris":["http://www.mendeley.com/documents/?uuid=f0fc00d4-4a01-415d-a76d-740ad9b4ad63"]},{"id":"ITEM-2","itemData":{"DOI":"10.1016/S2352-3018(15)00112-5","ISSN":"23523018","abstract":"Background Continued debate exists about whether initiation of antiretroviral therapy (ART) in symptom-free patients at higher baseline CD4 cell counts results in important clinical benefi ts. We aimed to examine to what extent baseline CD4 cell count at linkage to HIV care and at ART initiation predicts mortality in adults with HIV in Rwanda. Methods We included data for patients with HIV in Rwanda who were aged 15 years or older and linked to care or initiated ART between Jan 1, 1997, and April 30, 2014, from nationally representative databases. We analysed the eff ect on mortality of baseline CD4 cell count at ART initiation and at linkage to care. Follow-up time was measured from time of ART initiation and from linkage to HIV care to study exit. To account for eff ect modifi cation by time, we stratifi ed by era of linkage (before 2008 vs 2008 or after) and for other indications for initiation of ART. We also stratifi ed CD4 cell count by indication to initiate ART other than CD4 cell count status. We used Cox proportional hazard regressions to examine the eff ect of CD4 cell count at linkage and at ART initiation on mortality. Findings Our analysis was based on data from 50 147 patients who initiated ART and 72 061 patients linked to care. In the late era (2008 and after), linkage to care at a CD4 cell count of 100-199 cells per μL without any further indication was associated with higher mortality than linkage at 200-349 cells per μL (hazard ratio [HR] 1·37, 95% CI 0·95-1·97); the eff ect was much the same for initiation of ART in this CD4 stratum (1·37, 0·92-2·04). For higher CD4 strata, linkage to care at 500 cells per μL or more was protective (0·53, 0·39-0·72), whereas the reported eff ect of initiation of ART on mortality was not distinguishable from chance alone (0·82, 0·21-3·20). Interpretation Eff orts are needed to link and retain patients early in pre-ART HIV care. In settings where ART is not yet available for immediate treatment, retention in a strong pre-ART programme is eff ective at improving survival. Funding The Bill &amp; Melinda Gates Foundation.","author":[{"dropping-particle":"","family":"Nsanzimana","given":"Sabin","non-dropping-particle":"","parse-names":false,"suffix":""},{"dropping-particle":"","family":"Remera","given":"Eric","non-dropping-particle":"","parse-names":false,"suffix":""},{"dropping-particle":"","family":"Kanters","given":"Steve","non-dropping-particle":"","parse-names":false,"suffix":""},{"dropping-particle":"","family":"Forrest","given":"Jamie I.","non-dropping-particle":"","parse-names":false,"suffix":""},{"dropping-particle":"","family":"Ford","given":"Nathan","non-dropping-particle":"","parse-names":false,"suffix":""},{"dropping-particle":"","family":"Condo","given":"Jeanine","non-dropping-particle":"","parse-names":false,"suffix":""},{"dropping-particle":"","family":"Binagwaho","given":"Agnes","non-dropping-particle":"","parse-names":false,"suffix":""},{"dropping-particle":"","family":"Bucher","given":"Heiner","non-dropping-particle":"","parse-names":false,"suffix":""},{"dropping-particle":"","family":"Thorlund","given":"Kristian","non-dropping-particle":"","parse-names":false,"suffix":""},{"dropping-particle":"","family":"Vitoria","given":"Marco","non-dropping-particle":"","parse-names":false,"suffix":""},{"dropping-particle":"","family":"Mills","given":"Edward J.","non-dropping-particle":"","parse-names":false,"suffix":""}],"container-title":"The Lancet HIV","id":"ITEM-2","issue":"9","issued":{"date-parts":[["2015"]]},"page":"e376-e384","publisher":"Elsevier Ltd","title":"Effect of baseline cd4 cell count at linkage to hiv care and at initiation of antiretroviral therapy on mortality in hivpositive adult patients in Rwanda: A nationwide cohort study","type":"article-journal","volume":"2"},"uris":["http://www.mendeley.com/documents/?uuid=f8ea3394-de99-4bc2-9804-417f5c979229","http://www.mendeley.com/documents/?uuid=07030044-4636-4296-a7be-7467e7459c1d"]}],"mendeley":{"formattedCitation":"&lt;sup&gt;11,12&lt;/sup&gt;","plainTextFormattedCitation":"11,12","previouslyFormattedCitation":"&lt;sup&gt;12,13&lt;/sup&gt;"},"properties":{"noteIndex":0},"schema":"https://github.com/citation-style-language/schema/raw/master/csl-citation.json"}</w:instrText>
      </w:r>
      <w:r>
        <w:rPr>
          <w:bCs/>
          <w:color w:val="000000" w:themeColor="text1"/>
        </w:rPr>
        <w:fldChar w:fldCharType="separate"/>
      </w:r>
      <w:r w:rsidR="007527CC" w:rsidRPr="007527CC">
        <w:rPr>
          <w:bCs/>
          <w:noProof/>
          <w:color w:val="000000" w:themeColor="text1"/>
          <w:vertAlign w:val="superscript"/>
        </w:rPr>
        <w:t>11,12</w:t>
      </w:r>
      <w:r>
        <w:rPr>
          <w:bCs/>
          <w:color w:val="000000" w:themeColor="text1"/>
        </w:rPr>
        <w:fldChar w:fldCharType="end"/>
      </w:r>
      <w:r>
        <w:rPr>
          <w:bCs/>
          <w:color w:val="000000" w:themeColor="text1"/>
        </w:rPr>
        <w:t xml:space="preserve"> and study population.</w:t>
      </w:r>
      <w:r>
        <w:rPr>
          <w:bCs/>
          <w:color w:val="000000" w:themeColor="text1"/>
        </w:rPr>
        <w:fldChar w:fldCharType="begin" w:fldLock="1"/>
      </w:r>
      <w:r w:rsidR="007527CC">
        <w:rPr>
          <w:bCs/>
          <w:color w:val="000000" w:themeColor="text1"/>
        </w:rPr>
        <w:instrText>ADDIN CSL_CITATION {"citationItems":[{"id":"ITEM-1","itemData":{"DOI":"10.2989/16085906.2016.1255652.HIV","ISBN":"1608-5906 1727-9445","ISSN":"17279445","PMID":"27974017","author":[{"dropping-particle":"","family":"Lancaster","given":"Kathryn E","non-dropping-particle":"","parse-names":false,"suffix":""},{"dropping-particle":"","family":"Cernigliaro","given":"Dana","non-dropping-particle":"","parse-names":false,"suffix":""},{"dropping-particle":"","family":"Zulliger","given":"Rose","non-dropping-particle":"","parse-names":false,"suffix":""},{"dropping-particle":"","family":"Fleming","given":"Paul F","non-dropping-particle":"","parse-names":false,"suffix":""},{"dropping-particle":"","family":"Hill","given":"Chapel","non-dropping-particle":"","parse-names":false,"suffix":""},{"dropping-particle":"","family":"Carolina","given":"North","non-dropping-particle":"","parse-names":false,"suffix":""},{"dropping-particle":"","family":"Arbor","given":"Ann","non-dropping-particle":"","parse-names":false,"suffix":""}],"id":"ITEM-1","issue":"4","issued":{"date-parts":[["2017"]]},"page":"377-386","title":"HIV care and treatment experiences among female sex workers living with HIV in sub Saharan Africa: A systematic review","type":"article-journal","volume":"15"},"uris":["http://www.mendeley.com/documents/?uuid=aa780384-8958-4cd6-9e4b-8c72c00fa967"]}],"mendeley":{"formattedCitation":"&lt;sup&gt;13&lt;/sup&gt;","plainTextFormattedCitation":"13","previouslyFormattedCitation":"&lt;sup&gt;14&lt;/sup&gt;"},"properties":{"noteIndex":0},"schema":"https://github.com/citation-style-language/schema/raw/master/csl-citation.json"}</w:instrText>
      </w:r>
      <w:r>
        <w:rPr>
          <w:bCs/>
          <w:color w:val="000000" w:themeColor="text1"/>
        </w:rPr>
        <w:fldChar w:fldCharType="separate"/>
      </w:r>
      <w:r w:rsidR="007527CC" w:rsidRPr="007527CC">
        <w:rPr>
          <w:bCs/>
          <w:noProof/>
          <w:color w:val="000000" w:themeColor="text1"/>
          <w:vertAlign w:val="superscript"/>
        </w:rPr>
        <w:t>13</w:t>
      </w:r>
      <w:r>
        <w:rPr>
          <w:bCs/>
          <w:color w:val="000000" w:themeColor="text1"/>
        </w:rPr>
        <w:fldChar w:fldCharType="end"/>
      </w:r>
      <w:r>
        <w:rPr>
          <w:bCs/>
          <w:color w:val="000000" w:themeColor="text1"/>
        </w:rPr>
        <w:t xml:space="preserve"> </w:t>
      </w:r>
      <w:r>
        <w:rPr>
          <w:color w:val="000000" w:themeColor="text1"/>
        </w:rPr>
        <w:t xml:space="preserve">Therefore, we explicitly model linkage to care, including </w:t>
      </w:r>
      <w:r w:rsidR="00B508D9">
        <w:rPr>
          <w:color w:val="000000" w:themeColor="text1"/>
        </w:rPr>
        <w:t xml:space="preserve">separate compartments for </w:t>
      </w:r>
      <w:r w:rsidR="001B2887">
        <w:rPr>
          <w:color w:val="000000" w:themeColor="text1"/>
        </w:rPr>
        <w:t>“</w:t>
      </w:r>
      <w:r w:rsidR="00B508D9">
        <w:rPr>
          <w:b/>
          <w:bCs/>
          <w:color w:val="000000" w:themeColor="text1"/>
        </w:rPr>
        <w:t>diagnosed</w:t>
      </w:r>
      <w:r w:rsidR="001B2887">
        <w:rPr>
          <w:b/>
          <w:bCs/>
          <w:color w:val="000000" w:themeColor="text1"/>
        </w:rPr>
        <w:t>”</w:t>
      </w:r>
      <w:r w:rsidR="00B508D9">
        <w:rPr>
          <w:b/>
          <w:bCs/>
          <w:color w:val="000000" w:themeColor="text1"/>
        </w:rPr>
        <w:t xml:space="preserve"> </w:t>
      </w:r>
      <w:r w:rsidR="00B508D9" w:rsidRPr="00622BD4">
        <w:rPr>
          <w:bCs/>
          <w:color w:val="000000" w:themeColor="text1"/>
        </w:rPr>
        <w:t>and</w:t>
      </w:r>
      <w:r w:rsidR="00B508D9">
        <w:rPr>
          <w:b/>
          <w:bCs/>
          <w:color w:val="000000" w:themeColor="text1"/>
        </w:rPr>
        <w:t xml:space="preserve"> </w:t>
      </w:r>
      <w:r w:rsidR="001B2887">
        <w:rPr>
          <w:b/>
          <w:bCs/>
          <w:color w:val="000000" w:themeColor="text1"/>
        </w:rPr>
        <w:t>“</w:t>
      </w:r>
      <w:r w:rsidR="003F2CC5">
        <w:rPr>
          <w:b/>
          <w:bCs/>
          <w:color w:val="000000" w:themeColor="text1"/>
        </w:rPr>
        <w:t>linked</w:t>
      </w:r>
      <w:r w:rsidR="001B2887">
        <w:rPr>
          <w:b/>
          <w:bCs/>
          <w:color w:val="000000" w:themeColor="text1"/>
        </w:rPr>
        <w:t>”</w:t>
      </w:r>
      <w:r w:rsidR="00B508D9">
        <w:rPr>
          <w:b/>
          <w:bCs/>
          <w:color w:val="000000" w:themeColor="text1"/>
        </w:rPr>
        <w:t xml:space="preserve"> </w:t>
      </w:r>
      <w:r w:rsidR="00B508D9">
        <w:rPr>
          <w:bCs/>
          <w:color w:val="000000" w:themeColor="text1"/>
        </w:rPr>
        <w:t xml:space="preserve">to account for differences </w:t>
      </w:r>
      <w:r w:rsidR="00622BD4">
        <w:rPr>
          <w:bCs/>
          <w:color w:val="000000" w:themeColor="text1"/>
        </w:rPr>
        <w:t>in probability of linkage to care</w:t>
      </w:r>
      <w:r w:rsidR="004C04D1">
        <w:rPr>
          <w:bCs/>
          <w:color w:val="000000" w:themeColor="text1"/>
        </w:rPr>
        <w:t xml:space="preserve"> and ART initiation. </w:t>
      </w:r>
      <w:r w:rsidR="00622BD4">
        <w:rPr>
          <w:bCs/>
          <w:color w:val="000000" w:themeColor="text1"/>
        </w:rPr>
        <w:t xml:space="preserve"> </w:t>
      </w:r>
    </w:p>
    <w:p w14:paraId="76A8E3AB" w14:textId="6ADF53B3" w:rsidR="00A36E79" w:rsidRDefault="00A36E79">
      <w:pPr>
        <w:jc w:val="both"/>
        <w:rPr>
          <w:color w:val="000000" w:themeColor="text1"/>
        </w:rPr>
      </w:pPr>
    </w:p>
    <w:p w14:paraId="6636C99C" w14:textId="263936E7" w:rsidR="00F96C81" w:rsidRDefault="00F96C81">
      <w:pPr>
        <w:jc w:val="both"/>
        <w:rPr>
          <w:color w:val="000000" w:themeColor="text1"/>
          <w:lang w:eastAsia="ja-JP"/>
        </w:rPr>
      </w:pPr>
      <w:r w:rsidRPr="009353AE">
        <w:rPr>
          <w:bCs/>
          <w:color w:val="000000" w:themeColor="text1"/>
          <w:u w:val="single"/>
        </w:rPr>
        <w:t>Lost</w:t>
      </w:r>
      <w:r w:rsidR="00CF7439" w:rsidRPr="009353AE">
        <w:rPr>
          <w:bCs/>
          <w:color w:val="000000" w:themeColor="text1"/>
          <w:u w:val="single"/>
        </w:rPr>
        <w:t xml:space="preserve"> </w:t>
      </w:r>
      <w:r w:rsidR="00B11104" w:rsidRPr="009353AE">
        <w:rPr>
          <w:bCs/>
          <w:color w:val="000000" w:themeColor="text1"/>
          <w:u w:val="single"/>
        </w:rPr>
        <w:t>to follow-up</w:t>
      </w:r>
      <w:r w:rsidR="00CF7439" w:rsidRPr="00CC65CD">
        <w:rPr>
          <w:i/>
          <w:color w:val="000000" w:themeColor="text1"/>
        </w:rPr>
        <w:t>:</w:t>
      </w:r>
      <w:r w:rsidR="00CF7439" w:rsidRPr="00830781">
        <w:rPr>
          <w:color w:val="000000" w:themeColor="text1"/>
        </w:rPr>
        <w:t xml:space="preserve"> </w:t>
      </w:r>
      <w:r w:rsidR="00E4426C">
        <w:rPr>
          <w:color w:val="000000" w:themeColor="text1"/>
        </w:rPr>
        <w:t>We model the HIV individuals</w:t>
      </w:r>
      <w:r w:rsidRPr="00830781">
        <w:rPr>
          <w:color w:val="000000" w:themeColor="text1"/>
        </w:rPr>
        <w:t xml:space="preserve"> that are lost from care have a natural history disease progression and return to care at the AIDS stage when sick.</w:t>
      </w:r>
      <w:r w:rsidRPr="00830781">
        <w:rPr>
          <w:color w:val="000000" w:themeColor="text1"/>
        </w:rPr>
        <w:fldChar w:fldCharType="begin" w:fldLock="1"/>
      </w:r>
      <w:r w:rsidR="007527CC">
        <w:rPr>
          <w:color w:val="000000" w:themeColor="text1"/>
        </w:rPr>
        <w:instrText>ADDIN CSL_CITATION {"citationItems":[{"id":"ITEM-1","itemData":{"DOI":"10.1186/s12879-016-2052-7","ISSN":"14712334","PMID":"27905895","abstract":"Background: HIV is the leading cause of death among adults in sub-Saharan Africa. However, mortality along the HIV care continuum is poorly described. We combine demographic, epidemiologic, and health services data to estimate where are people with HIV dying along Rwanda’s care continuum. Methods: We calibrated an age-structured HIV disease and transmission stochastic simulation model to the epidemic in Rwanda. We estimate mortality among HIV-infected individuals in the following states: untested, tested without establishing care in an antiretroviral therapy (ART) program (unlinked), in care before initiating ART (pre-ART), lost to follow-up (LTFU) following ART initiation, and retained in active ART care. We estimated mortality among people living with HIV in Rwanda through 2025 under current conditions, and with improvements to the HIV care continuum. Results: In 2014, the greatest portion of deaths occurred among those untested (35.4%), followed by those on ART (34.1%), reflecting the large increase in the population on ART. Deaths among those LTFU made up 11.8% of all deaths among HIV-infected individuals in 2014, and in the base case this portion increased to 18.8% in 2025, while the contribution to mortality declined among those untested, unlinked, and in pre-ART. In our model only combined improvements to multiple aspects of the HIV care continuum were projected to reduce the total number of deaths among those with HIV, estimated at 8177 in 2014, rising to 10,659 in the base case, and declining to 5,691 with combined improvements in 2025. Conclusion: Mortality among those untested for HIV contributes a declining portion of deaths among HIV-infected individuals in Rwanda, but the portion of deaths among those LTFU is expected to increase the most over the next decade. Combined improvements to the HIV care continuum might be needed to reduce the number of deaths among those with HIV","author":[{"dropping-particle":"","family":"Bendavid","given":"Eran","non-dropping-particle":"","parse-names":false,"suffix":""},{"dropping-particle":"","family":"Stauffer","given":"David","non-dropping-particle":"","parse-names":false,"suffix":""},{"dropping-particle":"","family":"Remera","given":"Eric","non-dropping-particle":"","parse-names":false,"suffix":""},{"dropping-particle":"","family":"Nsanzimana","given":"Sabin","non-dropping-particle":"","parse-names":false,"suffix":""},{"dropping-particle":"","family":"Kanters","given":"Steve","non-dropping-particle":"","parse-names":false,"suffix":""},{"dropping-particle":"","family":"Mills","given":"Edward J.","non-dropping-particle":"","parse-names":false,"suffix":""}],"container-title":"BMC Infectious Diseases","id":"ITEM-1","issue":"1","issued":{"date-parts":[["2016"]]},"page":"1-9","publisher":"BMC Infectious Diseases","title":"Mortality along the continuum of HIV care in Rwanda: A model-based analysis","type":"article-journal","volume":"16"},"uris":["http://www.mendeley.com/documents/?uuid=0d3a1254-a040-481f-8262-1904486fe884","http://www.mendeley.com/documents/?uuid=af2a4990-1eea-48e4-abb5-736bc2a79516","http://www.mendeley.com/documents/?uuid=f2d3ef18-b2c0-4329-a46f-c918fd2ec502","http://www.mendeley.com/documents/?uuid=dbc284d8-3c22-497b-a89e-9ebd006fc4a5"]},{"id":"ITEM-2","itemData":{"DOI":"10.1016/S2352-3018(15)00024-7","ISSN":"23523018","abstract":"BACKGROUND: Rwanda has made remarkable progress towards HIV care programme with strong national monitoring and surveillance. Knowledge about the HIV care continuum model can help to improve outcomes in patients. We aimed to quantify engagement, mortality, and loss to follow-up of patients along the HIV care continuum in Rwanda in 2013. METHODS: We collated data for individuals with HIV who participated in the national HIV care programme in Rwanda and calculated the numbers of individuals or proportions of the population at each stage and the transition probabilities between stages of the continuum. We calculated factors associated with mortality and loss to follow-up by fitting Cox proportional hazards regression models, one for the stage of care before antiretroviral therapy (ART) initiation and another for stage of care during ART. FINDINGS: An estimated 204 899 individuals were HIV-positive in Rwanda in 2013. Among these individuals, 176 174 (86%) were in pre-ART or in ART stages and 129 405 (63%) had initiated ART by the end of 2013. 82·1% (95% CI 80·7-83·4) of patients with viral load measurements (n=3066) were virally suppressed (translating to 106 371 individuals or 52% of HIV-positive individuals). Mortality was 0·6% (304 patients) in the pre-ART stage and 1·0% (1255 patients) in the ART stage; 2247 (3·9%) patients were lost to follow-up in pre-ART stage and 2847 (2·2%) lost in ART stage. Risk factors for mortality among patients in both pre-ART and ART stages included older age, CD4 cell count at initiation, and male sex. Risk factors for loss to follow-up among patients at both pre-ART and ART stages included younger age (age 10-29 year) and male sex. s: The HIV care continuum is a multitrajectory pathway in which patients have many opportunities to leave and re-engage in care. Knowledge about the points at which individuals are most likely to leave care could improve large-scale delivery of HIV programmes. FUNDING: The Bill &amp; Melinda Gates Foundation.","author":[{"dropping-particle":"","family":"Nsanzi</w:instrText>
      </w:r>
      <w:r w:rsidR="007527CC">
        <w:rPr>
          <w:color w:val="000000" w:themeColor="text1"/>
          <w:lang w:eastAsia="ja-JP"/>
        </w:rPr>
        <w:instrText>mana","given":"Sabin","non-dropping-particle":"","parse-names":false,"suffix":""},{"dropping-particle":"","family":"Kanters","given":"Steve","non-dropping-particle":"","parse-names":false,"suffix":""},{"dropping-particle":"","family":"Remera","given":"Eric","non-dropping-particle":"","parse-names":false,"suffix":""},{"dropping-particle":"","family":"Forrest","given":"Jamie I.","non-dropping-particle":"","parse-names":false,"suffix":""},{"dropping-particle":"","family":"Binagwaho","given":"Agnes","non-dropping-particle":"","parse-names":false,"suffix":""},{"dropping-particle":"","family":"Condo","given":"Jeanine","non-dropping-particle":"","parse-names":false,"suffix":""},{"dropping-particle":"","family":"Mills","given":"Edward J.","non-dropping-particle":"","parse-names":false,"suffix":""}],"container-title":"The Lancet HIV","id":"ITEM-2","issue":"5","issued":{"date-parts":[["2015"]]},"page":"e208-e215","publisher":"Elsevier Ltd","title":"HIV care continuum in Rwanda: A cross-sectional analysis of the national programme","type":"article-journal","volume":"2"},"uris":["http://www.mendeley.com/documents/?uuid=a4f00708-4944-40e8-a115-b5bdefcc23d9","http://www.mendeley.com/documents/?uuid=4b32ede6-9603-4447-abeb-72941f0f711d"]}],"mendeley":{"formattedCitation":"&lt;sup&gt;5,14&lt;/sup&gt;","plainTextFormattedCitation":"5,14","previouslyFormattedCitation":"&lt;sup&gt;5,15&lt;/sup&gt;"},"properties":{"noteIndex":0},"schema":"https://github.com/citation-style-language/schema/raw/master/csl-citation.json"}</w:instrText>
      </w:r>
      <w:r w:rsidRPr="00830781">
        <w:rPr>
          <w:color w:val="000000" w:themeColor="text1"/>
        </w:rPr>
        <w:fldChar w:fldCharType="separate"/>
      </w:r>
      <w:r w:rsidR="007527CC" w:rsidRPr="007527CC">
        <w:rPr>
          <w:noProof/>
          <w:color w:val="000000" w:themeColor="text1"/>
          <w:vertAlign w:val="superscript"/>
          <w:lang w:eastAsia="ja-JP"/>
        </w:rPr>
        <w:t>5,14</w:t>
      </w:r>
      <w:r w:rsidRPr="00830781">
        <w:rPr>
          <w:color w:val="000000" w:themeColor="text1"/>
        </w:rPr>
        <w:fldChar w:fldCharType="end"/>
      </w:r>
      <w:r w:rsidRPr="00830781">
        <w:rPr>
          <w:color w:val="000000" w:themeColor="text1"/>
          <w:lang w:eastAsia="ja-JP"/>
        </w:rPr>
        <w:t xml:space="preserve"> </w:t>
      </w:r>
    </w:p>
    <w:p w14:paraId="0C43D33D" w14:textId="77777777" w:rsidR="00E4426C" w:rsidRPr="00830781" w:rsidRDefault="00E4426C">
      <w:pPr>
        <w:jc w:val="both"/>
        <w:rPr>
          <w:color w:val="000000" w:themeColor="text1"/>
          <w:lang w:eastAsia="ja-JP"/>
        </w:rPr>
      </w:pPr>
    </w:p>
    <w:p w14:paraId="3CB12925" w14:textId="6BAA1939" w:rsidR="00BF57B9" w:rsidRDefault="00B11104">
      <w:pPr>
        <w:jc w:val="both"/>
        <w:rPr>
          <w:bCs/>
          <w:color w:val="000000" w:themeColor="text1"/>
          <w:lang w:eastAsia="zh-TW"/>
        </w:rPr>
      </w:pPr>
      <w:r w:rsidRPr="00B1612A">
        <w:rPr>
          <w:bCs/>
          <w:color w:val="000000" w:themeColor="text1"/>
          <w:u w:val="single"/>
          <w:lang w:eastAsia="ja-JP"/>
        </w:rPr>
        <w:t>V</w:t>
      </w:r>
      <w:r w:rsidR="00CF7439" w:rsidRPr="00B1612A">
        <w:rPr>
          <w:bCs/>
          <w:color w:val="000000" w:themeColor="text1"/>
          <w:u w:val="single"/>
          <w:lang w:eastAsia="ja-JP"/>
        </w:rPr>
        <w:t>iral suppression</w:t>
      </w:r>
      <w:r w:rsidR="00CF7439" w:rsidRPr="00CC65CD">
        <w:rPr>
          <w:b/>
          <w:bCs/>
          <w:i/>
          <w:color w:val="000000" w:themeColor="text1"/>
          <w:lang w:eastAsia="ja-JP"/>
        </w:rPr>
        <w:t>:</w:t>
      </w:r>
      <w:r w:rsidR="00CF7439" w:rsidRPr="00830781">
        <w:rPr>
          <w:b/>
          <w:bCs/>
          <w:color w:val="000000" w:themeColor="text1"/>
          <w:lang w:eastAsia="ja-JP"/>
        </w:rPr>
        <w:t xml:space="preserve"> </w:t>
      </w:r>
      <w:r w:rsidR="001B2887">
        <w:rPr>
          <w:bCs/>
          <w:color w:val="000000" w:themeColor="text1"/>
          <w:lang w:eastAsia="ja-JP"/>
        </w:rPr>
        <w:t>We model viral suppression as “</w:t>
      </w:r>
      <w:r w:rsidR="001B2887" w:rsidRPr="00773FDC">
        <w:rPr>
          <w:b/>
          <w:bCs/>
          <w:color w:val="000000" w:themeColor="text1"/>
          <w:lang w:eastAsia="ja-JP"/>
        </w:rPr>
        <w:t>On ART and viral suppressed</w:t>
      </w:r>
      <w:r w:rsidR="001B2887">
        <w:rPr>
          <w:bCs/>
          <w:color w:val="000000" w:themeColor="text1"/>
          <w:lang w:eastAsia="ja-JP"/>
        </w:rPr>
        <w:t xml:space="preserve">” and </w:t>
      </w:r>
      <w:r w:rsidR="00773FDC">
        <w:rPr>
          <w:bCs/>
          <w:color w:val="000000" w:themeColor="text1"/>
          <w:lang w:eastAsia="ja-JP"/>
        </w:rPr>
        <w:t>“</w:t>
      </w:r>
      <w:r w:rsidR="00773FDC" w:rsidRPr="00773FDC">
        <w:rPr>
          <w:b/>
          <w:bCs/>
          <w:color w:val="000000" w:themeColor="text1"/>
          <w:lang w:eastAsia="ja-JP"/>
        </w:rPr>
        <w:t>On ART and not viral suppressed</w:t>
      </w:r>
      <w:r w:rsidR="00773FDC">
        <w:rPr>
          <w:bCs/>
          <w:color w:val="000000" w:themeColor="text1"/>
          <w:lang w:eastAsia="ja-JP"/>
        </w:rPr>
        <w:t xml:space="preserve">” </w:t>
      </w:r>
      <w:r w:rsidR="00CD41F7">
        <w:rPr>
          <w:bCs/>
          <w:color w:val="000000" w:themeColor="text1"/>
          <w:lang w:eastAsia="ja-JP"/>
        </w:rPr>
        <w:t xml:space="preserve">to estimate </w:t>
      </w:r>
      <w:r w:rsidR="002B7CF7">
        <w:rPr>
          <w:bCs/>
          <w:color w:val="000000" w:themeColor="text1"/>
          <w:lang w:eastAsia="ja-JP"/>
        </w:rPr>
        <w:t xml:space="preserve">the number of </w:t>
      </w:r>
      <w:r w:rsidR="00CD41F7">
        <w:rPr>
          <w:bCs/>
          <w:color w:val="000000" w:themeColor="text1"/>
          <w:lang w:eastAsia="ja-JP"/>
        </w:rPr>
        <w:t>individuals that are viral</w:t>
      </w:r>
      <w:r>
        <w:rPr>
          <w:bCs/>
          <w:color w:val="000000" w:themeColor="text1"/>
          <w:lang w:eastAsia="ja-JP"/>
        </w:rPr>
        <w:t>ly</w:t>
      </w:r>
      <w:r w:rsidR="00CD41F7">
        <w:rPr>
          <w:bCs/>
          <w:color w:val="000000" w:themeColor="text1"/>
          <w:lang w:eastAsia="ja-JP"/>
        </w:rPr>
        <w:t xml:space="preserve"> suppressed and account for the health </w:t>
      </w:r>
      <w:r w:rsidR="002B7CF7">
        <w:rPr>
          <w:bCs/>
          <w:color w:val="000000" w:themeColor="text1"/>
          <w:lang w:eastAsia="ja-JP"/>
        </w:rPr>
        <w:t xml:space="preserve">and transmission </w:t>
      </w:r>
      <w:r w:rsidR="00CD41F7">
        <w:rPr>
          <w:bCs/>
          <w:color w:val="000000" w:themeColor="text1"/>
          <w:lang w:eastAsia="ja-JP"/>
        </w:rPr>
        <w:t>benefits of being viral</w:t>
      </w:r>
      <w:r w:rsidR="002B7CF7">
        <w:rPr>
          <w:bCs/>
          <w:color w:val="000000" w:themeColor="text1"/>
          <w:lang w:eastAsia="ja-JP"/>
        </w:rPr>
        <w:t>ly</w:t>
      </w:r>
      <w:r w:rsidR="00CD41F7">
        <w:rPr>
          <w:bCs/>
          <w:color w:val="000000" w:themeColor="text1"/>
          <w:lang w:eastAsia="ja-JP"/>
        </w:rPr>
        <w:t xml:space="preserve"> suppressed.</w:t>
      </w:r>
      <w:r w:rsidR="003F2CC5">
        <w:rPr>
          <w:bCs/>
          <w:color w:val="000000" w:themeColor="text1"/>
          <w:lang w:eastAsia="zh-TW"/>
        </w:rPr>
        <w:fldChar w:fldCharType="begin" w:fldLock="1"/>
      </w:r>
      <w:r w:rsidR="007527CC">
        <w:rPr>
          <w:bCs/>
          <w:color w:val="000000" w:themeColor="text1"/>
          <w:lang w:eastAsia="ja-JP"/>
        </w:rPr>
        <w:instrText>ADDIN CSL_CITATION {"citationItems":[{"id":"ITEM-1","itemData":{"DOI":"10.1001/jama.2018.21167","ISSN":"15383598","PMID":"30629090","author":[{"dropping-particle":"","family":"Eisinger","given":"Robert W.","non-dropping-particle":"","parse-names":false,"suffix":""},{"dropping-particle":"","family":"Dieffenbach","given":"Carl W.","non-dropping-particle":"","parse-names":false,"suffix":""},{"dropping-particle":"","family":"Fauci","given":"Anthony S.","non-dropping-particle":"","parse-names":false,"suffix":""}],"container-title":"JAMA - Journal of the American Medical Association","id":"ITEM-1","issued":{"date-parts":[["2019"]]},"title":"HIV viral load and transmissibility of HIV infection undetectable equals untransmittable","type":"article"},"uris":["http://www.mendeley.com/documents/?uuid=42cd199d-b1f7-42af-a3a0-181f425d76ac"]},{"id":"ITEM-2","itemData":{"ISSN":"0028-4793","author":[{"dropping-particle":"","family":"Kitahata","given":"Mari M","non-dropping-particle":"","parse-na</w:instrText>
      </w:r>
      <w:r w:rsidR="007527CC">
        <w:rPr>
          <w:bCs/>
          <w:color w:val="000000" w:themeColor="text1"/>
          <w:lang w:eastAsia="zh-TW"/>
        </w:rPr>
        <w:instrText>mes":false,"suffix":""},{"dropping-particle":"","family":"Gange","given":"Stephen J","non-dropping-particle":"","parse-names":false,"suffix":""},{"dropping-particle":"","family":"Abraham","given":"Alison G","non-dropping-particle":"","parse-names":false,"suffix":""},{"dropping-particle":"","family":"Merriman","given":"Barry","non-dropping-particle":"","parse-names":false,"suffix":""},{"dropping-particle":"","family":"Saag","given":"Michael S","non-dropping-particle":"","parse-names":false,"suffix":""},{"dropping-particle":"","family":"Justice","given":"Amy C","non-dropping-particle":"","parse-names":false,"suffix":""},{"dropping-particle":"","family":"Hogg","given":"Robert S","non-dropping-particle":"","parse-names":false,"suffix":""},{"dropping-particle":"","family":"Deeks","given":"Steven G","non-dropping-particle":"","parse-names":false,"suffix":""},{"dropping-particle":"","family":"Eron","given":"Joseph J","non-dropping-particle":"","parse-names":false,"suffix":""},{"dropping-particle":"","family":"Brooks","given":"John T","non-dropping-particle":"","parse-names":false,"suffix":""}],"container-title":"New England Journal of Medicine","id":"ITEM-2","issue":"18","issued":{"date-parts":[["2009"]]},"page":"1815-1826","publisher":"Mass Medical Soc","title":"Effect of early versus deferred antiretroviral therapy for HIV on survival","type":"article-journal","volume":"360"},"uris":["http://www.mendeley.com/documents/?uuid=048c7e6a-f4aa-43c7-b9b1-3f0c78223447"]}],"mendeley":{"formattedCitation":"&lt;sup&gt;15,16&lt;/sup&gt;","plainTextFormattedCitation":"15,16","previouslyFormattedCitation":"&lt;sup&gt;16,17&lt;/sup&gt;"},"properties":{"noteIndex":0},"schema":"https://github.com/citation-style-language/schema/raw/master/csl-citation.json"}</w:instrText>
      </w:r>
      <w:r w:rsidR="003F2CC5">
        <w:rPr>
          <w:bCs/>
          <w:color w:val="000000" w:themeColor="text1"/>
          <w:lang w:eastAsia="zh-TW"/>
        </w:rPr>
        <w:fldChar w:fldCharType="separate"/>
      </w:r>
      <w:r w:rsidR="007527CC" w:rsidRPr="007527CC">
        <w:rPr>
          <w:bCs/>
          <w:noProof/>
          <w:color w:val="000000" w:themeColor="text1"/>
          <w:vertAlign w:val="superscript"/>
          <w:lang w:eastAsia="zh-TW"/>
        </w:rPr>
        <w:t>15,16</w:t>
      </w:r>
      <w:r w:rsidR="003F2CC5">
        <w:rPr>
          <w:bCs/>
          <w:color w:val="000000" w:themeColor="text1"/>
          <w:lang w:eastAsia="zh-TW"/>
        </w:rPr>
        <w:fldChar w:fldCharType="end"/>
      </w:r>
      <w:r w:rsidR="0027341B">
        <w:rPr>
          <w:bCs/>
          <w:color w:val="000000" w:themeColor="text1"/>
          <w:lang w:eastAsia="zh-TW"/>
        </w:rPr>
        <w:t xml:space="preserve"> </w:t>
      </w:r>
      <w:r w:rsidR="002B7CF7">
        <w:rPr>
          <w:bCs/>
          <w:color w:val="000000" w:themeColor="text1"/>
          <w:lang w:eastAsia="zh-TW"/>
        </w:rPr>
        <w:t xml:space="preserve">While </w:t>
      </w:r>
      <w:r>
        <w:rPr>
          <w:bCs/>
          <w:color w:val="000000" w:themeColor="text1"/>
          <w:lang w:eastAsia="zh-TW"/>
        </w:rPr>
        <w:t xml:space="preserve">viral suppression </w:t>
      </w:r>
      <w:r w:rsidR="002B7CF7">
        <w:rPr>
          <w:bCs/>
          <w:color w:val="000000" w:themeColor="text1"/>
          <w:lang w:eastAsia="zh-TW"/>
        </w:rPr>
        <w:t xml:space="preserve">is not modeled for </w:t>
      </w:r>
      <w:r>
        <w:rPr>
          <w:bCs/>
          <w:color w:val="000000" w:themeColor="text1"/>
          <w:lang w:eastAsia="zh-TW"/>
        </w:rPr>
        <w:t>each line of therapy (e.g., 1</w:t>
      </w:r>
      <w:r w:rsidRPr="00D11A55">
        <w:rPr>
          <w:bCs/>
          <w:color w:val="000000" w:themeColor="text1"/>
          <w:vertAlign w:val="superscript"/>
          <w:lang w:eastAsia="zh-TW"/>
        </w:rPr>
        <w:t>st</w:t>
      </w:r>
      <w:r>
        <w:rPr>
          <w:bCs/>
          <w:color w:val="000000" w:themeColor="text1"/>
          <w:lang w:eastAsia="zh-TW"/>
        </w:rPr>
        <w:t>, 2</w:t>
      </w:r>
      <w:r w:rsidRPr="00D11A55">
        <w:rPr>
          <w:bCs/>
          <w:color w:val="000000" w:themeColor="text1"/>
          <w:vertAlign w:val="superscript"/>
          <w:lang w:eastAsia="zh-TW"/>
        </w:rPr>
        <w:t>nd</w:t>
      </w:r>
      <w:r>
        <w:rPr>
          <w:bCs/>
          <w:color w:val="000000" w:themeColor="text1"/>
          <w:lang w:eastAsia="zh-TW"/>
        </w:rPr>
        <w:t>, 3</w:t>
      </w:r>
      <w:r w:rsidRPr="00D11A55">
        <w:rPr>
          <w:bCs/>
          <w:color w:val="000000" w:themeColor="text1"/>
          <w:vertAlign w:val="superscript"/>
          <w:lang w:eastAsia="zh-TW"/>
        </w:rPr>
        <w:t>rd</w:t>
      </w:r>
      <w:r>
        <w:rPr>
          <w:bCs/>
          <w:color w:val="000000" w:themeColor="text1"/>
          <w:lang w:eastAsia="zh-TW"/>
        </w:rPr>
        <w:t xml:space="preserve">, etc.), </w:t>
      </w:r>
      <w:r w:rsidR="002B7CF7">
        <w:rPr>
          <w:bCs/>
          <w:color w:val="000000" w:themeColor="text1"/>
          <w:lang w:eastAsia="zh-TW"/>
        </w:rPr>
        <w:t xml:space="preserve">future iterations of </w:t>
      </w:r>
      <w:r>
        <w:rPr>
          <w:bCs/>
          <w:color w:val="000000" w:themeColor="text1"/>
          <w:lang w:eastAsia="zh-TW"/>
        </w:rPr>
        <w:t xml:space="preserve">the model can be adapted to include viral suppression </w:t>
      </w:r>
      <w:r w:rsidR="002B7CF7">
        <w:rPr>
          <w:bCs/>
          <w:color w:val="000000" w:themeColor="text1"/>
          <w:lang w:eastAsia="zh-TW"/>
        </w:rPr>
        <w:t xml:space="preserve">by </w:t>
      </w:r>
      <w:r>
        <w:rPr>
          <w:bCs/>
          <w:color w:val="000000" w:themeColor="text1"/>
          <w:lang w:eastAsia="zh-TW"/>
        </w:rPr>
        <w:t xml:space="preserve">ART regimen.  </w:t>
      </w:r>
    </w:p>
    <w:p w14:paraId="0B6D9776" w14:textId="78FD0E69" w:rsidR="0027341B" w:rsidRDefault="0027341B">
      <w:pPr>
        <w:jc w:val="both"/>
        <w:rPr>
          <w:bCs/>
          <w:color w:val="000000" w:themeColor="text1"/>
          <w:lang w:eastAsia="zh-TW"/>
        </w:rPr>
      </w:pPr>
    </w:p>
    <w:p w14:paraId="2F226259" w14:textId="77777777" w:rsidR="00BF57B9" w:rsidRPr="00830781" w:rsidRDefault="00BF57B9">
      <w:pPr>
        <w:jc w:val="both"/>
        <w:rPr>
          <w:b/>
        </w:rPr>
        <w:sectPr w:rsidR="00BF57B9" w:rsidRPr="00830781" w:rsidSect="00410278">
          <w:headerReference w:type="even" r:id="rId20"/>
          <w:headerReference w:type="default" r:id="rId21"/>
          <w:headerReference w:type="first" r:id="rId22"/>
          <w:pgSz w:w="12240" w:h="15840" w:code="1"/>
          <w:pgMar w:top="1440" w:right="1440" w:bottom="1440" w:left="1440" w:header="720" w:footer="720" w:gutter="0"/>
          <w:cols w:space="720"/>
          <w:docGrid w:linePitch="360"/>
        </w:sectPr>
      </w:pPr>
    </w:p>
    <w:p w14:paraId="5EB89F39" w14:textId="34CED26B" w:rsidR="00E26C8C" w:rsidRPr="000938D7" w:rsidRDefault="00E26C8C">
      <w:pPr>
        <w:pStyle w:val="Heading1"/>
        <w:spacing w:before="0"/>
        <w:rPr>
          <w:rFonts w:cs="Times New Roman"/>
          <w:szCs w:val="24"/>
        </w:rPr>
      </w:pPr>
      <w:bookmarkStart w:id="15" w:name="_Toc82592642"/>
      <w:r w:rsidRPr="000938D7">
        <w:rPr>
          <w:rFonts w:cs="Times New Roman"/>
          <w:szCs w:val="24"/>
        </w:rPr>
        <w:lastRenderedPageBreak/>
        <w:t>Sub-</w:t>
      </w:r>
      <w:r w:rsidR="00464588" w:rsidRPr="000938D7">
        <w:rPr>
          <w:rFonts w:cs="Times New Roman"/>
          <w:szCs w:val="24"/>
        </w:rPr>
        <w:t>populations</w:t>
      </w:r>
      <w:r w:rsidR="00D17317" w:rsidRPr="000938D7">
        <w:rPr>
          <w:rFonts w:cs="Times New Roman"/>
          <w:szCs w:val="24"/>
        </w:rPr>
        <w:t xml:space="preserve"> and mixing</w:t>
      </w:r>
      <w:bookmarkEnd w:id="15"/>
    </w:p>
    <w:p w14:paraId="4891EECA" w14:textId="329B5456" w:rsidR="007D1FC2" w:rsidRDefault="00E26C8C">
      <w:pPr>
        <w:jc w:val="both"/>
        <w:rPr>
          <w:bCs/>
        </w:rPr>
      </w:pPr>
      <w:r w:rsidRPr="00830781">
        <w:rPr>
          <w:bCs/>
        </w:rPr>
        <w:t xml:space="preserve">The </w:t>
      </w:r>
      <w:r w:rsidR="00684F5D">
        <w:rPr>
          <w:bCs/>
        </w:rPr>
        <w:t xml:space="preserve">study </w:t>
      </w:r>
      <w:r w:rsidRPr="00830781">
        <w:rPr>
          <w:bCs/>
        </w:rPr>
        <w:t xml:space="preserve">population is stratified into </w:t>
      </w:r>
      <w:r w:rsidR="00684F5D">
        <w:rPr>
          <w:bCs/>
        </w:rPr>
        <w:t xml:space="preserve">25 </w:t>
      </w:r>
      <w:r w:rsidR="00464588">
        <w:rPr>
          <w:bCs/>
        </w:rPr>
        <w:t>sub-population</w:t>
      </w:r>
      <w:r w:rsidRPr="00830781">
        <w:rPr>
          <w:bCs/>
        </w:rPr>
        <w:t xml:space="preserve">s </w:t>
      </w:r>
      <w:r w:rsidR="00684F5D">
        <w:rPr>
          <w:bCs/>
        </w:rPr>
        <w:t xml:space="preserve">stratified </w:t>
      </w:r>
      <w:r w:rsidRPr="00830781">
        <w:rPr>
          <w:bCs/>
        </w:rPr>
        <w:t xml:space="preserve">by age, </w:t>
      </w:r>
      <w:r w:rsidR="00172A1E">
        <w:rPr>
          <w:bCs/>
        </w:rPr>
        <w:t>sex</w:t>
      </w:r>
      <w:r w:rsidRPr="00830781">
        <w:rPr>
          <w:bCs/>
        </w:rPr>
        <w:t xml:space="preserve">, risk, and </w:t>
      </w:r>
      <w:r w:rsidRPr="00434F5B">
        <w:rPr>
          <w:bCs/>
        </w:rPr>
        <w:t>urbanicity</w:t>
      </w:r>
      <w:r w:rsidRPr="00830781">
        <w:rPr>
          <w:bCs/>
        </w:rPr>
        <w:t xml:space="preserve"> based on the differences in the risk of HIV acquisitio</w:t>
      </w:r>
      <w:r w:rsidR="000D4762">
        <w:rPr>
          <w:bCs/>
        </w:rPr>
        <w:t xml:space="preserve">n and </w:t>
      </w:r>
      <w:r w:rsidR="00892EAA">
        <w:rPr>
          <w:bCs/>
        </w:rPr>
        <w:t>HIV pre</w:t>
      </w:r>
      <w:r w:rsidR="000D4762">
        <w:rPr>
          <w:bCs/>
        </w:rPr>
        <w:t xml:space="preserve">valence. </w:t>
      </w:r>
      <w:r w:rsidR="008C4818">
        <w:rPr>
          <w:bCs/>
        </w:rPr>
        <w:fldChar w:fldCharType="begin"/>
      </w:r>
      <w:r w:rsidR="008C4818">
        <w:rPr>
          <w:bCs/>
        </w:rPr>
        <w:instrText xml:space="preserve"> REF _Ref81780150 \h </w:instrText>
      </w:r>
      <w:r w:rsidR="008C4818">
        <w:rPr>
          <w:bCs/>
        </w:rPr>
      </w:r>
      <w:r w:rsidR="008C4818">
        <w:rPr>
          <w:bCs/>
        </w:rPr>
        <w:fldChar w:fldCharType="separate"/>
      </w:r>
      <w:r w:rsidR="001E49BE" w:rsidRPr="00D11A55">
        <w:rPr>
          <w:b/>
        </w:rPr>
        <w:t xml:space="preserve">Table </w:t>
      </w:r>
      <w:r w:rsidR="001E49BE">
        <w:rPr>
          <w:b/>
          <w:noProof/>
        </w:rPr>
        <w:t>1</w:t>
      </w:r>
      <w:r w:rsidR="008C4818">
        <w:rPr>
          <w:bCs/>
        </w:rPr>
        <w:fldChar w:fldCharType="end"/>
      </w:r>
      <w:r w:rsidR="008C4818">
        <w:rPr>
          <w:bCs/>
        </w:rPr>
        <w:t xml:space="preserve"> </w:t>
      </w:r>
      <w:r w:rsidR="008E2D1C">
        <w:rPr>
          <w:bCs/>
        </w:rPr>
        <w:t xml:space="preserve">(next page) </w:t>
      </w:r>
      <w:r w:rsidR="000D4762">
        <w:rPr>
          <w:bCs/>
        </w:rPr>
        <w:t>shows the rationale for sub-populations considers in this study.</w:t>
      </w:r>
    </w:p>
    <w:p w14:paraId="57AE24EF" w14:textId="77777777" w:rsidR="007D1FC2" w:rsidRDefault="007D1FC2">
      <w:pPr>
        <w:jc w:val="both"/>
        <w:rPr>
          <w:bCs/>
        </w:rPr>
      </w:pPr>
    </w:p>
    <w:p w14:paraId="744C0A61" w14:textId="4D59C365" w:rsidR="00AC27D2" w:rsidRPr="00830781" w:rsidRDefault="00D17317">
      <w:pPr>
        <w:jc w:val="both"/>
        <w:rPr>
          <w:bCs/>
        </w:rPr>
      </w:pPr>
      <w:r w:rsidRPr="00830781">
        <w:rPr>
          <w:bCs/>
        </w:rPr>
        <w:t xml:space="preserve">We </w:t>
      </w:r>
      <w:r w:rsidR="001B17BB">
        <w:rPr>
          <w:bCs/>
        </w:rPr>
        <w:t xml:space="preserve">make the following </w:t>
      </w:r>
      <w:r w:rsidRPr="00830781">
        <w:rPr>
          <w:bCs/>
        </w:rPr>
        <w:t xml:space="preserve">assumptions to describe the </w:t>
      </w:r>
      <w:r w:rsidR="00464588">
        <w:rPr>
          <w:bCs/>
        </w:rPr>
        <w:t>sub-population</w:t>
      </w:r>
      <w:r w:rsidRPr="00830781">
        <w:rPr>
          <w:bCs/>
        </w:rPr>
        <w:t>s and</w:t>
      </w:r>
      <w:r w:rsidR="00AC27D2">
        <w:rPr>
          <w:bCs/>
        </w:rPr>
        <w:t>/or</w:t>
      </w:r>
      <w:r w:rsidRPr="00830781">
        <w:rPr>
          <w:bCs/>
        </w:rPr>
        <w:t xml:space="preserve"> their mixing pattern: </w:t>
      </w:r>
    </w:p>
    <w:p w14:paraId="4E67367D" w14:textId="6A1BF451" w:rsidR="00D17317" w:rsidRPr="00830781" w:rsidRDefault="00D17317" w:rsidP="002E50FA">
      <w:pPr>
        <w:pStyle w:val="BodyText"/>
        <w:numPr>
          <w:ilvl w:val="0"/>
          <w:numId w:val="8"/>
        </w:numPr>
        <w:spacing w:before="0" w:after="0"/>
        <w:ind w:left="720"/>
        <w:jc w:val="both"/>
        <w:rPr>
          <w:rFonts w:eastAsia="Times New Roman"/>
          <w:color w:val="000000" w:themeColor="text1"/>
        </w:rPr>
      </w:pPr>
      <w:r w:rsidRPr="00830781">
        <w:rPr>
          <w:rFonts w:eastAsia="Times New Roman"/>
          <w:color w:val="000000" w:themeColor="text1"/>
        </w:rPr>
        <w:t xml:space="preserve">High-risk women </w:t>
      </w:r>
      <w:r w:rsidR="001B17BB">
        <w:rPr>
          <w:rFonts w:eastAsia="Times New Roman"/>
          <w:color w:val="000000" w:themeColor="text1"/>
        </w:rPr>
        <w:t xml:space="preserve">are </w:t>
      </w:r>
      <w:r w:rsidRPr="00830781">
        <w:rPr>
          <w:rFonts w:eastAsia="Times New Roman"/>
          <w:color w:val="000000" w:themeColor="text1"/>
        </w:rPr>
        <w:t>not stratified by urbani</w:t>
      </w:r>
      <w:r w:rsidR="001B17BB">
        <w:rPr>
          <w:rFonts w:eastAsia="Times New Roman"/>
          <w:color w:val="000000" w:themeColor="text1"/>
        </w:rPr>
        <w:t>ci</w:t>
      </w:r>
      <w:r w:rsidRPr="00830781">
        <w:rPr>
          <w:rFonts w:eastAsia="Times New Roman"/>
          <w:color w:val="000000" w:themeColor="text1"/>
        </w:rPr>
        <w:t xml:space="preserve">ty </w:t>
      </w:r>
      <w:r w:rsidR="001B17BB">
        <w:rPr>
          <w:rFonts w:eastAsia="Times New Roman"/>
          <w:color w:val="000000" w:themeColor="text1"/>
        </w:rPr>
        <w:t xml:space="preserve">given </w:t>
      </w:r>
      <w:r w:rsidR="007D1FC2">
        <w:rPr>
          <w:rFonts w:eastAsia="Times New Roman"/>
          <w:color w:val="000000" w:themeColor="text1"/>
        </w:rPr>
        <w:t>evidence</w:t>
      </w:r>
      <w:r w:rsidRPr="00830781">
        <w:rPr>
          <w:rFonts w:eastAsia="Times New Roman"/>
          <w:color w:val="000000" w:themeColor="text1"/>
        </w:rPr>
        <w:t xml:space="preserve"> </w:t>
      </w:r>
      <w:r w:rsidR="001B17BB">
        <w:rPr>
          <w:rFonts w:eastAsia="Times New Roman"/>
          <w:color w:val="000000" w:themeColor="text1"/>
        </w:rPr>
        <w:t xml:space="preserve">suggesting </w:t>
      </w:r>
      <w:r w:rsidRPr="00830781">
        <w:rPr>
          <w:rFonts w:eastAsia="Times New Roman"/>
          <w:color w:val="000000" w:themeColor="text1"/>
        </w:rPr>
        <w:t>that 80% of high-risk women</w:t>
      </w:r>
      <w:r w:rsidR="007D1FC2">
        <w:rPr>
          <w:rFonts w:eastAsia="Times New Roman"/>
          <w:color w:val="000000" w:themeColor="text1"/>
        </w:rPr>
        <w:t xml:space="preserve"> (female sex workers)</w:t>
      </w:r>
      <w:r w:rsidRPr="00830781">
        <w:rPr>
          <w:rFonts w:eastAsia="Times New Roman"/>
          <w:color w:val="000000" w:themeColor="text1"/>
        </w:rPr>
        <w:t xml:space="preserve"> r</w:t>
      </w:r>
      <w:r w:rsidR="007D1FC2">
        <w:rPr>
          <w:rFonts w:eastAsia="Times New Roman"/>
          <w:color w:val="000000" w:themeColor="text1"/>
        </w:rPr>
        <w:t>eside</w:t>
      </w:r>
      <w:r w:rsidRPr="00830781">
        <w:rPr>
          <w:rFonts w:eastAsia="Times New Roman"/>
          <w:color w:val="000000" w:themeColor="text1"/>
        </w:rPr>
        <w:t xml:space="preserve"> in urban </w:t>
      </w:r>
      <w:r w:rsidR="007D1FC2">
        <w:rPr>
          <w:rFonts w:eastAsia="Times New Roman"/>
          <w:color w:val="000000" w:themeColor="text1"/>
        </w:rPr>
        <w:t>areas in Rwanda</w:t>
      </w:r>
      <w:r w:rsidRPr="00830781">
        <w:rPr>
          <w:rFonts w:eastAsia="Times New Roman"/>
          <w:color w:val="000000" w:themeColor="text1"/>
        </w:rPr>
        <w:t>.</w:t>
      </w:r>
      <w:r w:rsidRPr="00830781">
        <w:rPr>
          <w:rFonts w:eastAsia="Times New Roman"/>
          <w:color w:val="000000" w:themeColor="text1"/>
        </w:rPr>
        <w:fldChar w:fldCharType="begin" w:fldLock="1"/>
      </w:r>
      <w:r w:rsidR="007527CC">
        <w:rPr>
          <w:rFonts w:eastAsia="Times New Roman"/>
          <w:color w:val="000000" w:themeColor="text1"/>
        </w:rPr>
        <w:instrText>ADDIN CSL_CITATION {"citationItems":[{"id":"ITEM-1","itemData":{"ISBN":"0956-4624","author":[{"dropping-particle":"","family":"Mutagoma","given":"Mwumvaneza","non-dropping-particle":"","parse-names":false,"suffix":""},{"dropping-particle":"","family":"Kayitesi","given":"Catherine","non-dropping-particle":"","parse-names":false,"suffix":""},{"dropping-particle":"","family":"Gwiza","given":"Aime","non-dropping-particle":"","parse-names":false,"suffix":""},{"dropping-particle":"","family":"Ruton","given":"Hinda","non-dropping-particle":"","parse-names":false,"suffix":""},{"dropping-particle":"","family":"Koleros","given":"Andrew","non-dropping-particle":"","parse-names":false,"suffix":""},{"dropping-particle":"","family":"Gupta","given":"Neil","non-dropping-particle":"","parse-names":false,"suffix":""},{"dropping-particle":"","family":"Balisanga","given":"Helene","non-dropping-particle":"","parse-names":false,"suffix":""},{"dropping-particle":"","family":"Riedel","given":"David J","non-dropping-particle":"","parse-names":false,"suffix":""},{"dropping-particle":"","family":"Nsanzimana","given":"Sabin","non-dropping-particle":"","parse-names":false,"suffix":""}],"container-title":"International journal of STD &amp; AIDS","id":"ITEM-1","issue":"11","issued":{"date-parts":[["2015"]]},"page":"810-814","title":"Estimation of the size of the female sex worker population in Rwanda using three different methods","type":"article-journal","volume":"26"},"uris":["http://www.mendeley.com/documents/?uuid=0aee7636-7064-4c36-a79e-6292596a3210","http://www.mendeley.com/documents/?uuid=1850f621-fef4-474f-b29e-7f9247895deb"]}],"mendeley":{"formattedCitation":"&lt;sup&gt;17&lt;/sup&gt;","plainTextFormattedCitation":"17","previouslyFormattedCitation":"&lt;sup&gt;18&lt;/sup&gt;"},"properties":{"noteIndex":0},"schema":"https://github.com/citation-style-language/schema/raw/master/csl-citation.json"}</w:instrText>
      </w:r>
      <w:r w:rsidRPr="00830781">
        <w:rPr>
          <w:rFonts w:eastAsia="Times New Roman"/>
          <w:color w:val="000000" w:themeColor="text1"/>
        </w:rPr>
        <w:fldChar w:fldCharType="separate"/>
      </w:r>
      <w:r w:rsidR="007527CC" w:rsidRPr="007527CC">
        <w:rPr>
          <w:rFonts w:eastAsia="Times New Roman"/>
          <w:noProof/>
          <w:color w:val="000000" w:themeColor="text1"/>
          <w:vertAlign w:val="superscript"/>
        </w:rPr>
        <w:t>17</w:t>
      </w:r>
      <w:r w:rsidRPr="00830781">
        <w:rPr>
          <w:rFonts w:eastAsia="Times New Roman"/>
          <w:color w:val="000000" w:themeColor="text1"/>
        </w:rPr>
        <w:fldChar w:fldCharType="end"/>
      </w:r>
    </w:p>
    <w:p w14:paraId="1D604015" w14:textId="5BC9F92B" w:rsidR="00D17317" w:rsidRPr="00830781" w:rsidRDefault="00D17317" w:rsidP="002E50FA">
      <w:pPr>
        <w:pStyle w:val="BodyText"/>
        <w:numPr>
          <w:ilvl w:val="0"/>
          <w:numId w:val="8"/>
        </w:numPr>
        <w:spacing w:before="0" w:after="0"/>
        <w:ind w:left="720"/>
        <w:jc w:val="both"/>
        <w:rPr>
          <w:rFonts w:eastAsia="Times New Roman"/>
          <w:color w:val="000000" w:themeColor="text1"/>
        </w:rPr>
      </w:pPr>
      <w:r w:rsidRPr="00830781">
        <w:rPr>
          <w:rFonts w:eastAsia="Times New Roman"/>
          <w:color w:val="000000" w:themeColor="text1"/>
        </w:rPr>
        <w:t xml:space="preserve">High-risk women engage </w:t>
      </w:r>
      <w:r w:rsidR="001B17BB">
        <w:rPr>
          <w:rFonts w:eastAsia="Times New Roman"/>
          <w:color w:val="000000" w:themeColor="text1"/>
        </w:rPr>
        <w:t xml:space="preserve">sexually </w:t>
      </w:r>
      <w:r w:rsidRPr="00830781">
        <w:rPr>
          <w:rFonts w:eastAsia="Times New Roman"/>
          <w:color w:val="000000" w:themeColor="text1"/>
        </w:rPr>
        <w:t>with both urban and rural men</w:t>
      </w:r>
      <w:r w:rsidR="00233D1C" w:rsidRPr="00830781">
        <w:rPr>
          <w:rFonts w:eastAsia="Times New Roman"/>
          <w:color w:val="000000" w:themeColor="text1"/>
        </w:rPr>
        <w:t xml:space="preserve">. </w:t>
      </w:r>
      <w:r w:rsidR="007D1FC2">
        <w:rPr>
          <w:rFonts w:eastAsia="Times New Roman"/>
          <w:color w:val="000000" w:themeColor="text1"/>
        </w:rPr>
        <w:t xml:space="preserve">Evidence from </w:t>
      </w:r>
      <w:r w:rsidR="001B17BB">
        <w:rPr>
          <w:rFonts w:eastAsia="Times New Roman"/>
          <w:color w:val="000000" w:themeColor="text1"/>
        </w:rPr>
        <w:t xml:space="preserve">the </w:t>
      </w:r>
      <w:r w:rsidR="007D1FC2">
        <w:rPr>
          <w:rFonts w:eastAsia="Times New Roman"/>
          <w:color w:val="000000" w:themeColor="text1"/>
        </w:rPr>
        <w:t xml:space="preserve">Rwanda </w:t>
      </w:r>
      <w:r w:rsidR="001B17BB">
        <w:rPr>
          <w:rFonts w:eastAsia="Times New Roman"/>
          <w:color w:val="000000" w:themeColor="text1"/>
        </w:rPr>
        <w:t>Demographic and Health S</w:t>
      </w:r>
      <w:r w:rsidR="007D1FC2">
        <w:rPr>
          <w:rFonts w:eastAsia="Times New Roman"/>
          <w:color w:val="000000" w:themeColor="text1"/>
        </w:rPr>
        <w:t xml:space="preserve">urvey </w:t>
      </w:r>
      <w:r w:rsidR="001B17BB">
        <w:rPr>
          <w:rFonts w:eastAsia="Times New Roman"/>
          <w:color w:val="000000" w:themeColor="text1"/>
        </w:rPr>
        <w:t xml:space="preserve">suggests </w:t>
      </w:r>
      <w:r w:rsidR="007D1FC2">
        <w:rPr>
          <w:rFonts w:eastAsia="Times New Roman"/>
          <w:color w:val="000000" w:themeColor="text1"/>
        </w:rPr>
        <w:t xml:space="preserve">men </w:t>
      </w:r>
      <w:r w:rsidR="001B17BB">
        <w:rPr>
          <w:rFonts w:eastAsia="Times New Roman"/>
          <w:color w:val="000000" w:themeColor="text1"/>
        </w:rPr>
        <w:t xml:space="preserve">residing </w:t>
      </w:r>
      <w:r w:rsidR="007D1FC2">
        <w:rPr>
          <w:rFonts w:eastAsia="Times New Roman"/>
          <w:color w:val="000000" w:themeColor="text1"/>
        </w:rPr>
        <w:t>in both rural and urban area</w:t>
      </w:r>
      <w:r w:rsidR="001B17BB">
        <w:rPr>
          <w:rFonts w:eastAsia="Times New Roman"/>
          <w:color w:val="000000" w:themeColor="text1"/>
        </w:rPr>
        <w:t>s</w:t>
      </w:r>
      <w:r w:rsidR="007D1FC2">
        <w:rPr>
          <w:rFonts w:eastAsia="Times New Roman"/>
          <w:color w:val="000000" w:themeColor="text1"/>
        </w:rPr>
        <w:t xml:space="preserve"> pay for sex</w:t>
      </w:r>
      <w:r w:rsidR="001B17BB">
        <w:rPr>
          <w:rFonts w:eastAsia="Times New Roman"/>
          <w:color w:val="000000" w:themeColor="text1"/>
        </w:rPr>
        <w:t>, with t</w:t>
      </w:r>
      <w:r w:rsidR="00233D1C" w:rsidRPr="00830781">
        <w:rPr>
          <w:rFonts w:eastAsia="Times New Roman"/>
          <w:color w:val="000000" w:themeColor="text1"/>
        </w:rPr>
        <w:t>he majority of new infections occur</w:t>
      </w:r>
      <w:r w:rsidR="001B17BB">
        <w:rPr>
          <w:rFonts w:eastAsia="Times New Roman"/>
          <w:color w:val="000000" w:themeColor="text1"/>
        </w:rPr>
        <w:t>ring</w:t>
      </w:r>
      <w:r w:rsidR="00233D1C" w:rsidRPr="00830781">
        <w:rPr>
          <w:rFonts w:eastAsia="Times New Roman"/>
          <w:color w:val="000000" w:themeColor="text1"/>
        </w:rPr>
        <w:t xml:space="preserve"> in rural area.</w:t>
      </w:r>
      <w:r w:rsidR="00434F5B" w:rsidRPr="00830781">
        <w:rPr>
          <w:rFonts w:eastAsia="Times New Roman"/>
          <w:color w:val="000000" w:themeColor="text1"/>
          <w:shd w:val="clear" w:color="auto" w:fill="FFFFFF"/>
        </w:rPr>
        <w:fldChar w:fldCharType="begin" w:fldLock="1"/>
      </w:r>
      <w:r w:rsidR="007527CC">
        <w:rPr>
          <w:rFonts w:eastAsia="Times New Roman"/>
          <w:color w:val="000000" w:themeColor="text1"/>
          <w:shd w:val="clear" w:color="auto" w:fill="FFFFFF"/>
        </w:rPr>
        <w:instrText>ADDIN CSL_CITATION {"citationItems":[{"id":"ITEM-1","itemData":{"DOI":"March, 2016","ISBN":"9789997743091","author":[{"dropping-particle":"","family":"National Institute of Statistics of Rwanda (NISR) [Rwanda] Ministry of Health (MOH) [Rwanda] and ICF International.","given":"","non-dropping-particle":"","parse-names":false,"suffix":""}],"container-title":"Rwanda Mininstry of Health","id":"ITEM-1","issued":{"date-parts":[["2015"]]},"number-of-pages":"640","publisher-place":"Rockville, Maryland, USA: NISR, MOH, and ICF International.","title":"Rwanda Demographic and Health Survey 2014-15","type":"report"},"uris":["http://www.mendeley.com/documents/?uuid=92979b8f-5a59-4ac9-a743-4a0cdca47a78","http://www.mendeley.com/documents/?uuid=b26e7148-b697-4212-bb43-79b0366d0d6e","http://www.mendeley.com/documents/?uuid=1cd2afa0-8858-4818-a7e0-ec39e8a650ac"]}],"mendeley":{"formattedCitation":"&lt;sup&gt;18&lt;/sup&gt;","plainTextFormattedCitation":"18","previouslyFormattedCitation":"&lt;sup&gt;19&lt;/sup&gt;"},"properties":{"noteIndex":0},"schema":"https://github.com/citation-style-language/schema/raw/master/csl-citation.json"}</w:instrText>
      </w:r>
      <w:r w:rsidR="00434F5B" w:rsidRPr="00830781">
        <w:rPr>
          <w:rFonts w:eastAsia="Times New Roman"/>
          <w:color w:val="000000" w:themeColor="text1"/>
          <w:shd w:val="clear" w:color="auto" w:fill="FFFFFF"/>
        </w:rPr>
        <w:fldChar w:fldCharType="separate"/>
      </w:r>
      <w:r w:rsidR="007527CC" w:rsidRPr="007527CC">
        <w:rPr>
          <w:rFonts w:eastAsia="Times New Roman"/>
          <w:noProof/>
          <w:color w:val="000000" w:themeColor="text1"/>
          <w:shd w:val="clear" w:color="auto" w:fill="FFFFFF"/>
          <w:vertAlign w:val="superscript"/>
        </w:rPr>
        <w:t>18</w:t>
      </w:r>
      <w:r w:rsidR="00434F5B" w:rsidRPr="00830781">
        <w:rPr>
          <w:rFonts w:eastAsia="Times New Roman"/>
          <w:color w:val="000000" w:themeColor="text1"/>
          <w:shd w:val="clear" w:color="auto" w:fill="FFFFFF"/>
        </w:rPr>
        <w:fldChar w:fldCharType="end"/>
      </w:r>
    </w:p>
    <w:p w14:paraId="10872146" w14:textId="19E0BE5E" w:rsidR="00D17317" w:rsidRDefault="00233D1C" w:rsidP="002E50FA">
      <w:pPr>
        <w:pStyle w:val="BodyText"/>
        <w:numPr>
          <w:ilvl w:val="0"/>
          <w:numId w:val="8"/>
        </w:numPr>
        <w:spacing w:before="0" w:after="0"/>
        <w:ind w:left="720"/>
        <w:jc w:val="both"/>
        <w:rPr>
          <w:rFonts w:eastAsia="Times New Roman"/>
          <w:color w:val="000000" w:themeColor="text1"/>
        </w:rPr>
      </w:pPr>
      <w:r w:rsidRPr="00830781">
        <w:rPr>
          <w:rFonts w:eastAsia="Times New Roman"/>
          <w:color w:val="000000" w:themeColor="text1"/>
        </w:rPr>
        <w:t xml:space="preserve">For </w:t>
      </w:r>
      <w:r w:rsidR="00BC567F" w:rsidRPr="00830781">
        <w:rPr>
          <w:rFonts w:eastAsia="Times New Roman"/>
          <w:color w:val="000000" w:themeColor="text1"/>
        </w:rPr>
        <w:t xml:space="preserve">low-risk </w:t>
      </w:r>
      <w:r w:rsidR="00464588">
        <w:rPr>
          <w:rFonts w:eastAsia="Times New Roman"/>
          <w:color w:val="000000" w:themeColor="text1"/>
        </w:rPr>
        <w:t>sub-population</w:t>
      </w:r>
      <w:r w:rsidR="00BC567F" w:rsidRPr="00830781">
        <w:rPr>
          <w:rFonts w:eastAsia="Times New Roman"/>
          <w:color w:val="000000" w:themeColor="text1"/>
        </w:rPr>
        <w:t>s</w:t>
      </w:r>
      <w:r w:rsidR="00434F5B">
        <w:rPr>
          <w:rFonts w:eastAsia="Times New Roman"/>
          <w:color w:val="000000" w:themeColor="text1"/>
        </w:rPr>
        <w:t xml:space="preserve"> (</w:t>
      </w:r>
      <w:r w:rsidR="001B17BB">
        <w:rPr>
          <w:rFonts w:eastAsia="Times New Roman"/>
          <w:color w:val="000000" w:themeColor="text1"/>
        </w:rPr>
        <w:t xml:space="preserve">i.e., </w:t>
      </w:r>
      <w:r w:rsidR="00434F5B">
        <w:rPr>
          <w:rFonts w:eastAsia="Times New Roman"/>
          <w:color w:val="000000" w:themeColor="text1"/>
        </w:rPr>
        <w:t>men and women in the general population)</w:t>
      </w:r>
      <w:r w:rsidRPr="00830781">
        <w:rPr>
          <w:rFonts w:eastAsia="Times New Roman"/>
          <w:color w:val="000000" w:themeColor="text1"/>
        </w:rPr>
        <w:t xml:space="preserve">, </w:t>
      </w:r>
      <w:r w:rsidR="00D17317" w:rsidRPr="00830781">
        <w:rPr>
          <w:rFonts w:eastAsia="Times New Roman"/>
          <w:color w:val="000000" w:themeColor="text1"/>
        </w:rPr>
        <w:t>no migration occur</w:t>
      </w:r>
      <w:r w:rsidR="00D11A55">
        <w:rPr>
          <w:rFonts w:eastAsia="Times New Roman"/>
          <w:color w:val="000000" w:themeColor="text1"/>
        </w:rPr>
        <w:t>s</w:t>
      </w:r>
      <w:r w:rsidR="00D17317" w:rsidRPr="00830781">
        <w:rPr>
          <w:rFonts w:eastAsia="Times New Roman"/>
          <w:color w:val="000000" w:themeColor="text1"/>
        </w:rPr>
        <w:t xml:space="preserve"> between urban and rural areas.</w:t>
      </w:r>
    </w:p>
    <w:p w14:paraId="1852CCDF" w14:textId="0BFF25BC" w:rsidR="00237F63" w:rsidRPr="00DF1813" w:rsidRDefault="005220C4" w:rsidP="002E50FA">
      <w:pPr>
        <w:pStyle w:val="BodyText"/>
        <w:numPr>
          <w:ilvl w:val="0"/>
          <w:numId w:val="8"/>
        </w:numPr>
        <w:spacing w:before="0" w:after="0"/>
        <w:ind w:left="720"/>
        <w:jc w:val="both"/>
        <w:rPr>
          <w:rFonts w:eastAsia="Times New Roman"/>
          <w:color w:val="000000" w:themeColor="text1"/>
        </w:rPr>
      </w:pPr>
      <w:r>
        <w:rPr>
          <w:rFonts w:eastAsia="Times New Roman"/>
          <w:color w:val="000000" w:themeColor="text1"/>
        </w:rPr>
        <w:t>Heterosexual m</w:t>
      </w:r>
      <w:r w:rsidR="00D17317" w:rsidRPr="00830781">
        <w:rPr>
          <w:rFonts w:eastAsia="Times New Roman"/>
          <w:color w:val="000000" w:themeColor="text1"/>
        </w:rPr>
        <w:t>ixing occur</w:t>
      </w:r>
      <w:r w:rsidR="001B17BB">
        <w:rPr>
          <w:rFonts w:eastAsia="Times New Roman"/>
          <w:color w:val="000000" w:themeColor="text1"/>
        </w:rPr>
        <w:t>s</w:t>
      </w:r>
      <w:r w:rsidR="00D17317" w:rsidRPr="00830781">
        <w:rPr>
          <w:rFonts w:eastAsia="Times New Roman"/>
          <w:color w:val="000000" w:themeColor="text1"/>
        </w:rPr>
        <w:t xml:space="preserve"> </w:t>
      </w:r>
      <w:r w:rsidR="001B17BB">
        <w:rPr>
          <w:rFonts w:eastAsia="Times New Roman"/>
          <w:color w:val="000000" w:themeColor="text1"/>
        </w:rPr>
        <w:t>among all age groups (</w:t>
      </w:r>
      <w:r w:rsidR="008C4818">
        <w:rPr>
          <w:rFonts w:eastAsia="Times New Roman"/>
          <w:color w:val="000000" w:themeColor="text1"/>
        </w:rPr>
        <w:fldChar w:fldCharType="begin"/>
      </w:r>
      <w:r w:rsidR="008C4818">
        <w:rPr>
          <w:rFonts w:eastAsia="Times New Roman"/>
          <w:color w:val="000000" w:themeColor="text1"/>
        </w:rPr>
        <w:instrText xml:space="preserve"> REF _Ref81780167 \h </w:instrText>
      </w:r>
      <w:r w:rsidR="008C4818">
        <w:rPr>
          <w:rFonts w:eastAsia="Times New Roman"/>
          <w:color w:val="000000" w:themeColor="text1"/>
        </w:rPr>
      </w:r>
      <w:r w:rsidR="008C4818">
        <w:rPr>
          <w:rFonts w:eastAsia="Times New Roman"/>
          <w:color w:val="000000" w:themeColor="text1"/>
        </w:rPr>
        <w:fldChar w:fldCharType="separate"/>
      </w:r>
      <w:r w:rsidR="001E49BE" w:rsidRPr="00830781">
        <w:rPr>
          <w:b/>
          <w:bCs/>
        </w:rPr>
        <w:t xml:space="preserve">Figure </w:t>
      </w:r>
      <w:r w:rsidR="001E49BE">
        <w:rPr>
          <w:b/>
          <w:bCs/>
          <w:noProof/>
        </w:rPr>
        <w:t>2</w:t>
      </w:r>
      <w:r w:rsidR="008C4818">
        <w:rPr>
          <w:rFonts w:eastAsia="Times New Roman"/>
          <w:color w:val="000000" w:themeColor="text1"/>
        </w:rPr>
        <w:fldChar w:fldCharType="end"/>
      </w:r>
      <w:r w:rsidR="001B17BB" w:rsidRPr="00DF0E7A">
        <w:t>)</w:t>
      </w:r>
      <w:r w:rsidR="00D17317" w:rsidRPr="005220C4">
        <w:rPr>
          <w:bCs/>
        </w:rPr>
        <w:t xml:space="preserve">. </w:t>
      </w:r>
    </w:p>
    <w:p w14:paraId="32DB8F94" w14:textId="77777777" w:rsidR="006D15A0" w:rsidRDefault="006D15A0">
      <w:pPr>
        <w:jc w:val="both"/>
        <w:rPr>
          <w:b/>
          <w:bCs/>
        </w:rPr>
      </w:pPr>
    </w:p>
    <w:p w14:paraId="49749570" w14:textId="7A6B1A43" w:rsidR="004D63E7" w:rsidRPr="00B62492" w:rsidRDefault="00D17317" w:rsidP="00E71320">
      <w:pPr>
        <w:jc w:val="both"/>
        <w:rPr>
          <w:b/>
          <w:color w:val="000000" w:themeColor="text1"/>
        </w:rPr>
      </w:pPr>
      <w:bookmarkStart w:id="16" w:name="_Ref81780167"/>
      <w:bookmarkStart w:id="17" w:name="_Ref81774282"/>
      <w:bookmarkStart w:id="18" w:name="_Toc82592771"/>
      <w:r w:rsidRPr="00830781">
        <w:rPr>
          <w:b/>
          <w:bCs/>
        </w:rPr>
        <w:t xml:space="preserve">Figure </w:t>
      </w:r>
      <w:r w:rsidRPr="00830781">
        <w:rPr>
          <w:b/>
          <w:bCs/>
        </w:rPr>
        <w:fldChar w:fldCharType="begin"/>
      </w:r>
      <w:r w:rsidRPr="00830781">
        <w:rPr>
          <w:b/>
          <w:bCs/>
        </w:rPr>
        <w:instrText xml:space="preserve"> SEQ Figure \* ARABIC </w:instrText>
      </w:r>
      <w:r w:rsidRPr="00830781">
        <w:rPr>
          <w:b/>
          <w:bCs/>
        </w:rPr>
        <w:fldChar w:fldCharType="separate"/>
      </w:r>
      <w:r w:rsidR="001E49BE">
        <w:rPr>
          <w:b/>
          <w:bCs/>
          <w:noProof/>
        </w:rPr>
        <w:t>2</w:t>
      </w:r>
      <w:r w:rsidRPr="00830781">
        <w:rPr>
          <w:b/>
          <w:bCs/>
        </w:rPr>
        <w:fldChar w:fldCharType="end"/>
      </w:r>
      <w:bookmarkEnd w:id="16"/>
      <w:r w:rsidR="00EC05B0" w:rsidRPr="00DF0E7A">
        <w:rPr>
          <w:b/>
          <w:bCs/>
        </w:rPr>
        <w:t>.</w:t>
      </w:r>
      <w:r w:rsidR="00EC05B0" w:rsidRPr="00DF0E7A">
        <w:rPr>
          <w:b/>
        </w:rPr>
        <w:t xml:space="preserve"> </w:t>
      </w:r>
      <w:r w:rsidR="00E861FA">
        <w:rPr>
          <w:b/>
        </w:rPr>
        <w:t>S</w:t>
      </w:r>
      <w:r w:rsidR="00464588">
        <w:rPr>
          <w:b/>
          <w:color w:val="000000" w:themeColor="text1"/>
        </w:rPr>
        <w:t>ub-population</w:t>
      </w:r>
      <w:r w:rsidRPr="00B62492">
        <w:rPr>
          <w:b/>
          <w:color w:val="000000" w:themeColor="text1"/>
        </w:rPr>
        <w:t>s and mixing pattern</w:t>
      </w:r>
      <w:r w:rsidR="00D11A55">
        <w:rPr>
          <w:b/>
          <w:color w:val="000000" w:themeColor="text1"/>
        </w:rPr>
        <w:t>s</w:t>
      </w:r>
      <w:r w:rsidR="00E861FA">
        <w:rPr>
          <w:b/>
          <w:color w:val="000000" w:themeColor="text1"/>
        </w:rPr>
        <w:t xml:space="preserve"> in the </w:t>
      </w:r>
      <w:r w:rsidR="00E861FA">
        <w:rPr>
          <w:b/>
        </w:rPr>
        <w:t>CA-</w:t>
      </w:r>
      <w:proofErr w:type="spellStart"/>
      <w:r w:rsidR="00E861FA" w:rsidRPr="00112D5F">
        <w:rPr>
          <w:b/>
        </w:rPr>
        <w:t>IeDEA</w:t>
      </w:r>
      <w:proofErr w:type="spellEnd"/>
      <w:r w:rsidR="00E861FA" w:rsidRPr="00112D5F">
        <w:rPr>
          <w:b/>
        </w:rPr>
        <w:t xml:space="preserve"> model</w:t>
      </w:r>
      <w:bookmarkEnd w:id="17"/>
      <w:bookmarkEnd w:id="18"/>
    </w:p>
    <w:p w14:paraId="663E1987" w14:textId="6F0520BD" w:rsidR="00233D1C" w:rsidRPr="00DF0E7A" w:rsidRDefault="00EC05B0" w:rsidP="00E71320">
      <w:pPr>
        <w:jc w:val="both"/>
        <w:rPr>
          <w:color w:val="000000" w:themeColor="text1"/>
          <w:sz w:val="20"/>
          <w:szCs w:val="20"/>
        </w:rPr>
      </w:pPr>
      <w:r w:rsidRPr="00DF0E7A">
        <w:rPr>
          <w:color w:val="000000" w:themeColor="text1"/>
          <w:sz w:val="20"/>
          <w:szCs w:val="20"/>
        </w:rPr>
        <w:t xml:space="preserve">Legend: </w:t>
      </w:r>
      <w:r>
        <w:rPr>
          <w:color w:val="000000" w:themeColor="text1"/>
          <w:sz w:val="20"/>
          <w:szCs w:val="20"/>
        </w:rPr>
        <w:t>A</w:t>
      </w:r>
      <w:r w:rsidR="00233D1C" w:rsidRPr="00DF0E7A">
        <w:rPr>
          <w:color w:val="000000" w:themeColor="text1"/>
          <w:sz w:val="20"/>
          <w:szCs w:val="20"/>
        </w:rPr>
        <w:t xml:space="preserve">rrows indicate mixing </w:t>
      </w:r>
      <w:r>
        <w:rPr>
          <w:color w:val="000000" w:themeColor="text1"/>
          <w:sz w:val="20"/>
          <w:szCs w:val="20"/>
        </w:rPr>
        <w:t xml:space="preserve">across </w:t>
      </w:r>
      <w:r w:rsidR="00464588">
        <w:rPr>
          <w:color w:val="000000" w:themeColor="text1"/>
          <w:sz w:val="20"/>
          <w:szCs w:val="20"/>
        </w:rPr>
        <w:t>sub-population</w:t>
      </w:r>
      <w:r w:rsidR="00233D1C" w:rsidRPr="00DF0E7A">
        <w:rPr>
          <w:color w:val="000000" w:themeColor="text1"/>
          <w:sz w:val="20"/>
          <w:szCs w:val="20"/>
        </w:rPr>
        <w:t xml:space="preserve">s. </w:t>
      </w:r>
      <w:r w:rsidR="00D77AB6">
        <w:rPr>
          <w:color w:val="000000" w:themeColor="text1"/>
          <w:sz w:val="20"/>
          <w:szCs w:val="20"/>
        </w:rPr>
        <w:t xml:space="preserve">The probabilities of mixing differ depending on the direction of the arrows. </w:t>
      </w:r>
      <w:r w:rsidR="00D1452D">
        <w:rPr>
          <w:color w:val="000000" w:themeColor="text1"/>
          <w:sz w:val="20"/>
          <w:szCs w:val="20"/>
        </w:rPr>
        <w:t>Sub</w:t>
      </w:r>
      <w:r w:rsidR="00464588">
        <w:rPr>
          <w:color w:val="000000" w:themeColor="text1"/>
          <w:sz w:val="20"/>
          <w:szCs w:val="20"/>
        </w:rPr>
        <w:t>-population</w:t>
      </w:r>
      <w:r w:rsidR="00D1452D">
        <w:rPr>
          <w:color w:val="000000" w:themeColor="text1"/>
          <w:sz w:val="20"/>
          <w:szCs w:val="20"/>
        </w:rPr>
        <w:t>s are numbered from 1 to 25</w:t>
      </w:r>
      <w:r w:rsidR="00233D1C" w:rsidRPr="00DF0E7A">
        <w:rPr>
          <w:color w:val="000000" w:themeColor="text1"/>
          <w:sz w:val="20"/>
          <w:szCs w:val="20"/>
        </w:rPr>
        <w:t xml:space="preserve"> so that they can be identified in model implementation</w:t>
      </w:r>
      <w:r w:rsidR="00D11A55">
        <w:rPr>
          <w:color w:val="000000" w:themeColor="text1"/>
          <w:sz w:val="20"/>
          <w:szCs w:val="20"/>
        </w:rPr>
        <w:t>.</w:t>
      </w:r>
    </w:p>
    <w:p w14:paraId="7E6E572A" w14:textId="77777777" w:rsidR="00875AD8" w:rsidRPr="00830781" w:rsidRDefault="00875AD8" w:rsidP="00E71320">
      <w:pPr>
        <w:jc w:val="both"/>
        <w:rPr>
          <w:b/>
          <w:color w:val="000000" w:themeColor="text1"/>
        </w:rPr>
      </w:pPr>
    </w:p>
    <w:p w14:paraId="60181B12" w14:textId="10FAF0DA" w:rsidR="00C651A4" w:rsidRPr="00830781" w:rsidRDefault="00BB7AE4" w:rsidP="008128B0">
      <w:pPr>
        <w:jc w:val="center"/>
        <w:rPr>
          <w:b/>
          <w:color w:val="000000" w:themeColor="text1"/>
        </w:rPr>
        <w:sectPr w:rsidR="00C651A4" w:rsidRPr="00830781">
          <w:headerReference w:type="even" r:id="rId23"/>
          <w:headerReference w:type="default" r:id="rId24"/>
          <w:headerReference w:type="first" r:id="rId25"/>
          <w:pgSz w:w="12240" w:h="15840"/>
          <w:pgMar w:top="1440" w:right="1440" w:bottom="1440" w:left="1440" w:header="720" w:footer="720" w:gutter="0"/>
          <w:cols w:space="720"/>
        </w:sectPr>
      </w:pPr>
      <w:r w:rsidRPr="00150CE3">
        <w:rPr>
          <w:b/>
          <w:noProof/>
          <w:color w:val="000000" w:themeColor="text1"/>
        </w:rPr>
        <w:drawing>
          <wp:inline distT="0" distB="0" distL="0" distR="0" wp14:anchorId="05F6A7C7" wp14:editId="2902B73D">
            <wp:extent cx="5212080" cy="4083923"/>
            <wp:effectExtent l="0" t="0" r="762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2080" cy="4083923"/>
                    </a:xfrm>
                    <a:prstGeom prst="rect">
                      <a:avLst/>
                    </a:prstGeom>
                    <a:noFill/>
                    <a:ln>
                      <a:noFill/>
                    </a:ln>
                  </pic:spPr>
                </pic:pic>
              </a:graphicData>
            </a:graphic>
          </wp:inline>
        </w:drawing>
      </w:r>
    </w:p>
    <w:p w14:paraId="3446E544" w14:textId="4FC0DEF4" w:rsidR="00C651A4" w:rsidRPr="00D11A55" w:rsidRDefault="00C651A4" w:rsidP="00E71320">
      <w:pPr>
        <w:keepNext/>
        <w:jc w:val="both"/>
        <w:rPr>
          <w:b/>
          <w:shd w:val="clear" w:color="auto" w:fill="FFFFFF"/>
        </w:rPr>
      </w:pPr>
      <w:bookmarkStart w:id="19" w:name="_Ref81780150"/>
      <w:bookmarkStart w:id="20" w:name="_Toc82448064"/>
      <w:bookmarkStart w:id="21" w:name="_Toc82592495"/>
      <w:bookmarkStart w:id="22" w:name="_Toc82599260"/>
      <w:r w:rsidRPr="00D11A55">
        <w:rPr>
          <w:b/>
        </w:rPr>
        <w:lastRenderedPageBreak/>
        <w:t xml:space="preserve">Table </w:t>
      </w:r>
      <w:r w:rsidRPr="00D11A55">
        <w:rPr>
          <w:b/>
        </w:rPr>
        <w:fldChar w:fldCharType="begin"/>
      </w:r>
      <w:r w:rsidRPr="00D11A55">
        <w:rPr>
          <w:b/>
        </w:rPr>
        <w:instrText xml:space="preserve"> SEQ Table \* ARABIC </w:instrText>
      </w:r>
      <w:r w:rsidRPr="00D11A55">
        <w:rPr>
          <w:b/>
        </w:rPr>
        <w:fldChar w:fldCharType="separate"/>
      </w:r>
      <w:r w:rsidR="001E49BE">
        <w:rPr>
          <w:b/>
          <w:noProof/>
        </w:rPr>
        <w:t>1</w:t>
      </w:r>
      <w:r w:rsidRPr="00D11A55">
        <w:rPr>
          <w:b/>
        </w:rPr>
        <w:fldChar w:fldCharType="end"/>
      </w:r>
      <w:bookmarkEnd w:id="19"/>
      <w:r w:rsidR="00EC05B0" w:rsidRPr="00D11A55">
        <w:rPr>
          <w:b/>
        </w:rPr>
        <w:t xml:space="preserve">. </w:t>
      </w:r>
      <w:bookmarkStart w:id="23" w:name="_Hlk74740993"/>
      <w:r w:rsidR="00C12CC3" w:rsidRPr="00D11A55">
        <w:rPr>
          <w:b/>
        </w:rPr>
        <w:t>Model sub-</w:t>
      </w:r>
      <w:r w:rsidR="00055965" w:rsidRPr="00D11A55">
        <w:rPr>
          <w:b/>
        </w:rPr>
        <w:t>populations</w:t>
      </w:r>
      <w:r w:rsidR="00180D28">
        <w:rPr>
          <w:b/>
        </w:rPr>
        <w:t>: model implementation, justification, and supporting evidence</w:t>
      </w:r>
      <w:bookmarkEnd w:id="20"/>
      <w:bookmarkEnd w:id="21"/>
      <w:bookmarkEnd w:id="22"/>
      <w:bookmarkEnd w:id="23"/>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4202"/>
        <w:gridCol w:w="7498"/>
      </w:tblGrid>
      <w:tr w:rsidR="00C12CC3" w:rsidRPr="00EC05B0" w14:paraId="149E6028" w14:textId="0B46A335" w:rsidTr="003060F6">
        <w:trPr>
          <w:trHeight w:val="338"/>
        </w:trPr>
        <w:tc>
          <w:tcPr>
            <w:tcW w:w="1440" w:type="dxa"/>
          </w:tcPr>
          <w:p w14:paraId="1ED63C98" w14:textId="0018513D" w:rsidR="00C12CC3" w:rsidRPr="00EC05B0" w:rsidRDefault="00C12CC3" w:rsidP="00E71320">
            <w:pPr>
              <w:jc w:val="both"/>
              <w:rPr>
                <w:b/>
                <w:color w:val="000000" w:themeColor="text1"/>
                <w:sz w:val="20"/>
                <w:szCs w:val="20"/>
                <w:shd w:val="clear" w:color="auto" w:fill="FFFFFF"/>
              </w:rPr>
            </w:pPr>
            <w:r>
              <w:rPr>
                <w:b/>
                <w:color w:val="000000" w:themeColor="text1"/>
                <w:sz w:val="20"/>
                <w:szCs w:val="20"/>
                <w:shd w:val="clear" w:color="auto" w:fill="FFFFFF"/>
              </w:rPr>
              <w:t>Domain</w:t>
            </w:r>
          </w:p>
        </w:tc>
        <w:tc>
          <w:tcPr>
            <w:tcW w:w="4202" w:type="dxa"/>
          </w:tcPr>
          <w:p w14:paraId="618DB67A" w14:textId="6E934B9E" w:rsidR="00C12CC3" w:rsidRPr="00EC05B0" w:rsidRDefault="00AC27D2" w:rsidP="00E71320">
            <w:pPr>
              <w:jc w:val="both"/>
              <w:rPr>
                <w:b/>
                <w:color w:val="000000" w:themeColor="text1"/>
                <w:sz w:val="20"/>
                <w:szCs w:val="20"/>
                <w:shd w:val="clear" w:color="auto" w:fill="FFFFFF"/>
              </w:rPr>
            </w:pPr>
            <w:r>
              <w:rPr>
                <w:b/>
                <w:color w:val="000000" w:themeColor="text1"/>
                <w:sz w:val="20"/>
                <w:szCs w:val="20"/>
                <w:shd w:val="clear" w:color="auto" w:fill="FFFFFF"/>
              </w:rPr>
              <w:t>Model implementation</w:t>
            </w:r>
            <w:r w:rsidR="00172214">
              <w:rPr>
                <w:b/>
                <w:color w:val="000000" w:themeColor="text1"/>
                <w:sz w:val="20"/>
                <w:szCs w:val="20"/>
                <w:shd w:val="clear" w:color="auto" w:fill="FFFFFF"/>
              </w:rPr>
              <w:t xml:space="preserve"> and justification</w:t>
            </w:r>
          </w:p>
        </w:tc>
        <w:tc>
          <w:tcPr>
            <w:tcW w:w="7498" w:type="dxa"/>
          </w:tcPr>
          <w:p w14:paraId="2FEFD224" w14:textId="51CFB76E" w:rsidR="00C12CC3" w:rsidRDefault="00C12CC3" w:rsidP="00E71320">
            <w:pPr>
              <w:jc w:val="both"/>
              <w:rPr>
                <w:b/>
                <w:color w:val="000000" w:themeColor="text1"/>
                <w:sz w:val="20"/>
                <w:szCs w:val="20"/>
                <w:shd w:val="clear" w:color="auto" w:fill="FFFFFF"/>
              </w:rPr>
            </w:pPr>
            <w:r>
              <w:rPr>
                <w:b/>
                <w:color w:val="000000" w:themeColor="text1"/>
                <w:sz w:val="20"/>
                <w:szCs w:val="20"/>
                <w:shd w:val="clear" w:color="auto" w:fill="FFFFFF"/>
              </w:rPr>
              <w:t>Supporting evidence</w:t>
            </w:r>
          </w:p>
        </w:tc>
      </w:tr>
      <w:tr w:rsidR="00C12CC3" w:rsidRPr="00EC05B0" w14:paraId="09F650CB" w14:textId="1E5D7729" w:rsidTr="003060F6">
        <w:trPr>
          <w:trHeight w:val="338"/>
        </w:trPr>
        <w:tc>
          <w:tcPr>
            <w:tcW w:w="1440" w:type="dxa"/>
          </w:tcPr>
          <w:p w14:paraId="1ADB9F59" w14:textId="77777777" w:rsidR="00C12CC3" w:rsidRPr="00EC05B0" w:rsidRDefault="00C12CC3" w:rsidP="00122CDD">
            <w:pPr>
              <w:jc w:val="both"/>
              <w:rPr>
                <w:color w:val="000000" w:themeColor="text1"/>
                <w:sz w:val="20"/>
                <w:szCs w:val="20"/>
                <w:shd w:val="clear" w:color="auto" w:fill="FFFFFF"/>
              </w:rPr>
            </w:pPr>
            <w:r w:rsidRPr="00EC05B0">
              <w:rPr>
                <w:color w:val="000000" w:themeColor="text1"/>
                <w:sz w:val="20"/>
                <w:szCs w:val="20"/>
                <w:shd w:val="clear" w:color="auto" w:fill="FFFFFF"/>
              </w:rPr>
              <w:t xml:space="preserve">Age </w:t>
            </w:r>
          </w:p>
          <w:p w14:paraId="767CD160" w14:textId="77777777" w:rsidR="00C12CC3" w:rsidRPr="00EC05B0" w:rsidRDefault="00C12CC3" w:rsidP="001D10D4">
            <w:pPr>
              <w:jc w:val="both"/>
              <w:rPr>
                <w:color w:val="000000" w:themeColor="text1"/>
                <w:sz w:val="20"/>
                <w:szCs w:val="20"/>
                <w:shd w:val="clear" w:color="auto" w:fill="FFFFFF"/>
              </w:rPr>
            </w:pPr>
          </w:p>
          <w:p w14:paraId="2D794AFC" w14:textId="77777777" w:rsidR="00C12CC3" w:rsidRPr="00EC05B0" w:rsidRDefault="00C12CC3" w:rsidP="00527179">
            <w:pPr>
              <w:jc w:val="both"/>
              <w:rPr>
                <w:color w:val="000000" w:themeColor="text1"/>
                <w:sz w:val="20"/>
                <w:szCs w:val="20"/>
                <w:shd w:val="clear" w:color="auto" w:fill="FFFFFF"/>
              </w:rPr>
            </w:pPr>
          </w:p>
          <w:p w14:paraId="213E69CF" w14:textId="77777777" w:rsidR="00C12CC3" w:rsidRPr="00EC05B0" w:rsidRDefault="00C12CC3" w:rsidP="00527179">
            <w:pPr>
              <w:jc w:val="both"/>
              <w:rPr>
                <w:color w:val="000000" w:themeColor="text1"/>
                <w:sz w:val="20"/>
                <w:szCs w:val="20"/>
                <w:shd w:val="clear" w:color="auto" w:fill="FFFFFF"/>
              </w:rPr>
            </w:pPr>
          </w:p>
        </w:tc>
        <w:tc>
          <w:tcPr>
            <w:tcW w:w="4202" w:type="dxa"/>
          </w:tcPr>
          <w:p w14:paraId="5782CC5E" w14:textId="733A4898" w:rsidR="00563D8C" w:rsidRDefault="00CB5802" w:rsidP="00527179">
            <w:pPr>
              <w:jc w:val="both"/>
              <w:rPr>
                <w:color w:val="000000" w:themeColor="text1"/>
                <w:sz w:val="20"/>
                <w:szCs w:val="20"/>
                <w:shd w:val="clear" w:color="auto" w:fill="FFFFFF"/>
              </w:rPr>
            </w:pPr>
            <w:r>
              <w:rPr>
                <w:color w:val="000000" w:themeColor="text1"/>
                <w:sz w:val="20"/>
                <w:szCs w:val="20"/>
                <w:shd w:val="clear" w:color="auto" w:fill="FFFFFF"/>
              </w:rPr>
              <w:t xml:space="preserve">Modeled as </w:t>
            </w:r>
            <w:r w:rsidR="00C12CC3" w:rsidRPr="00EC05B0">
              <w:rPr>
                <w:color w:val="000000" w:themeColor="text1"/>
                <w:sz w:val="20"/>
                <w:szCs w:val="20"/>
                <w:shd w:val="clear" w:color="auto" w:fill="FFFFFF"/>
              </w:rPr>
              <w:t>10</w:t>
            </w:r>
            <w:r w:rsidR="00C12CC3">
              <w:rPr>
                <w:color w:val="000000" w:themeColor="text1"/>
                <w:sz w:val="20"/>
                <w:szCs w:val="20"/>
                <w:shd w:val="clear" w:color="auto" w:fill="FFFFFF"/>
              </w:rPr>
              <w:t>-</w:t>
            </w:r>
            <w:r w:rsidR="00C12CC3" w:rsidRPr="00EC05B0">
              <w:rPr>
                <w:color w:val="000000" w:themeColor="text1"/>
                <w:sz w:val="20"/>
                <w:szCs w:val="20"/>
                <w:shd w:val="clear" w:color="auto" w:fill="FFFFFF"/>
              </w:rPr>
              <w:t>year interval</w:t>
            </w:r>
            <w:r w:rsidR="00C12CC3">
              <w:rPr>
                <w:color w:val="000000" w:themeColor="text1"/>
                <w:sz w:val="20"/>
                <w:szCs w:val="20"/>
                <w:shd w:val="clear" w:color="auto" w:fill="FFFFFF"/>
              </w:rPr>
              <w:t>s</w:t>
            </w:r>
            <w:r w:rsidR="00C12CC3" w:rsidRPr="00EC05B0">
              <w:rPr>
                <w:color w:val="000000" w:themeColor="text1"/>
                <w:sz w:val="20"/>
                <w:szCs w:val="20"/>
                <w:shd w:val="clear" w:color="auto" w:fill="FFFFFF"/>
              </w:rPr>
              <w:t xml:space="preserve">. </w:t>
            </w:r>
          </w:p>
          <w:p w14:paraId="700E2032" w14:textId="77777777" w:rsidR="00563D8C" w:rsidRDefault="00563D8C" w:rsidP="00E71320">
            <w:pPr>
              <w:jc w:val="both"/>
              <w:rPr>
                <w:color w:val="000000" w:themeColor="text1"/>
                <w:sz w:val="20"/>
                <w:szCs w:val="20"/>
                <w:shd w:val="clear" w:color="auto" w:fill="FFFFFF"/>
              </w:rPr>
            </w:pPr>
          </w:p>
          <w:p w14:paraId="3F177686" w14:textId="2B6A2934" w:rsidR="00C12CC3" w:rsidRPr="00EC05B0" w:rsidRDefault="00C12CC3" w:rsidP="00E71320">
            <w:pPr>
              <w:jc w:val="both"/>
              <w:rPr>
                <w:color w:val="000000" w:themeColor="text1"/>
                <w:sz w:val="20"/>
                <w:szCs w:val="20"/>
                <w:shd w:val="clear" w:color="auto" w:fill="FFFFFF"/>
              </w:rPr>
            </w:pPr>
            <w:r>
              <w:rPr>
                <w:color w:val="000000" w:themeColor="text1"/>
                <w:sz w:val="20"/>
                <w:szCs w:val="20"/>
                <w:shd w:val="clear" w:color="auto" w:fill="FFFFFF"/>
              </w:rPr>
              <w:t xml:space="preserve">10-year intervals </w:t>
            </w:r>
            <w:r w:rsidR="00106ADC">
              <w:rPr>
                <w:color w:val="000000" w:themeColor="text1"/>
                <w:sz w:val="20"/>
                <w:szCs w:val="20"/>
                <w:shd w:val="clear" w:color="auto" w:fill="FFFFFF"/>
              </w:rPr>
              <w:t xml:space="preserve">capture </w:t>
            </w:r>
            <w:r>
              <w:rPr>
                <w:color w:val="000000" w:themeColor="text1"/>
                <w:sz w:val="20"/>
                <w:szCs w:val="20"/>
                <w:shd w:val="clear" w:color="auto" w:fill="FFFFFF"/>
              </w:rPr>
              <w:t>differences in HIV prevalence, risk of HIV acquisition, and engagement in care by age</w:t>
            </w:r>
            <w:r w:rsidR="00106ADC">
              <w:rPr>
                <w:color w:val="000000" w:themeColor="text1"/>
                <w:sz w:val="20"/>
                <w:szCs w:val="20"/>
                <w:shd w:val="clear" w:color="auto" w:fill="FFFFFF"/>
              </w:rPr>
              <w:t>, while limiting model computational complexity</w:t>
            </w:r>
            <w:r>
              <w:rPr>
                <w:color w:val="000000" w:themeColor="text1"/>
                <w:sz w:val="20"/>
                <w:szCs w:val="20"/>
                <w:shd w:val="clear" w:color="auto" w:fill="FFFFFF"/>
              </w:rPr>
              <w:t xml:space="preserve">. </w:t>
            </w:r>
          </w:p>
          <w:p w14:paraId="022ACB40" w14:textId="77777777" w:rsidR="00C12CC3" w:rsidRPr="00EC05B0" w:rsidRDefault="00C12CC3" w:rsidP="002C3EFA">
            <w:pPr>
              <w:jc w:val="both"/>
              <w:rPr>
                <w:color w:val="000000" w:themeColor="text1"/>
                <w:sz w:val="20"/>
                <w:szCs w:val="20"/>
                <w:shd w:val="clear" w:color="auto" w:fill="FFFFFF"/>
              </w:rPr>
            </w:pPr>
          </w:p>
          <w:p w14:paraId="3EC3FE30" w14:textId="77777777" w:rsidR="00C12CC3" w:rsidRPr="00EC05B0" w:rsidRDefault="00C12CC3" w:rsidP="00550A15">
            <w:pPr>
              <w:jc w:val="both"/>
              <w:rPr>
                <w:color w:val="000000" w:themeColor="text1"/>
                <w:sz w:val="20"/>
                <w:szCs w:val="20"/>
                <w:shd w:val="clear" w:color="auto" w:fill="FFFFFF"/>
              </w:rPr>
            </w:pPr>
          </w:p>
          <w:p w14:paraId="7FFB4A28" w14:textId="77777777" w:rsidR="00C12CC3" w:rsidRPr="00EC05B0" w:rsidRDefault="00C12CC3" w:rsidP="00550A15">
            <w:pPr>
              <w:jc w:val="both"/>
              <w:rPr>
                <w:color w:val="000000" w:themeColor="text1"/>
                <w:sz w:val="20"/>
                <w:szCs w:val="20"/>
                <w:shd w:val="clear" w:color="auto" w:fill="FFFFFF"/>
              </w:rPr>
            </w:pPr>
          </w:p>
          <w:p w14:paraId="6658E5C0" w14:textId="77777777" w:rsidR="00C12CC3" w:rsidRPr="00EC05B0" w:rsidRDefault="00C12CC3" w:rsidP="00550A15">
            <w:pPr>
              <w:jc w:val="both"/>
              <w:rPr>
                <w:color w:val="000000" w:themeColor="text1"/>
                <w:sz w:val="20"/>
                <w:szCs w:val="20"/>
                <w:shd w:val="clear" w:color="auto" w:fill="FFFFFF"/>
              </w:rPr>
            </w:pPr>
          </w:p>
          <w:p w14:paraId="7B72F573" w14:textId="77777777" w:rsidR="00C12CC3" w:rsidRPr="00EC05B0" w:rsidRDefault="00C12CC3">
            <w:pPr>
              <w:jc w:val="both"/>
              <w:rPr>
                <w:color w:val="000000" w:themeColor="text1"/>
                <w:sz w:val="20"/>
                <w:szCs w:val="20"/>
                <w:shd w:val="clear" w:color="auto" w:fill="FFFFFF"/>
              </w:rPr>
            </w:pPr>
          </w:p>
          <w:p w14:paraId="043F42E7" w14:textId="77777777" w:rsidR="00C12CC3" w:rsidRPr="00EC05B0" w:rsidRDefault="00C12CC3">
            <w:pPr>
              <w:jc w:val="both"/>
              <w:rPr>
                <w:color w:val="000000" w:themeColor="text1"/>
                <w:sz w:val="20"/>
                <w:szCs w:val="20"/>
                <w:shd w:val="clear" w:color="auto" w:fill="FFFFFF"/>
              </w:rPr>
            </w:pPr>
          </w:p>
        </w:tc>
        <w:tc>
          <w:tcPr>
            <w:tcW w:w="7498" w:type="dxa"/>
          </w:tcPr>
          <w:p w14:paraId="578EA7F0" w14:textId="19D3EA37" w:rsidR="00C12CC3" w:rsidRDefault="00C12CC3">
            <w:pPr>
              <w:jc w:val="both"/>
              <w:rPr>
                <w:color w:val="000000" w:themeColor="text1"/>
                <w:sz w:val="20"/>
                <w:szCs w:val="20"/>
                <w:shd w:val="clear" w:color="auto" w:fill="FFFFFF"/>
              </w:rPr>
            </w:pPr>
            <w:r w:rsidRPr="00C12CC3">
              <w:rPr>
                <w:color w:val="000000" w:themeColor="text1"/>
                <w:sz w:val="20"/>
                <w:szCs w:val="20"/>
                <w:u w:val="single"/>
                <w:shd w:val="clear" w:color="auto" w:fill="FFFFFF"/>
              </w:rPr>
              <w:t>HIV prevalence</w:t>
            </w:r>
            <w:r w:rsidRPr="00EC05B0">
              <w:rPr>
                <w:color w:val="000000" w:themeColor="text1"/>
                <w:sz w:val="20"/>
                <w:szCs w:val="20"/>
                <w:shd w:val="clear" w:color="auto" w:fill="FFFFFF"/>
              </w:rPr>
              <w:t xml:space="preserve"> </w:t>
            </w:r>
            <w:r w:rsidR="00CB5802">
              <w:rPr>
                <w:color w:val="000000" w:themeColor="text1"/>
                <w:sz w:val="20"/>
                <w:szCs w:val="20"/>
                <w:shd w:val="clear" w:color="auto" w:fill="FFFFFF"/>
              </w:rPr>
              <w:t>is currently 3.</w:t>
            </w:r>
            <w:r w:rsidR="000516FC">
              <w:rPr>
                <w:color w:val="000000" w:themeColor="text1"/>
                <w:sz w:val="20"/>
                <w:szCs w:val="20"/>
                <w:shd w:val="clear" w:color="auto" w:fill="FFFFFF"/>
              </w:rPr>
              <w:t>0</w:t>
            </w:r>
            <w:r w:rsidR="00CB5802">
              <w:rPr>
                <w:color w:val="000000" w:themeColor="text1"/>
                <w:sz w:val="20"/>
                <w:szCs w:val="20"/>
                <w:shd w:val="clear" w:color="auto" w:fill="FFFFFF"/>
              </w:rPr>
              <w:t>% in Rwanda,</w:t>
            </w:r>
            <w:r w:rsidR="000516FC">
              <w:rPr>
                <w:color w:val="000000" w:themeColor="text1"/>
                <w:sz w:val="20"/>
                <w:szCs w:val="20"/>
                <w:shd w:val="clear" w:color="auto" w:fill="FFFFFF"/>
              </w:rPr>
              <w:fldChar w:fldCharType="begin" w:fldLock="1"/>
            </w:r>
            <w:r w:rsidR="007527CC">
              <w:rPr>
                <w:color w:val="000000" w:themeColor="text1"/>
                <w:sz w:val="20"/>
                <w:szCs w:val="20"/>
                <w:shd w:val="clear" w:color="auto" w:fill="FFFFFF"/>
              </w:rPr>
              <w:instrText>ADDIN CSL_CITATION {"citationItems":[{"id":"ITEM-1","itemData":{"author":[{"dropping-particle":"","family":"Population-based HIV Impact Assessment","given":"","non-dropping-particle":"","parse-names":false,"suffix":""}],"id":"ITEM-1","issue":"February 2020","issued":{"date-parts":[["0"]]},"page":"2-8","title":"Rwanda population-based HIV impact assessment, RPHIA 2018–2019","type":"article-journal"},"uris":["http://www.mendeley.com/documents/?uuid=6b46812d-c48f-4505-afe2-1fda15927ac2"]}],"mendeley":{"formattedCitation":"&lt;sup&gt;19&lt;/sup&gt;","plainTextFormattedCitation":"19","previouslyFormattedCitation":"&lt;sup&gt;20&lt;/sup&gt;"},"properties":{"noteIndex":0},"schema":"https://github.com/citation-style-language/schema/raw/master/csl-citation.json"}</w:instrText>
            </w:r>
            <w:r w:rsidR="000516FC">
              <w:rPr>
                <w:color w:val="000000" w:themeColor="text1"/>
                <w:sz w:val="20"/>
                <w:szCs w:val="20"/>
                <w:shd w:val="clear" w:color="auto" w:fill="FFFFFF"/>
              </w:rPr>
              <w:fldChar w:fldCharType="separate"/>
            </w:r>
            <w:r w:rsidR="007527CC" w:rsidRPr="007527CC">
              <w:rPr>
                <w:noProof/>
                <w:color w:val="000000" w:themeColor="text1"/>
                <w:sz w:val="20"/>
                <w:szCs w:val="20"/>
                <w:shd w:val="clear" w:color="auto" w:fill="FFFFFF"/>
                <w:vertAlign w:val="superscript"/>
              </w:rPr>
              <w:t>19</w:t>
            </w:r>
            <w:r w:rsidR="000516FC">
              <w:rPr>
                <w:color w:val="000000" w:themeColor="text1"/>
                <w:sz w:val="20"/>
                <w:szCs w:val="20"/>
                <w:shd w:val="clear" w:color="auto" w:fill="FFFFFF"/>
              </w:rPr>
              <w:fldChar w:fldCharType="end"/>
            </w:r>
            <w:r w:rsidR="00CB5802">
              <w:rPr>
                <w:color w:val="000000" w:themeColor="text1"/>
                <w:sz w:val="20"/>
                <w:szCs w:val="20"/>
                <w:shd w:val="clear" w:color="auto" w:fill="FFFFFF"/>
              </w:rPr>
              <w:t xml:space="preserve"> but </w:t>
            </w:r>
            <w:r w:rsidRPr="00EC05B0">
              <w:rPr>
                <w:color w:val="000000" w:themeColor="text1"/>
                <w:sz w:val="20"/>
                <w:szCs w:val="20"/>
                <w:shd w:val="clear" w:color="auto" w:fill="FFFFFF"/>
              </w:rPr>
              <w:t>varies across age groups</w:t>
            </w:r>
            <w:r>
              <w:rPr>
                <w:color w:val="000000" w:themeColor="text1"/>
                <w:sz w:val="20"/>
                <w:szCs w:val="20"/>
                <w:shd w:val="clear" w:color="auto" w:fill="FFFFFF"/>
              </w:rPr>
              <w:t>.</w:t>
            </w:r>
            <w:r w:rsidRPr="00EC05B0">
              <w:rPr>
                <w:color w:val="000000" w:themeColor="text1"/>
                <w:sz w:val="20"/>
                <w:szCs w:val="20"/>
                <w:shd w:val="clear" w:color="auto" w:fill="FFFFFF"/>
              </w:rPr>
              <w:fldChar w:fldCharType="begin" w:fldLock="1"/>
            </w:r>
            <w:r w:rsidR="007527CC">
              <w:rPr>
                <w:color w:val="000000" w:themeColor="text1"/>
                <w:sz w:val="20"/>
                <w:szCs w:val="20"/>
                <w:shd w:val="clear" w:color="auto" w:fill="FFFFFF"/>
              </w:rPr>
              <w:instrText>ADDIN CSL_CITATION {"citationItems":[{"id":"ITEM-1","itemData":{"DOI":"10.1017/S0266673100000246","ISSN":"0266-6731","PMID":"21825043","author":[{"dropping-particle":"","family":"National Institute of Statistics of Rwanda","given":"","non-dropping-particle":"","parse-names":false,"suffix":""}],"container-title":"Rwanda Mininstry of Health","id":"ITEM-1","issued":{"date-parts":[["2010"]]},"number-of-pages":"107-110","title":"Demographic and Health Survey report 2010","type":"report","volume":"2003"},"uris":["http://www.mendeley.com/documents/?uuid=195b1d64-c29d-4fe4-8982-a9d9805491db","http://www.mendeley.com/documents/?uuid=75fb8f85-ac3a-434c-a088-de0c0c70b296","http://www.mendeley.com/documents/?uuid=573a32b4-5745-4732-af3f-47e7a81ecff9","http://www.mendeley.com/documents/?uuid=58559d52-29dd-4d4e-abdf-fe4404b8ef71"]},{"id":"ITEM-2","itemData":{"DOI":"March, 2016","ISBN":"9789997743091","author":[{"dropping-particle":"","family":"National Institute of Statistics of Rwanda (NISR) [Rwanda] Ministry of Health (MOH) [Rwanda] and ICF International.","given":"","non-dropping-particle":"","parse-names":false,"suffix":""}],"container-title":"Rwanda Mininstry of Health","id":"ITEM-2","issued":{"date-parts":[["2015"]]},"number-of-pages":"640","publisher-place":"Rockville, Maryland, USA: NISR, MOH, and ICF International.","title":"Rwanda Demographic and Health Survey 2014-15","type":"report"},"uris":["http://www.mendeley.com/documents/?uuid=1cd2afa0-8858-4818-a7e0-ec39e8a650ac","http://www.mendeley.com/documents/?uuid=92979b8f-5a59-4ac9-a743-4a0cdca47a78","http://www.mendeley.com/documents/?uuid=b26e7148-b697-4212-bb43-79b0366d0d6e"]}],"mendeley":{"formattedCitation":"&lt;sup&gt;18,20&lt;/sup&gt;","plainTextFormattedCitation":"18,20","previouslyFormattedCitation":"&lt;sup&gt;19,21&lt;/sup&gt;"},"properties":{"noteIndex":0},"schema":"https://github.com/citation-style-language/schema/raw/master/csl-citation.json"}</w:instrText>
            </w:r>
            <w:r w:rsidRPr="00EC05B0">
              <w:rPr>
                <w:color w:val="000000" w:themeColor="text1"/>
                <w:sz w:val="20"/>
                <w:szCs w:val="20"/>
                <w:shd w:val="clear" w:color="auto" w:fill="FFFFFF"/>
              </w:rPr>
              <w:fldChar w:fldCharType="separate"/>
            </w:r>
            <w:r w:rsidR="007527CC" w:rsidRPr="007527CC">
              <w:rPr>
                <w:noProof/>
                <w:color w:val="000000" w:themeColor="text1"/>
                <w:sz w:val="20"/>
                <w:szCs w:val="20"/>
                <w:shd w:val="clear" w:color="auto" w:fill="FFFFFF"/>
                <w:vertAlign w:val="superscript"/>
              </w:rPr>
              <w:t>18,20</w:t>
            </w:r>
            <w:r w:rsidRPr="00EC05B0">
              <w:rPr>
                <w:color w:val="000000" w:themeColor="text1"/>
                <w:sz w:val="20"/>
                <w:szCs w:val="20"/>
                <w:shd w:val="clear" w:color="auto" w:fill="FFFFFF"/>
              </w:rPr>
              <w:fldChar w:fldCharType="end"/>
            </w:r>
            <w:r w:rsidRPr="00EC05B0">
              <w:rPr>
                <w:color w:val="000000" w:themeColor="text1"/>
                <w:sz w:val="20"/>
                <w:szCs w:val="20"/>
                <w:shd w:val="clear" w:color="auto" w:fill="FFFFFF"/>
              </w:rPr>
              <w:t xml:space="preserve"> Although HIV prevalence is low (&lt;1.5%) among young adults in Rwanda, it is increasing, particularly among young girls.</w:t>
            </w:r>
            <w:r w:rsidRPr="00EC05B0">
              <w:rPr>
                <w:color w:val="000000" w:themeColor="text1"/>
                <w:sz w:val="20"/>
                <w:szCs w:val="20"/>
                <w:shd w:val="clear" w:color="auto" w:fill="FFFFFF"/>
              </w:rPr>
              <w:fldChar w:fldCharType="begin" w:fldLock="1"/>
            </w:r>
            <w:r w:rsidR="007527CC">
              <w:rPr>
                <w:color w:val="000000" w:themeColor="text1"/>
                <w:sz w:val="20"/>
                <w:szCs w:val="20"/>
                <w:shd w:val="clear" w:color="auto" w:fill="FFFFFF"/>
              </w:rPr>
              <w:instrText>ADDIN CSL_CITATION {"citationItems":[{"id":"ITEM-1","itemData":{"DOI":"March, 2016","ISBN":"9789997743091","author":[{"dropping-particle":"","family":"National Institute of Statistics of Rwanda (NISR) [Rwanda] Ministry of Health (MOH) [Rwanda] and ICF International.","given":"","non-dropping-particle":"","parse-names":false,"suffix":""}],"container-title":"Rwanda Mininstry of Health","id":"ITEM-1","issued":{"date-parts":[["2015"]]},"number-of-pages":"640","publisher-place":"Rockville, Maryland, USA: NISR, MOH, and ICF International.","title":"Rwanda Demographic and Health Survey 2014-15","type":"report"},"uris":["http://www.mendeley.com/documents/?uuid=1cd2afa0-8858-4818-a7e0-ec39e8a650ac","http://www.mendeley.com/documents/?uuid=92979b8f-5a59-4ac9-a743-4a0cdca47a78","http://www.mendeley.com/documents/?uuid=b26e7148-b697-4212-bb43-79b0366d0d6e"]}],"mendeley":{"formattedCitation":"&lt;sup&gt;18&lt;/sup&gt;","plainTextFormattedCitation":"18","previouslyFormattedCitation":"&lt;sup&gt;19&lt;/sup&gt;"},"properties":{"noteIndex":0},"schema":"https://github.com/citation-style-language/schema/raw/master/csl-citation.json"}</w:instrText>
            </w:r>
            <w:r w:rsidRPr="00EC05B0">
              <w:rPr>
                <w:color w:val="000000" w:themeColor="text1"/>
                <w:sz w:val="20"/>
                <w:szCs w:val="20"/>
                <w:shd w:val="clear" w:color="auto" w:fill="FFFFFF"/>
              </w:rPr>
              <w:fldChar w:fldCharType="separate"/>
            </w:r>
            <w:r w:rsidR="007527CC" w:rsidRPr="007527CC">
              <w:rPr>
                <w:noProof/>
                <w:color w:val="000000" w:themeColor="text1"/>
                <w:sz w:val="20"/>
                <w:szCs w:val="20"/>
                <w:shd w:val="clear" w:color="auto" w:fill="FFFFFF"/>
                <w:vertAlign w:val="superscript"/>
              </w:rPr>
              <w:t>18</w:t>
            </w:r>
            <w:r w:rsidRPr="00EC05B0">
              <w:rPr>
                <w:color w:val="000000" w:themeColor="text1"/>
                <w:sz w:val="20"/>
                <w:szCs w:val="20"/>
                <w:shd w:val="clear" w:color="auto" w:fill="FFFFFF"/>
              </w:rPr>
              <w:fldChar w:fldCharType="end"/>
            </w:r>
            <w:r w:rsidRPr="00EC05B0">
              <w:rPr>
                <w:color w:val="000000" w:themeColor="text1"/>
                <w:sz w:val="20"/>
                <w:szCs w:val="20"/>
                <w:shd w:val="clear" w:color="auto" w:fill="FFFFFF"/>
              </w:rPr>
              <w:t xml:space="preserve"> HIV prevalence is higher among people above 25 years and increases with age from 3.1% among 25-29 to 7.1% among 45-49.</w:t>
            </w:r>
            <w:r w:rsidRPr="00EC05B0">
              <w:rPr>
                <w:color w:val="000000" w:themeColor="text1"/>
                <w:sz w:val="20"/>
                <w:szCs w:val="20"/>
                <w:shd w:val="clear" w:color="auto" w:fill="FFFFFF"/>
              </w:rPr>
              <w:fldChar w:fldCharType="begin" w:fldLock="1"/>
            </w:r>
            <w:r w:rsidR="007527CC">
              <w:rPr>
                <w:color w:val="000000" w:themeColor="text1"/>
                <w:sz w:val="20"/>
                <w:szCs w:val="20"/>
                <w:shd w:val="clear" w:color="auto" w:fill="FFFFFF"/>
              </w:rPr>
              <w:instrText>ADDIN CSL_CITATION {"citationItems":[{"id":"ITEM-1","itemData":{"DOI":"March, 2016","ISBN":"9789997743091","author":[{"dropping-particle":"","family":"National Institute of Statistics of Rwanda (NISR) [Rwanda] Ministry of Health (MOH) [Rwanda] and ICF International.","given":"","non-dropping-particle":"","parse-names":false,"suffix":""}],"container-title":"Rwanda Mininstry of Health","id":"ITEM-1","issued":{"date-parts":[["2015"]]},"number-of-pages":"640","publisher-place":"Rockville, Maryland, USA: NISR, MOH, and ICF International.","title":"Rwanda Demographic and Health Survey 2014-15","type":"report"},"uris":["http://www.mendeley.com/documents/?uuid=1cd2afa0-8858-4818-a7e0-ec39e8a650ac","http://www.mendeley.com/documents/?uuid=92979b8f-5a59-4ac9-a743-4a0cdca47a78","http://www.mendeley.com/documents/?uuid=b26e7148-b697-4212-bb43-79b0366d0d6e"]}],"mendeley":{"formattedCitation":"&lt;sup&gt;18&lt;/sup&gt;","plainTextFormattedCitation":"18","previouslyFormattedCitation":"&lt;sup&gt;19&lt;/sup&gt;"},"properties":{"noteIndex":0},"schema":"https://github.com/citation-style-language/schema/raw/master/csl-citation.json"}</w:instrText>
            </w:r>
            <w:r w:rsidRPr="00EC05B0">
              <w:rPr>
                <w:color w:val="000000" w:themeColor="text1"/>
                <w:sz w:val="20"/>
                <w:szCs w:val="20"/>
                <w:shd w:val="clear" w:color="auto" w:fill="FFFFFF"/>
              </w:rPr>
              <w:fldChar w:fldCharType="separate"/>
            </w:r>
            <w:r w:rsidR="007527CC" w:rsidRPr="007527CC">
              <w:rPr>
                <w:noProof/>
                <w:color w:val="000000" w:themeColor="text1"/>
                <w:sz w:val="20"/>
                <w:szCs w:val="20"/>
                <w:shd w:val="clear" w:color="auto" w:fill="FFFFFF"/>
                <w:vertAlign w:val="superscript"/>
              </w:rPr>
              <w:t>18</w:t>
            </w:r>
            <w:r w:rsidRPr="00EC05B0">
              <w:rPr>
                <w:color w:val="000000" w:themeColor="text1"/>
                <w:sz w:val="20"/>
                <w:szCs w:val="20"/>
                <w:shd w:val="clear" w:color="auto" w:fill="FFFFFF"/>
              </w:rPr>
              <w:fldChar w:fldCharType="end"/>
            </w:r>
          </w:p>
          <w:p w14:paraId="64442867" w14:textId="77777777" w:rsidR="00C12CC3" w:rsidRDefault="00C12CC3">
            <w:pPr>
              <w:jc w:val="both"/>
              <w:rPr>
                <w:color w:val="000000" w:themeColor="text1"/>
                <w:sz w:val="20"/>
                <w:szCs w:val="20"/>
                <w:shd w:val="clear" w:color="auto" w:fill="FFFFFF"/>
              </w:rPr>
            </w:pPr>
          </w:p>
          <w:p w14:paraId="34111729" w14:textId="5AD5A2D2" w:rsidR="00C12CC3" w:rsidRPr="00EC05B0" w:rsidRDefault="00C12CC3">
            <w:pPr>
              <w:jc w:val="both"/>
              <w:rPr>
                <w:color w:val="000000" w:themeColor="text1"/>
                <w:sz w:val="20"/>
                <w:szCs w:val="20"/>
                <w:shd w:val="clear" w:color="auto" w:fill="FFFFFF"/>
              </w:rPr>
            </w:pPr>
            <w:r>
              <w:rPr>
                <w:color w:val="000000" w:themeColor="text1"/>
                <w:sz w:val="20"/>
                <w:szCs w:val="20"/>
                <w:u w:val="single"/>
                <w:shd w:val="clear" w:color="auto" w:fill="FFFFFF"/>
              </w:rPr>
              <w:t>Risk of HIV acquisition</w:t>
            </w:r>
            <w:r w:rsidRPr="00C12CC3">
              <w:rPr>
                <w:color w:val="000000" w:themeColor="text1"/>
                <w:sz w:val="20"/>
                <w:szCs w:val="20"/>
                <w:shd w:val="clear" w:color="auto" w:fill="FFFFFF"/>
              </w:rPr>
              <w:t xml:space="preserve"> </w:t>
            </w:r>
            <w:r>
              <w:rPr>
                <w:color w:val="000000" w:themeColor="text1"/>
                <w:sz w:val="20"/>
                <w:szCs w:val="20"/>
                <w:shd w:val="clear" w:color="auto" w:fill="FFFFFF"/>
              </w:rPr>
              <w:t xml:space="preserve">is higher among </w:t>
            </w:r>
            <w:r w:rsidRPr="00EC05B0">
              <w:rPr>
                <w:color w:val="000000" w:themeColor="text1"/>
                <w:sz w:val="20"/>
                <w:szCs w:val="20"/>
                <w:shd w:val="clear" w:color="auto" w:fill="FFFFFF"/>
              </w:rPr>
              <w:t>young people</w:t>
            </w:r>
            <w:r>
              <w:rPr>
                <w:color w:val="000000" w:themeColor="text1"/>
                <w:sz w:val="20"/>
                <w:szCs w:val="20"/>
                <w:shd w:val="clear" w:color="auto" w:fill="FFFFFF"/>
              </w:rPr>
              <w:t xml:space="preserve"> due in part to </w:t>
            </w:r>
            <w:r w:rsidRPr="00EC05B0">
              <w:rPr>
                <w:color w:val="000000" w:themeColor="text1"/>
                <w:sz w:val="20"/>
                <w:szCs w:val="20"/>
                <w:shd w:val="clear" w:color="auto" w:fill="FFFFFF"/>
              </w:rPr>
              <w:t xml:space="preserve">risky sexual behaviors. </w:t>
            </w:r>
            <w:r w:rsidR="007C460C">
              <w:rPr>
                <w:rFonts w:hint="eastAsia"/>
                <w:color w:val="000000" w:themeColor="text1"/>
                <w:sz w:val="20"/>
                <w:szCs w:val="20"/>
                <w:shd w:val="clear" w:color="auto" w:fill="FFFFFF"/>
              </w:rPr>
              <w:t>I</w:t>
            </w:r>
            <w:r w:rsidR="007C460C">
              <w:rPr>
                <w:color w:val="000000" w:themeColor="text1"/>
                <w:sz w:val="20"/>
                <w:szCs w:val="20"/>
                <w:shd w:val="clear" w:color="auto" w:fill="FFFFFF"/>
              </w:rPr>
              <w:t xml:space="preserve">n </w:t>
            </w:r>
            <w:r w:rsidRPr="00EC05B0">
              <w:rPr>
                <w:color w:val="000000" w:themeColor="text1"/>
                <w:sz w:val="20"/>
                <w:szCs w:val="20"/>
                <w:shd w:val="clear" w:color="auto" w:fill="FFFFFF"/>
              </w:rPr>
              <w:t xml:space="preserve">sub-Saharan Africa, young girls </w:t>
            </w:r>
            <w:r>
              <w:rPr>
                <w:color w:val="000000" w:themeColor="text1"/>
                <w:sz w:val="20"/>
                <w:szCs w:val="20"/>
                <w:shd w:val="clear" w:color="auto" w:fill="FFFFFF"/>
              </w:rPr>
              <w:t xml:space="preserve">have </w:t>
            </w:r>
            <w:r w:rsidRPr="00EC05B0">
              <w:rPr>
                <w:color w:val="000000" w:themeColor="text1"/>
                <w:sz w:val="20"/>
                <w:szCs w:val="20"/>
                <w:shd w:val="clear" w:color="auto" w:fill="FFFFFF"/>
              </w:rPr>
              <w:t xml:space="preserve">sexual relationships with older people and </w:t>
            </w:r>
            <w:r>
              <w:rPr>
                <w:color w:val="000000" w:themeColor="text1"/>
                <w:sz w:val="20"/>
                <w:szCs w:val="20"/>
                <w:shd w:val="clear" w:color="auto" w:fill="FFFFFF"/>
              </w:rPr>
              <w:t xml:space="preserve">marry </w:t>
            </w:r>
            <w:r w:rsidRPr="00EC05B0">
              <w:rPr>
                <w:color w:val="000000" w:themeColor="text1"/>
                <w:sz w:val="20"/>
                <w:szCs w:val="20"/>
                <w:shd w:val="clear" w:color="auto" w:fill="FFFFFF"/>
              </w:rPr>
              <w:t>at younger age</w:t>
            </w:r>
            <w:r>
              <w:rPr>
                <w:color w:val="000000" w:themeColor="text1"/>
                <w:sz w:val="20"/>
                <w:szCs w:val="20"/>
                <w:shd w:val="clear" w:color="auto" w:fill="FFFFFF"/>
              </w:rPr>
              <w:t>s</w:t>
            </w:r>
            <w:r w:rsidRPr="00EC05B0">
              <w:rPr>
                <w:color w:val="000000" w:themeColor="text1"/>
                <w:sz w:val="20"/>
                <w:szCs w:val="20"/>
                <w:shd w:val="clear" w:color="auto" w:fill="FFFFFF"/>
              </w:rPr>
              <w:t>, which increases risk HIV</w:t>
            </w:r>
            <w:r>
              <w:rPr>
                <w:color w:val="000000" w:themeColor="text1"/>
                <w:sz w:val="20"/>
                <w:szCs w:val="20"/>
                <w:shd w:val="clear" w:color="auto" w:fill="FFFFFF"/>
              </w:rPr>
              <w:t xml:space="preserve"> acquisition</w:t>
            </w:r>
            <w:r w:rsidRPr="00EC05B0">
              <w:rPr>
                <w:color w:val="000000" w:themeColor="text1"/>
                <w:sz w:val="20"/>
                <w:szCs w:val="20"/>
                <w:shd w:val="clear" w:color="auto" w:fill="FFFFFF"/>
              </w:rPr>
              <w:t>.</w:t>
            </w:r>
            <w:r w:rsidRPr="00EC05B0">
              <w:rPr>
                <w:color w:val="000000" w:themeColor="text1"/>
                <w:sz w:val="20"/>
                <w:szCs w:val="20"/>
                <w:shd w:val="clear" w:color="auto" w:fill="FFFFFF"/>
              </w:rPr>
              <w:fldChar w:fldCharType="begin" w:fldLock="1"/>
            </w:r>
            <w:r w:rsidR="007527CC">
              <w:rPr>
                <w:color w:val="000000" w:themeColor="text1"/>
                <w:sz w:val="20"/>
                <w:szCs w:val="20"/>
                <w:shd w:val="clear" w:color="auto" w:fill="FFFFFF"/>
              </w:rPr>
              <w:instrText>ADDIN CSL_CITATION {"citationItems":[{"id":"ITEM-1","itemData":{"DOI":"10.1371/journal.pone.0154893.","ISBN":"1362043001031","ISSN":"0002838X","PMID":"21671545","abstract":"Prevention gap report","author":[{"dropping-particle":"","family":"UNAIDS","given":"","non-dropping-particle":"","parse-names":false,"suffix":""}],"container-title":"Unaids","id":"ITEM-1","issue":"12","issued":{"date-parts":[["2016"]]},"number-of-pages":"286","title":"Prevention Gap Report 2016","type":"report","volume":"83"},"uris":["http://www.mendeley.com/documents/?uuid=cc563664-bbcf-4026-8494-d2249b28b220","http://www.mendeley.com/documents/?uuid=a363d41f-02a4-4fd3-86c7-b23fc7864148","http://www.mendeley.com/documents/?uuid=b101b435-945f-48f6-9f51-8bfb7aab4d25"]}],"mendeley":{"formattedCitation":"&lt;sup&gt;21&lt;/sup&gt;","plainTextFormattedCitation":"21","previouslyFormattedCitation":"&lt;sup&gt;22&lt;/sup&gt;"},"properties":{"noteIndex":0},"schema":"https://github.com/citation-style-language/schema/raw/master/csl-citation.json"}</w:instrText>
            </w:r>
            <w:r w:rsidRPr="00EC05B0">
              <w:rPr>
                <w:color w:val="000000" w:themeColor="text1"/>
                <w:sz w:val="20"/>
                <w:szCs w:val="20"/>
                <w:shd w:val="clear" w:color="auto" w:fill="FFFFFF"/>
              </w:rPr>
              <w:fldChar w:fldCharType="separate"/>
            </w:r>
            <w:r w:rsidR="007527CC" w:rsidRPr="007527CC">
              <w:rPr>
                <w:noProof/>
                <w:color w:val="000000" w:themeColor="text1"/>
                <w:sz w:val="20"/>
                <w:szCs w:val="20"/>
                <w:shd w:val="clear" w:color="auto" w:fill="FFFFFF"/>
                <w:vertAlign w:val="superscript"/>
              </w:rPr>
              <w:t>21</w:t>
            </w:r>
            <w:r w:rsidRPr="00EC05B0">
              <w:rPr>
                <w:color w:val="000000" w:themeColor="text1"/>
                <w:sz w:val="20"/>
                <w:szCs w:val="20"/>
                <w:shd w:val="clear" w:color="auto" w:fill="FFFFFF"/>
              </w:rPr>
              <w:fldChar w:fldCharType="end"/>
            </w:r>
          </w:p>
          <w:p w14:paraId="0EB2510C" w14:textId="77777777" w:rsidR="00C12CC3" w:rsidRPr="00EC05B0" w:rsidRDefault="00C12CC3">
            <w:pPr>
              <w:jc w:val="both"/>
              <w:rPr>
                <w:color w:val="000000" w:themeColor="text1"/>
                <w:sz w:val="20"/>
                <w:szCs w:val="20"/>
                <w:shd w:val="clear" w:color="auto" w:fill="FFFFFF"/>
              </w:rPr>
            </w:pPr>
          </w:p>
          <w:p w14:paraId="1C1F8082" w14:textId="5CF0EC46" w:rsidR="00C12CC3" w:rsidRDefault="00563D8C" w:rsidP="00106ADC">
            <w:pPr>
              <w:jc w:val="both"/>
              <w:rPr>
                <w:color w:val="000000" w:themeColor="text1"/>
                <w:sz w:val="20"/>
                <w:szCs w:val="20"/>
                <w:shd w:val="clear" w:color="auto" w:fill="FFFFFF"/>
                <w:lang w:eastAsia="ja-JP"/>
              </w:rPr>
            </w:pPr>
            <w:r w:rsidRPr="00F529C3">
              <w:rPr>
                <w:color w:val="000000" w:themeColor="text1"/>
                <w:sz w:val="20"/>
                <w:szCs w:val="20"/>
                <w:u w:val="single"/>
                <w:shd w:val="clear" w:color="auto" w:fill="FFFFFF"/>
              </w:rPr>
              <w:t>E</w:t>
            </w:r>
            <w:r w:rsidR="00C12CC3" w:rsidRPr="00F529C3">
              <w:rPr>
                <w:color w:val="000000" w:themeColor="text1"/>
                <w:sz w:val="20"/>
                <w:szCs w:val="20"/>
                <w:u w:val="single"/>
                <w:shd w:val="clear" w:color="auto" w:fill="FFFFFF"/>
              </w:rPr>
              <w:t>ngagement in HIV care</w:t>
            </w:r>
            <w:r>
              <w:rPr>
                <w:color w:val="000000" w:themeColor="text1"/>
                <w:sz w:val="20"/>
                <w:szCs w:val="20"/>
                <w:u w:val="single"/>
                <w:shd w:val="clear" w:color="auto" w:fill="FFFFFF"/>
              </w:rPr>
              <w:t>, including viral suppression</w:t>
            </w:r>
            <w:r w:rsidR="001122B5">
              <w:rPr>
                <w:color w:val="000000" w:themeColor="text1"/>
                <w:sz w:val="20"/>
                <w:szCs w:val="20"/>
                <w:shd w:val="clear" w:color="auto" w:fill="FFFFFF"/>
              </w:rPr>
              <w:t>.</w:t>
            </w:r>
            <w:r w:rsidR="00C12CC3" w:rsidRPr="00EC05B0">
              <w:rPr>
                <w:color w:val="000000" w:themeColor="text1"/>
                <w:sz w:val="20"/>
                <w:szCs w:val="20"/>
                <w:shd w:val="clear" w:color="auto" w:fill="FFFFFF"/>
              </w:rPr>
              <w:t xml:space="preserve"> </w:t>
            </w:r>
            <w:r w:rsidRPr="00EC05B0">
              <w:rPr>
                <w:color w:val="000000" w:themeColor="text1"/>
                <w:sz w:val="20"/>
                <w:szCs w:val="20"/>
                <w:shd w:val="clear" w:color="auto" w:fill="FFFFFF"/>
              </w:rPr>
              <w:t xml:space="preserve">The probability of HIV testing </w:t>
            </w:r>
            <w:r>
              <w:rPr>
                <w:color w:val="000000" w:themeColor="text1"/>
                <w:sz w:val="20"/>
                <w:szCs w:val="20"/>
                <w:shd w:val="clear" w:color="auto" w:fill="FFFFFF"/>
              </w:rPr>
              <w:t xml:space="preserve">is </w:t>
            </w:r>
            <w:r w:rsidRPr="00EC05B0">
              <w:rPr>
                <w:color w:val="000000" w:themeColor="text1"/>
                <w:sz w:val="20"/>
                <w:szCs w:val="20"/>
                <w:shd w:val="clear" w:color="auto" w:fill="FFFFFF"/>
              </w:rPr>
              <w:t xml:space="preserve">lower </w:t>
            </w:r>
            <w:r>
              <w:rPr>
                <w:color w:val="000000" w:themeColor="text1"/>
                <w:sz w:val="20"/>
                <w:szCs w:val="20"/>
                <w:shd w:val="clear" w:color="auto" w:fill="FFFFFF"/>
              </w:rPr>
              <w:t xml:space="preserve">among </w:t>
            </w:r>
            <w:r w:rsidRPr="00EC05B0">
              <w:rPr>
                <w:color w:val="000000" w:themeColor="text1"/>
                <w:sz w:val="20"/>
                <w:szCs w:val="20"/>
                <w:shd w:val="clear" w:color="auto" w:fill="FFFFFF"/>
              </w:rPr>
              <w:t>young people and older people.</w:t>
            </w:r>
            <w:r w:rsidR="000516FC">
              <w:rPr>
                <w:color w:val="000000" w:themeColor="text1"/>
                <w:sz w:val="20"/>
                <w:szCs w:val="20"/>
                <w:shd w:val="clear" w:color="auto" w:fill="FFFFFF"/>
              </w:rPr>
              <w:fldChar w:fldCharType="begin" w:fldLock="1"/>
            </w:r>
            <w:r w:rsidR="007527CC">
              <w:rPr>
                <w:color w:val="000000" w:themeColor="text1"/>
                <w:sz w:val="20"/>
                <w:szCs w:val="20"/>
                <w:shd w:val="clear" w:color="auto" w:fill="FFFFFF"/>
              </w:rPr>
              <w:instrText>ADDIN CSL_CITATION {"citationItems":[{"id":"ITEM-1","itemData":{"DOI":"10.1017/S0266673100000246","ISSN":"0266-6731","PMID":"21825043","author":[{"dropping-particle":"","family":"National Institute of Statistics of Rwanda","given":"","non-dropping-particle":"","parse-names":false,"suffix":""}],"container-title":"Rwanda Mininstry of Health","id":"ITEM-1","issued":{"date-parts":[["2010"]]},"number-of-pages":"107-110","title":"Demographic and Health Survey report 2010","type":"report","volume":"2003"},"uris":["http://www.mendeley.com/documents/?uuid=58559d52-29dd-4d4e-abdf-fe4404b8ef71"]},{"id":"ITEM-2","itemData":{"author":[{"dropping-particle":"","family":"National Institute of Statistics of Rwanda (NISR) [Rwanda] Ministry of Health (MOH) [Rwanda] and ICF International.","given":"","non-dropping-particle":"","parse-names":false,"suffix":""}],"container-title":"Rwanda Mininstry of Health","id":"ITEM-2","issued":{"date-parts":[["2005"]]},"title":"Demographic and Health Survey, 2005","type":"webpage"},"uris":["http://www.mendeley.com/documents/?uuid=6f21bb5a-4b85-490b-a1b4-bfcffbde8423"]},{"id":"ITEM-3","itemData":{"DOI":"March, 2016","ISBN":"9789997743091","author":[{"dropping-particle":"","family":"National Institute of Statistics of Rwanda (NISR) [Rwanda] Ministry of Health (MOH) [Rwanda] and ICF International.","given":"","non-dropping-particle":"","parse-names":false,"suffix":""}],"container-title":"Rwanda Mininstry of Health","id":"ITEM-3","issued":{"date-parts":[["2015"]]},"number-of-pages":"640","publisher-place":"Rockville, Maryland, USA: NISR, MOH, and ICF International.","title":"Rwanda Demographic and Health Survey 2014-15","type":"report"},"uris":["http://www.mendeley.com/documents/?uuid=1cd2afa0-8858-4818-a7e0-ec39e8a650ac"]}],"mendeley":{"formattedCitation":"&lt;sup&gt;18,20,22&lt;/sup&gt;","plainTextFormattedCitation":"18,20,22","previouslyFormattedCitation":"&lt;sup&gt;19,21,23&lt;/sup&gt;"},"properties":{"noteIndex":0},"schema":"https://github.com/citation-style-language/schema/raw/master/csl-citation.json"}</w:instrText>
            </w:r>
            <w:r w:rsidR="000516FC">
              <w:rPr>
                <w:color w:val="000000" w:themeColor="text1"/>
                <w:sz w:val="20"/>
                <w:szCs w:val="20"/>
                <w:shd w:val="clear" w:color="auto" w:fill="FFFFFF"/>
              </w:rPr>
              <w:fldChar w:fldCharType="separate"/>
            </w:r>
            <w:r w:rsidR="007527CC" w:rsidRPr="007527CC">
              <w:rPr>
                <w:noProof/>
                <w:color w:val="000000" w:themeColor="text1"/>
                <w:sz w:val="20"/>
                <w:szCs w:val="20"/>
                <w:shd w:val="clear" w:color="auto" w:fill="FFFFFF"/>
                <w:vertAlign w:val="superscript"/>
              </w:rPr>
              <w:t>18,20,22</w:t>
            </w:r>
            <w:r w:rsidR="000516FC">
              <w:rPr>
                <w:color w:val="000000" w:themeColor="text1"/>
                <w:sz w:val="20"/>
                <w:szCs w:val="20"/>
                <w:shd w:val="clear" w:color="auto" w:fill="FFFFFF"/>
              </w:rPr>
              <w:fldChar w:fldCharType="end"/>
            </w:r>
            <w:r w:rsidRPr="00EC05B0">
              <w:rPr>
                <w:color w:val="000000" w:themeColor="text1"/>
                <w:sz w:val="20"/>
                <w:szCs w:val="20"/>
                <w:shd w:val="clear" w:color="auto" w:fill="FFFFFF"/>
              </w:rPr>
              <w:t xml:space="preserve"> </w:t>
            </w:r>
            <w:r w:rsidR="00C12CC3" w:rsidRPr="00EC05B0">
              <w:rPr>
                <w:color w:val="000000" w:themeColor="text1"/>
                <w:sz w:val="20"/>
                <w:szCs w:val="20"/>
                <w:shd w:val="clear" w:color="auto" w:fill="FFFFFF"/>
              </w:rPr>
              <w:t xml:space="preserve">Younger age </w:t>
            </w:r>
            <w:r>
              <w:rPr>
                <w:color w:val="000000" w:themeColor="text1"/>
                <w:sz w:val="20"/>
                <w:szCs w:val="20"/>
                <w:shd w:val="clear" w:color="auto" w:fill="FFFFFF"/>
              </w:rPr>
              <w:t xml:space="preserve">is </w:t>
            </w:r>
            <w:r w:rsidR="00C12CC3" w:rsidRPr="00EC05B0">
              <w:rPr>
                <w:color w:val="000000" w:themeColor="text1"/>
                <w:sz w:val="20"/>
                <w:szCs w:val="20"/>
                <w:shd w:val="clear" w:color="auto" w:fill="FFFFFF"/>
              </w:rPr>
              <w:t xml:space="preserve">a risk factor </w:t>
            </w:r>
            <w:r>
              <w:rPr>
                <w:color w:val="000000" w:themeColor="text1"/>
                <w:sz w:val="20"/>
                <w:szCs w:val="20"/>
                <w:shd w:val="clear" w:color="auto" w:fill="FFFFFF"/>
              </w:rPr>
              <w:t xml:space="preserve">for </w:t>
            </w:r>
            <w:r w:rsidR="00C12CC3" w:rsidRPr="00EC05B0">
              <w:rPr>
                <w:color w:val="000000" w:themeColor="text1"/>
                <w:sz w:val="20"/>
                <w:szCs w:val="20"/>
                <w:shd w:val="clear" w:color="auto" w:fill="FFFFFF"/>
              </w:rPr>
              <w:t xml:space="preserve">loss to follow-up both pre-ART and </w:t>
            </w:r>
            <w:r>
              <w:rPr>
                <w:color w:val="000000" w:themeColor="text1"/>
                <w:sz w:val="20"/>
                <w:szCs w:val="20"/>
                <w:shd w:val="clear" w:color="auto" w:fill="FFFFFF"/>
              </w:rPr>
              <w:t xml:space="preserve">on </w:t>
            </w:r>
            <w:r w:rsidR="00C12CC3" w:rsidRPr="00EC05B0">
              <w:rPr>
                <w:color w:val="000000" w:themeColor="text1"/>
                <w:sz w:val="20"/>
                <w:szCs w:val="20"/>
                <w:shd w:val="clear" w:color="auto" w:fill="FFFFFF"/>
              </w:rPr>
              <w:t>ART</w:t>
            </w:r>
            <w:r>
              <w:rPr>
                <w:color w:val="000000" w:themeColor="text1"/>
                <w:sz w:val="20"/>
                <w:szCs w:val="20"/>
                <w:shd w:val="clear" w:color="auto" w:fill="FFFFFF"/>
              </w:rPr>
              <w:t xml:space="preserve">, </w:t>
            </w:r>
            <w:r w:rsidR="00C12CC3" w:rsidRPr="00EC05B0">
              <w:rPr>
                <w:color w:val="000000" w:themeColor="text1"/>
                <w:sz w:val="20"/>
                <w:szCs w:val="20"/>
                <w:shd w:val="clear" w:color="auto" w:fill="FFFFFF"/>
              </w:rPr>
              <w:t xml:space="preserve">while older age </w:t>
            </w:r>
            <w:r>
              <w:rPr>
                <w:color w:val="000000" w:themeColor="text1"/>
                <w:sz w:val="20"/>
                <w:szCs w:val="20"/>
                <w:shd w:val="clear" w:color="auto" w:fill="FFFFFF"/>
              </w:rPr>
              <w:t xml:space="preserve">is </w:t>
            </w:r>
            <w:r w:rsidR="00C12CC3" w:rsidRPr="00EC05B0">
              <w:rPr>
                <w:color w:val="000000" w:themeColor="text1"/>
                <w:sz w:val="20"/>
                <w:szCs w:val="20"/>
                <w:shd w:val="clear" w:color="auto" w:fill="FFFFFF"/>
              </w:rPr>
              <w:t xml:space="preserve">a risk factor </w:t>
            </w:r>
            <w:r>
              <w:rPr>
                <w:color w:val="000000" w:themeColor="text1"/>
                <w:sz w:val="20"/>
                <w:szCs w:val="20"/>
                <w:shd w:val="clear" w:color="auto" w:fill="FFFFFF"/>
              </w:rPr>
              <w:t xml:space="preserve">for </w:t>
            </w:r>
            <w:r w:rsidR="00C12CC3" w:rsidRPr="00EC05B0">
              <w:rPr>
                <w:color w:val="000000" w:themeColor="text1"/>
                <w:sz w:val="20"/>
                <w:szCs w:val="20"/>
                <w:shd w:val="clear" w:color="auto" w:fill="FFFFFF"/>
              </w:rPr>
              <w:t>mortality.</w:t>
            </w:r>
            <w:r w:rsidR="00C12CC3" w:rsidRPr="00EC05B0">
              <w:rPr>
                <w:color w:val="000000" w:themeColor="text1"/>
                <w:sz w:val="20"/>
                <w:szCs w:val="20"/>
                <w:shd w:val="clear" w:color="auto" w:fill="FFFFFF"/>
              </w:rPr>
              <w:fldChar w:fldCharType="begin" w:fldLock="1"/>
            </w:r>
            <w:r w:rsidR="008B4D0B">
              <w:rPr>
                <w:color w:val="000000" w:themeColor="text1"/>
                <w:sz w:val="20"/>
                <w:szCs w:val="20"/>
                <w:shd w:val="clear" w:color="auto" w:fill="FFFFFF"/>
              </w:rPr>
              <w:instrText>ADDIN CSL_CITATION {"citationItems":[{"id":"ITEM-1","itemData":{"DOI":"10.1016/S2352-3018(15)00024-7","ISSN":"23523018","abstract":"BACKGROUND: Rwanda has made remarkable progress towards HIV care programme with strong national monitoring and surveillance. Knowledge about the HIV care continuum model can help to improve outcomes in patients. We aimed to quantify engagement, mortality, and loss to follow-up of patients along the HIV care continuum in Rwanda in 2013. METHODS: We collated data for individuals with HIV who participated in the national HIV care programme in Rwanda and calculated the numbers of individuals or proportions of the population at each stage and the transition probabilities between stages of the continuum. We calculated factors associated with mortality and loss to follow-up by fitting Cox proportional hazards regression models, one for the stage of care before antiretroviral therapy (ART) initiation and another for stage of care during ART. FINDINGS: An estimated 204 899 individuals were HIV-positive in Rwanda in 2013. Among these individuals, 176 174 (86%) were in pre-ART or in ART stages and 129 405 (63%) had initiated ART by the end of 2013. 82·1% (95% CI 80·7-83·4) of patients with viral load measurements (n=3066) were virally suppressed (translating to 106 371 individuals or 52% of HIV-positive individuals). Mortality was 0·6% (304 patients) in the pre-ART stage and 1·0% (1255 patients) in the ART stage; 2247 (3·9%) patients were lost to follow-up in pre-ART stage and 2847 (2·2%) lost in ART stage. Risk factors for mortality among patients in both pre-ART and ART stages included older age, CD4 cell count at initiation, and male sex. Risk factors for loss to follow-up among patients at both pre-ART and ART stages included younger age (age 10-29 year) and male sex. s: The HIV care continuum is a multitrajectory pathway in which patients have many opportunities to leave and re-engage in care. Knowledge about the points at which individuals are most likely to leave care could improve large-scale delivery of HIV programmes. FUNDING: The Bill &amp; Melinda Gates Foundation.","author":[{"dropping-particle":"","family":"Nsanzimana","given":"Sabin","non-dropping-particle":"","parse-names":false,"suffix":""},{"dropping-particle":"","family":"Kanters","given":"Steve","non-dropping-particle":"","parse-names":false,"suffix":""},{"dropping-particle":"","family":"Remera","given":"Eric","non-dropping-particle":"","parse-names":false,"suffix":""},{"dropping-particle":"","family":"Forrest","given":"Jamie I.","non-dropping-particle":"","parse-names":false,"suffix":""},{"dropping-particle":"","family":"Binagwaho","given":"Agnes","non-dropping-particle":"","parse-names":false,"suffix":""},{"dropping-particle":"","family":"Condo","given":"Jeanine","non-dropping-particle":"","parse-names":false,"suffix":""},{"dropping-particle":"","family":"Mills","given":"Edward J.","non-dropping-particle":"","parse-names":false,"suffix":""}],"container-title":"The Lancet HIV","id":"ITEM-1","issue":"5","issued":{"date-parts":[["2015"]]},"page":"e208-e215","publisher":"Elsevier Ltd","title":"HIV care continuum in Rwanda: A cross-sectional analysis of the national programme","type":"article-journal","volume":"2"},"uris":["http://www.mendeley.com/documents/?uuid=a4f00708-4944-40e8-a115-b5bdefcc23d9","http://www.mendeley.com/documents/?uuid=4b32ede6-9603-4447-abeb-72941f0f711d"]}],"mendeley":{"formattedCitation":"&lt;sup&gt;5&lt;/sup&gt;","plainTextFormattedCitation":"5","previouslyFormattedCitation":"&lt;sup&gt;5&lt;/sup&gt;"},"properties":{"noteIndex":0},"schema":"https://github.com/citation-style-language/schema/raw/master/csl-citation.json"}</w:instrText>
            </w:r>
            <w:r w:rsidR="00C12CC3" w:rsidRPr="00EC05B0">
              <w:rPr>
                <w:color w:val="000000" w:themeColor="text1"/>
                <w:sz w:val="20"/>
                <w:szCs w:val="20"/>
                <w:shd w:val="clear" w:color="auto" w:fill="FFFFFF"/>
              </w:rPr>
              <w:fldChar w:fldCharType="separate"/>
            </w:r>
            <w:r w:rsidR="001B1E53" w:rsidRPr="001B1E53">
              <w:rPr>
                <w:noProof/>
                <w:color w:val="000000" w:themeColor="text1"/>
                <w:sz w:val="20"/>
                <w:szCs w:val="20"/>
                <w:shd w:val="clear" w:color="auto" w:fill="FFFFFF"/>
                <w:vertAlign w:val="superscript"/>
              </w:rPr>
              <w:t>5</w:t>
            </w:r>
            <w:r w:rsidR="00C12CC3" w:rsidRPr="00EC05B0">
              <w:rPr>
                <w:color w:val="000000" w:themeColor="text1"/>
                <w:sz w:val="20"/>
                <w:szCs w:val="20"/>
                <w:shd w:val="clear" w:color="auto" w:fill="FFFFFF"/>
              </w:rPr>
              <w:fldChar w:fldCharType="end"/>
            </w:r>
            <w:r w:rsidR="00C12CC3" w:rsidRPr="00EC05B0">
              <w:rPr>
                <w:color w:val="000000" w:themeColor="text1"/>
                <w:sz w:val="20"/>
                <w:szCs w:val="20"/>
                <w:shd w:val="clear" w:color="auto" w:fill="FFFFFF"/>
              </w:rPr>
              <w:t xml:space="preserve"> </w:t>
            </w:r>
            <w:r w:rsidRPr="00EC05B0">
              <w:rPr>
                <w:color w:val="000000" w:themeColor="text1"/>
                <w:sz w:val="20"/>
                <w:szCs w:val="20"/>
                <w:shd w:val="clear" w:color="auto" w:fill="FFFFFF"/>
              </w:rPr>
              <w:t xml:space="preserve">Viral suppression </w:t>
            </w:r>
            <w:r>
              <w:rPr>
                <w:color w:val="000000" w:themeColor="text1"/>
                <w:sz w:val="20"/>
                <w:szCs w:val="20"/>
                <w:shd w:val="clear" w:color="auto" w:fill="FFFFFF"/>
              </w:rPr>
              <w:t xml:space="preserve">is </w:t>
            </w:r>
            <w:r w:rsidRPr="00EC05B0">
              <w:rPr>
                <w:color w:val="000000" w:themeColor="text1"/>
                <w:sz w:val="20"/>
                <w:szCs w:val="20"/>
                <w:shd w:val="clear" w:color="auto" w:fill="FFFFFF"/>
              </w:rPr>
              <w:t>less likely among young people (15-24) compared to older people (49+).</w:t>
            </w:r>
            <w:r w:rsidRPr="00EC05B0">
              <w:rPr>
                <w:color w:val="000000" w:themeColor="text1"/>
                <w:sz w:val="20"/>
                <w:szCs w:val="20"/>
                <w:shd w:val="clear" w:color="auto" w:fill="FFFFFF"/>
              </w:rPr>
              <w:fldChar w:fldCharType="begin" w:fldLock="1"/>
            </w:r>
            <w:r w:rsidR="007527CC">
              <w:rPr>
                <w:color w:val="000000" w:themeColor="text1"/>
                <w:sz w:val="20"/>
                <w:szCs w:val="20"/>
                <w:shd w:val="clear" w:color="auto" w:fill="FFFFFF"/>
              </w:rPr>
              <w:instrText>ADDIN CSL_CITATION {"citationItems":[{"id":"ITEM-1","itemData":{"DOI":"10.1002/jia2.25543","ISSN":"17582652","PMID":"32536033","abstract":"Introduction: Aiming to reach UNAIDS 90-90-90 targets, nearly all sub-Saharan African countries have expanded antiretroviral therapy (ART) to all people living with HIV (PLWH) (Treat All). Few published data exist on viral load testing and viral suppression under Treat All in this region. We assessed proportions of patients with available viral load test results and who were virally suppressed, as well as factors associated with viral suppression, among PLWH in 10 Rwandan health centres after Treat All implementation. Methods: Cross-sectional study during 2018 of adults (≥15 years) engaged in HIV care at 10 Rwandan health centres. Outcomes were being on ART (available ART initiation date in the study database, with no ART discontinuation prior to 1 January 2018), retained on ART (≥2 post-ART health centre visits ≥90 days apart during 2018), available viral load test results (viral load measured in 2018 and available in study database) and virally suppressed (most recent 2018 viral load &lt;200 copies/mL). We used modified Poisson regression models accounting for clustering by health centre to determine factors associated with being virally suppressed. Results: Of 12,238 patients, 7050 (58%) were female and 1028 (8%) were aged 15 to 24 years. Nearly all patients (11,933; 97%) were on ART, of whom 11,198 (94%) were retained on ART. Among patients retained on ART, 10,200 (91%) had available viral load results; of these 9331 (91%) were virally suppressed. Viral suppression was less likely among patients aged 15 to 24 compared to &gt;49 years (adjusted prevalence ratio (aPR): 0.83, 95% CI 0.76 to 0.90 and those with pre-ART CD4 counts of &lt;200 compared to ≥500 cells/mm3 (aPR: 0.92, 95% CI 0.90 to 0.93). There was no statistically significant difference in viral suppression among patients who entered after Treat All implementation compared to those who enrolled before 2010 (aPR 0.98, 95% CI 0.94 to 1.03). Conclusions: In this large cohort of Rwandan PLWH receiving HIV care after Treat All implementation, patients in study health centres have surpassed the third UNAIDS 90-90-90 target. To ensure all PLWH fully benefit from ART, additional efforts should focus on improving ART adherence among younger persons.","author":[{"dropping-particle":"","family":"Ross","given":"Jonathan","non-dropping-particle":"","parse-names":false,"suffix":""},{"dropping-particle":"","family":"Ribakare","given":"Muhayimpundu","non-dropping-particle":"","parse-names":false,"suffix":""},{"dropping-particle":"","family":"Remera","given":"Eric","non-dropping-particle":"","parse-names":false,"suffix":""},{"dropping-particle":"","family":"Murenzi","given":"Gad","non-dropping-particle":"","parse-names":false,"suffix":""},{"dropping-particle</w:instrText>
            </w:r>
            <w:r w:rsidR="007527CC">
              <w:rPr>
                <w:color w:val="000000" w:themeColor="text1"/>
                <w:sz w:val="20"/>
                <w:szCs w:val="20"/>
                <w:shd w:val="clear" w:color="auto" w:fill="FFFFFF"/>
                <w:lang w:eastAsia="ja-JP"/>
              </w:rPr>
              <w:instrText>":"","family":"Munyaneza","given":"Athanase","non-dropping-particle":"","parse-names":false,"suffix":""},{"dropping-particle":"","family":"Hoover","given":"Donald R.","non-dropping-particle":"","parse-names":false,"suffix":""},{"dropping-particle":"","family":"Shi","given":"Qiuhu","non-dropping-particle":"","parse-names":false,"suffix":""},{"dropping-particle":"","family":"Nsanzimana","given":"Sabin","non-dropping-particle":"","parse-names":false,"suffix":""},{"dropping-particle":"","family":"Yotebieng","given":"Marcel","non-dropping-particle":"","parse-names":false,"suffix":""},{"dropping-particle":"","family":"Nash","given":"Denis","non-dropping-particle":"","parse-names":false,"suffix":""},{"dropping-particle":"","family":"Anastos","given":"Kathryn","non-dropping-particle":"","parse-names":false,"suffix":""}],"container-title":"Journal of the International AIDS Society","id":"ITEM-1","issued":{"date-parts":[["2020"]]},"title":"High levels of viral load monitoring and viral suppression under Treat All in Rwanda – a cross-sectional study","type":"article-journal"},"uris":["http://www.mendeley.com/documents/?uuid=2e6c11e8-a60b-48ee-a36c-3fb3763598ae","http://www.mendeley.com/documents/?uuid=4b41ab44-65d2-4b1e-8025-5e0d547f0423"]}],"mendeley":{"formattedCitation":"&lt;sup&gt;23&lt;/sup&gt;","plainTextFormattedCitation":"23","previouslyFormattedCitation":"&lt;sup&gt;24&lt;/sup&gt;"},"properties":{"noteIndex":0},"schema":"https://github.com/citation-style-language/schema/raw/master/csl-citation.json"}</w:instrText>
            </w:r>
            <w:r w:rsidRPr="00EC05B0">
              <w:rPr>
                <w:color w:val="000000" w:themeColor="text1"/>
                <w:sz w:val="20"/>
                <w:szCs w:val="20"/>
                <w:shd w:val="clear" w:color="auto" w:fill="FFFFFF"/>
              </w:rPr>
              <w:fldChar w:fldCharType="separate"/>
            </w:r>
            <w:r w:rsidR="007527CC" w:rsidRPr="007527CC">
              <w:rPr>
                <w:noProof/>
                <w:color w:val="000000" w:themeColor="text1"/>
                <w:sz w:val="20"/>
                <w:szCs w:val="20"/>
                <w:shd w:val="clear" w:color="auto" w:fill="FFFFFF"/>
                <w:vertAlign w:val="superscript"/>
                <w:lang w:eastAsia="ja-JP"/>
              </w:rPr>
              <w:t>23</w:t>
            </w:r>
            <w:r w:rsidRPr="00EC05B0">
              <w:rPr>
                <w:color w:val="000000" w:themeColor="text1"/>
                <w:sz w:val="20"/>
                <w:szCs w:val="20"/>
                <w:shd w:val="clear" w:color="auto" w:fill="FFFFFF"/>
              </w:rPr>
              <w:fldChar w:fldCharType="end"/>
            </w:r>
          </w:p>
          <w:p w14:paraId="02B12FB2" w14:textId="5A3AC835" w:rsidR="001A69C4" w:rsidRDefault="001A69C4" w:rsidP="00106ADC">
            <w:pPr>
              <w:jc w:val="both"/>
              <w:rPr>
                <w:color w:val="000000" w:themeColor="text1"/>
                <w:sz w:val="20"/>
                <w:szCs w:val="20"/>
                <w:shd w:val="clear" w:color="auto" w:fill="FFFFFF"/>
                <w:lang w:eastAsia="ja-JP"/>
              </w:rPr>
            </w:pPr>
          </w:p>
        </w:tc>
      </w:tr>
      <w:tr w:rsidR="00C12CC3" w:rsidRPr="00EC05B0" w14:paraId="48746968" w14:textId="627F844C" w:rsidTr="003060F6">
        <w:trPr>
          <w:trHeight w:val="338"/>
        </w:trPr>
        <w:tc>
          <w:tcPr>
            <w:tcW w:w="1440" w:type="dxa"/>
          </w:tcPr>
          <w:p w14:paraId="49862A0D" w14:textId="0A4E9E7A" w:rsidR="00C12CC3" w:rsidRPr="00EC05B0" w:rsidRDefault="00C12CC3" w:rsidP="00122CDD">
            <w:pPr>
              <w:jc w:val="both"/>
              <w:rPr>
                <w:color w:val="000000" w:themeColor="text1"/>
                <w:sz w:val="20"/>
                <w:szCs w:val="20"/>
                <w:shd w:val="clear" w:color="auto" w:fill="FFFFFF"/>
                <w:lang w:eastAsia="ja-JP"/>
              </w:rPr>
            </w:pPr>
            <w:r>
              <w:rPr>
                <w:color w:val="000000" w:themeColor="text1"/>
                <w:sz w:val="20"/>
                <w:szCs w:val="20"/>
                <w:shd w:val="clear" w:color="auto" w:fill="FFFFFF"/>
                <w:lang w:eastAsia="ja-JP"/>
              </w:rPr>
              <w:t>Sex</w:t>
            </w:r>
          </w:p>
        </w:tc>
        <w:tc>
          <w:tcPr>
            <w:tcW w:w="4202" w:type="dxa"/>
          </w:tcPr>
          <w:p w14:paraId="3C7ADC6C" w14:textId="1FDBDAC0" w:rsidR="001122B5" w:rsidRDefault="00563D8C" w:rsidP="001D10D4">
            <w:pPr>
              <w:jc w:val="both"/>
              <w:rPr>
                <w:color w:val="000000" w:themeColor="text1"/>
                <w:sz w:val="20"/>
                <w:szCs w:val="20"/>
                <w:shd w:val="clear" w:color="auto" w:fill="FFFFFF"/>
                <w:lang w:eastAsia="ja-JP"/>
              </w:rPr>
            </w:pPr>
            <w:bookmarkStart w:id="24" w:name="OLE_LINK3"/>
            <w:bookmarkStart w:id="25" w:name="OLE_LINK4"/>
            <w:r w:rsidRPr="00112D5F">
              <w:rPr>
                <w:color w:val="000000" w:themeColor="text1"/>
                <w:sz w:val="20"/>
                <w:szCs w:val="20"/>
                <w:shd w:val="clear" w:color="auto" w:fill="FFFFFF"/>
                <w:lang w:eastAsia="ja-JP"/>
              </w:rPr>
              <w:t>M</w:t>
            </w:r>
            <w:r w:rsidR="00C12CC3" w:rsidRPr="00112D5F">
              <w:rPr>
                <w:color w:val="000000" w:themeColor="text1"/>
                <w:sz w:val="20"/>
                <w:szCs w:val="20"/>
                <w:shd w:val="clear" w:color="auto" w:fill="FFFFFF"/>
                <w:lang w:eastAsia="ja-JP"/>
              </w:rPr>
              <w:t xml:space="preserve">odeled as men and women. </w:t>
            </w:r>
          </w:p>
          <w:p w14:paraId="1AC31555" w14:textId="77777777" w:rsidR="001122B5" w:rsidRDefault="001122B5" w:rsidP="00527179">
            <w:pPr>
              <w:jc w:val="both"/>
              <w:rPr>
                <w:color w:val="000000" w:themeColor="text1"/>
                <w:sz w:val="20"/>
                <w:szCs w:val="20"/>
                <w:shd w:val="clear" w:color="auto" w:fill="FFFFFF"/>
                <w:lang w:eastAsia="ja-JP"/>
              </w:rPr>
            </w:pPr>
          </w:p>
          <w:p w14:paraId="5EE56322" w14:textId="068017B9" w:rsidR="001122B5" w:rsidRDefault="001122B5" w:rsidP="00527179">
            <w:pPr>
              <w:jc w:val="both"/>
              <w:rPr>
                <w:color w:val="000000" w:themeColor="text1"/>
                <w:sz w:val="20"/>
                <w:szCs w:val="20"/>
                <w:shd w:val="clear" w:color="auto" w:fill="FFFFFF"/>
                <w:lang w:eastAsia="ja-JP"/>
              </w:rPr>
            </w:pPr>
            <w:r>
              <w:rPr>
                <w:color w:val="000000" w:themeColor="text1"/>
                <w:sz w:val="20"/>
                <w:szCs w:val="20"/>
                <w:shd w:val="clear" w:color="auto" w:fill="FFFFFF"/>
                <w:lang w:eastAsia="ja-JP"/>
              </w:rPr>
              <w:t xml:space="preserve">Gender identity is not captured </w:t>
            </w:r>
            <w:r w:rsidR="007B0122">
              <w:rPr>
                <w:color w:val="000000" w:themeColor="text1"/>
                <w:sz w:val="20"/>
                <w:szCs w:val="20"/>
                <w:shd w:val="clear" w:color="auto" w:fill="FFFFFF"/>
                <w:lang w:eastAsia="ja-JP"/>
              </w:rPr>
              <w:t xml:space="preserve">by </w:t>
            </w:r>
            <w:r>
              <w:rPr>
                <w:color w:val="000000" w:themeColor="text1"/>
                <w:sz w:val="20"/>
                <w:szCs w:val="20"/>
                <w:shd w:val="clear" w:color="auto" w:fill="FFFFFF"/>
                <w:lang w:eastAsia="ja-JP"/>
              </w:rPr>
              <w:t xml:space="preserve">these </w:t>
            </w:r>
            <w:r w:rsidR="00464588">
              <w:rPr>
                <w:color w:val="000000" w:themeColor="text1"/>
                <w:sz w:val="20"/>
                <w:szCs w:val="20"/>
                <w:shd w:val="clear" w:color="auto" w:fill="FFFFFF"/>
                <w:lang w:eastAsia="ja-JP"/>
              </w:rPr>
              <w:t>sub-population</w:t>
            </w:r>
            <w:r>
              <w:rPr>
                <w:color w:val="000000" w:themeColor="text1"/>
                <w:sz w:val="20"/>
                <w:szCs w:val="20"/>
                <w:shd w:val="clear" w:color="auto" w:fill="FFFFFF"/>
                <w:lang w:eastAsia="ja-JP"/>
              </w:rPr>
              <w:t xml:space="preserve">s. </w:t>
            </w:r>
            <w:r w:rsidRPr="00112D5F">
              <w:rPr>
                <w:color w:val="000000" w:themeColor="text1"/>
                <w:sz w:val="20"/>
                <w:szCs w:val="20"/>
                <w:shd w:val="clear" w:color="auto" w:fill="FFFFFF"/>
                <w:lang w:eastAsia="ja-JP"/>
              </w:rPr>
              <w:t xml:space="preserve">We do not </w:t>
            </w:r>
            <w:r w:rsidRPr="001169A9">
              <w:rPr>
                <w:color w:val="000000" w:themeColor="text1"/>
                <w:sz w:val="20"/>
                <w:szCs w:val="20"/>
                <w:shd w:val="clear" w:color="auto" w:fill="FFFFFF"/>
                <w:lang w:eastAsia="ja-JP"/>
              </w:rPr>
              <w:t>explicitly model gender identity due to limited data availability.</w:t>
            </w:r>
          </w:p>
          <w:bookmarkEnd w:id="24"/>
          <w:bookmarkEnd w:id="25"/>
          <w:p w14:paraId="55351D45" w14:textId="77777777" w:rsidR="001122B5" w:rsidRDefault="001122B5" w:rsidP="00527179">
            <w:pPr>
              <w:jc w:val="both"/>
              <w:rPr>
                <w:color w:val="000000" w:themeColor="text1"/>
                <w:sz w:val="20"/>
                <w:szCs w:val="20"/>
                <w:shd w:val="clear" w:color="auto" w:fill="FFFFFF"/>
                <w:lang w:eastAsia="ja-JP"/>
              </w:rPr>
            </w:pPr>
          </w:p>
          <w:p w14:paraId="365726B3" w14:textId="54C95F8A" w:rsidR="00C12CC3" w:rsidRPr="00B62492" w:rsidRDefault="00C12CC3" w:rsidP="00E71320">
            <w:pPr>
              <w:jc w:val="both"/>
              <w:rPr>
                <w:color w:val="000000" w:themeColor="text1"/>
                <w:sz w:val="20"/>
                <w:szCs w:val="20"/>
                <w:shd w:val="clear" w:color="auto" w:fill="FFFFFF"/>
                <w:lang w:eastAsia="ja-JP"/>
              </w:rPr>
            </w:pPr>
          </w:p>
        </w:tc>
        <w:tc>
          <w:tcPr>
            <w:tcW w:w="7498" w:type="dxa"/>
          </w:tcPr>
          <w:p w14:paraId="28B16091" w14:textId="799DC93C" w:rsidR="005D6147" w:rsidRDefault="00A9630B" w:rsidP="00E71320">
            <w:pPr>
              <w:jc w:val="both"/>
              <w:rPr>
                <w:color w:val="000000" w:themeColor="text1"/>
                <w:sz w:val="20"/>
                <w:szCs w:val="20"/>
              </w:rPr>
            </w:pPr>
            <w:r w:rsidRPr="00B62492">
              <w:rPr>
                <w:color w:val="000000" w:themeColor="text1"/>
                <w:sz w:val="20"/>
                <w:szCs w:val="20"/>
                <w:u w:val="single"/>
                <w:lang w:eastAsia="ja-JP"/>
              </w:rPr>
              <w:t>HIV prevalence</w:t>
            </w:r>
            <w:r w:rsidRPr="00F529C3">
              <w:rPr>
                <w:color w:val="000000" w:themeColor="text1"/>
                <w:sz w:val="20"/>
                <w:szCs w:val="20"/>
                <w:lang w:eastAsia="ja-JP"/>
              </w:rPr>
              <w:t xml:space="preserve">. </w:t>
            </w:r>
            <w:r w:rsidR="00C12CC3" w:rsidRPr="00112D5F">
              <w:rPr>
                <w:color w:val="000000" w:themeColor="text1"/>
                <w:sz w:val="20"/>
                <w:szCs w:val="20"/>
                <w:lang w:eastAsia="ja-JP"/>
              </w:rPr>
              <w:t xml:space="preserve">Women are disproportionately affected by the HIV epidemic in Rwanda. </w:t>
            </w:r>
            <w:r w:rsidRPr="00112D5F">
              <w:rPr>
                <w:color w:val="000000" w:themeColor="text1"/>
                <w:sz w:val="20"/>
                <w:szCs w:val="20"/>
                <w:lang w:eastAsia="ja-JP"/>
              </w:rPr>
              <w:t xml:space="preserve">The majority </w:t>
            </w:r>
            <w:r w:rsidR="00C12CC3" w:rsidRPr="00112D5F">
              <w:rPr>
                <w:color w:val="000000" w:themeColor="text1"/>
                <w:sz w:val="20"/>
                <w:szCs w:val="20"/>
                <w:lang w:eastAsia="ja-JP"/>
              </w:rPr>
              <w:t xml:space="preserve">(62%) of </w:t>
            </w:r>
            <w:r w:rsidRPr="00B62492">
              <w:rPr>
                <w:color w:val="000000" w:themeColor="text1"/>
                <w:sz w:val="20"/>
                <w:szCs w:val="20"/>
                <w:lang w:eastAsia="ja-JP"/>
              </w:rPr>
              <w:t xml:space="preserve">people living with </w:t>
            </w:r>
            <w:r w:rsidR="00C12CC3" w:rsidRPr="00B62492">
              <w:rPr>
                <w:color w:val="000000" w:themeColor="text1"/>
                <w:sz w:val="20"/>
                <w:szCs w:val="20"/>
                <w:lang w:eastAsia="ja-JP"/>
              </w:rPr>
              <w:t>HIV in Rwanda are women</w:t>
            </w:r>
            <w:r w:rsidRPr="00B62492">
              <w:rPr>
                <w:color w:val="000000" w:themeColor="text1"/>
                <w:sz w:val="20"/>
                <w:szCs w:val="20"/>
                <w:lang w:eastAsia="ja-JP"/>
              </w:rPr>
              <w:t xml:space="preserve">, with </w:t>
            </w:r>
            <w:r w:rsidR="00C12CC3" w:rsidRPr="00B62492">
              <w:rPr>
                <w:color w:val="000000" w:themeColor="text1"/>
                <w:sz w:val="20"/>
                <w:szCs w:val="20"/>
                <w:lang w:eastAsia="ja-JP"/>
              </w:rPr>
              <w:t>HIV prevalence among women is higher (3.6%) relative to men (2.3%).</w:t>
            </w:r>
            <w:r w:rsidR="00C12CC3" w:rsidRPr="00112D5F">
              <w:rPr>
                <w:color w:val="000000" w:themeColor="text1"/>
                <w:sz w:val="20"/>
                <w:szCs w:val="20"/>
              </w:rPr>
              <w:fldChar w:fldCharType="begin" w:fldLock="1"/>
            </w:r>
            <w:r w:rsidR="007527CC">
              <w:rPr>
                <w:color w:val="000000" w:themeColor="text1"/>
                <w:sz w:val="20"/>
                <w:szCs w:val="20"/>
                <w:lang w:eastAsia="ja-JP"/>
              </w:rPr>
              <w:instrText>ADDIN CSL_CITATION {"citationItems":[{"id":"ITEM-1","itemData":{"DOI":"March, 2016","ISBN":"9789997743091","author":[{"dropping-particle":"","family":"National Institute of Statistics of Rwanda (NISR) [Rwanda] Ministry of Health (MOH) [Rwanda] and ICF International.","given":"","non-dropping-particle":"","parse-names":false,"suffix":""}],"container-title":"Rwanda Mininstry of Health","id":"ITEM-1","issued":{"date-parts":[["2015"]]},"number-of-pages":"640","publisher-place":"Rockville, Maryland, USA: NISR, MOH, and ICF International.","title":"Rwanda Demographic and Health Survey 2014-15","type":"report"},"uris":["http://www.mendeley.com/documents/?uuid=1cd2afa0-8858-4818-a7e0-ec39e8a650ac","http://www.mendeley.com/documents/?uuid=92979b8f-5a59-4ac9-a743-4a0cdca47a78","http://www.mendeley.com/documents/?uuid=b26e7148-b697-4212-bb43-79b0366d0d6e"]}],"mendel</w:instrText>
            </w:r>
            <w:r w:rsidR="007527CC">
              <w:rPr>
                <w:color w:val="000000" w:themeColor="text1"/>
                <w:sz w:val="20"/>
                <w:szCs w:val="20"/>
              </w:rPr>
              <w:instrText>ey":{"formattedCitation":"&lt;sup&gt;18&lt;/sup&gt;","plainTextFormattedCitation":"18","previouslyFormattedCitation":"&lt;sup&gt;19&lt;/sup&gt;"},"properties":{"noteIndex":0},"schema":"https://github.com/citation-style-language/schema/raw/master/csl-citation.json"}</w:instrText>
            </w:r>
            <w:r w:rsidR="00C12CC3" w:rsidRPr="00112D5F">
              <w:rPr>
                <w:color w:val="000000" w:themeColor="text1"/>
                <w:sz w:val="20"/>
                <w:szCs w:val="20"/>
              </w:rPr>
              <w:fldChar w:fldCharType="separate"/>
            </w:r>
            <w:r w:rsidR="007527CC" w:rsidRPr="007527CC">
              <w:rPr>
                <w:noProof/>
                <w:color w:val="000000" w:themeColor="text1"/>
                <w:sz w:val="20"/>
                <w:szCs w:val="20"/>
                <w:vertAlign w:val="superscript"/>
              </w:rPr>
              <w:t>18</w:t>
            </w:r>
            <w:r w:rsidR="00C12CC3" w:rsidRPr="00112D5F">
              <w:rPr>
                <w:color w:val="000000" w:themeColor="text1"/>
                <w:sz w:val="20"/>
                <w:szCs w:val="20"/>
              </w:rPr>
              <w:fldChar w:fldCharType="end"/>
            </w:r>
            <w:r w:rsidR="00C12CC3" w:rsidRPr="00112D5F">
              <w:rPr>
                <w:color w:val="000000" w:themeColor="text1"/>
                <w:sz w:val="20"/>
                <w:szCs w:val="20"/>
              </w:rPr>
              <w:t xml:space="preserve"> </w:t>
            </w:r>
          </w:p>
          <w:p w14:paraId="0D307955" w14:textId="77777777" w:rsidR="005D6147" w:rsidRDefault="005D6147" w:rsidP="00E71320">
            <w:pPr>
              <w:jc w:val="both"/>
              <w:rPr>
                <w:color w:val="000000" w:themeColor="text1"/>
                <w:sz w:val="20"/>
                <w:szCs w:val="20"/>
              </w:rPr>
            </w:pPr>
          </w:p>
          <w:p w14:paraId="4A4BB271" w14:textId="26C66AE5" w:rsidR="005D6147" w:rsidRPr="00B62492" w:rsidRDefault="005D6147" w:rsidP="00E71320">
            <w:pPr>
              <w:jc w:val="both"/>
              <w:rPr>
                <w:color w:val="000000" w:themeColor="text1"/>
                <w:sz w:val="20"/>
                <w:szCs w:val="20"/>
              </w:rPr>
            </w:pPr>
            <w:r w:rsidRPr="00DF1813">
              <w:rPr>
                <w:color w:val="000000" w:themeColor="text1"/>
                <w:sz w:val="20"/>
                <w:szCs w:val="20"/>
                <w:u w:val="single"/>
              </w:rPr>
              <w:t>Risk of HIV acquisition</w:t>
            </w:r>
            <w:r>
              <w:rPr>
                <w:color w:val="000000" w:themeColor="text1"/>
                <w:sz w:val="20"/>
                <w:szCs w:val="20"/>
              </w:rPr>
              <w:t xml:space="preserve"> is higher among women, especially young women. Biologically, w</w:t>
            </w:r>
            <w:r w:rsidR="00C12CC3" w:rsidRPr="00112D5F">
              <w:rPr>
                <w:color w:val="000000" w:themeColor="text1"/>
                <w:sz w:val="20"/>
                <w:szCs w:val="20"/>
              </w:rPr>
              <w:t xml:space="preserve">omen have a higher risk </w:t>
            </w:r>
            <w:r w:rsidR="00106ADC">
              <w:rPr>
                <w:color w:val="000000" w:themeColor="text1"/>
                <w:sz w:val="20"/>
                <w:szCs w:val="20"/>
              </w:rPr>
              <w:t xml:space="preserve">of acquiring </w:t>
            </w:r>
            <w:r w:rsidR="00C12CC3" w:rsidRPr="00112D5F">
              <w:rPr>
                <w:color w:val="000000" w:themeColor="text1"/>
                <w:sz w:val="20"/>
                <w:szCs w:val="20"/>
              </w:rPr>
              <w:t xml:space="preserve">HIV than men because they </w:t>
            </w:r>
            <w:r>
              <w:rPr>
                <w:color w:val="000000" w:themeColor="text1"/>
                <w:sz w:val="20"/>
                <w:szCs w:val="20"/>
              </w:rPr>
              <w:t xml:space="preserve">are more likely to be </w:t>
            </w:r>
            <w:r w:rsidR="00C12CC3" w:rsidRPr="00112D5F">
              <w:rPr>
                <w:color w:val="000000" w:themeColor="text1"/>
                <w:sz w:val="20"/>
                <w:szCs w:val="20"/>
              </w:rPr>
              <w:t>expos</w:t>
            </w:r>
            <w:r w:rsidR="00C12CC3" w:rsidRPr="00B62492">
              <w:rPr>
                <w:color w:val="000000" w:themeColor="text1"/>
                <w:sz w:val="20"/>
                <w:szCs w:val="20"/>
              </w:rPr>
              <w:t>ed to injury and pathogens during sexual intercourse.</w:t>
            </w:r>
            <w:r w:rsidR="00892794" w:rsidRPr="00112D5F">
              <w:rPr>
                <w:color w:val="000000" w:themeColor="text1"/>
                <w:sz w:val="20"/>
                <w:szCs w:val="20"/>
              </w:rPr>
              <w:fldChar w:fldCharType="begin" w:fldLock="1"/>
            </w:r>
            <w:r w:rsidR="007527CC">
              <w:rPr>
                <w:color w:val="000000" w:themeColor="text1"/>
                <w:sz w:val="20"/>
                <w:szCs w:val="20"/>
              </w:rPr>
              <w:instrText>ADDIN CSL_CITATION {"citationItems":[{"id":"ITEM-1","itemData":{"DOI":"10.1186/1742-6405-10-30","ISSN":"1742-6405","PMID":"24330537","abstract":"Thirty years since the discovery of HIV, the HIV pandemic in sub-Saharan Africa accounts for more than two thirds of the world’s HIV infections. Southern Africa remains the region most severely affected by the epidemic. Women continue to bear the brunt of the epidemic with young women infected almost ten years earlier compared to their male counterparts. Epidemiological evidence suggests unacceptably high HIV prevalence and incidence rates among women. A multitude of factors increase women’s vulnerability to HIV acquisition, including, biological, behavioral, socioeconomic, cultural and structural risks. There is no magic bullet and behavior alone is unlikely to change the course of the epidemic. Considerable progress has been made in biomedical, behavioral and structural strategies for HIV prevention with attendant challenges of developing appropriate HIV prevention packages which take into consideration the socioeconomic and cultural context of women in society at large.","author":[{"dropping-particle":"","family":"Ramjee","given":"Gita","non-dropping-particle":"","parse-names":false,"suffix":""},{"dropping-particle":"","family":"Daniels","given":"Brodie","non-dropping-particle":"","parse-names":false,"suffix":""},{"dropping-particle":"","family":"Ramjee","given":"G","non-dropping-particle":"","parse-names":false,"suffix":""},{"dropping-particle":"","family":"Rehle","given":"TM","non-dropping-particle":"","parse-names":false,"suffix":""},{"dropping-particle":"","family":"Karim","given":"QA","non-dropping-particle":"","parse-names":false,"suffix":""},{"dropping-particle":"","family":"Ramjee","given":"G","non-dropping-particle":"","parse-names":false,"suffix":""},{"dropping-particle":"","family":"Karim","given":"SSA","non-dropping-particle":"","parse-names":false,"suffix":""},{"dropping-particle":"","family":"McCormack","given":"S","non-dropping-particle":"","parse-names":false,"suffix":""},{"dropping-particle":"","family":"Wand","given":"H","non-dropping-particle":"","parse-names":false,"suffix":""},{"dropping-particle":"","family":"Ramjee","given":"G","non-dropping-particle":"","parse-names":false,"suffix":""},{"dropping-particle":"","family":"Wand","given":"H","non-dropping-particle":"","parse-names":false,"suffix":""},{"dropping-particle":"","family":"Whitaker","given":"C","non-dropping-particle":"","parse-names":false,"suffix":""},{"dropping-particle":"","family":"Ramjee","given":"G","non-dropping-particle":"","parse-names":false,"suffix":""},{"dropping-particle":"","family":"Rehle","given":"T","non-dropping-particle":"","parse-names":false,"suffix":""},{"dropping-particle":"","family":"Shisana","given":"O","non-dropping-particle":"","parse-names":false,"suffix":""},{"dropping-particle":"","family":"Mabala","given":"R","non-dropping-particle":"","parse-names":false,"suffix":""},{"dropping-particle":"","family":"Ackermann","given":"L","non-dropping-particle":"","parse-names":false,"suffix":""},{"dropping-particle":"","family":"Klerk","given":"GW","non-dropping-particle":"","parse-names":false,"suffix":""},{"dropping-particle":"","family":"Kalichman","given":"SC","non-dropping-particle":"","parse-names":false,"suffix":""},{"dropping-particle":"","family":"Pellowski","given":"J","non-dropping-particle":"","parse-names":false,"suffix":""},{"dropping-particle":"","family":"Turner","given":"C","non-dropping-particle":"","parse-names":false,"suffix":""},{"dropping-particle":"","family":"Connolly","given":"CA","non-dropping-particle":"","parse-names":false,"suffix":""},{"dropping-particle":"","family":"Ramjee","given":"G","non-dropping-particle":"","parse-names":false,"suffix":""},{"dropping-particle":"","family":"Wand","given":"H","non-dropping-particle":"","parse-names":false,"suffix":""},{"dropping-particle":"","family":"Baeten","given":"JM","non-dropping-particle":"","parse-names":false,"suffix":""},{"dropping-particle":"","family":"Ramjee","given":"G","non-dropping-particle":"","parse-names":false,"suffix":""},{"dropping-particle":"","family":"Wand","given":"H","non-dropping-particle":"","parse-names":false,"suffix":""},{"dropping-particle":"","family":"Heffron","given":"R","non-dropping-particle":"","parse-names":false,"suffix":""},{"dropping-particle":"","family":"Wand","given":"H","non-dropping-particle":"","parse-names":false,"suffix":""},{"dropping-particle":"","family":"Ramjee","given":"G","non-dropping-particle":"","parse-names":false,"suffix":""},{"dropping-particle":"","family":"Kleinschmidt","given":"I","non-dropping-particle":"","parse-names":false,"suffix":""},{"dropping-particle":"","family":"Myer","given":"L","non-dropping-particle":"","parse-names":false,"suffix":""},{"dropping-particle":"","family":"Kiddugavu","given":"M","non-dropping-particle":"","parse-names":false,"suffix":""},{"dropping-particle":"","family":"Adetunji","given":"J","non-dropping-particle":"","parse-names":false,"suffix":""},{"dropping-particle":"","family":"Organization","given":"WH","non-dropping-particle":"","parse-names":false,"suffix":""},{"dropping-particle":"","family":"Chersich","given":"MF","non-dropping-particle":"","parse-names":false,"suffix":""},{"dropping-particle":"","family":"Rees","given":"HV","non-dropping-particle":"","parse-names":false,"suffix":""},{"dropping-particle":"","family":"Wira","given":"CR","non-dropping-particle":"","parse-names":false,"suffix":""},{"dropping-particle":"","family":"Fahey","given":"JV","non-dropping-particle":"","parse-names":false,"suffix":""},{"dropping-particle":"","family":"Duffy","given":"L","non-dropping-particle":"","parse-names":false,"suffix":""},{"dropping-particle":"","family":"Buvé","given":"A","non-dropping-particle":"","parse-names":false,"suffix":""},{"dropping-particle":"","family":"Bishikwabo-Nsarhaza","given":"K","non-dropping-particle":"","parse-names":false,"suffix":""},{"dropping-particle":"","family":"Mutangadura","given":"G","non-dropping-particle":"","parse-names":false,"suffix":""},{"dropping-particle":"","family":"Mfecane","given":"S","non-dropping-particle":"","parse-names":false,"suffix":""},{"dropping-particle":"","family":"Montgomery","given":"CM","non-dropping-particle":"","parse-names":false,"suffix":""},{"dropping-particle":"","family":"Maleche","given":"A","non-dropping-particle":"","parse-names":false,"suffix":""},{"dropping-particle":"","family":"Day","given":"E","non-dropping-particle":"","parse-names":false,"suffix":""},{"dropping-particle":"","family":"Hilber","given":"AM","non-dropping-particle":"","parse-names":false,"suffix":""},{"dropping-particle":"","family":"Samuels","given":"F","non-dropping-particle":"","parse-names":false,"suffix":""},{"dropping-particle":"","family":"Blake","given":"C","non-dropping-particle":"","parse-names":false,"suffix":""},{"dropping-particle":"","family":"Akinrimisi","given":"B","non-dropping-particle":"","parse-names":false,"suffix":""},{"dropping-particle":"","family":"Clark","given":"S","non-dropping-particle":"","parse-names":false,"suffix":""},{"dropping-particle":"","family":"Bruce","given":"J","non-dropping-particle":"","parse-names":false,"suffix":""},{"dropping-particle":"","family":"Dude","given":"A","non-dropping-particle":"","parse-names":false,"suffix":""},{"dropping-particle":"","family":"Wand","given":"H","non-dropping-particle":"","parse-names":false,"suffix":""},{"dropping-particle":"","family":"Ramjee","given":"G","non-dropping-particle":"","parse-names":false,"suffix":""},{"dropping-particle":"","family":"Gillespie","given":"S","non-dropping-particle":"","parse-names":false,"suffix":""},{"dropping-particle":"","family":"Kadiyala","given":"S","non-dropping-particle":"","parse-names":false,"suffix":""},{"dropping-particle":"","family":"Greener","given":"R","non-dropping-particle":"","parse-names":false,"suffix":""},{"dropping-particle":"","family":"Piot","given":"P","non-dropping-particle":"","parse-names":false,"suffix":""},{"dropping-particle":"","family":"Greener","given":"R","non-dropping-particle":"","parse-names":false,"suffix":""},{"dropping-particle":"","family":"Russell","given":"S","non-dropping-particle":"","parse-names":false,"suffix":""},{"dropping-particle":"","family":"Vandepitte","given":"J","non-dropping-particle":"","parse-names":false,"suffix":""},{"dropping-particle":"","family":"Pruss-Ustun","given":"A","non-dropping-particle":"","parse-names":false,"suffix":""},{"dropping-particle":"","family":"Schwandt","given":"M","non-dropping-particle":"","parse-names":false,"suffix":""},{"dropping-particle":"","family":"Luseno","given":"WK","non-dropping-particle":"","parse-names":false,"suffix":""},{"dropping-particle":"","family":"Coates","given":"TJ","non-dropping-particle":"","parse-names":false,"suffix":""},{"dropping-particle":"","family":"Richter","given":"L","non-dropping-particle":"","parse-names":false,"suffix":""},{"dropping-particle":"","family":"Caceres","given":"C","non-dropping-particle":"","parse-names":false,"suffix":""},{"dropping-particle":"","family":"Pettifor","given":"AE","non-dropping-particle":"","parse-names":false,"suffix":""},{"dropping-particle":"","family":"Glynn","given":"JR","non-dropping-particle":"","parse-names":false,"suffix":""},{"dropping-particle":"","family":"Greenberg","given":"J","non-dropping-particle":"","parse-names":false,"suffix":""},{"dropping-particle":"","family":"Magder","given":"L","non-dropping-particle":"","parse-names":false,"suffix":""},{"dropping-particle":"","family":"Aral","given":"S","non-dropping-particle":"","parse-names":false,"suffix":""},{"dropping-particle":"","family":"Manning","given":"WD","non-dropping-particle":"","parse-names":false,"suffix":""},{"dropping-particle":"","family":"Longmore","given":"MA","non-dropping-particle":"","parse-names":false,"suffix":""},{"dropping-particle":"","family":"Giordano","given":"PC","non-dropping-particle":"","parse-names":false,"suffix":""},{"dropping-particle":"","family":"Boileau","given":"C","non-dropping-particle":"","parse-names":false,"suffix":""},{"dropping-particle":"","family":"Pettifor","given":"AE","non-dropping-particle":"","parse-names":false,"suffix":""},{"dropping-particle":"","family":"Laga","given":"M","non-dropping-particle":"","parse-names":false,"suffix":""},{"dropping-particle":"","family":"Asiimwe-Okiror","given":"G","non-dropping-particle":"","parse-names":false,"suffix":""},{"dropping-particle":"","family":"Mah","given":"TL","non-dropping-particle":"","parse-names":false,"suffix":""},{"dropping-particle":"","family":"Halperin","given":"DT","non-dropping-particle":"","parse-names":false,"suffix":""},{"dropping-particle":"","family":"Potts","given":"M","non-dropping-particle":"","parse-names":false,"suffix":""},{"dropping-particle":"","family":"Karim","given":"SS","non-dropping-particle":"","parse-names":false,"suffix":""},{"dropping-particle":"","family":"Ramjee","given":"G","non-dropping-particle":"","parse-names":false,"suffix":""},{"dropping-particle":"","family":"Lane","given":"T","non-dropping-particle":"","parse-names":false,"suffix":""},{"dropping-particle":"","family":"Simbayi","given":"LC","non-dropping-particle":"","parse-names":false,"suffix":""},{"dropping-particle":"","family":"Scorgie","given":"F","non-dropping-particle":"","parse-names":false,"suffix":""},{"dropping-particle":"","family":"Murphy","given":"EM","non-dropping-particle":"","parse-names":false,"suffix":""},{"dropping-particle":"","family":"Gupta","given":"GR","non-dropping-particle":"","parse-names":false,"suffix":""},{"dropping-particle":"","family":"Gupta","given":"GR","non-dropping-particle":"","parse-names":false,"suffix":""},{"dropping-particle":"","family":"Jewkes","given":"RK","non-dropping-particle":"","parse-names":false,"suffix":""},{"dropping-particle":"","family":"Levin","given":"JB","non-dropping-particle":"","parse-names":false,"suffix":""},{"dropping-particle":"","family":"Penn-Kekana","given":"LA","non-dropping-particle":"","parse-names":false,"suffix":""},{"dropping-particle":"","family":"Leclerc-Madlala","given":"S","non-dropping-particle":"","parse-names":false,"suffix":""},{"dropping-particle":"","family":"Serwadda","given":"D","non-dropping-particle":"","parse-names":false,"suffix":""},{"dropping-particle":"","family":"Higgins","given":"JA","non-dropping-particle":"","parse-names":false,"suffix":""},{"dropping-particle":"","family":"Hoffman","given":"S","non-dropping-particle":"","parse-names":false,"suffix":""},{"dropping-particle":"","family":"Dworkin","given":"SL","non-dropping-particle":"","parse-names":false,"suffix":""},{"dropping-particle":"","family":"Kim","given":"J","non-dropping-particle":"","parse-names":false,"suffix":""},{"dropping-particle":"","family":"Jewkes","given":"RK","non-dropping-particle":"","parse-names":false,"suffix":""},{"dropping-particle":"","family":"Campbell","given":"JC","non-dropping-particle":"","parse-names":false,"suffix":""},{"dropping-particle":"","family":"Vyas","given":"S","non-dropping-particle":"","parse-names":false,"suffix":""},{"dropping-particle":"","family":"Watts","given":"C","non-dropping-particle":"","parse-names":false,"suffix":""},{"dropping-particle":"","family":"Poundstone","given":"K","non-dropping-particle":"","parse-names":false,"suffix":""},{"dropping-particle":"","family":"Strathdee","given":"S","non-dropping-particle":"","parse-names":false,"suffix":""},{"dropping-particle":"","family":"Celentano","given":"D","non-dropping-particle":"","parse-names":false,"suffix":""},{"dropping-particle":"","family":"Pulerwitz","given":"J","non-dropping-particle":"","parse-names":false,"suffix":""},{"dropping-particle":"","family":"Lurie","given":"MN","non-dropping-particle":"","parse-names":false,"suffix":""},{"dropping-particle":"","family":"McGowan","given":"I","non-dropping-particle":"","parse-names":false,"suffix":""},{"dropping-particle":"Van","family":"Damme","given":"L","non-dropping-particle":"","parse-names":false,"suffix":""},{"dropping-particle":"","family":"Skoler-Karpoff","given":"S","non-dropping-particle":"","parse-names":false,"suffix":""},{"dropping-particle":"Van","family":"Damme","given":"L","non-dropping-particle":"","parse-names":false,"suffix":""},{"dropping-particle":"","family":"Karim","given":"Q Abdool","non-dropping-particle":"","parse-names":false,"suffix":""},{"dropping-particle":"","family":"Marrazzo","given":"J","non-dropping-particle":"","parse-names":false,"suffix":""},{"dropping-particle":"","family":"Baeten","given":"JM","non-dropping-particle":"","parse-names":false,"suffix":""},{"dropping-particle":"Van","family":"Damme","given":"L","non-dropping-particle":"","parse-names":false,"suffix":""},{"dropping-particle":"","family":"Cohen","given":"MS","non-dropping-particle":"","parse-names":false,"suffix":""},{"dropping-particle":"","family":"Grabbe","given":"KL","non-dropping-particle":"","parse-names":false,"suffix":""},{"dropping-particle":"","family":"Padian","given":"NS","non-dropping-particle":"","parse-names":false,"suffix":""},{"dropping-particle":"","family":"Medley","given":"A","non-dropping-particle":"","parse-names":false,"suffix":""},{"dropping-particle":"","family":"Luchters","given":"S","non-dropping-particle":"","parse-names":false,"suffix":""},{"dropping-particle":"","family":"Jewkes","given":"R","non-dropping-particle":"","parse-names":false,"suffix":""},{"dropping-particle":"","family":"Bertrand","given":"JT","non-dropping-particle":"","parse-names":false,"suffix":""},{"dropping-particle":"Van","family":"Rossem","given":"R","non-dropping-particle":"","parse-names":false,"suffix":""},{"dropping-particle":"","family":"Meekers","given":"D","non-dropping-particle":"","parse-names":false,"suffix":""},{"dropping-particle":"","family":"Keating","given":"J","non-dropping-particle":"","parse-names":false,"suffix":""},{"dropping-particle":"","family":"Meekers","given":"D","non-dropping-particle":"","parse-names":false,"suffix":""},{"dropping-particle":"","family":"Adewuyi","given":"A","non-dropping-particle":"","parse-names":false,"suffix":""},{"dropping-particle":"","family":"Shelton","given":"JD","non-dropping-particle":"","parse-names":false,"suffix":""},{"dropping-particle":"","family":"Dworkin","given":"SL","non-dropping-particle":"","parse-names":false,"suffix":""},{"dropping-particle":"","family":"Blankenship","given":"K","non-dropping-particle":"","parse-names":false,"suffix":""},{"dropping-particle":"","family":"Parker","given":"RG","non-dropping-particle":"","parse-names":false,"suffix":""},{"dropping-particle":"","family":"Easton","given":"D","non-dropping-particle":"","parse-names":false,"suffix":""},{"dropping-particle":"","family":"Klein","given":"CH","non-dropping-particle":"","parse-names":false,"suffix":""},{"dropping-particle":"","family":"Gregson","given":"S","non-dropping-particle":"","parse-names":false,"suffix":""},{"dropping-particle":"","family":"Jukes","given":"M","non-dropping-particle":"","parse-names":false,"suffix":""},{"dropping-particle":"","family":"Simmons","given":"S","non-dropping-particle":"","parse-names":false,"suffix":""},{"dropping-particle":"","family":"Bundy","given":"D","non-dropping-particle":"","parse-names":false,"suffix":""},{"dropping-particle":"","family":"Slutkin","given":"G","non-dropping-particle":"","parse-names":false,"suffix":""}],"container-title":"AIDS Research and Therapy","id":"ITEM-1","issue":"1","issued":{"date-parts":[["2013"]]},"page":"30","title":"Women and HIV in Sub-Saharan Africa","type":"article-journal","volume":"10"},"uris":["http://www.mendeley.com/documents/?uuid=6dcaf032-625e-455a-af47-facd29fbb955","http://www.mendeley.com/documents/?uuid=e7725d58-80b0-4f2c-b85a-2ece8975a3be","http://www.mendeley.com/documents/?uuid=d6de85c3-c92f-4f43-bc65-2e1765a733d7"]}],"mendeley":{"formattedCitation":"&lt;sup&gt;24&lt;/sup&gt;","plainTextFormattedCitation":"24","previouslyFormattedCitation":"&lt;sup&gt;25&lt;/sup&gt;"},"properties":{"noteIndex":0},"schema":"https://github.com/citation-style-language/schema/raw/master/csl-citation.json"}</w:instrText>
            </w:r>
            <w:r w:rsidR="00892794" w:rsidRPr="00112D5F">
              <w:rPr>
                <w:color w:val="000000" w:themeColor="text1"/>
                <w:sz w:val="20"/>
                <w:szCs w:val="20"/>
              </w:rPr>
              <w:fldChar w:fldCharType="separate"/>
            </w:r>
            <w:r w:rsidR="007527CC" w:rsidRPr="007527CC">
              <w:rPr>
                <w:noProof/>
                <w:color w:val="000000" w:themeColor="text1"/>
                <w:sz w:val="20"/>
                <w:szCs w:val="20"/>
                <w:vertAlign w:val="superscript"/>
              </w:rPr>
              <w:t>24</w:t>
            </w:r>
            <w:r w:rsidR="00892794" w:rsidRPr="00112D5F">
              <w:rPr>
                <w:color w:val="000000" w:themeColor="text1"/>
                <w:sz w:val="20"/>
                <w:szCs w:val="20"/>
              </w:rPr>
              <w:fldChar w:fldCharType="end"/>
            </w:r>
            <w:r>
              <w:rPr>
                <w:color w:val="000000" w:themeColor="text1"/>
                <w:sz w:val="20"/>
                <w:szCs w:val="20"/>
              </w:rPr>
              <w:t xml:space="preserve"> Contextually, young women are more likely to be forced to have sex, compared to their male counterpart.</w:t>
            </w:r>
            <w:r>
              <w:rPr>
                <w:color w:val="000000" w:themeColor="text1"/>
                <w:sz w:val="20"/>
                <w:szCs w:val="20"/>
              </w:rPr>
              <w:fldChar w:fldCharType="begin" w:fldLock="1"/>
            </w:r>
            <w:r w:rsidR="007527CC">
              <w:rPr>
                <w:color w:val="000000" w:themeColor="text1"/>
                <w:sz w:val="20"/>
                <w:szCs w:val="20"/>
              </w:rPr>
              <w:instrText>ADDIN CSL_CITATION {"citationItems":[{"id":"ITEM-1","itemData":{"ISSN":"0956-4624","author":[{"dropping-particle":"","family":"Test","given":"F S","non-dropping-particle":"","parse-names":false,"suffix":""},{"dropping-particle":"","family":"Mehta","given":"S D","non-dropping-particle":"","parse-names":false,"suffix":""},{"dropping-particle":"","family":"Handler","given":"A","non-dropping-particle":"","parse-names":false,"suffix":""},{"dropping-particle":"","family":"Mutimura","given":"E","non-dropping-particle":"","parse-names":false,"suffix":""},{"dropping-particle":"","family":"Bamukunde","given":"A M","non-dropping-particle":"","parse-names":false,"suffix":""},{"dropping-particle":"","family":"Cohen","given":"M","non-dropping-particle":"","parse-names":false,"suffix":""}],"container-title":"International journal of STD &amp; AIDS","id":"ITEM-1","issue":"6","issued":{"date-parts":[["2012"]]},"page":"394-399","publisher":"SAGE Publications Sage UK: London, England","title":"Gender inequities in sexual risks among youth with HIV in Kigali, Rwanda","type":"article-journal","volume":"23"},"uris":["http://www.mendeley.com/documents/?uuid=77d13edd-71ca-492f-8698-c3f0b7f6a630"]}],"mendeley":{"formattedCitation":"&lt;sup&gt;25&lt;/sup&gt;","plainTextFormattedCitation":"25","previouslyFormattedCitation":"&lt;sup&gt;26&lt;/sup&gt;"},"properties":{"noteIndex":0},"schema":"https://github.com/citation-style-language/schema/raw/master/csl-citation.json"}</w:instrText>
            </w:r>
            <w:r>
              <w:rPr>
                <w:color w:val="000000" w:themeColor="text1"/>
                <w:sz w:val="20"/>
                <w:szCs w:val="20"/>
              </w:rPr>
              <w:fldChar w:fldCharType="separate"/>
            </w:r>
            <w:r w:rsidR="007527CC" w:rsidRPr="007527CC">
              <w:rPr>
                <w:noProof/>
                <w:color w:val="000000" w:themeColor="text1"/>
                <w:sz w:val="20"/>
                <w:szCs w:val="20"/>
                <w:vertAlign w:val="superscript"/>
              </w:rPr>
              <w:t>25</w:t>
            </w:r>
            <w:r>
              <w:rPr>
                <w:color w:val="000000" w:themeColor="text1"/>
                <w:sz w:val="20"/>
                <w:szCs w:val="20"/>
              </w:rPr>
              <w:fldChar w:fldCharType="end"/>
            </w:r>
            <w:r>
              <w:rPr>
                <w:color w:val="000000" w:themeColor="text1"/>
                <w:sz w:val="20"/>
                <w:szCs w:val="20"/>
              </w:rPr>
              <w:t xml:space="preserve"> Behaviorally, young women are more likely to start sexual experiences early, have sex partners that are much older, or exchange for money.</w:t>
            </w:r>
            <w:r>
              <w:rPr>
                <w:sz w:val="20"/>
                <w:szCs w:val="20"/>
              </w:rPr>
              <w:fldChar w:fldCharType="begin" w:fldLock="1"/>
            </w:r>
            <w:r w:rsidR="007527CC">
              <w:rPr>
                <w:sz w:val="20"/>
                <w:szCs w:val="20"/>
              </w:rPr>
              <w:instrText>ADDIN CSL_CITATION {"citationItems":[{"id":"ITEM-1","itemData":{"ISSN":"0956-4624","author":[{"dropping-particle":"","family":"Test","given":"F S","non-dropping-particle":"","parse-names":false,"suffix":""},{"dropping-particle":"","family":"Mehta","given":"S D","non-dropping-particle":"","parse-names":false,"suffix":""},{"dropping-particle":"","family":"Handler","given":"A","non-dropping-particle":"","parse-names":false,"suffix":""},{"dropping-particle":"","family":"Mutimura","given":"E","non-dropping-particle":"","parse-names":false,"suffix":""},{"dropping-particle":"","family":"Bamukunde","given":"A M","non-dropping-particle":"","parse-names":false,"suffix":""},{"dropping-particle":"","family":"Cohen","given":"M","non-dropping-particle":"","parse-names":false,"suffix":""}],"container-title":"International journal of STD &amp; AIDS","id":"ITEM-1","issue":"6","issued":{"date-parts":[["2012"]]},"page":"394-399","publisher":"SAGE Publications Sage UK: London, England","title":"Gender inequities in sexual risks among youth with HIV in Kigali, Rwanda","type":"article-journal","volume":"23"},"uris":["http://www.mendeley.com/documents/?uuid=77d13edd-71ca-492f-8698-c3f0b7f6a630"]}],"mendeley":{"formattedCitation":"&lt;sup&gt;25&lt;/sup&gt;","plainTextFormattedCitation":"25","previouslyFormattedCitation":"&lt;sup&gt;26&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25</w:t>
            </w:r>
            <w:r>
              <w:rPr>
                <w:sz w:val="20"/>
                <w:szCs w:val="20"/>
              </w:rPr>
              <w:fldChar w:fldCharType="end"/>
            </w:r>
          </w:p>
          <w:p w14:paraId="337914C1" w14:textId="77777777" w:rsidR="00C12CC3" w:rsidRPr="00112D5F" w:rsidRDefault="00C12CC3" w:rsidP="002C3EFA">
            <w:pPr>
              <w:jc w:val="both"/>
              <w:rPr>
                <w:color w:val="000000" w:themeColor="text1"/>
              </w:rPr>
            </w:pPr>
          </w:p>
          <w:p w14:paraId="7B7233BA" w14:textId="73A43C3B" w:rsidR="00C12CC3" w:rsidRDefault="00A9630B" w:rsidP="00550A15">
            <w:pPr>
              <w:jc w:val="both"/>
              <w:rPr>
                <w:color w:val="000000" w:themeColor="text1"/>
                <w:sz w:val="20"/>
                <w:szCs w:val="20"/>
              </w:rPr>
            </w:pPr>
            <w:r>
              <w:rPr>
                <w:color w:val="000000" w:themeColor="text1"/>
                <w:sz w:val="20"/>
                <w:szCs w:val="20"/>
                <w:u w:val="single"/>
              </w:rPr>
              <w:t>Engagement in HIV care</w:t>
            </w:r>
            <w:r w:rsidRPr="00F529C3">
              <w:rPr>
                <w:color w:val="000000" w:themeColor="text1"/>
                <w:sz w:val="20"/>
                <w:szCs w:val="20"/>
              </w:rPr>
              <w:t xml:space="preserve">. </w:t>
            </w:r>
            <w:r>
              <w:rPr>
                <w:color w:val="000000" w:themeColor="text1"/>
                <w:sz w:val="20"/>
                <w:szCs w:val="20"/>
              </w:rPr>
              <w:t>M</w:t>
            </w:r>
            <w:r w:rsidR="00C12CC3" w:rsidRPr="00112D5F">
              <w:rPr>
                <w:color w:val="000000" w:themeColor="text1"/>
                <w:sz w:val="20"/>
                <w:szCs w:val="20"/>
              </w:rPr>
              <w:t xml:space="preserve">en </w:t>
            </w:r>
            <w:r>
              <w:rPr>
                <w:color w:val="000000" w:themeColor="text1"/>
                <w:sz w:val="20"/>
                <w:szCs w:val="20"/>
              </w:rPr>
              <w:t xml:space="preserve">are </w:t>
            </w:r>
            <w:r w:rsidR="00C12CC3" w:rsidRPr="00112D5F">
              <w:rPr>
                <w:color w:val="000000" w:themeColor="text1"/>
                <w:sz w:val="20"/>
                <w:szCs w:val="20"/>
              </w:rPr>
              <w:t>more likely to be los</w:t>
            </w:r>
            <w:r>
              <w:rPr>
                <w:color w:val="000000" w:themeColor="text1"/>
                <w:sz w:val="20"/>
                <w:szCs w:val="20"/>
              </w:rPr>
              <w:t>t</w:t>
            </w:r>
            <w:r w:rsidR="00C12CC3" w:rsidRPr="00112D5F">
              <w:rPr>
                <w:color w:val="000000" w:themeColor="text1"/>
                <w:sz w:val="20"/>
                <w:szCs w:val="20"/>
              </w:rPr>
              <w:t xml:space="preserve"> to follow-up or die </w:t>
            </w:r>
            <w:r w:rsidR="00C12CC3" w:rsidRPr="00B62492">
              <w:rPr>
                <w:color w:val="000000" w:themeColor="text1"/>
                <w:sz w:val="20"/>
                <w:szCs w:val="20"/>
              </w:rPr>
              <w:t>compared to women.</w:t>
            </w:r>
            <w:r w:rsidR="00C12CC3" w:rsidRPr="00112D5F">
              <w:rPr>
                <w:color w:val="000000" w:themeColor="text1"/>
                <w:sz w:val="20"/>
                <w:szCs w:val="20"/>
              </w:rPr>
              <w:fldChar w:fldCharType="begin" w:fldLock="1"/>
            </w:r>
            <w:r w:rsidR="008B4D0B">
              <w:rPr>
                <w:color w:val="000000" w:themeColor="text1"/>
                <w:sz w:val="20"/>
                <w:szCs w:val="20"/>
              </w:rPr>
              <w:instrText>ADDIN CSL_CITATION {"citationItems":[{"id":"ITEM-1","itemData":{"DOI":"10.1016/S2352-3018(15)00024-7","ISSN":"23523018","abstract":"BACKGROUND: Rwanda has made remarkable progress towards HIV care programme with strong national monitoring and surveillance. Knowledge about the HIV care continuum model can help to improve outcomes in patients. We aimed to quantify engagement, mortality, and loss to follow-up of patients along the HIV care continuum in Rwanda in 2013. METHODS: We collated data for individuals with HIV who participated in the national HIV care programme in Rwanda and calculated the numbers of individuals or proportions of the population at each stage and the transition probabilities between stages of the continuum. We calculated factors associated with mortality and loss to follow-up by fitting Cox proportional hazards regression models, one for the stage of care before antiretroviral therapy (ART) initiation and another for stage of care during ART. FINDINGS: An estimated 204 899 individuals were HIV-positive in Rwanda in 2013. Among these individuals, 176 174 (86%) were in pre-ART or in ART stages and 129 405 (63%) had initiated ART by the end of 2013. 82·1% (95% CI 80·7-83·4) of patients with viral load measurements (n=3066) were virally suppressed (translating to 106 371 individuals or 52% of HIV-positive individuals). Mortality was 0·6% (304 patients) in the pre-ART stage and 1·0% (1255 patients) in the ART stage; 2247 (3·9%) patients were lost to follow-up in pre-ART stage and 2847 (2·2%) lost in ART stage. Risk factors for mortality among patients in both pre-ART and ART stages included older age, CD4 cell count at initiation, and male sex. Risk factors for loss to follow-up among patients at both pre-ART and ART stages included younger age (age 10-29 year) and male sex. s: The HIV care continuum is a multitrajectory pathway in which patients have many opportunities to leave and re-engage in care. Knowledge about the points at which individuals are most likely to leave care could improve large-scale delivery of HIV programmes. FUNDING: The Bill &amp; Melinda Gates Foundation.","author":[{"dropping-particle":"","family":"Nsanzimana","given":"Sabin","non-dropping-particle":"","parse-names":false,"suffix":""},{"dropping-particle":"","family":"Kanters","given":"Steve","non-dropping-particle":"","parse-names":false,"suffix":""},{"dropping-particle":"","family":"Remera","given":"Eric","non-dropping-particle":"","parse-names":false,"suffix":""},{"dropping-particle":"","family":"Forrest","given":"Jamie I.","non-dropping-particle":"","parse-names":false,"suffix":""},{"dropping-particle":"","family":"Binagwaho","given":"Agnes","non-dropping-particle":"","parse-names":false,"suffix":""},{"dropping-particle":"","family":"Condo","given":"Jeanine","non-dropping-particle":"","parse-names":false,"suffix":""},{"dropping-particle":"","family":"Mills","given":"Edward J.","non-dropping-particle":"","parse-names":false,"suffix":""}],"container-title":"The Lancet HIV","id":"ITEM-1","issue":"5","issued":{"date-parts":[["2015"]]},"page":"e208-e215","publisher":"Elsevier Ltd","title":"HIV care continuum in Rwanda: A cross-sectional analysis of the national programme","type":"article-journal","volume":"2"},"uris":["http://www.mendeley.com/documents/?uuid=a4f00708-4944-40e8-a115-b5bdefcc23d9","http://www.mendeley.com/documents/?uuid=4b32ede6-9603-4447-abeb-72941f0f711d"]}],"mendeley":{"formattedCitation":"&lt;sup&gt;5&lt;/sup&gt;","plainTextFormattedCitation":"5","previouslyFormattedCitation":"&lt;sup&gt;5&lt;/sup&gt;"},"properties":{"noteIndex":0},"schema":"https://github.com/citation-style-language/schema/raw/master/csl-citation.json"}</w:instrText>
            </w:r>
            <w:r w:rsidR="00C12CC3" w:rsidRPr="00112D5F">
              <w:rPr>
                <w:color w:val="000000" w:themeColor="text1"/>
                <w:sz w:val="20"/>
                <w:szCs w:val="20"/>
              </w:rPr>
              <w:fldChar w:fldCharType="separate"/>
            </w:r>
            <w:r w:rsidR="001B1E53" w:rsidRPr="001B1E53">
              <w:rPr>
                <w:noProof/>
                <w:color w:val="000000" w:themeColor="text1"/>
                <w:sz w:val="20"/>
                <w:szCs w:val="20"/>
                <w:vertAlign w:val="superscript"/>
              </w:rPr>
              <w:t>5</w:t>
            </w:r>
            <w:r w:rsidR="00C12CC3" w:rsidRPr="00112D5F">
              <w:rPr>
                <w:color w:val="000000" w:themeColor="text1"/>
                <w:sz w:val="20"/>
                <w:szCs w:val="20"/>
              </w:rPr>
              <w:fldChar w:fldCharType="end"/>
            </w:r>
            <w:r w:rsidR="00C12CC3" w:rsidRPr="00112D5F">
              <w:rPr>
                <w:color w:val="000000" w:themeColor="text1"/>
                <w:sz w:val="20"/>
                <w:szCs w:val="20"/>
              </w:rPr>
              <w:t xml:space="preserve"> </w:t>
            </w:r>
          </w:p>
          <w:p w14:paraId="51034023" w14:textId="2CFCDB34" w:rsidR="00A9630B" w:rsidRPr="00112D5F" w:rsidRDefault="00A9630B" w:rsidP="00550A15">
            <w:pPr>
              <w:jc w:val="both"/>
              <w:rPr>
                <w:color w:val="000000" w:themeColor="text1"/>
                <w:sz w:val="20"/>
                <w:szCs w:val="20"/>
                <w:shd w:val="clear" w:color="auto" w:fill="FFFFFF"/>
              </w:rPr>
            </w:pPr>
          </w:p>
        </w:tc>
      </w:tr>
      <w:tr w:rsidR="00C12CC3" w:rsidRPr="00EC05B0" w14:paraId="35DF1B90" w14:textId="04C0581C" w:rsidTr="003060F6">
        <w:trPr>
          <w:trHeight w:val="365"/>
        </w:trPr>
        <w:tc>
          <w:tcPr>
            <w:tcW w:w="1440" w:type="dxa"/>
          </w:tcPr>
          <w:p w14:paraId="34FCA674" w14:textId="5D4C01E6" w:rsidR="00C12CC3" w:rsidRPr="00EC05B0" w:rsidRDefault="00C12CC3" w:rsidP="00122CDD">
            <w:pPr>
              <w:jc w:val="both"/>
              <w:rPr>
                <w:color w:val="000000" w:themeColor="text1"/>
                <w:sz w:val="20"/>
                <w:szCs w:val="20"/>
                <w:shd w:val="clear" w:color="auto" w:fill="FFFFFF"/>
              </w:rPr>
            </w:pPr>
            <w:r w:rsidRPr="00EC05B0">
              <w:rPr>
                <w:color w:val="000000" w:themeColor="text1"/>
                <w:sz w:val="20"/>
                <w:szCs w:val="20"/>
                <w:shd w:val="clear" w:color="auto" w:fill="FFFFFF"/>
              </w:rPr>
              <w:t>Risk</w:t>
            </w:r>
            <w:r w:rsidR="004523BF">
              <w:rPr>
                <w:color w:val="000000" w:themeColor="text1"/>
                <w:sz w:val="20"/>
                <w:szCs w:val="20"/>
                <w:shd w:val="clear" w:color="auto" w:fill="FFFFFF"/>
              </w:rPr>
              <w:t xml:space="preserve"> of HIV acquisition</w:t>
            </w:r>
          </w:p>
        </w:tc>
        <w:tc>
          <w:tcPr>
            <w:tcW w:w="4202" w:type="dxa"/>
          </w:tcPr>
          <w:p w14:paraId="5DAD6783" w14:textId="28D43CB4" w:rsidR="00A9630B" w:rsidRDefault="00A9630B" w:rsidP="001D10D4">
            <w:pPr>
              <w:jc w:val="both"/>
              <w:rPr>
                <w:color w:val="000000" w:themeColor="text1"/>
                <w:sz w:val="20"/>
                <w:szCs w:val="20"/>
                <w:shd w:val="clear" w:color="auto" w:fill="FFFFFF"/>
              </w:rPr>
            </w:pPr>
            <w:r>
              <w:rPr>
                <w:color w:val="000000" w:themeColor="text1"/>
                <w:sz w:val="20"/>
                <w:szCs w:val="20"/>
                <w:shd w:val="clear" w:color="auto" w:fill="FFFFFF"/>
              </w:rPr>
              <w:t xml:space="preserve">Modeled as </w:t>
            </w:r>
            <w:r w:rsidR="00C12CC3" w:rsidRPr="00EC05B0">
              <w:rPr>
                <w:color w:val="000000" w:themeColor="text1"/>
                <w:sz w:val="20"/>
                <w:szCs w:val="20"/>
                <w:shd w:val="clear" w:color="auto" w:fill="FFFFFF"/>
              </w:rPr>
              <w:t>high</w:t>
            </w:r>
            <w:r>
              <w:rPr>
                <w:color w:val="000000" w:themeColor="text1"/>
                <w:sz w:val="20"/>
                <w:szCs w:val="20"/>
                <w:shd w:val="clear" w:color="auto" w:fill="FFFFFF"/>
              </w:rPr>
              <w:t>-</w:t>
            </w:r>
            <w:r w:rsidR="00C12CC3" w:rsidRPr="00EC05B0">
              <w:rPr>
                <w:color w:val="000000" w:themeColor="text1"/>
                <w:sz w:val="20"/>
                <w:szCs w:val="20"/>
                <w:shd w:val="clear" w:color="auto" w:fill="FFFFFF"/>
              </w:rPr>
              <w:t xml:space="preserve"> and </w:t>
            </w:r>
            <w:r w:rsidRPr="00EC05B0">
              <w:rPr>
                <w:color w:val="000000" w:themeColor="text1"/>
                <w:sz w:val="20"/>
                <w:szCs w:val="20"/>
                <w:shd w:val="clear" w:color="auto" w:fill="FFFFFF"/>
              </w:rPr>
              <w:t>low</w:t>
            </w:r>
            <w:r>
              <w:rPr>
                <w:color w:val="000000" w:themeColor="text1"/>
                <w:sz w:val="20"/>
                <w:szCs w:val="20"/>
                <w:shd w:val="clear" w:color="auto" w:fill="FFFFFF"/>
              </w:rPr>
              <w:t>-</w:t>
            </w:r>
            <w:r w:rsidR="00C12CC3" w:rsidRPr="00EC05B0">
              <w:rPr>
                <w:color w:val="000000" w:themeColor="text1"/>
                <w:sz w:val="20"/>
                <w:szCs w:val="20"/>
                <w:shd w:val="clear" w:color="auto" w:fill="FFFFFF"/>
              </w:rPr>
              <w:t xml:space="preserve">risk. </w:t>
            </w:r>
          </w:p>
          <w:p w14:paraId="38000639" w14:textId="77777777" w:rsidR="00A9630B" w:rsidRDefault="00A9630B" w:rsidP="00527179">
            <w:pPr>
              <w:jc w:val="both"/>
              <w:rPr>
                <w:color w:val="000000" w:themeColor="text1"/>
                <w:sz w:val="20"/>
                <w:szCs w:val="20"/>
                <w:shd w:val="clear" w:color="auto" w:fill="FFFFFF"/>
              </w:rPr>
            </w:pPr>
          </w:p>
          <w:p w14:paraId="04F28DD4" w14:textId="63C8D7DF" w:rsidR="00F03FC9" w:rsidRDefault="00C12CC3" w:rsidP="00527179">
            <w:pPr>
              <w:jc w:val="both"/>
              <w:rPr>
                <w:color w:val="000000" w:themeColor="text1"/>
                <w:sz w:val="20"/>
                <w:szCs w:val="20"/>
                <w:shd w:val="clear" w:color="auto" w:fill="FFFFFF"/>
              </w:rPr>
            </w:pPr>
            <w:r w:rsidRPr="00EC05B0">
              <w:rPr>
                <w:color w:val="000000" w:themeColor="text1"/>
                <w:sz w:val="20"/>
                <w:szCs w:val="20"/>
                <w:shd w:val="clear" w:color="auto" w:fill="FFFFFF"/>
              </w:rPr>
              <w:t xml:space="preserve">Among women, the high-risk sub-population </w:t>
            </w:r>
            <w:r w:rsidR="00A9630B">
              <w:rPr>
                <w:color w:val="000000" w:themeColor="text1"/>
                <w:sz w:val="20"/>
                <w:szCs w:val="20"/>
                <w:shd w:val="clear" w:color="auto" w:fill="FFFFFF"/>
              </w:rPr>
              <w:t>represents female sex workers</w:t>
            </w:r>
            <w:r w:rsidR="00F03FC9">
              <w:rPr>
                <w:color w:val="000000" w:themeColor="text1"/>
                <w:sz w:val="20"/>
                <w:szCs w:val="20"/>
                <w:shd w:val="clear" w:color="auto" w:fill="FFFFFF"/>
              </w:rPr>
              <w:t>. M</w:t>
            </w:r>
            <w:r w:rsidRPr="00EC05B0">
              <w:rPr>
                <w:color w:val="000000" w:themeColor="text1"/>
                <w:sz w:val="20"/>
                <w:szCs w:val="20"/>
                <w:shd w:val="clear" w:color="auto" w:fill="FFFFFF"/>
              </w:rPr>
              <w:t xml:space="preserve">en </w:t>
            </w:r>
            <w:r w:rsidR="00F03FC9">
              <w:rPr>
                <w:color w:val="000000" w:themeColor="text1"/>
                <w:sz w:val="20"/>
                <w:szCs w:val="20"/>
                <w:shd w:val="clear" w:color="auto" w:fill="FFFFFF"/>
              </w:rPr>
              <w:t xml:space="preserve">are modeled as low-risk only. </w:t>
            </w:r>
          </w:p>
          <w:p w14:paraId="34838DAE" w14:textId="7682E293" w:rsidR="00C12CC3" w:rsidRPr="00EC05B0" w:rsidRDefault="00C12CC3" w:rsidP="00527179">
            <w:pPr>
              <w:jc w:val="both"/>
              <w:rPr>
                <w:color w:val="000000" w:themeColor="text1"/>
                <w:sz w:val="20"/>
                <w:szCs w:val="20"/>
                <w:shd w:val="clear" w:color="auto" w:fill="FFFFFF"/>
              </w:rPr>
            </w:pPr>
            <w:r w:rsidRPr="00EC05B0">
              <w:rPr>
                <w:color w:val="000000" w:themeColor="text1"/>
                <w:sz w:val="20"/>
                <w:szCs w:val="20"/>
                <w:shd w:val="clear" w:color="auto" w:fill="FFFFFF"/>
              </w:rPr>
              <w:t xml:space="preserve"> </w:t>
            </w:r>
          </w:p>
        </w:tc>
        <w:tc>
          <w:tcPr>
            <w:tcW w:w="7498" w:type="dxa"/>
          </w:tcPr>
          <w:p w14:paraId="5A46F2B5" w14:textId="01503F7E" w:rsidR="00F03FC9" w:rsidRDefault="00F03FC9" w:rsidP="00E71320">
            <w:pPr>
              <w:jc w:val="both"/>
              <w:rPr>
                <w:color w:val="000000" w:themeColor="text1"/>
                <w:sz w:val="20"/>
                <w:szCs w:val="20"/>
                <w:shd w:val="clear" w:color="auto" w:fill="FFFFFF"/>
              </w:rPr>
            </w:pPr>
            <w:r>
              <w:rPr>
                <w:color w:val="000000" w:themeColor="text1"/>
                <w:sz w:val="20"/>
                <w:szCs w:val="20"/>
                <w:u w:val="single"/>
                <w:shd w:val="clear" w:color="auto" w:fill="FFFFFF"/>
              </w:rPr>
              <w:t>HIV prevalence</w:t>
            </w:r>
            <w:r w:rsidR="00DC759C">
              <w:rPr>
                <w:color w:val="000000" w:themeColor="text1"/>
                <w:sz w:val="20"/>
                <w:szCs w:val="20"/>
                <w:u w:val="single"/>
                <w:shd w:val="clear" w:color="auto" w:fill="FFFFFF"/>
              </w:rPr>
              <w:t xml:space="preserve">. </w:t>
            </w:r>
            <w:r w:rsidRPr="00EC05B0">
              <w:rPr>
                <w:color w:val="000000" w:themeColor="text1"/>
                <w:sz w:val="20"/>
                <w:szCs w:val="20"/>
                <w:shd w:val="clear" w:color="auto" w:fill="FFFFFF"/>
              </w:rPr>
              <w:t xml:space="preserve">HIV prevalence </w:t>
            </w:r>
            <w:r>
              <w:rPr>
                <w:color w:val="000000" w:themeColor="text1"/>
                <w:sz w:val="20"/>
                <w:szCs w:val="20"/>
                <w:shd w:val="clear" w:color="auto" w:fill="FFFFFF"/>
              </w:rPr>
              <w:t xml:space="preserve">varies by sub-population, with female sex workers having HIV prevalence of </w:t>
            </w:r>
            <w:r w:rsidRPr="00EC05B0">
              <w:rPr>
                <w:color w:val="000000" w:themeColor="text1"/>
                <w:sz w:val="20"/>
                <w:szCs w:val="20"/>
                <w:shd w:val="clear" w:color="auto" w:fill="FFFFFF"/>
              </w:rPr>
              <w:t>51% in 2010</w:t>
            </w:r>
            <w:r w:rsidRPr="00EC05B0">
              <w:rPr>
                <w:color w:val="000000" w:themeColor="text1"/>
                <w:sz w:val="20"/>
                <w:szCs w:val="20"/>
                <w:shd w:val="clear" w:color="auto" w:fill="FFFFFF"/>
              </w:rPr>
              <w:fldChar w:fldCharType="begin" w:fldLock="1"/>
            </w:r>
            <w:r w:rsidR="007527CC">
              <w:rPr>
                <w:color w:val="000000" w:themeColor="text1"/>
                <w:sz w:val="20"/>
                <w:szCs w:val="20"/>
                <w:shd w:val="clear" w:color="auto" w:fill="FFFFFF"/>
              </w:rPr>
              <w:instrText>ADDIN CSL_CITATION {"citationItems":[{"id":"ITEM-1","itemData":{"DOI":"10.1177/0956462416688137","ISBN":"1758-1052\r0956-4624","ISSN":"0956-4624","PMID":"28081683","abstract":"Human immunodeficiency virus (HIV) prevalence is often high among female sex workers (FSWs) in sub-Saharan Africa. Understanding the dynamics of HIV infection in this key population is critical to developing appropriate prevention strategies. We aimed to describe the prevalence and associated risk factors among a sample of FSWs in Rwanda from a survey conducted in 2010. A cross-sectional biological and behavioral survey was conducted among FSWs in Rwanda. Time–location sampling was used for participant recruitment from 4 to 18 February 2010. HIV testing was done using HIV rapid diagnostic tests (RDT) as per Rwandan national guidelines at the time of the survey. Elisa tests were simul-taneously done on all samples tested HIV-positive on RDT. Proportions were used for sample description; multivariable logistic regression model was performed to analyze factors associated with HIV infection. Of 1338 women included in the study, 1112 consented to HIV testing, and the overall HIV prevalence was 51.0%. Sixty percent had been engaged in sex work for less than five years and 80% were street based. In multivariable logistic regression, HIV prevalence was higher in FSWs 25 years or older (adjusted odds ratio [aOR] ¼ 1.83, 95% [confidence interval (CI): 1.42–2.37]), FSWs with consistent condom use in the last 30 days (aOR ¼ 1.39, [95% CI: 1.05–1.82]), and FSWs experiencing at least one STI symptom in the last 12 months (aOR ¼ 1.74 [95% CI: 1.34–2.26]). There was an inverse relationship between HIV prevalence and comprehensive HIV knowledge (aOR ¼ 0.65, [95% CI: 0.48–0.88]). HIV prevalence was high among a sample of FSWs in Rwanda, and successful prevention strategies should focus on HIV education, treatment of sexually transmitted infections, and proper and consistent condom use using an outreach approach.","author":[{"dropping-particle":"","family":"Mutagoma","given":"Mwumvaneza","non-dropping-particle":"","parse-names":false,"suffix":""},{"dropping-particle":"","family":"Samuel","given":"Malamba S","non-dropping-particle":"","parse-names":false,"suffix":""},{"dropping-particle":"","family":"Kayitesi","given":"Catherine","non-dropping-particle":"","parse-names":false,"suffix":""},{"dropping-particle":"","family":"Gasasira","given":"Antoine R","non-dropping-particle":"","parse-names":false,"suffix":""},{"dropping-particle":"","family":"Chitou","given":"Bassirou","non-dropping-particle":"","parse-names":false,"suffix":""},{"dropping-particle":"","family":"Boer","given":"Kimberly","non-dropping-particle":"","parse-names":false,"suffix":""},{"dropping-particle":"","family":"Hedt-Gauthier","given":"Bethany","non-dropping-particle":"","parse-names":false,"suffix":""},{"dropping-particle":"","family":"Gupta","given":"Neil","non-dropping-particle":"","parse-names":false,"suffix":""},{"dropping-particle":"","family":"Ntaganira","given":"Joseph","non-dropping-particle":"","parse-names":false,"suffix":""},{"dropping-particle":"","family":"Nsanzimana","given":"Sabin","non-dropping-particle":"","parse-names":false,"suffix":""}],"container-title":"International Journal of STD &amp; AIDS","id":"ITEM-1","issue":"11","issued":{"date-parts":[["2017"]]},"page":"095646241668813","title":"High HIV prevalence and associated risk factors among female sex workers in Rwanda","type":"article-journal","volume":"28"},"uris":["http://www.mendeley.com/documents/?uuid=b80ae1e5-d0ad-4bd2-a481-b279ac6f78f5","http://www.mendeley.com/documents/?uuid=1d445d5e-7cdf-4816-9c6d-b9b931907f03","http://www.mendeley.com/documents/?uuid=4715172e-c40c-464b-a372-2f304b0a43d8"]},{"id":"ITEM-2","itemData":{"DOI":"10.1177/0956462418785297","ISSN":"17581052","author":[{"dropping-particle":"","family":"Mutagoma","given":"Mwumvaneza","non-dropping-particle":"","parse-names":false,"suffix":""},{"dropping-particle":"","family":"Nyirazinyoye","given":"Laetitia","non-dropping-particle":"","parse-names":false,"suffix":""},{"dropping-particle":"","family":"Riedel","given":"David J","non-dropping-particle":"","parse-names":false,"suffix":""},{"dropping-particle":"","family":"Ntaganira","given":"Joseph","non-dropping-particle":"","parse-names":false,"suffix":""}],"container-title":"International Journal of STD &amp; AIDS","id":"ITEM-2","issue":"0","issued":{"date-parts":[["2018"]]},"page":"1-8","title":"Sexual risk behaviors and practices of female sex workers in Rwanda in over a decade , 2006 – 2015","type":"article-journal","volume":"1"},"uris":["http://www.mendeley.com/documents/?uuid=3eb5fd6e-1714-4a6e-953a-91bdfad14429","http://www.mendeley.com/documents/?uuid=0cfef39e-0d74-42c4-a237-b63e7c96fa67","http://www.mendeley.com/documents/?uuid=2e161a2b-2240-4429-b808-e34024f980aa"]}],"mendeley":{"formattedCitation":"&lt;sup&gt;26,27&lt;/sup&gt;","plainTextFormattedCitation":"26,27","previouslyFormattedCitation":"&lt;sup&gt;27,28&lt;/sup&gt;"},"properties":{"noteIndex":0},"schema":"https://github.com/citation-style-language/schema/raw/master/csl-citation.json"}</w:instrText>
            </w:r>
            <w:r w:rsidRPr="00EC05B0">
              <w:rPr>
                <w:color w:val="000000" w:themeColor="text1"/>
                <w:sz w:val="20"/>
                <w:szCs w:val="20"/>
                <w:shd w:val="clear" w:color="auto" w:fill="FFFFFF"/>
              </w:rPr>
              <w:fldChar w:fldCharType="separate"/>
            </w:r>
            <w:r w:rsidR="007527CC" w:rsidRPr="007527CC">
              <w:rPr>
                <w:noProof/>
                <w:color w:val="000000" w:themeColor="text1"/>
                <w:sz w:val="20"/>
                <w:szCs w:val="20"/>
                <w:shd w:val="clear" w:color="auto" w:fill="FFFFFF"/>
                <w:vertAlign w:val="superscript"/>
              </w:rPr>
              <w:t>26,27</w:t>
            </w:r>
            <w:r w:rsidRPr="00EC05B0">
              <w:rPr>
                <w:color w:val="000000" w:themeColor="text1"/>
                <w:sz w:val="20"/>
                <w:szCs w:val="20"/>
                <w:shd w:val="clear" w:color="auto" w:fill="FFFFFF"/>
              </w:rPr>
              <w:fldChar w:fldCharType="end"/>
            </w:r>
            <w:r w:rsidRPr="00EC05B0">
              <w:rPr>
                <w:color w:val="000000" w:themeColor="text1"/>
                <w:sz w:val="20"/>
                <w:szCs w:val="20"/>
                <w:shd w:val="clear" w:color="auto" w:fill="FFFFFF"/>
              </w:rPr>
              <w:t xml:space="preserve"> and 45.8% in 2015</w:t>
            </w:r>
            <w:r w:rsidRPr="00EC05B0">
              <w:rPr>
                <w:color w:val="000000" w:themeColor="text1"/>
                <w:sz w:val="20"/>
                <w:szCs w:val="20"/>
                <w:shd w:val="clear" w:color="auto" w:fill="FFFFFF"/>
              </w:rPr>
              <w:fldChar w:fldCharType="begin" w:fldLock="1"/>
            </w:r>
            <w:r w:rsidR="007527CC">
              <w:rPr>
                <w:color w:val="000000" w:themeColor="text1"/>
                <w:sz w:val="20"/>
                <w:szCs w:val="20"/>
                <w:shd w:val="clear" w:color="auto" w:fill="FFFFFF"/>
              </w:rPr>
              <w:instrText>ADDIN CSL_CITATION {"citationItems":[{"id":"ITEM-1","itemData":{"author":[{"dropping-particle":"","family":"PEPFAR","given":"","non-dropping-particle":"","parse-names":false,"suffix":""}],"id":"ITEM-1","issued":{"date-parts":[["2018"]]},"title":"Rwanda Country Operational Plan (COP/ROP) 2018 Strategic Direction Summary","type":"report"},"uris":["http://www.mendeley.com/documents/?uuid=1f1b23bb-ec0f-4d61-89e2-b85822558dd7","http://www.mendeley.com/documents/?uuid=c6947b2c-d27e-4c47-a7cd-b4c65a0bbbdd","http://www.mendeley.com/documents/?uuid=51ffbc46-2adf-40c3-b128-a88662bd6bd2"]}],"mendeley":{"formattedCitation":"&lt;sup&gt;28&lt;/sup&gt;","plainTextFormattedCitation":"28","previouslyFormattedCitation":"&lt;sup&gt;29&lt;/sup&gt;"},"properties":{"noteIndex":0},"schema":"https://github.com/citation-style-language/schema/raw/master/csl-citation.json"}</w:instrText>
            </w:r>
            <w:r w:rsidRPr="00EC05B0">
              <w:rPr>
                <w:color w:val="000000" w:themeColor="text1"/>
                <w:sz w:val="20"/>
                <w:szCs w:val="20"/>
                <w:shd w:val="clear" w:color="auto" w:fill="FFFFFF"/>
              </w:rPr>
              <w:fldChar w:fldCharType="separate"/>
            </w:r>
            <w:r w:rsidR="007527CC" w:rsidRPr="007527CC">
              <w:rPr>
                <w:noProof/>
                <w:color w:val="000000" w:themeColor="text1"/>
                <w:sz w:val="20"/>
                <w:szCs w:val="20"/>
                <w:shd w:val="clear" w:color="auto" w:fill="FFFFFF"/>
                <w:vertAlign w:val="superscript"/>
              </w:rPr>
              <w:t>28</w:t>
            </w:r>
            <w:r w:rsidRPr="00EC05B0">
              <w:rPr>
                <w:color w:val="000000" w:themeColor="text1"/>
                <w:sz w:val="20"/>
                <w:szCs w:val="20"/>
                <w:shd w:val="clear" w:color="auto" w:fill="FFFFFF"/>
              </w:rPr>
              <w:fldChar w:fldCharType="end"/>
            </w:r>
            <w:r w:rsidRPr="00EC05B0">
              <w:rPr>
                <w:color w:val="000000" w:themeColor="text1"/>
                <w:sz w:val="20"/>
                <w:szCs w:val="20"/>
                <w:shd w:val="clear" w:color="auto" w:fill="FFFFFF"/>
              </w:rPr>
              <w:t xml:space="preserve"> compared to 3.6% for women in the </w:t>
            </w:r>
            <w:r w:rsidR="00A6018A">
              <w:rPr>
                <w:color w:val="000000" w:themeColor="text1"/>
                <w:sz w:val="20"/>
                <w:szCs w:val="20"/>
                <w:shd w:val="clear" w:color="auto" w:fill="FFFFFF"/>
              </w:rPr>
              <w:t>low-risk</w:t>
            </w:r>
            <w:r w:rsidRPr="00EC05B0">
              <w:rPr>
                <w:color w:val="000000" w:themeColor="text1"/>
                <w:sz w:val="20"/>
                <w:szCs w:val="20"/>
                <w:shd w:val="clear" w:color="auto" w:fill="FFFFFF"/>
              </w:rPr>
              <w:t xml:space="preserve"> population (15-49 years).</w:t>
            </w:r>
            <w:r w:rsidRPr="00EC05B0">
              <w:rPr>
                <w:color w:val="000000" w:themeColor="text1"/>
                <w:sz w:val="20"/>
                <w:szCs w:val="20"/>
                <w:shd w:val="clear" w:color="auto" w:fill="FFFFFF"/>
              </w:rPr>
              <w:fldChar w:fldCharType="begin" w:fldLock="1"/>
            </w:r>
            <w:r w:rsidR="007527CC">
              <w:rPr>
                <w:color w:val="000000" w:themeColor="text1"/>
                <w:sz w:val="20"/>
                <w:szCs w:val="20"/>
                <w:shd w:val="clear" w:color="auto" w:fill="FFFFFF"/>
              </w:rPr>
              <w:instrText>ADDIN CSL_CITATION {"citationItems":[{"id":"ITEM-1","itemData":{"DOI":"March, 2016","ISBN":"9789997743091","author":[{"dropping-particle":"","family":"National Institute of Statistics of Rwanda (NISR) [Rwanda] Ministry of Health (MOH) [Rwanda] and ICF International.","given":"","non-dropping-particle":"","parse-names":false,"suffix":""}],"container-title":"Rwanda Mininstry of Health","id":"ITEM-1","issued":{"date-parts":[["2015"]]},"number-of-pages":"640","publisher-place":"Rockville, Maryland, USA: NISR, MOH, and ICF International.","title":"Rwanda Demographic and Health Survey 2014-15","type":"report"},"uris":["http://www.mendeley.com/documents/?uuid=1cd2afa0-8858-4818-a7e0-ec39e8a650ac","http://www.mendeley.com/documents/?uuid=92979b8f-5a59-4ac9-a743-4a0cdca47a78","http://www.mendeley.com/documents/?uuid=b26e7148-b697-4212-bb43-79b0366d0d6e"]}],"mendeley":{"formattedCitation":"&lt;sup&gt;18&lt;/sup&gt;","plainTextFormattedCitation":"18","previouslyFormattedCitation":"&lt;sup&gt;19&lt;/sup&gt;"},"properties":{"noteIndex":0},"schema":"https://github.com/citation-style-language/schema/raw/master/csl-citation.json"}</w:instrText>
            </w:r>
            <w:r w:rsidRPr="00EC05B0">
              <w:rPr>
                <w:color w:val="000000" w:themeColor="text1"/>
                <w:sz w:val="20"/>
                <w:szCs w:val="20"/>
                <w:shd w:val="clear" w:color="auto" w:fill="FFFFFF"/>
              </w:rPr>
              <w:fldChar w:fldCharType="separate"/>
            </w:r>
            <w:r w:rsidR="007527CC" w:rsidRPr="007527CC">
              <w:rPr>
                <w:noProof/>
                <w:color w:val="000000" w:themeColor="text1"/>
                <w:sz w:val="20"/>
                <w:szCs w:val="20"/>
                <w:shd w:val="clear" w:color="auto" w:fill="FFFFFF"/>
                <w:vertAlign w:val="superscript"/>
              </w:rPr>
              <w:t>18</w:t>
            </w:r>
            <w:r w:rsidRPr="00EC05B0">
              <w:rPr>
                <w:color w:val="000000" w:themeColor="text1"/>
                <w:sz w:val="20"/>
                <w:szCs w:val="20"/>
                <w:shd w:val="clear" w:color="auto" w:fill="FFFFFF"/>
              </w:rPr>
              <w:fldChar w:fldCharType="end"/>
            </w:r>
            <w:r w:rsidRPr="00EC05B0">
              <w:rPr>
                <w:color w:val="000000" w:themeColor="text1"/>
                <w:sz w:val="20"/>
                <w:szCs w:val="20"/>
                <w:shd w:val="clear" w:color="auto" w:fill="FFFFFF"/>
              </w:rPr>
              <w:t xml:space="preserve"> </w:t>
            </w:r>
            <w:r w:rsidR="001A68F4" w:rsidRPr="00212455">
              <w:rPr>
                <w:color w:val="000000" w:themeColor="text1"/>
                <w:sz w:val="20"/>
                <w:szCs w:val="20"/>
                <w:shd w:val="clear" w:color="auto" w:fill="FFFFFF"/>
              </w:rPr>
              <w:t>Men are modeled as low-</w:t>
            </w:r>
            <w:r w:rsidR="00212455">
              <w:rPr>
                <w:color w:val="000000" w:themeColor="text1"/>
                <w:sz w:val="20"/>
                <w:szCs w:val="20"/>
                <w:shd w:val="clear" w:color="auto" w:fill="FFFFFF"/>
              </w:rPr>
              <w:t>r</w:t>
            </w:r>
            <w:r w:rsidR="001A68F4" w:rsidRPr="00212455">
              <w:rPr>
                <w:color w:val="000000" w:themeColor="text1"/>
                <w:sz w:val="20"/>
                <w:szCs w:val="20"/>
                <w:shd w:val="clear" w:color="auto" w:fill="FFFFFF"/>
              </w:rPr>
              <w:t>isk only since HIV prevalence for low- vs hi</w:t>
            </w:r>
            <w:r w:rsidR="001A68F4" w:rsidRPr="00212455">
              <w:rPr>
                <w:sz w:val="20"/>
                <w:szCs w:val="20"/>
              </w:rPr>
              <w:t xml:space="preserve">gh-risk </w:t>
            </w:r>
            <w:r w:rsidR="00212455" w:rsidRPr="00212455">
              <w:rPr>
                <w:sz w:val="20"/>
                <w:szCs w:val="20"/>
              </w:rPr>
              <w:t>men is similar</w:t>
            </w:r>
            <w:r w:rsidR="00A6018A">
              <w:rPr>
                <w:sz w:val="20"/>
                <w:szCs w:val="20"/>
              </w:rPr>
              <w:t xml:space="preserve"> (3% vs 5%)</w:t>
            </w:r>
            <w:r w:rsidR="00212455" w:rsidRPr="00212455">
              <w:rPr>
                <w:sz w:val="20"/>
                <w:szCs w:val="20"/>
              </w:rPr>
              <w:t>.</w:t>
            </w:r>
            <w:r w:rsidR="00A6018A">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Health","id":"ITEM-1","issued":{"date-parts":[["2015"]]},"title":"Demographic and Health Survey, 2015","type":"webpage"},"uris":["http://www.mendeley.com/documents/?uuid=a01ee458-5ceb-42cb-9802-8a0c4cfbc426"]}],"mendeley":{"formattedCitation":"&lt;sup&gt;29&lt;/sup&gt;","plainTextFormattedCitation":"29","previouslyFormattedCitation":"&lt;sup&gt;30&lt;/sup&gt;"},"properties":{"noteIndex":0},"schema":"https://github.com/citation-style-language/schema/raw/master/csl-citation.json"}</w:instrText>
            </w:r>
            <w:r w:rsidR="00A6018A">
              <w:rPr>
                <w:sz w:val="20"/>
                <w:szCs w:val="20"/>
              </w:rPr>
              <w:fldChar w:fldCharType="separate"/>
            </w:r>
            <w:r w:rsidR="007527CC" w:rsidRPr="007527CC">
              <w:rPr>
                <w:noProof/>
                <w:sz w:val="20"/>
                <w:szCs w:val="20"/>
                <w:vertAlign w:val="superscript"/>
              </w:rPr>
              <w:t>29</w:t>
            </w:r>
            <w:r w:rsidR="00A6018A">
              <w:rPr>
                <w:sz w:val="20"/>
                <w:szCs w:val="20"/>
              </w:rPr>
              <w:fldChar w:fldCharType="end"/>
            </w:r>
            <w:r w:rsidR="00E037E8">
              <w:rPr>
                <w:color w:val="000000" w:themeColor="text1"/>
                <w:sz w:val="20"/>
                <w:szCs w:val="20"/>
                <w:shd w:val="clear" w:color="auto" w:fill="FFFFFF"/>
              </w:rPr>
              <w:t xml:space="preserve"> </w:t>
            </w:r>
          </w:p>
          <w:p w14:paraId="37E907CD" w14:textId="77777777" w:rsidR="00F03FC9" w:rsidRDefault="00F03FC9" w:rsidP="00E71320">
            <w:pPr>
              <w:jc w:val="both"/>
              <w:rPr>
                <w:color w:val="000000" w:themeColor="text1"/>
                <w:sz w:val="20"/>
                <w:szCs w:val="20"/>
                <w:shd w:val="clear" w:color="auto" w:fill="FFFFFF"/>
              </w:rPr>
            </w:pPr>
          </w:p>
          <w:p w14:paraId="63EFA426" w14:textId="111F99B2" w:rsidR="00C12CC3" w:rsidRPr="00EC05B0" w:rsidRDefault="00F03FC9" w:rsidP="00E71320">
            <w:pPr>
              <w:jc w:val="both"/>
              <w:rPr>
                <w:color w:val="000000" w:themeColor="text1"/>
                <w:sz w:val="20"/>
                <w:szCs w:val="20"/>
                <w:shd w:val="clear" w:color="auto" w:fill="FFFFFF"/>
              </w:rPr>
            </w:pPr>
            <w:r>
              <w:rPr>
                <w:color w:val="000000" w:themeColor="text1"/>
                <w:sz w:val="20"/>
                <w:szCs w:val="20"/>
                <w:u w:val="single"/>
                <w:shd w:val="clear" w:color="auto" w:fill="FFFFFF"/>
              </w:rPr>
              <w:t>Risk of HIV acquisition</w:t>
            </w:r>
            <w:r w:rsidRPr="00F529C3">
              <w:rPr>
                <w:color w:val="000000" w:themeColor="text1"/>
                <w:sz w:val="20"/>
                <w:szCs w:val="20"/>
                <w:shd w:val="clear" w:color="auto" w:fill="FFFFFF"/>
              </w:rPr>
              <w:t xml:space="preserve">. </w:t>
            </w:r>
            <w:r w:rsidR="00C12CC3" w:rsidRPr="00EC05B0">
              <w:rPr>
                <w:color w:val="000000" w:themeColor="text1"/>
                <w:sz w:val="20"/>
                <w:szCs w:val="20"/>
                <w:shd w:val="clear" w:color="auto" w:fill="FFFFFF"/>
              </w:rPr>
              <w:t xml:space="preserve">The government of Rwanda </w:t>
            </w:r>
            <w:r>
              <w:rPr>
                <w:color w:val="000000" w:themeColor="text1"/>
                <w:sz w:val="20"/>
                <w:szCs w:val="20"/>
                <w:shd w:val="clear" w:color="auto" w:fill="FFFFFF"/>
              </w:rPr>
              <w:t xml:space="preserve">classifies </w:t>
            </w:r>
            <w:r w:rsidR="00C12CC3" w:rsidRPr="00EC05B0">
              <w:rPr>
                <w:color w:val="000000" w:themeColor="text1"/>
                <w:sz w:val="20"/>
                <w:szCs w:val="20"/>
                <w:shd w:val="clear" w:color="auto" w:fill="FFFFFF"/>
              </w:rPr>
              <w:t>female sex workers as a high-risk group</w:t>
            </w:r>
            <w:r>
              <w:rPr>
                <w:color w:val="000000" w:themeColor="text1"/>
                <w:sz w:val="20"/>
                <w:szCs w:val="20"/>
                <w:shd w:val="clear" w:color="auto" w:fill="FFFFFF"/>
              </w:rPr>
              <w:t xml:space="preserve">, given </w:t>
            </w:r>
            <w:r w:rsidR="00C12CC3" w:rsidRPr="00EC05B0">
              <w:rPr>
                <w:color w:val="000000" w:themeColor="text1"/>
                <w:sz w:val="20"/>
                <w:szCs w:val="20"/>
                <w:shd w:val="clear" w:color="auto" w:fill="FFFFFF"/>
              </w:rPr>
              <w:t>high HIV prevalence and low utilization of HIV preventive services.</w:t>
            </w:r>
            <w:r w:rsidR="00C12CC3" w:rsidRPr="00EC05B0">
              <w:rPr>
                <w:color w:val="000000" w:themeColor="text1"/>
                <w:sz w:val="20"/>
                <w:szCs w:val="20"/>
                <w:shd w:val="clear" w:color="auto" w:fill="FFFFFF"/>
              </w:rPr>
              <w:fldChar w:fldCharType="begin" w:fldLock="1"/>
            </w:r>
            <w:r w:rsidR="007527CC">
              <w:rPr>
                <w:color w:val="000000" w:themeColor="text1"/>
                <w:sz w:val="20"/>
                <w:szCs w:val="20"/>
                <w:shd w:val="clear" w:color="auto" w:fill="FFFFFF"/>
              </w:rPr>
              <w:instrText>ADDIN CSL_CITATION {"citationItems":[{"id":"ITEM-1","itemData":{"author":[{"dropping-particle":"","family":"Rwanda Biomedical Center","given":"","non-dropping-particle":"","parse-names":false,"suffix":""}],"id":"ITEM-1","issued":{"date-parts":[["2015"]]},"number-of-pages":"1-29","title":"Republic of Rwanda Ministry of Health NATIONAL HIV / AIDS TARGETS 2018-2020-2030","type":"report"},"uris":["http://www.mendeley.com/documents/?uuid=847b81f8-fcf5-42bb-9079-c11413ba9ee6","http://www.mendeley.com/documents/?uuid=faa482af-dbef-44ce-bbed-4a2183250c3b","http://www.mendeley.com/documents/?uuid=c94c9a17-0c92-4c64-ab05-ddbd817f17ba"]}],"mendeley":{"formattedCitation":"&lt;sup&gt;30&lt;/sup&gt;","plainTextFormattedCitation":"30","previouslyFormattedCitation":"&lt;sup&gt;31&lt;/sup&gt;"},"properties":{"noteIndex":0},"schema":"https://github.com/citation-style-language/schema/raw/master/csl-citation.json"}</w:instrText>
            </w:r>
            <w:r w:rsidR="00C12CC3" w:rsidRPr="00EC05B0">
              <w:rPr>
                <w:color w:val="000000" w:themeColor="text1"/>
                <w:sz w:val="20"/>
                <w:szCs w:val="20"/>
                <w:shd w:val="clear" w:color="auto" w:fill="FFFFFF"/>
              </w:rPr>
              <w:fldChar w:fldCharType="separate"/>
            </w:r>
            <w:r w:rsidR="007527CC" w:rsidRPr="007527CC">
              <w:rPr>
                <w:noProof/>
                <w:color w:val="000000" w:themeColor="text1"/>
                <w:sz w:val="20"/>
                <w:szCs w:val="20"/>
                <w:shd w:val="clear" w:color="auto" w:fill="FFFFFF"/>
                <w:vertAlign w:val="superscript"/>
              </w:rPr>
              <w:t>30</w:t>
            </w:r>
            <w:r w:rsidR="00C12CC3" w:rsidRPr="00EC05B0">
              <w:rPr>
                <w:color w:val="000000" w:themeColor="text1"/>
                <w:sz w:val="20"/>
                <w:szCs w:val="20"/>
                <w:shd w:val="clear" w:color="auto" w:fill="FFFFFF"/>
              </w:rPr>
              <w:fldChar w:fldCharType="end"/>
            </w:r>
            <w:r w:rsidR="00C12CC3" w:rsidRPr="00EC05B0">
              <w:rPr>
                <w:color w:val="000000" w:themeColor="text1"/>
                <w:sz w:val="20"/>
                <w:szCs w:val="20"/>
                <w:shd w:val="clear" w:color="auto" w:fill="FFFFFF"/>
              </w:rPr>
              <w:t xml:space="preserve"> </w:t>
            </w:r>
          </w:p>
          <w:p w14:paraId="7B7943D5" w14:textId="6EFD5087" w:rsidR="00C12CC3" w:rsidRDefault="00C12CC3" w:rsidP="00E71320">
            <w:pPr>
              <w:jc w:val="both"/>
              <w:rPr>
                <w:color w:val="000000" w:themeColor="text1"/>
                <w:sz w:val="20"/>
                <w:szCs w:val="20"/>
                <w:shd w:val="clear" w:color="auto" w:fill="FFFFFF"/>
              </w:rPr>
            </w:pPr>
          </w:p>
          <w:p w14:paraId="116462AA" w14:textId="01C3AEFE" w:rsidR="00C12CC3" w:rsidRPr="00EC05B0" w:rsidRDefault="00F03FC9" w:rsidP="002C3EFA">
            <w:pPr>
              <w:jc w:val="both"/>
              <w:rPr>
                <w:color w:val="000000" w:themeColor="text1"/>
                <w:sz w:val="20"/>
                <w:szCs w:val="20"/>
                <w:shd w:val="clear" w:color="auto" w:fill="FFFFFF"/>
                <w:lang w:eastAsia="ja-JP"/>
              </w:rPr>
            </w:pPr>
            <w:r>
              <w:rPr>
                <w:color w:val="000000" w:themeColor="text1"/>
                <w:sz w:val="20"/>
                <w:szCs w:val="20"/>
                <w:u w:val="single"/>
                <w:shd w:val="clear" w:color="auto" w:fill="FFFFFF"/>
              </w:rPr>
              <w:lastRenderedPageBreak/>
              <w:t>Engagement in HIV care</w:t>
            </w:r>
            <w:r>
              <w:rPr>
                <w:color w:val="000000" w:themeColor="text1"/>
                <w:sz w:val="20"/>
                <w:szCs w:val="20"/>
                <w:shd w:val="clear" w:color="auto" w:fill="FFFFFF"/>
              </w:rPr>
              <w:t xml:space="preserve">. While the percentage </w:t>
            </w:r>
            <w:r w:rsidR="00C12CC3" w:rsidRPr="00EC05B0">
              <w:rPr>
                <w:color w:val="000000" w:themeColor="text1"/>
                <w:sz w:val="20"/>
                <w:szCs w:val="20"/>
                <w:shd w:val="clear" w:color="auto" w:fill="FFFFFF"/>
              </w:rPr>
              <w:t xml:space="preserve">HIV testing </w:t>
            </w:r>
            <w:r>
              <w:rPr>
                <w:color w:val="000000" w:themeColor="text1"/>
                <w:sz w:val="20"/>
                <w:szCs w:val="20"/>
                <w:shd w:val="clear" w:color="auto" w:fill="FFFFFF"/>
              </w:rPr>
              <w:t>is similar among female risk populations</w:t>
            </w:r>
            <w:r w:rsidR="00C12CC3" w:rsidRPr="00EC05B0">
              <w:rPr>
                <w:color w:val="000000" w:themeColor="text1"/>
                <w:sz w:val="20"/>
                <w:szCs w:val="20"/>
                <w:shd w:val="clear" w:color="auto" w:fill="FFFFFF"/>
              </w:rPr>
              <w:t>;</w:t>
            </w:r>
            <w:r w:rsidR="00C12CC3" w:rsidRPr="00EC05B0">
              <w:rPr>
                <w:color w:val="000000" w:themeColor="text1"/>
                <w:sz w:val="20"/>
                <w:szCs w:val="20"/>
                <w:shd w:val="clear" w:color="auto" w:fill="FFFFFF"/>
              </w:rPr>
              <w:fldChar w:fldCharType="begin" w:fldLock="1"/>
            </w:r>
            <w:r w:rsidR="007527CC">
              <w:rPr>
                <w:color w:val="000000" w:themeColor="text1"/>
                <w:sz w:val="20"/>
                <w:szCs w:val="20"/>
                <w:shd w:val="clear" w:color="auto" w:fill="FFFFFF"/>
              </w:rPr>
              <w:instrText>ADDIN CSL_CITATION {"citationItems":[{"id":"ITEM-1","itemData":{"DOI":"10.1177/0956462418817050","ISSN":"17581052","abstract":"Female sex workers (FSWs) were recruited from known hotspots in Kigali, Rwanda, and offered free, anonymous human immunodeficiency virus (HIV) counseling and testing, diagnosis and treatment of sexually transmitted infections (STIs) and long-acting reversible contraception (LARC). From September 2012 to March 2015, 1168 FSWs sought services, including 587 (50%) who were HIV-positive. More than 90% had previously tested for HIV, and 26% who reported previously testing negative had seroconverted. Of the 349 who already knew their HIV-positive status, 74% were on antiretroviral treatment. The prevalence of serologic syphilis was 43% in HIV-positive and 19% in HIV-negative FSWs (p &lt; 0.0001), and Trichomonas vaginalis was found in vaginal wet mounts in 21% of HIV-positive and 13% of HIV-negative FSWs (p &lt; 0.0001). Signs and symptoms of STIs were found in 35% of HIV-positive compared with 21% of HIV-negative FSWs (p &lt; 0.0001). Only one-third reported consistent condom use in the last month. Modern contraceptive use was reported by 43% of HIV-positive and 56% of HIV-negative FSWs (p &lt; 0.0001). Current pregnancy was reported by 4% of HIV-positive and 6% of HIV-negative FSWs (p = 0.0409). Despite Rwanda’s successes with preventing 70% of new infections in the general population through nationwide couples’ testing in antenatal clinics, prevention and timely treatment in key populations including FSWs are lacking. The prevalence of HIV – including many new cases – and STIs among FSWs in Kigali is high and condom and contraceptive use are low. Tailored and integrated HIV/STIs and family planning programs are urgently needed for FSWs.","author":[{"dropping-particle":"","family":"Ingabire","given":"Rosine","non-dropping-particle":"","parse-names":false,"suffix":""},{"dropping-particle":"","family":"Parker","given":"Rachel","non-dropping-particle":"","parse-names":false,"suffix":""},{"dropping-particle":"","family":"Nyombayire","given":"Julien","non-dropping-particle":"","parse-names":false,"suffix":""},{"dropping-particle":"","family":"Ko","given":"Jasmine E.","non-dropping-particle":"","parse-names":false,"suffix":""},{"dropping-particle":"","family":"Mukamuyango","given":"Jeannine","non-dropping-particle":"","parse-names":false,"suffix":""},{"dropping-particle":"","family":"Bizimana","given":"Jean","non-dropping-particle":"","parse-names":false,"suffix":""},{"dropping-particle":"","family":"Price","given":"Matt A.","non-dropping-particle":"","parse-names":false,"suffix":""},{"dropping-particle":"","family":"Laufer","given":"Dagna","non-dropping-particle":"","parse-names":false,"suffix":""},{"dropping-particle":"","family":"Tichacek","given":"Amanda","non-dropping-particle":"","parse-names":false,"suffix":""},{"dropping-particle":"","family":"Wall","given":"Kristin","non-dropping-particle":"","parse-names":false,"suffix":""},{"dropping-particle":"","family":"Allen","given":"Susan","non-dropping-particle":"","parse-names":false,"suffix":""},{"dropping-particle":"","family":"Karita","given":"Etienne","non-dropping-particle":"","parse-names":false,"suffix":""}],"container-title":"International Journal of STD and AIDS","id":"ITEM-1","issued":{"date-parts":[["2019"]]},"title":"Female sex workers in Kigali, Rwanda: a key population at risk of HIV, sexually transmitted infections, and unplanned pregnancy","type":"article-journal"},"uris":["http://www.mendeley.com/documents/?uuid=954ef73e-f70f-47fb-a6b4-ffe1d746160f","http://www.mendeley.com/documents/?uuid=6c83df41-36e3-4396-9191-e0bc69da4e06"]}],"mendeley":{"formattedCitation":"&lt;sup&gt;31&lt;/sup&gt;","plainTextFormattedCitation":"31","previouslyFormattedCitation":"&lt;sup&gt;32&lt;/sup&gt;"},"properties":{"noteIndex":0},"schema":"https://github.com/citation-style-language/schema/raw/master/csl-citation.json"}</w:instrText>
            </w:r>
            <w:r w:rsidR="00C12CC3" w:rsidRPr="00EC05B0">
              <w:rPr>
                <w:color w:val="000000" w:themeColor="text1"/>
                <w:sz w:val="20"/>
                <w:szCs w:val="20"/>
                <w:shd w:val="clear" w:color="auto" w:fill="FFFFFF"/>
              </w:rPr>
              <w:fldChar w:fldCharType="separate"/>
            </w:r>
            <w:r w:rsidR="007527CC" w:rsidRPr="007527CC">
              <w:rPr>
                <w:noProof/>
                <w:color w:val="000000" w:themeColor="text1"/>
                <w:sz w:val="20"/>
                <w:szCs w:val="20"/>
                <w:shd w:val="clear" w:color="auto" w:fill="FFFFFF"/>
                <w:vertAlign w:val="superscript"/>
              </w:rPr>
              <w:t>31</w:t>
            </w:r>
            <w:r w:rsidR="00C12CC3" w:rsidRPr="00EC05B0">
              <w:rPr>
                <w:color w:val="000000" w:themeColor="text1"/>
                <w:sz w:val="20"/>
                <w:szCs w:val="20"/>
                <w:shd w:val="clear" w:color="auto" w:fill="FFFFFF"/>
              </w:rPr>
              <w:fldChar w:fldCharType="end"/>
            </w:r>
            <w:r w:rsidR="00C12CC3" w:rsidRPr="00EC05B0">
              <w:rPr>
                <w:color w:val="000000" w:themeColor="text1"/>
                <w:sz w:val="20"/>
                <w:szCs w:val="20"/>
                <w:shd w:val="clear" w:color="auto" w:fill="FFFFFF"/>
              </w:rPr>
              <w:t xml:space="preserve"> the percent</w:t>
            </w:r>
            <w:r>
              <w:rPr>
                <w:color w:val="000000" w:themeColor="text1"/>
                <w:sz w:val="20"/>
                <w:szCs w:val="20"/>
                <w:shd w:val="clear" w:color="auto" w:fill="FFFFFF"/>
              </w:rPr>
              <w:t>age</w:t>
            </w:r>
            <w:r w:rsidR="00C12CC3" w:rsidRPr="00EC05B0">
              <w:rPr>
                <w:color w:val="000000" w:themeColor="text1"/>
                <w:sz w:val="20"/>
                <w:szCs w:val="20"/>
                <w:shd w:val="clear" w:color="auto" w:fill="FFFFFF"/>
              </w:rPr>
              <w:t xml:space="preserve"> initiating ART among </w:t>
            </w:r>
            <w:r>
              <w:rPr>
                <w:color w:val="000000" w:themeColor="text1"/>
                <w:sz w:val="20"/>
                <w:szCs w:val="20"/>
                <w:shd w:val="clear" w:color="auto" w:fill="FFFFFF"/>
              </w:rPr>
              <w:t xml:space="preserve">female sex workers is </w:t>
            </w:r>
            <w:r w:rsidR="00C12CC3" w:rsidRPr="00EC05B0">
              <w:rPr>
                <w:color w:val="000000" w:themeColor="text1"/>
                <w:sz w:val="20"/>
                <w:szCs w:val="20"/>
                <w:shd w:val="clear" w:color="auto" w:fill="FFFFFF"/>
              </w:rPr>
              <w:t xml:space="preserve">higher than </w:t>
            </w:r>
            <w:r w:rsidR="00212455">
              <w:rPr>
                <w:color w:val="000000" w:themeColor="text1"/>
                <w:sz w:val="20"/>
                <w:szCs w:val="20"/>
                <w:shd w:val="clear" w:color="auto" w:fill="FFFFFF"/>
              </w:rPr>
              <w:t xml:space="preserve">among </w:t>
            </w:r>
            <w:r>
              <w:rPr>
                <w:color w:val="000000" w:themeColor="text1"/>
                <w:sz w:val="20"/>
                <w:szCs w:val="20"/>
                <w:shd w:val="clear" w:color="auto" w:fill="FFFFFF"/>
              </w:rPr>
              <w:t>low-risk</w:t>
            </w:r>
            <w:r w:rsidR="00E037E8">
              <w:rPr>
                <w:color w:val="000000" w:themeColor="text1"/>
                <w:sz w:val="20"/>
                <w:szCs w:val="20"/>
                <w:shd w:val="clear" w:color="auto" w:fill="FFFFFF"/>
              </w:rPr>
              <w:t xml:space="preserve"> women</w:t>
            </w:r>
            <w:r w:rsidR="00C12CC3" w:rsidRPr="00EC05B0">
              <w:rPr>
                <w:color w:val="000000" w:themeColor="text1"/>
                <w:sz w:val="20"/>
                <w:szCs w:val="20"/>
                <w:shd w:val="clear" w:color="auto" w:fill="FFFFFF"/>
              </w:rPr>
              <w:t>.</w:t>
            </w:r>
            <w:r w:rsidR="00C12CC3" w:rsidRPr="00EC05B0">
              <w:rPr>
                <w:color w:val="000000" w:themeColor="text1"/>
                <w:sz w:val="20"/>
                <w:szCs w:val="20"/>
                <w:shd w:val="clear" w:color="auto" w:fill="FFFFFF"/>
              </w:rPr>
              <w:fldChar w:fldCharType="begin" w:fldLock="1"/>
            </w:r>
            <w:r w:rsidR="007527CC">
              <w:rPr>
                <w:color w:val="000000" w:themeColor="text1"/>
                <w:sz w:val="20"/>
                <w:szCs w:val="20"/>
                <w:shd w:val="clear" w:color="auto" w:fill="FFFFFF"/>
              </w:rPr>
              <w:instrText>ADDIN CSL_CITATION {"citationItems":[{"id":"ITEM-1","itemData":{"DOI":"10.1586/14787210.2014.948422","ISSN":"17448336","abstract":"To achieve viral suppression and fully benefit from antiretroviral therapy (ART), it is important that individuals with HIV know that they are HIV infected, link to and remain in HIV care, start and remain on ART and adhere to treatment. In HIV epidemics where female sex workers (FSWs) are key drivers of HIV transmission, the extent to which FSWs use ART and engage in the HIV care cascade could have a considerable impact on HIV transmission from FSWs to the wider population. In this article we review the spectrum of FSW engagement in the HIV care cascade, look at the impact of the HIV care cascade and ART use among FSWs on population-level HIV transmission and discuss HIV prevention for FSWs in the context of ART and the HIV care cascade.","author":[{"dropping-particle":"","family":"Mountain","given":"Elisa","non-dropping-particle":"","parse-names":false,"suffix":""},{"dropping-particle":"","family":"Pickles","given":"Michael","non-dropping-particle":"","parse-names":false,"suffix":""},{"dropping-particle":"","family":"Mishra","given":"Sharmistha","non-dropping-particle":"","parse-names":false,"suffix":""},{"dropping-particle":"","family":"Vickerman","given":"Peter","non-dropping-particle":"","parse-names":false,"suffix":""},{"dropping-particle":"","family":"Alary","given":"Michel","non-dropping-particle":"","parse-names":false,"suffix":""},{"dropping-particle":"","family":"Boily","given":"Marie Claude","non-dropping-particle":"","parse-names":false,"suffix":""}],"container-title":"Expert Review of Anti-Infective Therapy","id":"ITEM-1","issued":{"date-parts":[["2014"]]},"title":"The HIV care cascade and antiretroviral therapy in female sex workers: Implications for HIV prevention","type":"article"},"uris":["http://www.mendeley.com/documents/?uuid=bd0702cd-d3ef-4cda-91af-5737d369c4af","http://www.mendeley.com/documents/?uuid=213fda15-6c76-4711-84d0-38ebc86d9486"]}],"mendeley":{"formattedCitation":"&lt;sup&gt;32&lt;/sup&gt;","plainTextFormattedCitation":"32","previouslyFormattedCitation":"&lt;sup&gt;33&lt;/sup&gt;"},"properties":{"noteIndex":0},"schema":"https://github.com/citation-style-language/schema/raw/master/csl-citation.json"}</w:instrText>
            </w:r>
            <w:r w:rsidR="00C12CC3" w:rsidRPr="00EC05B0">
              <w:rPr>
                <w:color w:val="000000" w:themeColor="text1"/>
                <w:sz w:val="20"/>
                <w:szCs w:val="20"/>
                <w:shd w:val="clear" w:color="auto" w:fill="FFFFFF"/>
              </w:rPr>
              <w:fldChar w:fldCharType="separate"/>
            </w:r>
            <w:r w:rsidR="007527CC" w:rsidRPr="007527CC">
              <w:rPr>
                <w:noProof/>
                <w:color w:val="000000" w:themeColor="text1"/>
                <w:sz w:val="20"/>
                <w:szCs w:val="20"/>
                <w:shd w:val="clear" w:color="auto" w:fill="FFFFFF"/>
                <w:vertAlign w:val="superscript"/>
                <w:lang w:eastAsia="ja-JP"/>
              </w:rPr>
              <w:t>32</w:t>
            </w:r>
            <w:r w:rsidR="00C12CC3" w:rsidRPr="00EC05B0">
              <w:rPr>
                <w:color w:val="000000" w:themeColor="text1"/>
                <w:sz w:val="20"/>
                <w:szCs w:val="20"/>
                <w:shd w:val="clear" w:color="auto" w:fill="FFFFFF"/>
              </w:rPr>
              <w:fldChar w:fldCharType="end"/>
            </w:r>
            <w:r w:rsidR="00C12CC3" w:rsidRPr="00EC05B0">
              <w:rPr>
                <w:color w:val="000000" w:themeColor="text1"/>
                <w:sz w:val="20"/>
                <w:szCs w:val="20"/>
                <w:shd w:val="clear" w:color="auto" w:fill="FFFFFF"/>
                <w:lang w:eastAsia="ja-JP"/>
              </w:rPr>
              <w:t xml:space="preserve"> </w:t>
            </w:r>
          </w:p>
          <w:p w14:paraId="6200D208" w14:textId="77777777" w:rsidR="00C12CC3" w:rsidRPr="00EC05B0" w:rsidRDefault="00C12CC3" w:rsidP="00550A15">
            <w:pPr>
              <w:jc w:val="both"/>
              <w:rPr>
                <w:color w:val="000000" w:themeColor="text1"/>
                <w:sz w:val="20"/>
                <w:szCs w:val="20"/>
                <w:shd w:val="clear" w:color="auto" w:fill="FFFFFF"/>
                <w:lang w:eastAsia="ja-JP"/>
              </w:rPr>
            </w:pPr>
          </w:p>
        </w:tc>
      </w:tr>
      <w:tr w:rsidR="00C12CC3" w:rsidRPr="00EC05B0" w14:paraId="400C01E3" w14:textId="54866F05" w:rsidTr="003060F6">
        <w:trPr>
          <w:trHeight w:val="338"/>
        </w:trPr>
        <w:tc>
          <w:tcPr>
            <w:tcW w:w="1440" w:type="dxa"/>
          </w:tcPr>
          <w:p w14:paraId="4B312480" w14:textId="44D4C190" w:rsidR="00C12CC3" w:rsidRPr="00EC05B0" w:rsidRDefault="00C12CC3" w:rsidP="00122CDD">
            <w:pPr>
              <w:jc w:val="both"/>
              <w:rPr>
                <w:color w:val="000000" w:themeColor="text1"/>
                <w:sz w:val="20"/>
                <w:szCs w:val="20"/>
                <w:shd w:val="clear" w:color="auto" w:fill="FFFFFF"/>
                <w:lang w:eastAsia="ja-JP"/>
              </w:rPr>
            </w:pPr>
            <w:r w:rsidRPr="00EC05B0">
              <w:rPr>
                <w:color w:val="000000" w:themeColor="text1"/>
                <w:sz w:val="20"/>
                <w:szCs w:val="20"/>
                <w:shd w:val="clear" w:color="auto" w:fill="FFFFFF"/>
                <w:lang w:eastAsia="ja-JP"/>
              </w:rPr>
              <w:lastRenderedPageBreak/>
              <w:t>Sub-national (Urbanicity)</w:t>
            </w:r>
          </w:p>
          <w:p w14:paraId="37521D64" w14:textId="77777777" w:rsidR="00C12CC3" w:rsidRPr="00EC05B0" w:rsidRDefault="00C12CC3" w:rsidP="001D10D4">
            <w:pPr>
              <w:jc w:val="both"/>
              <w:rPr>
                <w:b/>
                <w:color w:val="000000" w:themeColor="text1"/>
                <w:sz w:val="20"/>
                <w:szCs w:val="20"/>
                <w:shd w:val="clear" w:color="auto" w:fill="FFFFFF"/>
                <w:lang w:eastAsia="ja-JP"/>
              </w:rPr>
            </w:pPr>
          </w:p>
        </w:tc>
        <w:tc>
          <w:tcPr>
            <w:tcW w:w="4202" w:type="dxa"/>
          </w:tcPr>
          <w:p w14:paraId="00A30C05" w14:textId="77777777" w:rsidR="00C12CC3" w:rsidRDefault="00AC27D2" w:rsidP="003F2CC5">
            <w:pPr>
              <w:jc w:val="both"/>
              <w:rPr>
                <w:color w:val="000000" w:themeColor="text1"/>
                <w:sz w:val="20"/>
                <w:szCs w:val="20"/>
                <w:shd w:val="clear" w:color="auto" w:fill="FFFFFF"/>
                <w:lang w:eastAsia="ja-JP"/>
              </w:rPr>
            </w:pPr>
            <w:bookmarkStart w:id="26" w:name="OLE_LINK5"/>
            <w:bookmarkStart w:id="27" w:name="OLE_LINK6"/>
            <w:commentRangeStart w:id="28"/>
            <w:commentRangeStart w:id="29"/>
            <w:r>
              <w:rPr>
                <w:color w:val="000000" w:themeColor="text1"/>
                <w:sz w:val="20"/>
                <w:szCs w:val="20"/>
                <w:shd w:val="clear" w:color="auto" w:fill="FFFFFF"/>
                <w:lang w:eastAsia="ja-JP"/>
              </w:rPr>
              <w:t>Modeled</w:t>
            </w:r>
            <w:commentRangeEnd w:id="28"/>
            <w:r w:rsidR="00172214">
              <w:rPr>
                <w:rStyle w:val="CommentReference"/>
              </w:rPr>
              <w:commentReference w:id="28"/>
            </w:r>
            <w:commentRangeEnd w:id="29"/>
            <w:r w:rsidR="000D0825">
              <w:rPr>
                <w:rStyle w:val="CommentReference"/>
              </w:rPr>
              <w:commentReference w:id="29"/>
            </w:r>
            <w:r>
              <w:rPr>
                <w:color w:val="000000" w:themeColor="text1"/>
                <w:sz w:val="20"/>
                <w:szCs w:val="20"/>
                <w:shd w:val="clear" w:color="auto" w:fill="FFFFFF"/>
                <w:lang w:eastAsia="ja-JP"/>
              </w:rPr>
              <w:t xml:space="preserve"> </w:t>
            </w:r>
            <w:r w:rsidR="00C12CC3" w:rsidRPr="00EC05B0">
              <w:rPr>
                <w:color w:val="000000" w:themeColor="text1"/>
                <w:sz w:val="20"/>
                <w:szCs w:val="20"/>
                <w:shd w:val="clear" w:color="auto" w:fill="FFFFFF"/>
                <w:lang w:eastAsia="ja-JP"/>
              </w:rPr>
              <w:t xml:space="preserve">as urban and rural. </w:t>
            </w:r>
            <w:bookmarkEnd w:id="26"/>
            <w:bookmarkEnd w:id="27"/>
          </w:p>
          <w:p w14:paraId="21D3806C" w14:textId="77777777" w:rsidR="008C4818" w:rsidRDefault="008C4818" w:rsidP="003F2CC5">
            <w:pPr>
              <w:jc w:val="both"/>
              <w:rPr>
                <w:color w:val="000000" w:themeColor="text1"/>
                <w:sz w:val="20"/>
                <w:szCs w:val="20"/>
                <w:shd w:val="clear" w:color="auto" w:fill="FFFFFF"/>
                <w:lang w:eastAsia="ja-JP"/>
              </w:rPr>
            </w:pPr>
          </w:p>
          <w:p w14:paraId="38EB904F" w14:textId="507A1131" w:rsidR="008C4818" w:rsidRPr="00EC05B0" w:rsidRDefault="008C4818" w:rsidP="003F2CC5">
            <w:pPr>
              <w:jc w:val="both"/>
              <w:rPr>
                <w:color w:val="000000" w:themeColor="text1"/>
                <w:sz w:val="20"/>
                <w:szCs w:val="20"/>
                <w:shd w:val="clear" w:color="auto" w:fill="FFFFFF"/>
                <w:lang w:eastAsia="ja-JP"/>
              </w:rPr>
            </w:pPr>
            <w:r>
              <w:rPr>
                <w:color w:val="000000" w:themeColor="text1"/>
                <w:sz w:val="20"/>
                <w:szCs w:val="20"/>
                <w:shd w:val="clear" w:color="auto" w:fill="FFFFFF"/>
                <w:lang w:eastAsia="ja-JP"/>
              </w:rPr>
              <w:t xml:space="preserve">The urban-rural classification </w:t>
            </w:r>
            <w:r w:rsidR="000D0825">
              <w:rPr>
                <w:rFonts w:hint="eastAsia"/>
                <w:color w:val="000000" w:themeColor="text1"/>
                <w:sz w:val="20"/>
                <w:szCs w:val="20"/>
                <w:shd w:val="clear" w:color="auto" w:fill="FFFFFF"/>
              </w:rPr>
              <w:t>would</w:t>
            </w:r>
            <w:r w:rsidR="000D0825">
              <w:rPr>
                <w:color w:val="000000" w:themeColor="text1"/>
                <w:sz w:val="20"/>
                <w:szCs w:val="20"/>
                <w:shd w:val="clear" w:color="auto" w:fill="FFFFFF"/>
              </w:rPr>
              <w:t xml:space="preserve"> capture differences in HIV prevalence and HIV testing at regional level, while limiting the model complexity</w:t>
            </w:r>
            <w:r>
              <w:rPr>
                <w:color w:val="000000" w:themeColor="text1"/>
                <w:sz w:val="20"/>
                <w:szCs w:val="20"/>
                <w:shd w:val="clear" w:color="auto" w:fill="FFFFFF"/>
                <w:lang w:eastAsia="ja-JP"/>
              </w:rPr>
              <w:t xml:space="preserve">. </w:t>
            </w:r>
          </w:p>
        </w:tc>
        <w:tc>
          <w:tcPr>
            <w:tcW w:w="7498" w:type="dxa"/>
          </w:tcPr>
          <w:p w14:paraId="5329E188" w14:textId="0A25DB9F" w:rsidR="00C12CC3" w:rsidRPr="00EC05B0" w:rsidRDefault="00AC27D2" w:rsidP="00E71320">
            <w:pPr>
              <w:jc w:val="both"/>
              <w:rPr>
                <w:color w:val="000000" w:themeColor="text1"/>
                <w:sz w:val="20"/>
                <w:szCs w:val="20"/>
                <w:shd w:val="clear" w:color="auto" w:fill="FFFFFF"/>
              </w:rPr>
            </w:pPr>
            <w:r>
              <w:rPr>
                <w:color w:val="000000" w:themeColor="text1"/>
                <w:sz w:val="20"/>
                <w:szCs w:val="20"/>
                <w:u w:val="single"/>
                <w:shd w:val="clear" w:color="auto" w:fill="FFFFFF"/>
                <w:lang w:eastAsia="ja-JP"/>
              </w:rPr>
              <w:t>HIV prevalence</w:t>
            </w:r>
            <w:r w:rsidRPr="00B33B19">
              <w:rPr>
                <w:color w:val="000000" w:themeColor="text1"/>
                <w:sz w:val="20"/>
                <w:szCs w:val="20"/>
                <w:shd w:val="clear" w:color="auto" w:fill="FFFFFF"/>
                <w:lang w:eastAsia="ja-JP"/>
              </w:rPr>
              <w:t xml:space="preserve">. </w:t>
            </w:r>
            <w:r w:rsidR="00C12CC3" w:rsidRPr="00EC05B0">
              <w:rPr>
                <w:color w:val="000000" w:themeColor="text1"/>
                <w:sz w:val="20"/>
                <w:szCs w:val="20"/>
                <w:shd w:val="clear" w:color="auto" w:fill="FFFFFF"/>
                <w:lang w:eastAsia="ja-JP"/>
              </w:rPr>
              <w:t>In Rwanda, HIV prevalence is more than double in urban (6%) compared to rural (2.2%) areas.</w:t>
            </w:r>
            <w:r w:rsidR="00C12CC3" w:rsidRPr="00EC05B0">
              <w:rPr>
                <w:color w:val="000000" w:themeColor="text1"/>
                <w:sz w:val="20"/>
                <w:szCs w:val="20"/>
                <w:shd w:val="clear" w:color="auto" w:fill="FFFFFF"/>
              </w:rPr>
              <w:fldChar w:fldCharType="begin" w:fldLock="1"/>
            </w:r>
            <w:r w:rsidR="007527CC">
              <w:rPr>
                <w:color w:val="000000" w:themeColor="text1"/>
                <w:sz w:val="20"/>
                <w:szCs w:val="20"/>
                <w:shd w:val="clear" w:color="auto" w:fill="FFFFFF"/>
                <w:lang w:eastAsia="ja-JP"/>
              </w:rPr>
              <w:instrText>ADDIN CSL_CITATION {"citationItems":[{"id":"ITEM-1","itemData":{"DOI":"March, 2016","ISBN":"9789997743091","author":[{"dropping-particle":"","family":"National Institute of Statistics of Rwanda (NISR) [Rwanda] Ministry of Health (MOH) [Rwanda] and ICF International.","given":"","non-dropping-particle":"","parse-names":false,"suffix":""}],"container-title":"Rwanda Mininstry of Health","id":"ITEM-1","issued":{"date-parts":[["2015"]]},"number-of-pages":"640","publisher-place":"Rockville, Maryland, USA: NISR, MOH, and ICF International.","title":"Rwanda Demographic and Health Survey 2014-15","type":"report"},"uris":["http://www.mendeley.com/documents/?uuid=1cd2afa0-8858-4818-a7e0-ec39e8a650ac","http://www.mendeley.com/documents/?uuid=b26e7148-b697-4212-bb43-79b0366d0d6e","http://www.mendeley.com/documents/?uuid=92979b8f-5a59-4ac9-a743-4a0cdca47a78"]}],"mendeley":{"formattedCitation":"&lt;sup&gt;18&lt;/sup&gt;","plainTextFormattedCitation":"18","previouslyFormattedCitation":"&lt;sup&gt;19&lt;/sup&gt;"},"properties":{"noteIndex":0},"schema":"https://github.com/citation-style-language/schema/raw/master/csl-citation.json"}</w:instrText>
            </w:r>
            <w:r w:rsidR="00C12CC3" w:rsidRPr="00EC05B0">
              <w:rPr>
                <w:color w:val="000000" w:themeColor="text1"/>
                <w:sz w:val="20"/>
                <w:szCs w:val="20"/>
                <w:shd w:val="clear" w:color="auto" w:fill="FFFFFF"/>
              </w:rPr>
              <w:fldChar w:fldCharType="separate"/>
            </w:r>
            <w:r w:rsidR="007527CC" w:rsidRPr="007527CC">
              <w:rPr>
                <w:noProof/>
                <w:color w:val="000000" w:themeColor="text1"/>
                <w:sz w:val="20"/>
                <w:szCs w:val="20"/>
                <w:shd w:val="clear" w:color="auto" w:fill="FFFFFF"/>
                <w:vertAlign w:val="superscript"/>
              </w:rPr>
              <w:t>18</w:t>
            </w:r>
            <w:r w:rsidR="00C12CC3" w:rsidRPr="00EC05B0">
              <w:rPr>
                <w:color w:val="000000" w:themeColor="text1"/>
                <w:sz w:val="20"/>
                <w:szCs w:val="20"/>
                <w:shd w:val="clear" w:color="auto" w:fill="FFFFFF"/>
              </w:rPr>
              <w:fldChar w:fldCharType="end"/>
            </w:r>
            <w:r w:rsidR="00C12CC3" w:rsidRPr="00EC05B0">
              <w:rPr>
                <w:color w:val="000000" w:themeColor="text1"/>
                <w:sz w:val="20"/>
                <w:szCs w:val="20"/>
                <w:shd w:val="clear" w:color="auto" w:fill="FFFFFF"/>
              </w:rPr>
              <w:t xml:space="preserve"> In Kigali city, the capital city of Rwanda and home to half of the urban population in the country, HIV prevalence is 6.2% vs 2-3%</w:t>
            </w:r>
            <w:r w:rsidR="00C12CC3" w:rsidRPr="00EC05B0">
              <w:rPr>
                <w:color w:val="000000" w:themeColor="text1"/>
                <w:sz w:val="20"/>
                <w:szCs w:val="20"/>
                <w:shd w:val="clear" w:color="auto" w:fill="FFFFFF"/>
              </w:rPr>
              <w:fldChar w:fldCharType="begin" w:fldLock="1"/>
            </w:r>
            <w:r w:rsidR="007527CC">
              <w:rPr>
                <w:color w:val="000000" w:themeColor="text1"/>
                <w:sz w:val="20"/>
                <w:szCs w:val="20"/>
                <w:shd w:val="clear" w:color="auto" w:fill="FFFFFF"/>
              </w:rPr>
              <w:instrText>ADDIN CSL_CITATION {"citationItems":[{"id":"ITEM-1","itemData":{"DOI":"March, 2016","ISBN":"9789997743091","author":[{"dropping-particle":"","family":"National Institute of Statistics of Rwanda (NISR) [Rwanda] Ministry of Health (MOH) [Rwanda] and ICF International.","given":"","non-dropping-particle":"","parse-names":false,"suffix":""}],"container-title":"Rwanda Mininstry of Health","id":"ITEM-1","issued":{"date-parts":[["2015"]]},"number-of-pages":"640","publisher-place":"Rockville, Maryland, USA: NISR, MOH, and ICF International.","title":"Rwanda Demographic and Health Survey 2014-15","type":"report"},"uris":["http://www.mendeley.com/documents/?uuid=1cd2afa0-8858-4818-a7e0-ec39e8a650ac","http://www.mendeley.com/documents/?uuid=92979b8f-5a59-4ac9-a743-4a0cdca47a78","http://www.mendeley.com/documents/?uuid=b26e7148-b697-4212-bb43-79b0366d0d6e"]}],"mendeley":{"formattedCitation":"&lt;sup&gt;18&lt;/sup&gt;","plainTextFormattedCitation":"18","previouslyFormattedCitation":"&lt;sup&gt;19&lt;/sup&gt;"},"properties":{"noteIndex":0},"schema":"https://github.com/citation-style-language/schema/raw/master/csl-citation.json"}</w:instrText>
            </w:r>
            <w:r w:rsidR="00C12CC3" w:rsidRPr="00EC05B0">
              <w:rPr>
                <w:color w:val="000000" w:themeColor="text1"/>
                <w:sz w:val="20"/>
                <w:szCs w:val="20"/>
                <w:shd w:val="clear" w:color="auto" w:fill="FFFFFF"/>
              </w:rPr>
              <w:fldChar w:fldCharType="separate"/>
            </w:r>
            <w:r w:rsidR="007527CC" w:rsidRPr="007527CC">
              <w:rPr>
                <w:noProof/>
                <w:color w:val="000000" w:themeColor="text1"/>
                <w:sz w:val="20"/>
                <w:szCs w:val="20"/>
                <w:shd w:val="clear" w:color="auto" w:fill="FFFFFF"/>
                <w:vertAlign w:val="superscript"/>
              </w:rPr>
              <w:t>18</w:t>
            </w:r>
            <w:r w:rsidR="00C12CC3" w:rsidRPr="00EC05B0">
              <w:rPr>
                <w:color w:val="000000" w:themeColor="text1"/>
                <w:sz w:val="20"/>
                <w:szCs w:val="20"/>
                <w:shd w:val="clear" w:color="auto" w:fill="FFFFFF"/>
              </w:rPr>
              <w:fldChar w:fldCharType="end"/>
            </w:r>
            <w:r w:rsidR="00C12CC3" w:rsidRPr="00EC05B0">
              <w:rPr>
                <w:color w:val="000000" w:themeColor="text1"/>
                <w:sz w:val="20"/>
                <w:szCs w:val="20"/>
                <w:shd w:val="clear" w:color="auto" w:fill="FFFFFF"/>
              </w:rPr>
              <w:t xml:space="preserve"> in </w:t>
            </w:r>
            <w:r w:rsidR="008E2D1C">
              <w:rPr>
                <w:color w:val="000000" w:themeColor="text1"/>
                <w:sz w:val="20"/>
                <w:szCs w:val="20"/>
                <w:shd w:val="clear" w:color="auto" w:fill="FFFFFF"/>
              </w:rPr>
              <w:t xml:space="preserve">the </w:t>
            </w:r>
            <w:r w:rsidR="00C12CC3" w:rsidRPr="00EC05B0">
              <w:rPr>
                <w:color w:val="000000" w:themeColor="text1"/>
                <w:sz w:val="20"/>
                <w:szCs w:val="20"/>
                <w:shd w:val="clear" w:color="auto" w:fill="FFFFFF"/>
              </w:rPr>
              <w:t>other provinces that are predominantly rural.</w:t>
            </w:r>
          </w:p>
          <w:p w14:paraId="08BE0D14" w14:textId="77777777" w:rsidR="00C12CC3" w:rsidRPr="00EC05B0" w:rsidRDefault="00C12CC3" w:rsidP="00E71320">
            <w:pPr>
              <w:jc w:val="both"/>
              <w:rPr>
                <w:color w:val="000000" w:themeColor="text1"/>
                <w:sz w:val="20"/>
                <w:szCs w:val="20"/>
                <w:shd w:val="clear" w:color="auto" w:fill="FFFFFF"/>
              </w:rPr>
            </w:pPr>
          </w:p>
          <w:p w14:paraId="7E08769A" w14:textId="0E421C5F" w:rsidR="00C12CC3" w:rsidRPr="00EC05B0" w:rsidRDefault="00E037E8" w:rsidP="002C3EFA">
            <w:pPr>
              <w:jc w:val="both"/>
              <w:rPr>
                <w:color w:val="000000" w:themeColor="text1"/>
                <w:sz w:val="20"/>
                <w:szCs w:val="20"/>
                <w:shd w:val="clear" w:color="auto" w:fill="FFFFFF"/>
              </w:rPr>
            </w:pPr>
            <w:r>
              <w:rPr>
                <w:color w:val="000000" w:themeColor="text1"/>
                <w:sz w:val="20"/>
                <w:szCs w:val="20"/>
                <w:u w:val="single"/>
                <w:shd w:val="clear" w:color="auto" w:fill="FFFFFF"/>
              </w:rPr>
              <w:t>Risk of HIV acquisition</w:t>
            </w:r>
            <w:r w:rsidR="008E2D1C" w:rsidRPr="00B33B19">
              <w:rPr>
                <w:color w:val="000000" w:themeColor="text1"/>
                <w:sz w:val="20"/>
                <w:szCs w:val="20"/>
                <w:shd w:val="clear" w:color="auto" w:fill="FFFFFF"/>
              </w:rPr>
              <w:t xml:space="preserve">. </w:t>
            </w:r>
            <w:r>
              <w:rPr>
                <w:color w:val="000000" w:themeColor="text1"/>
                <w:sz w:val="20"/>
                <w:szCs w:val="20"/>
                <w:shd w:val="clear" w:color="auto" w:fill="FFFFFF"/>
              </w:rPr>
              <w:t>Population</w:t>
            </w:r>
            <w:r w:rsidR="00212455">
              <w:rPr>
                <w:color w:val="000000" w:themeColor="text1"/>
                <w:sz w:val="20"/>
                <w:szCs w:val="20"/>
                <w:shd w:val="clear" w:color="auto" w:fill="FFFFFF"/>
              </w:rPr>
              <w:t>s</w:t>
            </w:r>
            <w:r>
              <w:rPr>
                <w:color w:val="000000" w:themeColor="text1"/>
                <w:sz w:val="20"/>
                <w:szCs w:val="20"/>
                <w:shd w:val="clear" w:color="auto" w:fill="FFFFFF"/>
              </w:rPr>
              <w:t xml:space="preserve"> residing in urban areas are more likely to acquire HIV</w:t>
            </w:r>
            <w:r w:rsidR="00212455">
              <w:rPr>
                <w:color w:val="000000" w:themeColor="text1"/>
                <w:sz w:val="20"/>
                <w:szCs w:val="20"/>
                <w:shd w:val="clear" w:color="auto" w:fill="FFFFFF"/>
              </w:rPr>
              <w:t xml:space="preserve">, with </w:t>
            </w:r>
            <w:r w:rsidR="008B4D0B">
              <w:rPr>
                <w:color w:val="000000" w:themeColor="text1"/>
                <w:sz w:val="20"/>
                <w:szCs w:val="20"/>
                <w:shd w:val="clear" w:color="auto" w:fill="FFFFFF"/>
              </w:rPr>
              <w:t xml:space="preserve">HIV incidence in urban areas higher than </w:t>
            </w:r>
            <w:r w:rsidR="00212455">
              <w:rPr>
                <w:color w:val="000000" w:themeColor="text1"/>
                <w:sz w:val="20"/>
                <w:szCs w:val="20"/>
                <w:shd w:val="clear" w:color="auto" w:fill="FFFFFF"/>
              </w:rPr>
              <w:t xml:space="preserve">in </w:t>
            </w:r>
            <w:r w:rsidR="008B4D0B">
              <w:rPr>
                <w:color w:val="000000" w:themeColor="text1"/>
                <w:sz w:val="20"/>
                <w:szCs w:val="20"/>
                <w:shd w:val="clear" w:color="auto" w:fill="FFFFFF"/>
              </w:rPr>
              <w:t xml:space="preserve">rural </w:t>
            </w:r>
            <w:r w:rsidR="00212455">
              <w:rPr>
                <w:color w:val="000000" w:themeColor="text1"/>
                <w:sz w:val="20"/>
                <w:szCs w:val="20"/>
                <w:shd w:val="clear" w:color="auto" w:fill="FFFFFF"/>
              </w:rPr>
              <w:t xml:space="preserve">areas </w:t>
            </w:r>
            <w:r w:rsidR="008B4D0B">
              <w:rPr>
                <w:color w:val="000000" w:themeColor="text1"/>
                <w:sz w:val="20"/>
                <w:szCs w:val="20"/>
                <w:shd w:val="clear" w:color="auto" w:fill="FFFFFF"/>
              </w:rPr>
              <w:t>(0.65 vs 0.22 per 100 person-years; adjusted hazard ratio: 3.1, 1.3 – 7.0).</w:t>
            </w:r>
            <w:r w:rsidR="008B4D0B">
              <w:rPr>
                <w:color w:val="000000" w:themeColor="text1"/>
                <w:sz w:val="20"/>
                <w:szCs w:val="20"/>
                <w:shd w:val="clear" w:color="auto" w:fill="FFFFFF"/>
              </w:rPr>
              <w:fldChar w:fldCharType="begin" w:fldLock="1"/>
            </w:r>
            <w:r w:rsidR="007527CC">
              <w:rPr>
                <w:color w:val="000000" w:themeColor="text1"/>
                <w:sz w:val="20"/>
                <w:szCs w:val="20"/>
                <w:shd w:val="clear" w:color="auto" w:fill="FFFFFF"/>
              </w:rPr>
              <w:instrText>ADDIN CSL_CITATION {"citationItems":[{"id":"ITEM-1","itemData":{"ISSN":"2352-3018","author":[{"dropping-particle":"","family":"Nsanzimana","given":"Sabin","non-dropping-particle":"","parse-names":false,"suffix":""},{"dropping-particle":"","family":"Remera","given":"Eric","non-dropping-particle":"","parse-names":false,"suffix":""},{"dropping-particle":"","family":"Kanters","given":"Steve","non-dropping-particle":"","parse-names":false,"suffix":""},{"dropping-particle":"","family":"Mulindabigwi","given":"Augustin","non-dropping-particle":"","parse-names":false,"suffix":""},{"dropping-particle":"","family":"Suthar","given":"Amitabh B","non-dropping-particle":"","parse-names":false,"suffix":""},{"dropping-particle":"","family":"Uwizihiwe","given":"Jean Paul","non-dropping-particle":"","parse-names":false,"suffix":""},{"dropping-particle":"","family":"Mwumvaneza","given":"Mutagoma","non-dropping-particle":"","parse-names":false,"suffix":""},{"dropping-particle":"","family":"Mills","given":"Edward J","non-dropping-particle":"","parse-names":false,"suffix":""},{"dropping-particle":"","family":"Bucher","given":"Heiner C","non-dropping-particle":"","parse-names":false,"suffix":""}],"container-title":"The Lancet HIV","id":"ITEM-1","issue":"10","issued":{"date-parts":[["2017"]]},"page":"e457-e464","publisher":"Elsevier","title":"Household survey of HIV incidence in Rwanda: a national observational cohort study","type":"article-journal","volume":"4"},"uris":["http://www.mendeley.com/documents/?uuid=961b7ec5-74cb-4f20-9eec-fb249af363a3"]}],"mendeley":{"formattedCitation":"&lt;sup&gt;33&lt;/sup&gt;","plainTextFormattedCitation":"33","previouslyFormattedCitation":"&lt;sup&gt;34&lt;/sup&gt;"},"properties":{"noteIndex":0},"schema":"https://github.com/citation-style-language/schema/raw/master/csl-citation.json"}</w:instrText>
            </w:r>
            <w:r w:rsidR="008B4D0B">
              <w:rPr>
                <w:color w:val="000000" w:themeColor="text1"/>
                <w:sz w:val="20"/>
                <w:szCs w:val="20"/>
                <w:shd w:val="clear" w:color="auto" w:fill="FFFFFF"/>
              </w:rPr>
              <w:fldChar w:fldCharType="separate"/>
            </w:r>
            <w:r w:rsidR="007527CC" w:rsidRPr="007527CC">
              <w:rPr>
                <w:noProof/>
                <w:color w:val="000000" w:themeColor="text1"/>
                <w:sz w:val="20"/>
                <w:szCs w:val="20"/>
                <w:shd w:val="clear" w:color="auto" w:fill="FFFFFF"/>
                <w:vertAlign w:val="superscript"/>
              </w:rPr>
              <w:t>33</w:t>
            </w:r>
            <w:r w:rsidR="008B4D0B">
              <w:rPr>
                <w:color w:val="000000" w:themeColor="text1"/>
                <w:sz w:val="20"/>
                <w:szCs w:val="20"/>
                <w:shd w:val="clear" w:color="auto" w:fill="FFFFFF"/>
              </w:rPr>
              <w:fldChar w:fldCharType="end"/>
            </w:r>
          </w:p>
          <w:p w14:paraId="745A1394" w14:textId="77777777" w:rsidR="00C12CC3" w:rsidRPr="00EC05B0" w:rsidRDefault="00C12CC3" w:rsidP="00550A15">
            <w:pPr>
              <w:jc w:val="both"/>
              <w:rPr>
                <w:color w:val="000000" w:themeColor="text1"/>
                <w:sz w:val="20"/>
                <w:szCs w:val="20"/>
                <w:shd w:val="clear" w:color="auto" w:fill="FFFFFF"/>
              </w:rPr>
            </w:pPr>
          </w:p>
          <w:p w14:paraId="42F30C05" w14:textId="4428AD2B" w:rsidR="00C12CC3" w:rsidRDefault="00657222" w:rsidP="00550A15">
            <w:pPr>
              <w:jc w:val="both"/>
              <w:rPr>
                <w:color w:val="000000" w:themeColor="text1"/>
                <w:sz w:val="20"/>
                <w:szCs w:val="20"/>
                <w:shd w:val="clear" w:color="auto" w:fill="FFFFFF"/>
              </w:rPr>
            </w:pPr>
            <w:r>
              <w:rPr>
                <w:color w:val="000000" w:themeColor="text1"/>
                <w:sz w:val="20"/>
                <w:szCs w:val="20"/>
                <w:u w:val="single"/>
                <w:shd w:val="clear" w:color="auto" w:fill="FFFFFF"/>
              </w:rPr>
              <w:t>Engagement in HIV care</w:t>
            </w:r>
            <w:r w:rsidRPr="00F529C3">
              <w:rPr>
                <w:color w:val="000000" w:themeColor="text1"/>
                <w:sz w:val="20"/>
                <w:szCs w:val="20"/>
                <w:shd w:val="clear" w:color="auto" w:fill="FFFFFF"/>
              </w:rPr>
              <w:t xml:space="preserve">. </w:t>
            </w:r>
            <w:r w:rsidR="00C12CC3" w:rsidRPr="00EC05B0">
              <w:rPr>
                <w:color w:val="000000" w:themeColor="text1"/>
                <w:sz w:val="20"/>
                <w:szCs w:val="20"/>
                <w:shd w:val="clear" w:color="auto" w:fill="FFFFFF"/>
              </w:rPr>
              <w:t>HIV testing rates vary by urbanicity</w:t>
            </w:r>
            <w:r w:rsidR="0090659D">
              <w:rPr>
                <w:color w:val="000000" w:themeColor="text1"/>
                <w:sz w:val="20"/>
                <w:szCs w:val="20"/>
                <w:shd w:val="clear" w:color="auto" w:fill="FFFFFF"/>
              </w:rPr>
              <w:t>,</w:t>
            </w:r>
            <w:r w:rsidR="00C12CC3" w:rsidRPr="00EC05B0">
              <w:rPr>
                <w:color w:val="000000" w:themeColor="text1"/>
                <w:sz w:val="20"/>
                <w:szCs w:val="20"/>
                <w:shd w:val="clear" w:color="auto" w:fill="FFFFFF"/>
              </w:rPr>
              <w:fldChar w:fldCharType="begin" w:fldLock="1"/>
            </w:r>
            <w:r w:rsidR="007527CC">
              <w:rPr>
                <w:color w:val="000000" w:themeColor="text1"/>
                <w:sz w:val="20"/>
                <w:szCs w:val="20"/>
                <w:shd w:val="clear" w:color="auto" w:fill="FFFFFF"/>
              </w:rPr>
              <w:instrText>ADDIN CSL_CITATION {"citationItems":[{"id":"ITEM-1","itemData":{"DOI":"10.1017/S0266673100000246","ISSN":"0266-6731","PMID":"21825043","author":[{"dropping-particle":"","family":"National Institute of Statistics of Rwanda","given":"","non-dropping-particle":"","parse-names":false,"suffix":""}],"container-title":"Rwanda Mininstry of Health","id":"ITEM-1","issued":{"date-parts":[["2010"]]},"number-of-pages":"107-110","title":"Demographic and Health Survey report 2010","type":"report","volume":"2003"},"uris":["http://www.mendeley.com/documents/?uuid=58559d52-29dd-4d4e-abdf-fe4404b8ef71","http://www.mendeley.com/documents/?uuid=75fb8f85-ac3a-434c-a088-de0c0c70b296","http://www.mendeley.com/documents/?uuid=195b1d64-c29d-4fe4-8982-a9d9805491db"]},{"id":"ITEM-2","itemData":{"DOI":"March, 2016","ISBN":"9789997743091","author":[{"dropping-particle":"","family":"National Institute of Statistics of Rwanda (NISR) [Rwanda] Ministry of Health (MOH) [Rwanda] and ICF International.","given":"","non-dropping-particle":"","parse-names":false,"suffix":""}],"container-title":"Rwanda Mininstry of Health","id":"ITEM-2","issued":{"date-parts":[["2015"]]},"number-of-pages":"640","publisher-place":"Rockville, Maryland, USA: NISR, MOH, and ICF International.","title":"Rwanda Demographic and Health Survey 2014-15","type":"report"},"uris":["http://www.mendeley.com/documents/?uuid=1cd2afa0-8858-4818-a7e0-ec39e8a650ac","http://www.mendeley.com/documents/?uuid=92979b8f-5a59-4ac9-a743-4a0cdca47a78","http://www.mendeley.com/documents/?uuid=b26e7148-b697-4212-bb43-79b0366d0d6e","http://www.mendeley.com/documents/?uuid=c8a8c91a-970b-4852-ad15-bdb12bf421a7"]}],"mendeley":{"formattedCitation":"&lt;sup&gt;18,20&lt;/sup&gt;","plainTextFormattedCitation":"18,20","previouslyFormattedCitation":"&lt;sup&gt;19,21&lt;/sup&gt;"},"properties":{"noteIndex":0},"schema":"https://github.com/citation-style-language/schema/raw/master/csl-citation.json"}</w:instrText>
            </w:r>
            <w:r w:rsidR="00C12CC3" w:rsidRPr="00EC05B0">
              <w:rPr>
                <w:color w:val="000000" w:themeColor="text1"/>
                <w:sz w:val="20"/>
                <w:szCs w:val="20"/>
                <w:shd w:val="clear" w:color="auto" w:fill="FFFFFF"/>
              </w:rPr>
              <w:fldChar w:fldCharType="separate"/>
            </w:r>
            <w:r w:rsidR="007527CC" w:rsidRPr="007527CC">
              <w:rPr>
                <w:noProof/>
                <w:color w:val="000000" w:themeColor="text1"/>
                <w:sz w:val="20"/>
                <w:szCs w:val="20"/>
                <w:shd w:val="clear" w:color="auto" w:fill="FFFFFF"/>
                <w:vertAlign w:val="superscript"/>
              </w:rPr>
              <w:t>18,20</w:t>
            </w:r>
            <w:r w:rsidR="00C12CC3" w:rsidRPr="00EC05B0">
              <w:rPr>
                <w:color w:val="000000" w:themeColor="text1"/>
                <w:sz w:val="20"/>
                <w:szCs w:val="20"/>
                <w:shd w:val="clear" w:color="auto" w:fill="FFFFFF"/>
              </w:rPr>
              <w:fldChar w:fldCharType="end"/>
            </w:r>
            <w:r w:rsidR="00C12CC3" w:rsidRPr="00EC05B0">
              <w:rPr>
                <w:color w:val="000000" w:themeColor="text1"/>
                <w:sz w:val="20"/>
                <w:szCs w:val="20"/>
                <w:shd w:val="clear" w:color="auto" w:fill="FFFFFF"/>
              </w:rPr>
              <w:t xml:space="preserve"> </w:t>
            </w:r>
            <w:r w:rsidR="0090659D">
              <w:rPr>
                <w:color w:val="000000" w:themeColor="text1"/>
                <w:sz w:val="20"/>
                <w:szCs w:val="20"/>
                <w:shd w:val="clear" w:color="auto" w:fill="FFFFFF"/>
              </w:rPr>
              <w:t>with m</w:t>
            </w:r>
            <w:r w:rsidR="00C12CC3" w:rsidRPr="00EC05B0">
              <w:rPr>
                <w:color w:val="000000" w:themeColor="text1"/>
                <w:sz w:val="20"/>
                <w:szCs w:val="20"/>
                <w:shd w:val="clear" w:color="auto" w:fill="FFFFFF"/>
              </w:rPr>
              <w:t xml:space="preserve">ore people likely to test for HIV in urban vs rural areas. </w:t>
            </w:r>
          </w:p>
          <w:p w14:paraId="445E0528" w14:textId="6CC7AADF" w:rsidR="00657222" w:rsidRPr="00EC05B0" w:rsidRDefault="00657222" w:rsidP="00550A15">
            <w:pPr>
              <w:jc w:val="both"/>
              <w:rPr>
                <w:color w:val="000000" w:themeColor="text1"/>
                <w:sz w:val="20"/>
                <w:szCs w:val="20"/>
                <w:shd w:val="clear" w:color="auto" w:fill="FFFFFF"/>
              </w:rPr>
            </w:pPr>
          </w:p>
        </w:tc>
      </w:tr>
    </w:tbl>
    <w:p w14:paraId="2BF14808" w14:textId="77777777" w:rsidR="00C651A4" w:rsidRPr="00830781" w:rsidRDefault="00C651A4" w:rsidP="00122CDD">
      <w:pPr>
        <w:jc w:val="both"/>
        <w:rPr>
          <w:b/>
          <w:color w:val="000000" w:themeColor="text1"/>
        </w:rPr>
      </w:pPr>
    </w:p>
    <w:p w14:paraId="27B13D7B" w14:textId="3F127CED" w:rsidR="00C651A4" w:rsidRPr="00830781" w:rsidRDefault="00C651A4">
      <w:pPr>
        <w:jc w:val="both"/>
        <w:rPr>
          <w:b/>
          <w:color w:val="000000" w:themeColor="text1"/>
        </w:rPr>
        <w:sectPr w:rsidR="00C651A4" w:rsidRPr="00830781" w:rsidSect="00C651A4">
          <w:pgSz w:w="15840" w:h="12240" w:orient="landscape"/>
          <w:pgMar w:top="1440" w:right="1440" w:bottom="1440" w:left="1440" w:header="720" w:footer="720" w:gutter="0"/>
          <w:cols w:space="720"/>
          <w:docGrid w:linePitch="360"/>
        </w:sectPr>
      </w:pPr>
    </w:p>
    <w:p w14:paraId="23179707" w14:textId="041ACCA9" w:rsidR="00B33B19" w:rsidRPr="000938D7" w:rsidRDefault="00C651A4">
      <w:pPr>
        <w:pStyle w:val="Heading1"/>
        <w:spacing w:before="0"/>
        <w:rPr>
          <w:rFonts w:cs="Times New Roman"/>
          <w:szCs w:val="24"/>
        </w:rPr>
      </w:pPr>
      <w:bookmarkStart w:id="30" w:name="_Toc82592643"/>
      <w:r w:rsidRPr="000938D7">
        <w:rPr>
          <w:rFonts w:cs="Times New Roman"/>
          <w:szCs w:val="24"/>
        </w:rPr>
        <w:lastRenderedPageBreak/>
        <w:t>System of equations</w:t>
      </w:r>
      <w:bookmarkEnd w:id="30"/>
    </w:p>
    <w:p w14:paraId="714DE143" w14:textId="77777777" w:rsidR="00410278" w:rsidRDefault="00410278">
      <w:pPr>
        <w:jc w:val="both"/>
        <w:rPr>
          <w:bCs/>
        </w:rPr>
      </w:pPr>
    </w:p>
    <w:p w14:paraId="4358F241" w14:textId="50B4D23C" w:rsidR="0087090A" w:rsidRDefault="003E7228">
      <w:pPr>
        <w:jc w:val="both"/>
        <w:rPr>
          <w:bCs/>
        </w:rPr>
      </w:pPr>
      <w:r>
        <w:rPr>
          <w:bCs/>
        </w:rPr>
        <w:t xml:space="preserve">Epidemic dynamics and disease progression </w:t>
      </w:r>
      <w:r w:rsidR="00480FF8">
        <w:rPr>
          <w:bCs/>
        </w:rPr>
        <w:t xml:space="preserve">in the current model </w:t>
      </w:r>
      <w:r>
        <w:rPr>
          <w:bCs/>
        </w:rPr>
        <w:t xml:space="preserve">are captured by </w:t>
      </w:r>
      <w:r w:rsidR="00B33B19">
        <w:rPr>
          <w:bCs/>
        </w:rPr>
        <w:t xml:space="preserve">a </w:t>
      </w:r>
      <w:r w:rsidR="00480FF8">
        <w:rPr>
          <w:bCs/>
        </w:rPr>
        <w:t xml:space="preserve">system of </w:t>
      </w:r>
      <w:r w:rsidR="0087090A" w:rsidRPr="00830781">
        <w:rPr>
          <w:bCs/>
        </w:rPr>
        <w:t>equ</w:t>
      </w:r>
      <w:r w:rsidR="00AA481E">
        <w:rPr>
          <w:bCs/>
        </w:rPr>
        <w:t xml:space="preserve">ations. </w:t>
      </w:r>
      <w:r w:rsidR="00026202">
        <w:rPr>
          <w:bCs/>
        </w:rPr>
        <w:t>S</w:t>
      </w:r>
      <w:r w:rsidR="00480FF8">
        <w:rPr>
          <w:bCs/>
        </w:rPr>
        <w:t>ystem</w:t>
      </w:r>
      <w:r w:rsidR="00026202">
        <w:rPr>
          <w:bCs/>
        </w:rPr>
        <w:t>s</w:t>
      </w:r>
      <w:r w:rsidR="00480FF8">
        <w:rPr>
          <w:bCs/>
        </w:rPr>
        <w:t xml:space="preserve"> of equations </w:t>
      </w:r>
      <w:r w:rsidR="00026202">
        <w:rPr>
          <w:bCs/>
        </w:rPr>
        <w:t xml:space="preserve">in dynamic models are </w:t>
      </w:r>
      <w:r w:rsidR="00480FF8">
        <w:rPr>
          <w:bCs/>
        </w:rPr>
        <w:t xml:space="preserve">typically expressed using </w:t>
      </w:r>
      <w:r w:rsidR="00026202">
        <w:rPr>
          <w:bCs/>
        </w:rPr>
        <w:t xml:space="preserve">ordinary </w:t>
      </w:r>
      <w:r w:rsidR="00480FF8">
        <w:rPr>
          <w:bCs/>
        </w:rPr>
        <w:t>differential equations</w:t>
      </w:r>
      <w:r w:rsidR="00657222">
        <w:rPr>
          <w:bCs/>
        </w:rPr>
        <w:t xml:space="preserve">, which are represented </w:t>
      </w:r>
      <w:r w:rsidR="005D24E3">
        <w:rPr>
          <w:bCs/>
        </w:rPr>
        <w:t xml:space="preserve">below. </w:t>
      </w:r>
      <w:commentRangeStart w:id="31"/>
      <w:commentRangeStart w:id="32"/>
      <w:r w:rsidR="002F2D08">
        <w:rPr>
          <w:bCs/>
        </w:rPr>
        <w:t>Similar to other modeling groups,</w:t>
      </w:r>
      <w:r w:rsidR="000938D7">
        <w:rPr>
          <w:bCs/>
        </w:rPr>
        <w:fldChar w:fldCharType="begin" w:fldLock="1"/>
      </w:r>
      <w:r w:rsidR="007527CC">
        <w:rPr>
          <w:bCs/>
        </w:rPr>
        <w:instrText>ADDIN CSL_CITATION {"citationItems":[{"id":"ITEM-1","itemData":{"ISBN":"1525-4135","author":[{"dropping-particle":"","family":"Kerr","given":"Cliff C","non-dropping-particle":"","parse-names":false,"suffix":""},{"dropping-particle":"","family":"Stuart","given":"Robyn M","non-dropping-particle":"","parse-names":false,"suffix":""},{"dropping-particle":"","family":"Gray","given":"Richard T","non-dropping-particle":"","parse-names":false,"suffix":""},{"dropping-particle":"","family":"Shattock","given":"Andrew J","non-dropping-particle":"","parse-names":false,"suffix":""},{"dropping-particle":"","family":"Fraser-Hurt","given":"Nicole","non-dropping-particle":"","parse-names":false,"suffix":""},{"dropping-particle":"","family":"Benedikt","given":"Clemens","non-dropping-particle":"","parse-names":false,"suffix":""},{"dropping-particle":"","family":"Haacker","given":"Markus","non-dropping-particle":"","parse-names":false,"suffix":""},{"dropping-particle":"","family":"Berdnikov","given":"Maxim","non-dropping-particle":"","parse-names":false,"suffix":""},{"dropping-particle":"","family":"Mahmood","given":"Ahmed Mohamed","non-dropping-particle":"","parse-names":false,"suffix":""},{"dropping-particle":"","family":"Jaber","given":"Seham Abdalla","non-dropping-particle":"","parse-names":false,"suffix":""}],"container-title":"JAIDS Journal of Acquired Immune Deficiency Syndromes","id":"ITEM-1","issue":"3","issued":{"date-parts":[["2015"]]},"page":"365-376","title":"Optima: a model for HIV epidemic analysis, program prioritization, and resource optimization","type":"article-journal","volume":"69"},"uris":["http://www.mendeley.com/documents/?uuid=368f1f94-0c4c-451e-b7ec-fa01ad076dce"]},{"id":"ITEM-2","itemData":{"DOI":"10.7326/M15-2634","ISSN":"15393704","abstract":"Background: The total population health benefits and costs of HIV preexposure prophylaxis (PrEP) for people who inject drugs (PWID) in the United States are unclear. Objective: To evaluate the cost-effectiveness and optimal delivery conditions of PrEP for PWID. Design: Empirically calibrated dynamic compartmental model. Data Sources: Published literature and expert opinion. Target Population: Adult U.S. PWID. Time Horizon: 20 years and lifetime. Intervention: PrEP alone, PrEP with frequent screening (PrEP+screen), and PrEP+screen with enhanced provision of antiretroviral therapy (ART) for individuals who become infected (PrEP+screen+ART). All scenarios are considered at 25% coverage. Outcome Measures: Infections averted, deaths averted, change in HIV prevalence, discounted costs (in 2015 U.S. dollars), discounted quality-adjusted life-years (QALYs), and incremental cost-effectiveness ratios. Results of Base-Case Analysis: PrEP+screen+ART dominates other strategies, averting 26 700 infections and reducing HIV prevalence among PWID by 14% compared with the status quo. Achieving these benefits costs $253 000 per QALY gained. At current drug prices, total expenditures for PrEP+screen+ART could be as high as $44 billion over 20 years. Results of Sensitivity Analysis: Cost-effectiveness of the intervention is linear in the annual cost of PrEP and is dependent on PrEP drug adherence, individual transmission risks, and community HIV prevalence. Limitation: Data on risk stratification and achievable PrEP efficacy levels for U.S. PWID are limited. Conclusion: PrEP with frequent screening and prompt treatment for those who become infected can reduce HIV burden among PWID and provide health benefits for the entire U.S. population, but, at current drug prices, it remains an expensive intervention both in absolute terms and in cost per QALY gained. Primary Funding Source: National Institute on Drug Abuse.","author":[{"dropping-particle":"","family":"Bernard","given":"Cora L.","non-dropping-particle":"","parse-names":false,"suffix":""},{"dropping-particle":"","family":"Brandeau","given":"Margaret L.","non-dropping-particle":"","parse-names":false,"suffix":""},{"dropping-particle":"","family":"Humphreys","given":"Keith","non-dropping-particle":"","parse-names":false,"suffix":""},{"dropping-particle":"","family":"Bendavid","given":"Eran","non-dropping-particle":"","parse-names":false,"suffix":""},{"dropping-particle":"","family":"Holodniy","given":"Mark","non-dropping-particle":"","parse-names":false,"suffix":""},{"dropping-particle":"","family":"Weyant","given":"Christopher","non-dropping-particle":"","parse-names":false,"suffix":""},{"dropping-particle":"","family":"Owens","given":"Douglas K.","non-dropping-particle":"","parse-names":false,"suffix":""},{"dropping-particle":"","family":"Goldhaber-Fiebert","given":"Jeremy D.","non-dropping-particle":"","parse-names":false,"suffix":""}],"container-title":"Annals of Internal Medicine","id":"ITEM-2","issue":"1","issued":{"date-parts":[["2016"]]},"page":"10-19","title":"Cost-effectiveness of HIV preexposure prophylaxis for people who inject drugs in the United States","type":"article-journal","volume":"165"},"uris":["http://www.mendeley.com/documents/?uuid=94702cab-0b7c-4b12-88d8-3b43f3aa7162"]}],"mendeley":{"formattedCitation":"&lt;sup&gt;34,35&lt;/sup&gt;","plainTextFormattedCitation":"34,35","previouslyFormattedCitation":"&lt;sup&gt;35&lt;/sup&gt;"},"properties":{"noteIndex":0},"schema":"https://github.com/citation-style-language/schema/raw/master/csl-citation.json"}</w:instrText>
      </w:r>
      <w:r w:rsidR="000938D7">
        <w:rPr>
          <w:bCs/>
        </w:rPr>
        <w:fldChar w:fldCharType="separate"/>
      </w:r>
      <w:r w:rsidR="007527CC" w:rsidRPr="007527CC">
        <w:rPr>
          <w:bCs/>
          <w:noProof/>
          <w:vertAlign w:val="superscript"/>
        </w:rPr>
        <w:t>34,35</w:t>
      </w:r>
      <w:r w:rsidR="000938D7">
        <w:rPr>
          <w:bCs/>
        </w:rPr>
        <w:fldChar w:fldCharType="end"/>
      </w:r>
      <w:r w:rsidR="002F2D08">
        <w:rPr>
          <w:bCs/>
        </w:rPr>
        <w:t xml:space="preserve"> </w:t>
      </w:r>
      <w:commentRangeEnd w:id="31"/>
      <w:r w:rsidR="00F237AE">
        <w:rPr>
          <w:rStyle w:val="Heading2Char"/>
        </w:rPr>
        <w:commentReference w:id="31"/>
      </w:r>
      <w:commentRangeEnd w:id="32"/>
      <w:r w:rsidR="00FA7C7E">
        <w:rPr>
          <w:rStyle w:val="CommentReference"/>
        </w:rPr>
        <w:commentReference w:id="32"/>
      </w:r>
      <w:r w:rsidR="002F2D08">
        <w:rPr>
          <w:bCs/>
        </w:rPr>
        <w:t>h</w:t>
      </w:r>
      <w:r w:rsidR="005D24E3">
        <w:rPr>
          <w:bCs/>
        </w:rPr>
        <w:t xml:space="preserve">owever, </w:t>
      </w:r>
      <w:r w:rsidR="00026202">
        <w:rPr>
          <w:bCs/>
        </w:rPr>
        <w:t xml:space="preserve">we </w:t>
      </w:r>
      <w:r w:rsidR="002F2D08">
        <w:rPr>
          <w:bCs/>
        </w:rPr>
        <w:t xml:space="preserve">implement the </w:t>
      </w:r>
      <w:r w:rsidR="00F237AE">
        <w:rPr>
          <w:bCs/>
        </w:rPr>
        <w:t xml:space="preserve">system using </w:t>
      </w:r>
      <w:r w:rsidR="00F63A5E">
        <w:rPr>
          <w:bCs/>
        </w:rPr>
        <w:t xml:space="preserve">a discrete approximate of the derivatives </w:t>
      </w:r>
      <w:r w:rsidR="00F237AE">
        <w:rPr>
          <w:bCs/>
        </w:rPr>
        <w:t xml:space="preserve">in </w:t>
      </w:r>
      <w:r w:rsidR="00026202">
        <w:rPr>
          <w:bCs/>
        </w:rPr>
        <w:t>a system of difference equations</w:t>
      </w:r>
      <w:r w:rsidR="00F63A5E">
        <w:rPr>
          <w:bCs/>
        </w:rPr>
        <w:t>. This approach</w:t>
      </w:r>
      <w:r w:rsidR="00026202">
        <w:rPr>
          <w:bCs/>
        </w:rPr>
        <w:t xml:space="preserve"> decreases computational burden relative to </w:t>
      </w:r>
      <w:r w:rsidR="00F63A5E">
        <w:rPr>
          <w:bCs/>
        </w:rPr>
        <w:t xml:space="preserve">use of </w:t>
      </w:r>
      <w:r w:rsidR="00026202">
        <w:rPr>
          <w:bCs/>
        </w:rPr>
        <w:t xml:space="preserve">differential </w:t>
      </w:r>
      <w:r w:rsidR="00F63A5E">
        <w:rPr>
          <w:bCs/>
        </w:rPr>
        <w:t>equations and allows the model to project outcomes at discrete time points, versus measuring rates of change</w:t>
      </w:r>
      <w:r w:rsidR="0059715E">
        <w:rPr>
          <w:bCs/>
        </w:rPr>
        <w:t xml:space="preserve"> over time</w:t>
      </w:r>
      <w:r w:rsidR="00F63A5E">
        <w:rPr>
          <w:bCs/>
        </w:rPr>
        <w:t>.</w:t>
      </w:r>
      <w:r w:rsidR="00480FF8">
        <w:rPr>
          <w:bCs/>
        </w:rPr>
        <w:t xml:space="preserve"> </w:t>
      </w:r>
      <w:r w:rsidR="00BD2714">
        <w:rPr>
          <w:bCs/>
        </w:rPr>
        <w:t>We emphasize that the system</w:t>
      </w:r>
      <w:r w:rsidR="002A719E">
        <w:rPr>
          <w:bCs/>
        </w:rPr>
        <w:t>s</w:t>
      </w:r>
      <w:r w:rsidR="00BD2714">
        <w:rPr>
          <w:bCs/>
        </w:rPr>
        <w:t xml:space="preserve"> of equations shown app</w:t>
      </w:r>
      <w:r w:rsidR="002A719E">
        <w:rPr>
          <w:bCs/>
        </w:rPr>
        <w:t xml:space="preserve">ly </w:t>
      </w:r>
      <w:r w:rsidR="00BD2714">
        <w:rPr>
          <w:bCs/>
        </w:rPr>
        <w:t xml:space="preserve">to each modeled </w:t>
      </w:r>
      <w:r w:rsidR="00464588">
        <w:rPr>
          <w:bCs/>
        </w:rPr>
        <w:t>sub-population</w:t>
      </w:r>
      <w:r w:rsidR="00442E5B">
        <w:rPr>
          <w:bCs/>
        </w:rPr>
        <w:t xml:space="preserve">, such that the system below is </w:t>
      </w:r>
      <w:r w:rsidR="00237AEE">
        <w:rPr>
          <w:bCs/>
        </w:rPr>
        <w:t xml:space="preserve">applied to each </w:t>
      </w:r>
      <w:r w:rsidR="002A719E">
        <w:rPr>
          <w:bCs/>
        </w:rPr>
        <w:t>of the 2</w:t>
      </w:r>
      <w:r w:rsidR="00827551">
        <w:rPr>
          <w:bCs/>
        </w:rPr>
        <w:t>5</w:t>
      </w:r>
      <w:r w:rsidR="002A719E">
        <w:rPr>
          <w:bCs/>
        </w:rPr>
        <w:t xml:space="preserve"> individual </w:t>
      </w:r>
      <w:r w:rsidR="00464588">
        <w:rPr>
          <w:bCs/>
        </w:rPr>
        <w:t xml:space="preserve">sub-populations </w:t>
      </w:r>
      <w:r w:rsidR="002A719E">
        <w:rPr>
          <w:bCs/>
        </w:rPr>
        <w:t xml:space="preserve">resulting in </w:t>
      </w:r>
      <w:r w:rsidR="009938AF">
        <w:rPr>
          <w:bCs/>
        </w:rPr>
        <w:t>650</w:t>
      </w:r>
      <w:r w:rsidR="002A719E">
        <w:rPr>
          <w:bCs/>
        </w:rPr>
        <w:t xml:space="preserve"> model compartments. </w:t>
      </w:r>
      <w:r w:rsidR="00F237AE">
        <w:rPr>
          <w:bCs/>
        </w:rPr>
        <w:t>The systems of differe</w:t>
      </w:r>
      <w:r w:rsidR="00D73EC3">
        <w:rPr>
          <w:bCs/>
        </w:rPr>
        <w:t>nce</w:t>
      </w:r>
      <w:r w:rsidR="00F237AE">
        <w:rPr>
          <w:bCs/>
        </w:rPr>
        <w:t xml:space="preserve"> equations are shown below, while the system of differen</w:t>
      </w:r>
      <w:r w:rsidR="00D73EC3">
        <w:rPr>
          <w:bCs/>
        </w:rPr>
        <w:t>tial</w:t>
      </w:r>
      <w:r w:rsidR="00F237AE">
        <w:rPr>
          <w:bCs/>
        </w:rPr>
        <w:t xml:space="preserve"> equations is in </w:t>
      </w:r>
      <w:r w:rsidR="000D0825">
        <w:rPr>
          <w:rFonts w:hint="eastAsia"/>
          <w:b/>
        </w:rPr>
        <w:t>Section</w:t>
      </w:r>
      <w:r w:rsidR="000D0825">
        <w:rPr>
          <w:b/>
        </w:rPr>
        <w:t xml:space="preserve"> </w:t>
      </w:r>
      <w:r w:rsidR="000D0825">
        <w:rPr>
          <w:b/>
          <w:bCs/>
        </w:rPr>
        <w:fldChar w:fldCharType="begin"/>
      </w:r>
      <w:r w:rsidR="000D0825">
        <w:rPr>
          <w:b/>
          <w:bCs/>
        </w:rPr>
        <w:instrText xml:space="preserve"> REF _Ref81781132 \r \h </w:instrText>
      </w:r>
      <w:r w:rsidR="000D0825">
        <w:rPr>
          <w:b/>
          <w:bCs/>
        </w:rPr>
      </w:r>
      <w:r w:rsidR="000D0825">
        <w:rPr>
          <w:b/>
          <w:bCs/>
        </w:rPr>
        <w:fldChar w:fldCharType="separate"/>
      </w:r>
      <w:r w:rsidR="001E49BE">
        <w:rPr>
          <w:b/>
          <w:bCs/>
        </w:rPr>
        <w:t>11.3</w:t>
      </w:r>
      <w:r w:rsidR="000D0825">
        <w:rPr>
          <w:b/>
          <w:bCs/>
        </w:rPr>
        <w:fldChar w:fldCharType="end"/>
      </w:r>
      <w:r w:rsidR="00F237AE">
        <w:rPr>
          <w:bCs/>
        </w:rPr>
        <w:t xml:space="preserve">. </w:t>
      </w:r>
      <w:r w:rsidR="00E56B08">
        <w:rPr>
          <w:bCs/>
        </w:rPr>
        <w:t>Model compartments</w:t>
      </w:r>
      <w:r w:rsidR="005C03CD">
        <w:rPr>
          <w:bCs/>
        </w:rPr>
        <w:t xml:space="preserve"> </w:t>
      </w:r>
      <w:r w:rsidR="00E56B08">
        <w:rPr>
          <w:bCs/>
        </w:rPr>
        <w:t>in the system of equations are described in</w:t>
      </w:r>
      <w:r w:rsidR="000D0825">
        <w:rPr>
          <w:bCs/>
        </w:rPr>
        <w:t xml:space="preserve"> </w:t>
      </w:r>
      <w:r w:rsidR="000D0825">
        <w:rPr>
          <w:bCs/>
        </w:rPr>
        <w:fldChar w:fldCharType="begin"/>
      </w:r>
      <w:r w:rsidR="000D0825">
        <w:rPr>
          <w:bCs/>
        </w:rPr>
        <w:instrText xml:space="preserve"> REF _Ref81781161 \h </w:instrText>
      </w:r>
      <w:r w:rsidR="000D0825">
        <w:rPr>
          <w:bCs/>
        </w:rPr>
      </w:r>
      <w:r w:rsidR="000D0825">
        <w:rPr>
          <w:bCs/>
        </w:rPr>
        <w:fldChar w:fldCharType="separate"/>
      </w:r>
      <w:r w:rsidR="001E49BE" w:rsidRPr="00710211">
        <w:rPr>
          <w:b/>
          <w:bCs/>
          <w:color w:val="000000" w:themeColor="text1"/>
        </w:rPr>
        <w:t xml:space="preserve">Table </w:t>
      </w:r>
      <w:r w:rsidR="001E49BE">
        <w:rPr>
          <w:b/>
          <w:bCs/>
          <w:noProof/>
          <w:color w:val="000000" w:themeColor="text1"/>
        </w:rPr>
        <w:t>2</w:t>
      </w:r>
      <w:r w:rsidR="000D0825">
        <w:rPr>
          <w:bCs/>
        </w:rPr>
        <w:fldChar w:fldCharType="end"/>
      </w:r>
      <w:r w:rsidR="00E56B08" w:rsidRPr="00E56B08">
        <w:rPr>
          <w:bCs/>
        </w:rPr>
        <w:t xml:space="preserve">. </w:t>
      </w:r>
    </w:p>
    <w:p w14:paraId="75BF6170" w14:textId="77777777" w:rsidR="00BD2714" w:rsidRPr="00830781" w:rsidRDefault="00BD2714">
      <w:pPr>
        <w:jc w:val="both"/>
        <w:rPr>
          <w:bCs/>
        </w:rPr>
      </w:pPr>
    </w:p>
    <w:p w14:paraId="0D5ABCA7" w14:textId="77777777" w:rsidR="00D77AB6" w:rsidRPr="00E56B08" w:rsidRDefault="00D77AB6">
      <w:pPr>
        <w:jc w:val="both"/>
        <w:rPr>
          <w:i/>
          <w:color w:val="000000" w:themeColor="text1"/>
        </w:rPr>
      </w:pPr>
      <w:r w:rsidRPr="00E56B08">
        <w:rPr>
          <w:i/>
          <w:color w:val="000000" w:themeColor="text1"/>
        </w:rPr>
        <w:t xml:space="preserve">Susceptible Population  </w:t>
      </w:r>
    </w:p>
    <w:p w14:paraId="6D041C18" w14:textId="77777777" w:rsidR="00D77AB6" w:rsidRPr="00CC65CD" w:rsidRDefault="00000000">
      <w:pPr>
        <w:jc w:val="both"/>
        <w:rPr>
          <w:b/>
          <w:color w:val="000000" w:themeColor="text1"/>
        </w:rPr>
      </w:pPr>
      <m:oMathPara>
        <m:oMathParaPr>
          <m:jc m:val="left"/>
        </m:oMathParaPr>
        <m:oMath>
          <m:sSub>
            <m:sSubPr>
              <m:ctrlPr>
                <w:rPr>
                  <w:rFonts w:ascii="Cambria Math" w:hAnsi="Cambria Math"/>
                  <w:color w:val="000000" w:themeColor="text1"/>
                </w:rPr>
              </m:ctrlPr>
            </m:sSubPr>
            <m:e>
              <m:r>
                <m:rPr>
                  <m:sty m:val="p"/>
                </m:rPr>
                <w:rPr>
                  <w:rFonts w:ascii="Cambria Math" w:hAnsi="Cambria Math"/>
                  <w:color w:val="000000" w:themeColor="text1"/>
                </w:rPr>
                <m:t>S</m:t>
              </m:r>
            </m:e>
            <m:sub>
              <m:r>
                <m:rPr>
                  <m:sty m:val="p"/>
                </m:rPr>
                <w:rPr>
                  <w:rFonts w:ascii="Cambria Math" w:hAnsi="Cambria Math"/>
                  <w:color w:val="000000" w:themeColor="text1"/>
                </w:rPr>
                <m:t>t</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S</m:t>
              </m:r>
            </m:e>
            <m:sub>
              <m:r>
                <m:rPr>
                  <m:sty m:val="p"/>
                </m:rPr>
                <w:rPr>
                  <w:rFonts w:ascii="Cambria Math" w:hAnsi="Cambria Math"/>
                  <w:color w:val="000000" w:themeColor="text1"/>
                </w:rPr>
                <m:t>t-1</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ρ</m:t>
              </m:r>
            </m:e>
            <m:sub>
              <m:r>
                <m:rPr>
                  <m:sty m:val="p"/>
                </m:rPr>
                <w:rPr>
                  <w:rFonts w:ascii="Cambria Math" w:hAnsi="Cambria Math"/>
                  <w:color w:val="000000" w:themeColor="text1"/>
                </w:rPr>
                <m:t>t</m:t>
              </m:r>
            </m:sub>
          </m:sSub>
          <m:sSub>
            <m:sSubPr>
              <m:ctrlPr>
                <w:rPr>
                  <w:rFonts w:ascii="Cambria Math" w:hAnsi="Cambria Math"/>
                  <w:color w:val="000000" w:themeColor="text1"/>
                </w:rPr>
              </m:ctrlPr>
            </m:sSubPr>
            <m:e>
              <m:r>
                <m:rPr>
                  <m:sty m:val="p"/>
                </m:rPr>
                <w:rPr>
                  <w:rFonts w:ascii="Cambria Math" w:hAnsi="Cambria Math"/>
                  <w:color w:val="000000" w:themeColor="text1"/>
                </w:rPr>
                <m:t>S</m:t>
              </m:r>
            </m:e>
            <m:sub>
              <m:r>
                <m:rPr>
                  <m:sty m:val="p"/>
                </m:rPr>
                <w:rPr>
                  <w:rFonts w:ascii="Cambria Math" w:hAnsi="Cambria Math"/>
                  <w:color w:val="000000" w:themeColor="text1"/>
                </w:rPr>
                <m:t>t-1</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λ</m:t>
              </m:r>
            </m:e>
            <m:sub>
              <m:r>
                <m:rPr>
                  <m:sty m:val="p"/>
                </m:rPr>
                <w:rPr>
                  <w:rFonts w:ascii="Cambria Math" w:hAnsi="Cambria Math"/>
                  <w:color w:val="000000" w:themeColor="text1"/>
                </w:rPr>
                <m:t>tr</m:t>
              </m:r>
            </m:sub>
          </m:sSub>
          <m:sSub>
            <m:sSubPr>
              <m:ctrlPr>
                <w:rPr>
                  <w:rFonts w:ascii="Cambria Math" w:hAnsi="Cambria Math"/>
                  <w:color w:val="000000" w:themeColor="text1"/>
                </w:rPr>
              </m:ctrlPr>
            </m:sSubPr>
            <m:e>
              <m:r>
                <m:rPr>
                  <m:sty m:val="p"/>
                </m:rPr>
                <w:rPr>
                  <w:rFonts w:ascii="Cambria Math" w:hAnsi="Cambria Math"/>
                  <w:color w:val="000000" w:themeColor="text1"/>
                </w:rPr>
                <m:t>S</m:t>
              </m:r>
            </m:e>
            <m:sub>
              <m:r>
                <m:rPr>
                  <m:sty m:val="p"/>
                </m:rPr>
                <w:rPr>
                  <w:rFonts w:ascii="Cambria Math" w:hAnsi="Cambria Math"/>
                  <w:color w:val="000000" w:themeColor="text1"/>
                </w:rPr>
                <m:t>t-1</m:t>
              </m:r>
            </m:sub>
          </m:sSub>
          <m:r>
            <m:rPr>
              <m:sty m:val="p"/>
            </m:rPr>
            <w:rPr>
              <w:rFonts w:ascii="Cambria Math" w:hAnsi="Cambria Math"/>
              <w:color w:val="000000" w:themeColor="text1"/>
            </w:rPr>
            <m:t xml:space="preserve">  </m:t>
          </m:r>
        </m:oMath>
      </m:oMathPara>
    </w:p>
    <w:p w14:paraId="51B6C538" w14:textId="77777777" w:rsidR="00D77AB6" w:rsidRPr="00830781" w:rsidRDefault="00D77AB6">
      <w:pPr>
        <w:jc w:val="both"/>
        <w:rPr>
          <w:b/>
          <w:color w:val="000000" w:themeColor="text1"/>
        </w:rPr>
      </w:pPr>
    </w:p>
    <w:p w14:paraId="6BB8E2F6" w14:textId="77777777" w:rsidR="00D77AB6" w:rsidRPr="00CC65CD" w:rsidRDefault="00D77AB6">
      <w:pPr>
        <w:jc w:val="both"/>
        <w:rPr>
          <w:i/>
          <w:color w:val="000000" w:themeColor="text1"/>
        </w:rPr>
      </w:pPr>
      <w:r w:rsidRPr="00CC65CD">
        <w:rPr>
          <w:i/>
          <w:color w:val="000000" w:themeColor="text1"/>
        </w:rPr>
        <w:t>Infected</w:t>
      </w:r>
      <w:r>
        <w:rPr>
          <w:i/>
          <w:color w:val="000000" w:themeColor="text1"/>
        </w:rPr>
        <w:t>, Und</w:t>
      </w:r>
      <w:r w:rsidRPr="00CC65CD">
        <w:rPr>
          <w:i/>
          <w:color w:val="000000" w:themeColor="text1"/>
        </w:rPr>
        <w:t>iagnosed</w:t>
      </w:r>
    </w:p>
    <w:p w14:paraId="2EE7ED9B"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λ</m:t>
              </m:r>
            </m:e>
            <m:sub>
              <m:r>
                <m:rPr>
                  <m:sty m:val="p"/>
                </m:rPr>
                <w:rPr>
                  <w:rFonts w:ascii="Cambria Math" w:hAnsi="Cambria Math"/>
                  <w:color w:val="000000" w:themeColor="text1"/>
                </w:rPr>
                <m:t>tr</m:t>
              </m:r>
            </m:sub>
          </m:sSub>
          <m:sSub>
            <m:sSubPr>
              <m:ctrlPr>
                <w:rPr>
                  <w:rFonts w:ascii="Cambria Math" w:hAnsi="Cambria Math"/>
                  <w:iCs/>
                  <w:color w:val="000000" w:themeColor="text1"/>
                </w:rPr>
              </m:ctrlPr>
            </m:sSubPr>
            <m:e>
              <m:r>
                <m:rPr>
                  <m:sty m:val="p"/>
                </m:rPr>
                <w:rPr>
                  <w:rFonts w:ascii="Cambria Math" w:hAnsi="Cambria Math"/>
                  <w:color w:val="000000" w:themeColor="text1"/>
                </w:rPr>
                <m:t>S</m:t>
              </m:r>
            </m:e>
            <m:sub>
              <m:r>
                <m:rPr>
                  <m:sty m:val="p"/>
                </m:rPr>
                <w:rPr>
                  <w:rFonts w:ascii="Cambria Math" w:hAnsi="Cambria Math"/>
                  <w:color w:val="000000" w:themeColor="text1"/>
                </w:rPr>
                <m:t>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α</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1,t-1</m:t>
              </m:r>
            </m:sub>
          </m:sSub>
        </m:oMath>
      </m:oMathPara>
    </w:p>
    <w:p w14:paraId="12931F10"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 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α</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2,t-1</m:t>
              </m:r>
            </m:sub>
          </m:sSub>
        </m:oMath>
      </m:oMathPara>
    </w:p>
    <w:p w14:paraId="311B74CB"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3,t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3,t-1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 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3,t-1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α</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3,t-1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3,t-1</m:t>
              </m:r>
            </m:sub>
          </m:sSub>
        </m:oMath>
      </m:oMathPara>
    </w:p>
    <w:p w14:paraId="055C4A45"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4,t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4,t-1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3,t-1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α</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4,t-1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4,t-1</m:t>
              </m:r>
            </m:sub>
          </m:sSub>
        </m:oMath>
      </m:oMathPara>
    </w:p>
    <w:p w14:paraId="4099E739" w14:textId="77777777" w:rsidR="00D77AB6" w:rsidRDefault="00D77AB6">
      <w:pPr>
        <w:jc w:val="both"/>
        <w:rPr>
          <w:b/>
          <w:color w:val="000000" w:themeColor="text1"/>
        </w:rPr>
      </w:pPr>
    </w:p>
    <w:p w14:paraId="6B484B59" w14:textId="77777777" w:rsidR="00D77AB6" w:rsidRPr="00CC65CD" w:rsidRDefault="00D77AB6">
      <w:pPr>
        <w:jc w:val="both"/>
        <w:rPr>
          <w:i/>
          <w:color w:val="000000" w:themeColor="text1"/>
        </w:rPr>
      </w:pPr>
      <w:r w:rsidRPr="00CC65CD">
        <w:rPr>
          <w:i/>
          <w:color w:val="000000" w:themeColor="text1"/>
        </w:rPr>
        <w:t>Infected</w:t>
      </w:r>
      <w:r>
        <w:rPr>
          <w:i/>
          <w:color w:val="000000" w:themeColor="text1"/>
        </w:rPr>
        <w:t xml:space="preserve">, </w:t>
      </w:r>
      <w:r w:rsidRPr="00CC65CD">
        <w:rPr>
          <w:i/>
          <w:color w:val="000000" w:themeColor="text1"/>
        </w:rPr>
        <w:t xml:space="preserve">Diagnosed </w:t>
      </w:r>
    </w:p>
    <w:p w14:paraId="4F7F86C6"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5,t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5,t-1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α</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5,t-1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5,t-1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5,t-1</m:t>
              </m:r>
            </m:sub>
          </m:sSub>
        </m:oMath>
      </m:oMathPara>
    </w:p>
    <w:p w14:paraId="6A623411"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6,t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6,t-1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α</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5,t-1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6,t-1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6,t-1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6,t-1</m:t>
              </m:r>
            </m:sub>
          </m:sSub>
        </m:oMath>
      </m:oMathPara>
    </w:p>
    <w:p w14:paraId="54745DB8"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7,t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7,t-1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α</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3,t-1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6,t-1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7,t-1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7,t-1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7,t-1</m:t>
              </m:r>
            </m:sub>
          </m:sSub>
        </m:oMath>
      </m:oMathPara>
    </w:p>
    <w:p w14:paraId="0F3C4B1E"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8,t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8,t-1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α</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4,t-1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7,t-1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8,t-1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8,t-1</m:t>
              </m:r>
            </m:sub>
          </m:sSub>
        </m:oMath>
      </m:oMathPara>
    </w:p>
    <w:p w14:paraId="171A6743" w14:textId="77777777" w:rsidR="00D77AB6" w:rsidRPr="00830781" w:rsidRDefault="00D77AB6">
      <w:pPr>
        <w:jc w:val="both"/>
        <w:rPr>
          <w:b/>
          <w:color w:val="000000" w:themeColor="text1"/>
        </w:rPr>
      </w:pPr>
    </w:p>
    <w:p w14:paraId="6AF83301" w14:textId="026B167B" w:rsidR="00D77AB6" w:rsidRPr="00CC65CD" w:rsidRDefault="00D77AB6">
      <w:pPr>
        <w:jc w:val="both"/>
        <w:rPr>
          <w:i/>
          <w:color w:val="000000" w:themeColor="text1"/>
        </w:rPr>
      </w:pPr>
      <w:r w:rsidRPr="00CC65CD">
        <w:rPr>
          <w:i/>
          <w:color w:val="000000" w:themeColor="text1"/>
        </w:rPr>
        <w:t xml:space="preserve">Infected, Linked to </w:t>
      </w:r>
      <w:r w:rsidR="00D11A55">
        <w:rPr>
          <w:i/>
          <w:color w:val="000000" w:themeColor="text1"/>
        </w:rPr>
        <w:t>C</w:t>
      </w:r>
      <w:r w:rsidR="00D11A55" w:rsidRPr="00CC65CD">
        <w:rPr>
          <w:i/>
          <w:color w:val="000000" w:themeColor="text1"/>
        </w:rPr>
        <w:t>are</w:t>
      </w:r>
    </w:p>
    <w:p w14:paraId="4EC99A02"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5,t-1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w:hAnsi="Cambria" w:cs="Cambria"/>
                  <w:color w:val="000000" w:themeColor="text1"/>
                </w:rPr>
                <m:t>ϴ</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5</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9,t-1</m:t>
              </m:r>
            </m:sub>
          </m:sSub>
        </m:oMath>
      </m:oMathPara>
    </w:p>
    <w:p w14:paraId="27262741"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6,t-1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5</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w:hAnsi="Cambria" w:cs="Cambria"/>
                  <w:color w:val="000000" w:themeColor="text1"/>
                </w:rPr>
                <m:t>ϴ</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6</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10,t-1</m:t>
              </m:r>
            </m:sub>
          </m:sSub>
        </m:oMath>
      </m:oMathPara>
    </w:p>
    <w:p w14:paraId="7DBCAAFF"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7,t-1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5</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6</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w:hAnsi="Cambria" w:cs="Cambria"/>
                  <w:color w:val="000000" w:themeColor="text1"/>
                </w:rPr>
                <m:t>ϴ</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7</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11,t-1</m:t>
              </m:r>
            </m:sub>
          </m:sSub>
        </m:oMath>
      </m:oMathPara>
    </w:p>
    <w:p w14:paraId="49F8F64B"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12,t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12,t-1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8,t-1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6</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w:hAnsi="Cambria" w:cs="Cambria"/>
                  <w:color w:val="000000" w:themeColor="text1"/>
                </w:rPr>
                <m:t>ϴ</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12,t-1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12,t-1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8</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12,t-1</m:t>
              </m:r>
            </m:sub>
          </m:sSub>
        </m:oMath>
      </m:oMathPara>
    </w:p>
    <w:p w14:paraId="6F0D663F" w14:textId="77777777" w:rsidR="00D77AB6" w:rsidRPr="00830781" w:rsidRDefault="00D77AB6">
      <w:pPr>
        <w:jc w:val="both"/>
        <w:rPr>
          <w:b/>
          <w:color w:val="000000" w:themeColor="text1"/>
        </w:rPr>
      </w:pPr>
    </w:p>
    <w:p w14:paraId="70187845" w14:textId="77777777" w:rsidR="00D77AB6" w:rsidRPr="00CC65CD" w:rsidRDefault="00D77AB6">
      <w:pPr>
        <w:jc w:val="both"/>
        <w:rPr>
          <w:i/>
          <w:color w:val="000000" w:themeColor="text1"/>
        </w:rPr>
      </w:pPr>
      <w:r w:rsidRPr="00CC65CD">
        <w:rPr>
          <w:i/>
          <w:color w:val="000000" w:themeColor="text1"/>
        </w:rPr>
        <w:t>Infected, Lost from Care</w:t>
      </w:r>
    </w:p>
    <w:p w14:paraId="75CAD2CB"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13,t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13,t-1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5</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17,t-1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9</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21,t-1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13,t-1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13,t-1</m:t>
              </m:r>
            </m:sub>
          </m:sSub>
        </m:oMath>
      </m:oMathPara>
    </w:p>
    <w:p w14:paraId="0105ACF6"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14,t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14,t-1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6</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18,t-1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10</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22,t-1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13,t-1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14,t-1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14,t-1</m:t>
              </m:r>
            </m:sub>
          </m:sSub>
        </m:oMath>
      </m:oMathPara>
    </w:p>
    <w:p w14:paraId="51C90C8B"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15,t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15,t-1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7</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19,t-1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11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23,t-1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14,t-1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15,t-1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15,t-1</m:t>
              </m:r>
            </m:sub>
          </m:sSub>
        </m:oMath>
      </m:oMathPara>
    </w:p>
    <w:p w14:paraId="28F30CA9"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16,t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16,t-1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12,t-1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8</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20,t-1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12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24,t-1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15,t-1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τ</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16,t-1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16,t-1</m:t>
              </m:r>
            </m:sub>
          </m:sSub>
        </m:oMath>
      </m:oMathPara>
    </w:p>
    <w:p w14:paraId="0F397E5F" w14:textId="77777777" w:rsidR="00D77AB6" w:rsidRPr="00830781" w:rsidRDefault="00D77AB6">
      <w:pPr>
        <w:jc w:val="both"/>
        <w:rPr>
          <w:b/>
          <w:color w:val="000000" w:themeColor="text1"/>
        </w:rPr>
      </w:pPr>
    </w:p>
    <w:p w14:paraId="2BB1C739" w14:textId="77777777" w:rsidR="00D77AB6" w:rsidRPr="00CC65CD" w:rsidRDefault="00D77AB6">
      <w:pPr>
        <w:jc w:val="both"/>
        <w:rPr>
          <w:i/>
          <w:color w:val="000000" w:themeColor="text1"/>
        </w:rPr>
      </w:pPr>
      <w:r w:rsidRPr="00CC65CD">
        <w:rPr>
          <w:i/>
          <w:color w:val="000000" w:themeColor="text1"/>
        </w:rPr>
        <w:t xml:space="preserve">Infected, </w:t>
      </w:r>
      <w:r>
        <w:rPr>
          <w:i/>
          <w:color w:val="000000" w:themeColor="text1"/>
        </w:rPr>
        <w:t xml:space="preserve">On </w:t>
      </w:r>
      <w:r w:rsidRPr="00CC65CD">
        <w:rPr>
          <w:i/>
          <w:color w:val="000000" w:themeColor="text1"/>
        </w:rPr>
        <w:t xml:space="preserve">ART and </w:t>
      </w:r>
      <w:r>
        <w:rPr>
          <w:i/>
          <w:color w:val="000000" w:themeColor="text1"/>
        </w:rPr>
        <w:t xml:space="preserve">Virally </w:t>
      </w:r>
      <w:r w:rsidRPr="00CC65CD">
        <w:rPr>
          <w:i/>
          <w:color w:val="000000" w:themeColor="text1"/>
        </w:rPr>
        <w:t xml:space="preserve">Suppressed </w:t>
      </w:r>
    </w:p>
    <w:p w14:paraId="5E349ED6"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17,t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17,t-1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w:hAnsi="Cambria" w:cs="Cambria"/>
                  <w:color w:val="000000" w:themeColor="text1"/>
                </w:rPr>
                <m:t>ϴ</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5</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17,t-1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Ψ</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17,t-1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9</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17,t-1</m:t>
              </m:r>
            </m:sub>
          </m:sSub>
        </m:oMath>
      </m:oMathPara>
    </w:p>
    <w:p w14:paraId="23BE5C5F"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18,t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18,t-1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w:hAnsi="Cambria" w:cs="Cambria"/>
                  <w:color w:val="000000" w:themeColor="text1"/>
                </w:rPr>
                <m:t>ϴ</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6</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18,t-1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Ψ</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18,t-1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10</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18,t-1</m:t>
              </m:r>
            </m:sub>
          </m:sSub>
        </m:oMath>
      </m:oMathPara>
    </w:p>
    <w:p w14:paraId="58EA802D"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19,t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19,t-1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w:hAnsi="Cambria" w:cs="Cambria"/>
                  <w:color w:val="000000" w:themeColor="text1"/>
                </w:rPr>
                <m:t>ϴ</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7</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19,t-1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Ψ</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19,t-1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19,t-1</m:t>
              </m:r>
            </m:sub>
          </m:sSub>
        </m:oMath>
      </m:oMathPara>
    </w:p>
    <w:p w14:paraId="37442C1E"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20,t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20,t-1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w:hAnsi="Cambria" w:cs="Cambria"/>
                  <w:color w:val="000000" w:themeColor="text1"/>
                </w:rPr>
                <m:t>ϴ</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12,t-1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τ</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16,t-1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8</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20,t-1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Ψ</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20,t-1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20,t-1</m:t>
              </m:r>
            </m:sub>
          </m:sSub>
        </m:oMath>
      </m:oMathPara>
    </w:p>
    <w:p w14:paraId="4D5D58B5" w14:textId="77777777" w:rsidR="00D77AB6" w:rsidRPr="00830781" w:rsidRDefault="00D77AB6">
      <w:pPr>
        <w:jc w:val="both"/>
        <w:rPr>
          <w:b/>
          <w:color w:val="000000" w:themeColor="text1"/>
        </w:rPr>
      </w:pPr>
    </w:p>
    <w:p w14:paraId="1121017B" w14:textId="77777777" w:rsidR="00D77AB6" w:rsidRPr="00CC65CD" w:rsidRDefault="00D77AB6">
      <w:pPr>
        <w:jc w:val="both"/>
        <w:rPr>
          <w:i/>
          <w:color w:val="000000" w:themeColor="text1"/>
        </w:rPr>
      </w:pPr>
      <w:r w:rsidRPr="00CC65CD">
        <w:rPr>
          <w:i/>
          <w:color w:val="000000" w:themeColor="text1"/>
        </w:rPr>
        <w:t xml:space="preserve">Infected, </w:t>
      </w:r>
      <w:r>
        <w:rPr>
          <w:i/>
          <w:color w:val="000000" w:themeColor="text1"/>
        </w:rPr>
        <w:t xml:space="preserve">On </w:t>
      </w:r>
      <w:r w:rsidRPr="00CC65CD">
        <w:rPr>
          <w:i/>
          <w:color w:val="000000" w:themeColor="text1"/>
        </w:rPr>
        <w:t xml:space="preserve">ART and Not </w:t>
      </w:r>
      <w:r>
        <w:rPr>
          <w:i/>
          <w:color w:val="000000" w:themeColor="text1"/>
        </w:rPr>
        <w:t xml:space="preserve">Virally </w:t>
      </w:r>
      <w:r w:rsidRPr="00CC65CD">
        <w:rPr>
          <w:i/>
          <w:color w:val="000000" w:themeColor="text1"/>
        </w:rPr>
        <w:t xml:space="preserve">Suppressed </w:t>
      </w:r>
    </w:p>
    <w:p w14:paraId="3A428A79"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21,t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21,t-1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Ψ</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17,t-1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9</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21,t-1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21,t-1</m:t>
              </m:r>
            </m:sub>
          </m:sSub>
        </m:oMath>
      </m:oMathPara>
    </w:p>
    <w:p w14:paraId="25C7260A" w14:textId="77777777" w:rsidR="00D77AB6" w:rsidRPr="009938AF"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22,t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22,t-1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Ψ</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18,t-1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10</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22,t-1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22,t-1</m:t>
              </m:r>
            </m:sub>
          </m:sSub>
        </m:oMath>
      </m:oMathPara>
    </w:p>
    <w:p w14:paraId="640B1E8E" w14:textId="77777777" w:rsidR="00D77AB6" w:rsidRPr="00380DD2" w:rsidRDefault="00000000">
      <w:pPr>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23,t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23,t-1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Ψ</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19,t-1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11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23,t-1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15</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23,t-1</m:t>
              </m:r>
            </m:sub>
          </m:sSub>
        </m:oMath>
      </m:oMathPara>
    </w:p>
    <w:p w14:paraId="19A00E05" w14:textId="77777777" w:rsidR="00D77AB6" w:rsidRPr="00380DD2" w:rsidRDefault="00000000">
      <w:pPr>
        <w:jc w:val="both"/>
        <w:rPr>
          <w:b/>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24,t</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24,t-1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Ψ</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20,t-1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12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24,t-1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16</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24,t-1</m:t>
              </m:r>
            </m:sub>
          </m:sSub>
        </m:oMath>
      </m:oMathPara>
    </w:p>
    <w:p w14:paraId="2C46A6E4" w14:textId="77777777" w:rsidR="00D77AB6" w:rsidRPr="00830781" w:rsidRDefault="00D77AB6">
      <w:pPr>
        <w:jc w:val="both"/>
        <w:rPr>
          <w:b/>
          <w:bCs/>
          <w:color w:val="000000" w:themeColor="text1"/>
        </w:rPr>
      </w:pPr>
    </w:p>
    <w:p w14:paraId="2D7D40D6" w14:textId="77777777" w:rsidR="00D77AB6" w:rsidRPr="00CC65CD" w:rsidRDefault="00D77AB6">
      <w:pPr>
        <w:jc w:val="both"/>
        <w:rPr>
          <w:bCs/>
          <w:i/>
          <w:color w:val="000000" w:themeColor="text1"/>
        </w:rPr>
      </w:pPr>
      <w:r w:rsidRPr="00CC65CD">
        <w:rPr>
          <w:bCs/>
          <w:i/>
          <w:color w:val="000000" w:themeColor="text1"/>
        </w:rPr>
        <w:t>Dead</w:t>
      </w:r>
    </w:p>
    <w:p w14:paraId="049CAABC" w14:textId="5CA3FBA2" w:rsidR="00410278" w:rsidRPr="001E6395" w:rsidRDefault="00000000">
      <w:pPr>
        <w:jc w:val="both"/>
        <w:rPr>
          <w:i/>
          <w:color w:val="000000" w:themeColor="text1"/>
        </w:rPr>
      </w:pPr>
      <m:oMathPara>
        <m:oMathParaPr>
          <m:jc m:val="left"/>
        </m:oMathParaPr>
        <m:oMath>
          <m:sSub>
            <m:sSubPr>
              <m:ctrlPr>
                <w:rPr>
                  <w:rFonts w:ascii="Cambria Math" w:hAnsi="Cambria Math"/>
                  <w:color w:val="000000" w:themeColor="text1"/>
                </w:rPr>
              </m:ctrlPr>
            </m:sSubPr>
            <m:e>
              <m:r>
                <m:rPr>
                  <m:sty m:val="p"/>
                </m:rPr>
                <w:rPr>
                  <w:rFonts w:ascii="Cambria Math" w:hAnsi="Cambria Math"/>
                  <w:color w:val="000000" w:themeColor="text1"/>
                </w:rPr>
                <m:t>D</m:t>
              </m:r>
            </m:e>
            <m:sub>
              <m:r>
                <m:rPr>
                  <m:sty m:val="p"/>
                </m:rP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D</m:t>
              </m:r>
            </m:e>
            <m:sub>
              <m:r>
                <m:rPr>
                  <m:sty m:val="p"/>
                </m:rPr>
                <w:rPr>
                  <w:rFonts w:ascii="Cambria Math" w:hAnsi="Cambria Math"/>
                  <w:color w:val="000000" w:themeColor="text1"/>
                </w:rPr>
                <m:t>t-1</m:t>
              </m:r>
            </m:sub>
          </m:sSub>
          <m:r>
            <w:rPr>
              <w:rFonts w:ascii="Cambria Math" w:hAnsi="Cambria Math"/>
              <w:color w:val="000000" w:themeColor="text1"/>
            </w:rPr>
            <m:t xml:space="preserve">       +</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1</m:t>
              </m:r>
            </m:sub>
          </m:sSub>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1,t-1</m:t>
                  </m:r>
                </m:sub>
              </m:sSub>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5,t-1</m:t>
                  </m:r>
                </m:sub>
              </m:sSub>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13,t-1</m:t>
                  </m:r>
                </m:sub>
              </m:sSub>
            </m:e>
          </m:d>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2</m:t>
              </m:r>
            </m:sub>
          </m:sSub>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2,t-1</m:t>
                  </m:r>
                </m:sub>
              </m:sSub>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6,t-1</m:t>
                  </m:r>
                </m:sub>
              </m:sSub>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14,t-1</m:t>
                  </m:r>
                </m:sub>
              </m:sSub>
            </m:e>
          </m:d>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3</m:t>
              </m:r>
            </m:sub>
          </m:sSub>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3,t-1</m:t>
                  </m:r>
                </m:sub>
              </m:sSub>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7,t-1</m:t>
                  </m:r>
                </m:sub>
              </m:sSub>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15,t-1</m:t>
                  </m:r>
                </m:sub>
              </m:sSub>
            </m:e>
          </m:d>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4</m:t>
              </m:r>
            </m:sub>
          </m:sSub>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4,t-1</m:t>
                  </m:r>
                </m:sub>
              </m:sSub>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8,t-1</m:t>
                  </m:r>
                </m:sub>
              </m:sSub>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16,t-1</m:t>
                  </m:r>
                </m:sub>
              </m:sSub>
            </m:e>
          </m:d>
        </m:oMath>
      </m:oMathPara>
    </w:p>
    <w:p w14:paraId="5743278D" w14:textId="4A02F6E6" w:rsidR="001E6395" w:rsidRPr="001E6395" w:rsidRDefault="001E6395" w:rsidP="001A69C4">
      <w:pPr>
        <w:ind w:left="1350"/>
        <w:jc w:val="both"/>
        <w:rPr>
          <w:i/>
          <w:color w:val="000000" w:themeColor="text1"/>
        </w:rPr>
      </w:pPr>
      <m:oMathPara>
        <m:oMathParaPr>
          <m:jc m:val="left"/>
        </m:oMathParaPr>
        <m:oMath>
          <m:r>
            <w:rPr>
              <w:rFonts w:ascii="Cambria Math" w:hAnsi="Cambria Math"/>
              <w:color w:val="000000" w:themeColor="text1"/>
            </w:rPr>
            <m:t xml:space="preserve"> + </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5</m:t>
              </m:r>
            </m:sub>
          </m:sSub>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9,t-1</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6</m:t>
              </m:r>
            </m:sub>
          </m:sSub>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10,t-1</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7</m:t>
              </m:r>
            </m:sub>
          </m:sSub>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11,t-1</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8</m:t>
              </m:r>
            </m:sub>
          </m:sSub>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12,t-1</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9</m:t>
              </m:r>
            </m:sub>
          </m:sSub>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17,t-1</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10</m:t>
              </m:r>
            </m:sub>
          </m:sSub>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18,t-1</m:t>
              </m:r>
            </m:sub>
          </m:sSub>
        </m:oMath>
      </m:oMathPara>
    </w:p>
    <w:p w14:paraId="259E116A" w14:textId="48B1B127" w:rsidR="00710211" w:rsidRPr="001E6395" w:rsidRDefault="001A69C4" w:rsidP="001A69C4">
      <w:pPr>
        <w:ind w:left="1350"/>
        <w:jc w:val="both"/>
        <w:sectPr w:rsidR="00710211" w:rsidRPr="001E6395" w:rsidSect="00430E37">
          <w:headerReference w:type="even" r:id="rId27"/>
          <w:headerReference w:type="default" r:id="rId28"/>
          <w:headerReference w:type="first" r:id="rId29"/>
          <w:pgSz w:w="12240" w:h="15840"/>
          <w:pgMar w:top="1440" w:right="1440" w:bottom="1440" w:left="1440" w:header="720" w:footer="720" w:gutter="0"/>
          <w:cols w:space="720"/>
          <w:docGrid w:linePitch="326"/>
        </w:sectPr>
      </w:pPr>
      <m:oMathPara>
        <m:oMathParaPr>
          <m:jc m:val="left"/>
        </m:oMathParaPr>
        <m:oMath>
          <m:r>
            <w:rPr>
              <w:rFonts w:ascii="Cambria Math" w:hAnsi="Cambria Math"/>
              <w:color w:val="000000" w:themeColor="text1"/>
            </w:rPr>
            <m:t xml:space="preserve"> + </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11</m:t>
              </m:r>
            </m:sub>
          </m:sSub>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19,t-1</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12</m:t>
              </m:r>
            </m:sub>
          </m:sSub>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20,t-1</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13</m:t>
              </m:r>
            </m:sub>
          </m:sSub>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21,t-1</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14</m:t>
              </m:r>
            </m:sub>
          </m:sSub>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22,t-1</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15</m:t>
              </m:r>
            </m:sub>
          </m:sSub>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23,t-1</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16</m:t>
              </m:r>
            </m:sub>
          </m:sSub>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24,t-1</m:t>
              </m:r>
            </m:sub>
          </m:sSub>
        </m:oMath>
      </m:oMathPara>
    </w:p>
    <w:p w14:paraId="78E173C3" w14:textId="541B9AF9" w:rsidR="00DF6464" w:rsidRPr="00710211" w:rsidRDefault="005B0790" w:rsidP="00E71320">
      <w:pPr>
        <w:keepNext/>
        <w:jc w:val="both"/>
        <w:rPr>
          <w:b/>
          <w:bCs/>
          <w:iCs/>
          <w:color w:val="000000" w:themeColor="text1"/>
          <w:sz w:val="18"/>
          <w:szCs w:val="18"/>
        </w:rPr>
      </w:pPr>
      <w:bookmarkStart w:id="33" w:name="_Ref81781161"/>
      <w:bookmarkStart w:id="34" w:name="_Toc82448065"/>
      <w:bookmarkStart w:id="35" w:name="_Toc82592496"/>
      <w:bookmarkStart w:id="36" w:name="_Toc82599261"/>
      <w:r w:rsidRPr="00710211">
        <w:rPr>
          <w:b/>
          <w:bCs/>
          <w:color w:val="000000" w:themeColor="text1"/>
        </w:rPr>
        <w:lastRenderedPageBreak/>
        <w:t>Ta</w:t>
      </w:r>
      <w:r w:rsidR="00DF6464" w:rsidRPr="00710211">
        <w:rPr>
          <w:b/>
          <w:bCs/>
          <w:color w:val="000000" w:themeColor="text1"/>
        </w:rPr>
        <w:t xml:space="preserve">ble </w:t>
      </w:r>
      <w:r w:rsidR="00DF6464" w:rsidRPr="00710211">
        <w:rPr>
          <w:b/>
          <w:bCs/>
          <w:color w:val="000000" w:themeColor="text1"/>
        </w:rPr>
        <w:fldChar w:fldCharType="begin"/>
      </w:r>
      <w:r w:rsidR="00DF6464" w:rsidRPr="00710211">
        <w:rPr>
          <w:b/>
          <w:bCs/>
          <w:color w:val="000000" w:themeColor="text1"/>
        </w:rPr>
        <w:instrText xml:space="preserve"> SEQ Table \* ARABIC </w:instrText>
      </w:r>
      <w:r w:rsidR="00DF6464" w:rsidRPr="00710211">
        <w:rPr>
          <w:b/>
          <w:bCs/>
          <w:color w:val="000000" w:themeColor="text1"/>
        </w:rPr>
        <w:fldChar w:fldCharType="separate"/>
      </w:r>
      <w:r w:rsidR="001E49BE">
        <w:rPr>
          <w:b/>
          <w:bCs/>
          <w:noProof/>
          <w:color w:val="000000" w:themeColor="text1"/>
        </w:rPr>
        <w:t>2</w:t>
      </w:r>
      <w:r w:rsidR="00DF6464" w:rsidRPr="00710211">
        <w:rPr>
          <w:b/>
          <w:bCs/>
          <w:color w:val="000000" w:themeColor="text1"/>
        </w:rPr>
        <w:fldChar w:fldCharType="end"/>
      </w:r>
      <w:bookmarkEnd w:id="33"/>
      <w:r w:rsidR="007E628F" w:rsidRPr="00710211">
        <w:rPr>
          <w:b/>
          <w:bCs/>
          <w:color w:val="000000" w:themeColor="text1"/>
        </w:rPr>
        <w:t xml:space="preserve">. </w:t>
      </w:r>
      <w:bookmarkStart w:id="37" w:name="_Hlk74741132"/>
      <w:r w:rsidR="00180D28">
        <w:rPr>
          <w:b/>
          <w:bCs/>
          <w:color w:val="000000" w:themeColor="text1"/>
        </w:rPr>
        <w:t>M</w:t>
      </w:r>
      <w:r w:rsidR="00DF6464" w:rsidRPr="00710211">
        <w:rPr>
          <w:b/>
          <w:bCs/>
          <w:color w:val="000000" w:themeColor="text1"/>
        </w:rPr>
        <w:t>odel compartments</w:t>
      </w:r>
      <w:r w:rsidR="00180D28">
        <w:rPr>
          <w:b/>
          <w:bCs/>
          <w:color w:val="000000" w:themeColor="text1"/>
        </w:rPr>
        <w:t>: a legend for the system of equations</w:t>
      </w:r>
      <w:bookmarkEnd w:id="34"/>
      <w:bookmarkEnd w:id="35"/>
      <w:bookmarkEnd w:id="36"/>
    </w:p>
    <w:tbl>
      <w:tblPr>
        <w:tblW w:w="9270" w:type="dxa"/>
        <w:tblInd w:w="-95" w:type="dxa"/>
        <w:tblLook w:val="04A0" w:firstRow="1" w:lastRow="0" w:firstColumn="1" w:lastColumn="0" w:noHBand="0" w:noVBand="1"/>
      </w:tblPr>
      <w:tblGrid>
        <w:gridCol w:w="1675"/>
        <w:gridCol w:w="1385"/>
        <w:gridCol w:w="3240"/>
        <w:gridCol w:w="2970"/>
      </w:tblGrid>
      <w:tr w:rsidR="005637A1" w:rsidRPr="00DB1DEE" w14:paraId="2334D417" w14:textId="62E8D365" w:rsidTr="005637A1">
        <w:trPr>
          <w:trHeight w:val="257"/>
        </w:trPr>
        <w:tc>
          <w:tcPr>
            <w:tcW w:w="1675" w:type="dxa"/>
            <w:tcBorders>
              <w:top w:val="single" w:sz="4" w:space="0" w:color="auto"/>
              <w:left w:val="single" w:sz="4" w:space="0" w:color="auto"/>
              <w:bottom w:val="single" w:sz="4" w:space="0" w:color="auto"/>
              <w:right w:val="single" w:sz="4" w:space="0" w:color="auto"/>
            </w:tcBorders>
            <w:hideMark/>
          </w:tcPr>
          <w:bookmarkEnd w:id="37"/>
          <w:p w14:paraId="7C22E657" w14:textId="23CFC544" w:rsidR="00BF3645" w:rsidRPr="00DB1DEE" w:rsidRDefault="00BF3645" w:rsidP="00E71320">
            <w:pPr>
              <w:jc w:val="both"/>
              <w:rPr>
                <w:rFonts w:eastAsiaTheme="minorEastAsia"/>
                <w:b/>
                <w:color w:val="000000" w:themeColor="text1"/>
                <w:sz w:val="20"/>
                <w:szCs w:val="20"/>
              </w:rPr>
            </w:pPr>
            <w:r w:rsidRPr="00DB1DEE">
              <w:rPr>
                <w:rFonts w:eastAsiaTheme="minorEastAsia"/>
                <w:b/>
                <w:color w:val="000000" w:themeColor="text1"/>
                <w:sz w:val="20"/>
                <w:szCs w:val="20"/>
              </w:rPr>
              <w:t>Compartment</w:t>
            </w:r>
          </w:p>
        </w:tc>
        <w:tc>
          <w:tcPr>
            <w:tcW w:w="7595" w:type="dxa"/>
            <w:gridSpan w:val="3"/>
            <w:tcBorders>
              <w:top w:val="single" w:sz="4" w:space="0" w:color="auto"/>
              <w:left w:val="single" w:sz="4" w:space="0" w:color="auto"/>
              <w:bottom w:val="single" w:sz="4" w:space="0" w:color="auto"/>
              <w:right w:val="single" w:sz="4" w:space="0" w:color="auto"/>
            </w:tcBorders>
          </w:tcPr>
          <w:p w14:paraId="1902AF4C" w14:textId="68726455" w:rsidR="00BF3645" w:rsidRPr="00DB1DEE" w:rsidRDefault="00BF3645" w:rsidP="00E71320">
            <w:pPr>
              <w:jc w:val="both"/>
              <w:rPr>
                <w:rFonts w:eastAsiaTheme="minorEastAsia"/>
                <w:b/>
                <w:color w:val="000000" w:themeColor="text1"/>
                <w:sz w:val="20"/>
                <w:szCs w:val="20"/>
              </w:rPr>
            </w:pPr>
            <w:r w:rsidRPr="00DB1DEE">
              <w:rPr>
                <w:rFonts w:eastAsiaTheme="minorEastAsia"/>
                <w:b/>
                <w:color w:val="000000" w:themeColor="text1"/>
                <w:sz w:val="20"/>
                <w:szCs w:val="20"/>
              </w:rPr>
              <w:t>Description</w:t>
            </w:r>
          </w:p>
        </w:tc>
      </w:tr>
      <w:tr w:rsidR="005637A1" w:rsidRPr="005637A1" w14:paraId="528DBE7B" w14:textId="170BB5C7"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3CB93E23" w14:textId="577E63FC" w:rsidR="00BF3645" w:rsidRPr="00DB1DEE" w:rsidRDefault="00BF3645" w:rsidP="00122CDD">
            <w:pPr>
              <w:rPr>
                <w:rFonts w:eastAsiaTheme="minorEastAsia"/>
                <w:b/>
                <w:color w:val="000000" w:themeColor="text1"/>
                <w:sz w:val="20"/>
                <w:szCs w:val="20"/>
              </w:rPr>
            </w:pPr>
            <w:r w:rsidRPr="00DB1DEE">
              <w:rPr>
                <w:rFonts w:eastAsiaTheme="minorEastAsia"/>
                <w:color w:val="000000" w:themeColor="text1"/>
                <w:sz w:val="20"/>
                <w:szCs w:val="20"/>
              </w:rPr>
              <w:t>S</w:t>
            </w:r>
          </w:p>
        </w:tc>
        <w:tc>
          <w:tcPr>
            <w:tcW w:w="1385" w:type="dxa"/>
            <w:tcBorders>
              <w:top w:val="single" w:sz="4" w:space="0" w:color="auto"/>
              <w:left w:val="single" w:sz="4" w:space="0" w:color="auto"/>
              <w:bottom w:val="single" w:sz="4" w:space="0" w:color="auto"/>
              <w:right w:val="single" w:sz="4" w:space="0" w:color="auto"/>
            </w:tcBorders>
            <w:vAlign w:val="center"/>
          </w:tcPr>
          <w:p w14:paraId="666B6DFA" w14:textId="381FCC1A" w:rsidR="00BF3645" w:rsidRPr="00DB1DEE" w:rsidDel="00C96144" w:rsidRDefault="00BF3645" w:rsidP="001D10D4">
            <w:pPr>
              <w:rPr>
                <w:rFonts w:eastAsiaTheme="minorEastAsia"/>
                <w:color w:val="000000" w:themeColor="text1"/>
                <w:sz w:val="20"/>
                <w:szCs w:val="20"/>
              </w:rPr>
            </w:pPr>
            <w:r w:rsidRPr="00DB1DEE">
              <w:rPr>
                <w:rFonts w:eastAsiaTheme="minorEastAsia"/>
                <w:color w:val="000000" w:themeColor="text1"/>
                <w:sz w:val="20"/>
                <w:szCs w:val="20"/>
              </w:rPr>
              <w:t>Susceptible</w:t>
            </w:r>
          </w:p>
        </w:tc>
        <w:tc>
          <w:tcPr>
            <w:tcW w:w="6210" w:type="dxa"/>
            <w:gridSpan w:val="2"/>
            <w:tcBorders>
              <w:top w:val="single" w:sz="4" w:space="0" w:color="auto"/>
              <w:left w:val="single" w:sz="4" w:space="0" w:color="auto"/>
              <w:bottom w:val="single" w:sz="4" w:space="0" w:color="auto"/>
              <w:right w:val="single" w:sz="4" w:space="0" w:color="auto"/>
            </w:tcBorders>
            <w:vAlign w:val="center"/>
            <w:hideMark/>
          </w:tcPr>
          <w:p w14:paraId="37494B7D" w14:textId="2791AA54" w:rsidR="00BF3645" w:rsidRPr="00DB1DEE" w:rsidRDefault="00BF3645" w:rsidP="00527179">
            <w:pPr>
              <w:rPr>
                <w:rFonts w:eastAsiaTheme="minorEastAsia"/>
                <w:color w:val="000000" w:themeColor="text1"/>
                <w:sz w:val="20"/>
                <w:szCs w:val="20"/>
              </w:rPr>
            </w:pPr>
            <w:r w:rsidRPr="00DB1DEE">
              <w:rPr>
                <w:rFonts w:eastAsiaTheme="minorEastAsia"/>
                <w:color w:val="000000" w:themeColor="text1"/>
                <w:sz w:val="20"/>
                <w:szCs w:val="20"/>
              </w:rPr>
              <w:t>At risk of acquiring HIV</w:t>
            </w:r>
          </w:p>
        </w:tc>
      </w:tr>
      <w:tr w:rsidR="005637A1" w:rsidRPr="005637A1" w14:paraId="3786EED8" w14:textId="11E1DD18"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22D15BB6" w14:textId="5D6773E9" w:rsidR="00BF3645" w:rsidRPr="00430E37" w:rsidRDefault="00BF3645" w:rsidP="00122CDD">
            <w:pPr>
              <w:rPr>
                <w:rFonts w:eastAsiaTheme="minorEastAsia"/>
                <w:b/>
                <w:color w:val="000000" w:themeColor="text1"/>
                <w:sz w:val="20"/>
                <w:szCs w:val="20"/>
              </w:rPr>
            </w:pPr>
            <w:r w:rsidRPr="00430E37">
              <w:rPr>
                <w:rFonts w:eastAsiaTheme="minorEastAsia"/>
                <w:color w:val="000000" w:themeColor="text1"/>
                <w:sz w:val="20"/>
                <w:szCs w:val="20"/>
              </w:rPr>
              <w:t>D</w:t>
            </w:r>
          </w:p>
        </w:tc>
        <w:tc>
          <w:tcPr>
            <w:tcW w:w="1385" w:type="dxa"/>
            <w:tcBorders>
              <w:top w:val="single" w:sz="4" w:space="0" w:color="auto"/>
              <w:left w:val="single" w:sz="4" w:space="0" w:color="auto"/>
              <w:bottom w:val="single" w:sz="4" w:space="0" w:color="auto"/>
              <w:right w:val="single" w:sz="4" w:space="0" w:color="auto"/>
            </w:tcBorders>
            <w:vAlign w:val="center"/>
          </w:tcPr>
          <w:p w14:paraId="017DA5CE" w14:textId="36E5DFC8" w:rsidR="00BF3645" w:rsidRPr="00430E37" w:rsidDel="00C96144" w:rsidRDefault="00BF3645" w:rsidP="001D10D4">
            <w:pPr>
              <w:rPr>
                <w:rFonts w:eastAsiaTheme="minorEastAsia"/>
                <w:color w:val="000000" w:themeColor="text1"/>
                <w:sz w:val="20"/>
                <w:szCs w:val="20"/>
              </w:rPr>
            </w:pPr>
            <w:r w:rsidRPr="00430E37">
              <w:rPr>
                <w:rFonts w:eastAsiaTheme="minorEastAsia"/>
                <w:color w:val="000000" w:themeColor="text1"/>
                <w:sz w:val="20"/>
                <w:szCs w:val="20"/>
              </w:rPr>
              <w:t>Dead</w:t>
            </w:r>
          </w:p>
        </w:tc>
        <w:tc>
          <w:tcPr>
            <w:tcW w:w="6210" w:type="dxa"/>
            <w:gridSpan w:val="2"/>
            <w:tcBorders>
              <w:top w:val="single" w:sz="4" w:space="0" w:color="auto"/>
              <w:left w:val="single" w:sz="4" w:space="0" w:color="auto"/>
              <w:bottom w:val="single" w:sz="4" w:space="0" w:color="auto"/>
              <w:right w:val="single" w:sz="4" w:space="0" w:color="auto"/>
            </w:tcBorders>
            <w:vAlign w:val="center"/>
            <w:hideMark/>
          </w:tcPr>
          <w:p w14:paraId="20EB9DAA" w14:textId="2B432575" w:rsidR="00BF3645" w:rsidRPr="00430E37" w:rsidRDefault="00BF3645" w:rsidP="00527179">
            <w:pPr>
              <w:rPr>
                <w:rFonts w:eastAsiaTheme="minorEastAsia"/>
                <w:color w:val="000000" w:themeColor="text1"/>
                <w:sz w:val="20"/>
                <w:szCs w:val="20"/>
              </w:rPr>
            </w:pPr>
            <w:r w:rsidRPr="00430E37">
              <w:rPr>
                <w:rFonts w:eastAsiaTheme="minorEastAsia"/>
                <w:color w:val="000000" w:themeColor="text1"/>
                <w:sz w:val="20"/>
                <w:szCs w:val="20"/>
              </w:rPr>
              <w:t>Death (absorbing compartment)</w:t>
            </w:r>
          </w:p>
        </w:tc>
      </w:tr>
      <w:tr w:rsidR="00D00252" w:rsidRPr="005637A1" w14:paraId="20239AAF" w14:textId="4C3B9C7D"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7A2E0E97" w14:textId="644D4EA5" w:rsidR="00D00252" w:rsidRPr="00DB1DEE"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1</m:t>
                    </m:r>
                  </m:sub>
                </m:sSub>
              </m:oMath>
            </m:oMathPara>
          </w:p>
        </w:tc>
        <w:tc>
          <w:tcPr>
            <w:tcW w:w="1385" w:type="dxa"/>
            <w:vMerge w:val="restart"/>
            <w:tcBorders>
              <w:top w:val="single" w:sz="4" w:space="0" w:color="auto"/>
              <w:left w:val="single" w:sz="4" w:space="0" w:color="auto"/>
              <w:right w:val="single" w:sz="4" w:space="0" w:color="auto"/>
            </w:tcBorders>
            <w:vAlign w:val="center"/>
          </w:tcPr>
          <w:p w14:paraId="77DD2A97" w14:textId="70ABFF6C" w:rsidR="00D00252" w:rsidRPr="00DB1DEE" w:rsidRDefault="00D00252" w:rsidP="001D10D4">
            <w:pPr>
              <w:rPr>
                <w:rFonts w:eastAsiaTheme="minorEastAsia"/>
                <w:color w:val="000000" w:themeColor="text1"/>
                <w:sz w:val="20"/>
                <w:szCs w:val="20"/>
              </w:rPr>
            </w:pPr>
            <w:r w:rsidRPr="00DB1DEE">
              <w:rPr>
                <w:color w:val="000000" w:themeColor="text1"/>
                <w:sz w:val="20"/>
                <w:szCs w:val="20"/>
              </w:rPr>
              <w:t>Infected</w:t>
            </w:r>
          </w:p>
        </w:tc>
        <w:tc>
          <w:tcPr>
            <w:tcW w:w="3240" w:type="dxa"/>
            <w:vMerge w:val="restart"/>
            <w:tcBorders>
              <w:top w:val="single" w:sz="4" w:space="0" w:color="auto"/>
              <w:left w:val="single" w:sz="4" w:space="0" w:color="auto"/>
              <w:right w:val="single" w:sz="4" w:space="0" w:color="auto"/>
            </w:tcBorders>
            <w:vAlign w:val="center"/>
            <w:hideMark/>
          </w:tcPr>
          <w:p w14:paraId="53F2AEAA" w14:textId="74DBB9C1" w:rsidR="00D00252" w:rsidRPr="00DB1DEE" w:rsidRDefault="00D00252" w:rsidP="00527179">
            <w:pPr>
              <w:rPr>
                <w:rFonts w:eastAsiaTheme="minorEastAsia"/>
                <w:color w:val="000000" w:themeColor="text1"/>
                <w:sz w:val="20"/>
                <w:szCs w:val="20"/>
              </w:rPr>
            </w:pPr>
            <w:r w:rsidRPr="00DB1DEE">
              <w:rPr>
                <w:rFonts w:eastAsiaTheme="minorEastAsia"/>
                <w:color w:val="000000" w:themeColor="text1"/>
                <w:sz w:val="20"/>
                <w:szCs w:val="20"/>
              </w:rPr>
              <w:t>Undiagnosed</w:t>
            </w:r>
          </w:p>
        </w:tc>
        <w:tc>
          <w:tcPr>
            <w:tcW w:w="2970" w:type="dxa"/>
            <w:tcBorders>
              <w:top w:val="single" w:sz="4" w:space="0" w:color="auto"/>
              <w:left w:val="single" w:sz="4" w:space="0" w:color="auto"/>
              <w:bottom w:val="single" w:sz="4" w:space="0" w:color="auto"/>
              <w:right w:val="single" w:sz="4" w:space="0" w:color="auto"/>
            </w:tcBorders>
            <w:vAlign w:val="center"/>
          </w:tcPr>
          <w:p w14:paraId="25EF4B37" w14:textId="588A772C" w:rsidR="00D00252" w:rsidRPr="00DB1DEE" w:rsidRDefault="00D00252" w:rsidP="00527179">
            <w:pPr>
              <w:rPr>
                <w:rFonts w:eastAsiaTheme="minorEastAsia"/>
                <w:color w:val="000000" w:themeColor="text1"/>
                <w:sz w:val="20"/>
                <w:szCs w:val="20"/>
              </w:rPr>
            </w:pPr>
            <w:r w:rsidRPr="00DB1DEE">
              <w:rPr>
                <w:rFonts w:eastAsiaTheme="minorEastAsia"/>
                <w:color w:val="000000" w:themeColor="text1"/>
                <w:sz w:val="20"/>
                <w:szCs w:val="20"/>
              </w:rPr>
              <w:t>CD4&gt;500</w:t>
            </w:r>
          </w:p>
        </w:tc>
      </w:tr>
      <w:tr w:rsidR="00D00252" w:rsidRPr="005637A1" w14:paraId="3F70E1D2" w14:textId="682554B8"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10F1E6C5" w14:textId="1141AB74" w:rsidR="00D00252" w:rsidRPr="00DB1DEE"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2</m:t>
                    </m:r>
                  </m:sub>
                </m:sSub>
              </m:oMath>
            </m:oMathPara>
          </w:p>
        </w:tc>
        <w:tc>
          <w:tcPr>
            <w:tcW w:w="1385" w:type="dxa"/>
            <w:vMerge/>
            <w:tcBorders>
              <w:left w:val="single" w:sz="4" w:space="0" w:color="auto"/>
              <w:right w:val="single" w:sz="4" w:space="0" w:color="auto"/>
            </w:tcBorders>
            <w:vAlign w:val="center"/>
          </w:tcPr>
          <w:p w14:paraId="7AFECEA9" w14:textId="77777777" w:rsidR="00D00252" w:rsidRPr="00DB1DEE" w:rsidRDefault="00D00252">
            <w:pPr>
              <w:rPr>
                <w:rFonts w:eastAsiaTheme="minorEastAsia"/>
                <w:color w:val="000000" w:themeColor="text1"/>
                <w:sz w:val="20"/>
                <w:szCs w:val="20"/>
              </w:rPr>
            </w:pPr>
          </w:p>
        </w:tc>
        <w:tc>
          <w:tcPr>
            <w:tcW w:w="3240" w:type="dxa"/>
            <w:vMerge/>
            <w:tcBorders>
              <w:left w:val="single" w:sz="4" w:space="0" w:color="auto"/>
              <w:right w:val="single" w:sz="4" w:space="0" w:color="auto"/>
            </w:tcBorders>
            <w:vAlign w:val="center"/>
          </w:tcPr>
          <w:p w14:paraId="2B2EDA13" w14:textId="6B146FF8" w:rsidR="00D00252" w:rsidRPr="00DB1DEE" w:rsidRDefault="00D00252">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7B300B94" w14:textId="530AB703" w:rsidR="00D00252" w:rsidRPr="00DB1DEE" w:rsidDel="00594B9B" w:rsidRDefault="00D00252">
            <w:pPr>
              <w:rPr>
                <w:rFonts w:eastAsiaTheme="minorEastAsia"/>
                <w:color w:val="000000" w:themeColor="text1"/>
                <w:sz w:val="20"/>
                <w:szCs w:val="20"/>
              </w:rPr>
            </w:pPr>
            <w:r w:rsidRPr="00DB1DEE">
              <w:rPr>
                <w:rFonts w:eastAsiaTheme="minorEastAsia"/>
                <w:color w:val="000000" w:themeColor="text1"/>
                <w:sz w:val="20"/>
                <w:szCs w:val="20"/>
              </w:rPr>
              <w:t>CD4 &gt;350 – 500</w:t>
            </w:r>
          </w:p>
        </w:tc>
      </w:tr>
      <w:tr w:rsidR="00D00252" w:rsidRPr="005637A1" w14:paraId="360FEB67" w14:textId="7D392CD1" w:rsidTr="00710211">
        <w:trPr>
          <w:trHeight w:val="278"/>
        </w:trPr>
        <w:tc>
          <w:tcPr>
            <w:tcW w:w="1675" w:type="dxa"/>
            <w:tcBorders>
              <w:top w:val="single" w:sz="4" w:space="0" w:color="auto"/>
              <w:left w:val="single" w:sz="4" w:space="0" w:color="auto"/>
              <w:bottom w:val="single" w:sz="4" w:space="0" w:color="auto"/>
              <w:right w:val="single" w:sz="4" w:space="0" w:color="auto"/>
            </w:tcBorders>
            <w:vAlign w:val="center"/>
            <w:hideMark/>
          </w:tcPr>
          <w:p w14:paraId="689403BD" w14:textId="07A57298" w:rsidR="00D00252" w:rsidRPr="00430E37"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3</m:t>
                    </m:r>
                  </m:sub>
                </m:sSub>
              </m:oMath>
            </m:oMathPara>
          </w:p>
        </w:tc>
        <w:tc>
          <w:tcPr>
            <w:tcW w:w="1385" w:type="dxa"/>
            <w:vMerge/>
            <w:tcBorders>
              <w:left w:val="single" w:sz="4" w:space="0" w:color="auto"/>
              <w:right w:val="single" w:sz="4" w:space="0" w:color="auto"/>
            </w:tcBorders>
            <w:vAlign w:val="center"/>
          </w:tcPr>
          <w:p w14:paraId="07E70298" w14:textId="77777777" w:rsidR="00D00252" w:rsidRPr="00430E37" w:rsidRDefault="00D00252">
            <w:pPr>
              <w:rPr>
                <w:rFonts w:eastAsiaTheme="minorEastAsia"/>
                <w:color w:val="000000" w:themeColor="text1"/>
                <w:sz w:val="20"/>
                <w:szCs w:val="20"/>
              </w:rPr>
            </w:pPr>
          </w:p>
        </w:tc>
        <w:tc>
          <w:tcPr>
            <w:tcW w:w="3240" w:type="dxa"/>
            <w:vMerge/>
            <w:tcBorders>
              <w:left w:val="single" w:sz="4" w:space="0" w:color="auto"/>
              <w:right w:val="single" w:sz="4" w:space="0" w:color="auto"/>
            </w:tcBorders>
            <w:vAlign w:val="center"/>
          </w:tcPr>
          <w:p w14:paraId="11604A52" w14:textId="676ABB64" w:rsidR="00D00252" w:rsidRPr="00430E37" w:rsidRDefault="00D00252">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1579381A" w14:textId="5D1BDABC" w:rsidR="00D00252" w:rsidRPr="00430E37" w:rsidDel="00594B9B" w:rsidRDefault="00D00252">
            <w:pPr>
              <w:rPr>
                <w:rFonts w:eastAsiaTheme="minorEastAsia"/>
                <w:color w:val="000000" w:themeColor="text1"/>
                <w:sz w:val="20"/>
                <w:szCs w:val="20"/>
              </w:rPr>
            </w:pPr>
            <w:r w:rsidRPr="00430E37">
              <w:rPr>
                <w:rFonts w:eastAsiaTheme="minorEastAsia"/>
                <w:color w:val="000000" w:themeColor="text1"/>
                <w:sz w:val="20"/>
                <w:szCs w:val="20"/>
              </w:rPr>
              <w:t xml:space="preserve">CD4 &gt;200 – 350 </w:t>
            </w:r>
          </w:p>
        </w:tc>
      </w:tr>
      <w:tr w:rsidR="00D00252" w:rsidRPr="005637A1" w14:paraId="164078C7" w14:textId="6669FFC1"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1BC6B06D" w14:textId="6E851A5A" w:rsidR="00D00252" w:rsidRPr="00430E37"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4</m:t>
                    </m:r>
                  </m:sub>
                </m:sSub>
              </m:oMath>
            </m:oMathPara>
          </w:p>
        </w:tc>
        <w:tc>
          <w:tcPr>
            <w:tcW w:w="1385" w:type="dxa"/>
            <w:vMerge/>
            <w:tcBorders>
              <w:left w:val="single" w:sz="4" w:space="0" w:color="auto"/>
              <w:right w:val="single" w:sz="4" w:space="0" w:color="auto"/>
            </w:tcBorders>
            <w:vAlign w:val="center"/>
          </w:tcPr>
          <w:p w14:paraId="7BC4AE07" w14:textId="77777777" w:rsidR="00D00252" w:rsidRPr="00430E37" w:rsidRDefault="00D00252">
            <w:pPr>
              <w:rPr>
                <w:rFonts w:eastAsiaTheme="minorEastAsia"/>
                <w:color w:val="000000" w:themeColor="text1"/>
                <w:sz w:val="20"/>
                <w:szCs w:val="20"/>
              </w:rPr>
            </w:pPr>
          </w:p>
        </w:tc>
        <w:tc>
          <w:tcPr>
            <w:tcW w:w="3240" w:type="dxa"/>
            <w:vMerge/>
            <w:tcBorders>
              <w:left w:val="single" w:sz="4" w:space="0" w:color="auto"/>
              <w:bottom w:val="single" w:sz="4" w:space="0" w:color="auto"/>
              <w:right w:val="single" w:sz="4" w:space="0" w:color="auto"/>
            </w:tcBorders>
            <w:vAlign w:val="center"/>
          </w:tcPr>
          <w:p w14:paraId="306B0F8E" w14:textId="1A23308C" w:rsidR="00D00252" w:rsidRPr="00430E37" w:rsidRDefault="00D00252">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0B8585CE" w14:textId="10A346AD" w:rsidR="00D00252" w:rsidRPr="00430E37" w:rsidDel="00594B9B" w:rsidRDefault="00D00252">
            <w:pPr>
              <w:rPr>
                <w:rFonts w:eastAsiaTheme="minorEastAsia"/>
                <w:color w:val="000000" w:themeColor="text1"/>
                <w:sz w:val="20"/>
                <w:szCs w:val="20"/>
              </w:rPr>
            </w:pPr>
            <w:r w:rsidRPr="00430E37">
              <w:rPr>
                <w:rFonts w:eastAsiaTheme="minorEastAsia"/>
                <w:color w:val="000000" w:themeColor="text1"/>
                <w:sz w:val="20"/>
                <w:szCs w:val="20"/>
              </w:rPr>
              <w:t xml:space="preserve">CD4 </w:t>
            </w:r>
            <w:r w:rsidRPr="00430E37">
              <w:rPr>
                <w:rFonts w:eastAsiaTheme="minorEastAsia"/>
                <w:color w:val="000000" w:themeColor="text1"/>
                <w:sz w:val="20"/>
                <w:szCs w:val="20"/>
                <w:u w:val="single"/>
              </w:rPr>
              <w:t>&lt;</w:t>
            </w:r>
            <w:r w:rsidRPr="00430E37">
              <w:rPr>
                <w:rFonts w:eastAsiaTheme="minorEastAsia"/>
                <w:color w:val="000000" w:themeColor="text1"/>
                <w:sz w:val="20"/>
                <w:szCs w:val="20"/>
              </w:rPr>
              <w:t>200</w:t>
            </w:r>
          </w:p>
        </w:tc>
      </w:tr>
      <w:tr w:rsidR="00D77AB6" w:rsidRPr="005637A1" w14:paraId="17D4F971" w14:textId="30A7866F" w:rsidTr="00710211">
        <w:trPr>
          <w:trHeight w:val="278"/>
        </w:trPr>
        <w:tc>
          <w:tcPr>
            <w:tcW w:w="1675" w:type="dxa"/>
            <w:tcBorders>
              <w:top w:val="single" w:sz="4" w:space="0" w:color="auto"/>
              <w:left w:val="single" w:sz="4" w:space="0" w:color="auto"/>
              <w:bottom w:val="single" w:sz="4" w:space="0" w:color="auto"/>
              <w:right w:val="single" w:sz="4" w:space="0" w:color="auto"/>
            </w:tcBorders>
            <w:vAlign w:val="center"/>
            <w:hideMark/>
          </w:tcPr>
          <w:p w14:paraId="6A3CAEE8" w14:textId="6D95B27C" w:rsidR="00D77AB6" w:rsidRPr="00430E37"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5</m:t>
                    </m:r>
                  </m:sub>
                </m:sSub>
              </m:oMath>
            </m:oMathPara>
          </w:p>
        </w:tc>
        <w:tc>
          <w:tcPr>
            <w:tcW w:w="1385" w:type="dxa"/>
            <w:vMerge/>
            <w:tcBorders>
              <w:left w:val="single" w:sz="4" w:space="0" w:color="auto"/>
              <w:right w:val="single" w:sz="4" w:space="0" w:color="auto"/>
            </w:tcBorders>
            <w:vAlign w:val="center"/>
          </w:tcPr>
          <w:p w14:paraId="39A38310" w14:textId="77777777" w:rsidR="00D77AB6" w:rsidRPr="00430E37" w:rsidDel="00594B9B" w:rsidRDefault="00D77AB6">
            <w:pPr>
              <w:rPr>
                <w:rFonts w:eastAsiaTheme="minorEastAsia"/>
                <w:color w:val="000000" w:themeColor="text1"/>
                <w:sz w:val="20"/>
                <w:szCs w:val="20"/>
              </w:rPr>
            </w:pPr>
          </w:p>
        </w:tc>
        <w:tc>
          <w:tcPr>
            <w:tcW w:w="3240" w:type="dxa"/>
            <w:vMerge w:val="restart"/>
            <w:tcBorders>
              <w:top w:val="single" w:sz="4" w:space="0" w:color="auto"/>
              <w:left w:val="single" w:sz="4" w:space="0" w:color="auto"/>
              <w:right w:val="single" w:sz="4" w:space="0" w:color="auto"/>
            </w:tcBorders>
            <w:vAlign w:val="center"/>
            <w:hideMark/>
          </w:tcPr>
          <w:p w14:paraId="5C914C50" w14:textId="0A82D499" w:rsidR="00D77AB6" w:rsidRPr="00430E37" w:rsidRDefault="00D77AB6">
            <w:pPr>
              <w:rPr>
                <w:rFonts w:eastAsiaTheme="minorEastAsia"/>
                <w:color w:val="000000" w:themeColor="text1"/>
                <w:sz w:val="20"/>
                <w:szCs w:val="20"/>
              </w:rPr>
            </w:pPr>
            <w:r w:rsidRPr="00430E37">
              <w:rPr>
                <w:rFonts w:eastAsiaTheme="minorEastAsia"/>
                <w:color w:val="000000" w:themeColor="text1"/>
                <w:sz w:val="20"/>
                <w:szCs w:val="20"/>
              </w:rPr>
              <w:t>Diagnosed, not in care</w:t>
            </w:r>
          </w:p>
          <w:p w14:paraId="350EE787" w14:textId="7BEFC072" w:rsidR="00D77AB6" w:rsidRPr="00430E37" w:rsidRDefault="00D77AB6">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25DD0EF7" w14:textId="62DB0F4C" w:rsidR="00D77AB6" w:rsidRPr="00430E37" w:rsidRDefault="00D77AB6">
            <w:pPr>
              <w:rPr>
                <w:rFonts w:eastAsiaTheme="minorEastAsia"/>
                <w:color w:val="000000" w:themeColor="text1"/>
                <w:sz w:val="20"/>
                <w:szCs w:val="20"/>
              </w:rPr>
            </w:pPr>
            <w:r w:rsidRPr="00430E37">
              <w:rPr>
                <w:rFonts w:eastAsiaTheme="minorEastAsia"/>
                <w:color w:val="000000" w:themeColor="text1"/>
                <w:sz w:val="20"/>
                <w:szCs w:val="20"/>
              </w:rPr>
              <w:t>CD4&gt;500</w:t>
            </w:r>
          </w:p>
        </w:tc>
      </w:tr>
      <w:tr w:rsidR="00D77AB6" w:rsidRPr="005637A1" w14:paraId="18E1D994" w14:textId="2C93EDE0"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60721DE5" w14:textId="0238D0A8" w:rsidR="00D77AB6" w:rsidRPr="00430E37"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6</m:t>
                    </m:r>
                  </m:sub>
                </m:sSub>
              </m:oMath>
            </m:oMathPara>
          </w:p>
        </w:tc>
        <w:tc>
          <w:tcPr>
            <w:tcW w:w="1385" w:type="dxa"/>
            <w:vMerge/>
            <w:tcBorders>
              <w:left w:val="single" w:sz="4" w:space="0" w:color="auto"/>
              <w:right w:val="single" w:sz="4" w:space="0" w:color="auto"/>
            </w:tcBorders>
            <w:vAlign w:val="center"/>
          </w:tcPr>
          <w:p w14:paraId="66BE51E2" w14:textId="77777777" w:rsidR="00D77AB6" w:rsidRPr="00430E37" w:rsidRDefault="00D77AB6">
            <w:pPr>
              <w:rPr>
                <w:rFonts w:eastAsiaTheme="minorEastAsia"/>
                <w:color w:val="000000" w:themeColor="text1"/>
                <w:sz w:val="20"/>
                <w:szCs w:val="20"/>
              </w:rPr>
            </w:pPr>
          </w:p>
        </w:tc>
        <w:tc>
          <w:tcPr>
            <w:tcW w:w="3240" w:type="dxa"/>
            <w:vMerge/>
            <w:tcBorders>
              <w:left w:val="single" w:sz="4" w:space="0" w:color="auto"/>
              <w:right w:val="single" w:sz="4" w:space="0" w:color="auto"/>
            </w:tcBorders>
            <w:vAlign w:val="center"/>
          </w:tcPr>
          <w:p w14:paraId="14F1BCBA" w14:textId="0F94A61A" w:rsidR="00D77AB6" w:rsidRPr="00430E37" w:rsidRDefault="00D77AB6">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4219838A" w14:textId="08E6B626" w:rsidR="00D77AB6" w:rsidRPr="00430E37" w:rsidRDefault="00D77AB6">
            <w:pPr>
              <w:rPr>
                <w:rFonts w:eastAsiaTheme="minorEastAsia"/>
                <w:color w:val="000000" w:themeColor="text1"/>
                <w:sz w:val="20"/>
                <w:szCs w:val="20"/>
              </w:rPr>
            </w:pPr>
            <w:r w:rsidRPr="00430E37">
              <w:rPr>
                <w:rFonts w:eastAsiaTheme="minorEastAsia"/>
                <w:color w:val="000000" w:themeColor="text1"/>
                <w:sz w:val="20"/>
                <w:szCs w:val="20"/>
              </w:rPr>
              <w:t>CD4 &gt;350 – 500</w:t>
            </w:r>
          </w:p>
        </w:tc>
      </w:tr>
      <w:tr w:rsidR="00D77AB6" w:rsidRPr="005637A1" w14:paraId="3EF91808" w14:textId="67D824D0" w:rsidTr="00710211">
        <w:trPr>
          <w:trHeight w:val="278"/>
        </w:trPr>
        <w:tc>
          <w:tcPr>
            <w:tcW w:w="1675" w:type="dxa"/>
            <w:tcBorders>
              <w:top w:val="single" w:sz="4" w:space="0" w:color="auto"/>
              <w:left w:val="single" w:sz="4" w:space="0" w:color="auto"/>
              <w:bottom w:val="single" w:sz="4" w:space="0" w:color="auto"/>
              <w:right w:val="single" w:sz="4" w:space="0" w:color="auto"/>
            </w:tcBorders>
            <w:vAlign w:val="center"/>
            <w:hideMark/>
          </w:tcPr>
          <w:p w14:paraId="2B64CA79" w14:textId="77849A71" w:rsidR="00D77AB6" w:rsidRPr="00430E37"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7</m:t>
                    </m:r>
                  </m:sub>
                </m:sSub>
              </m:oMath>
            </m:oMathPara>
          </w:p>
        </w:tc>
        <w:tc>
          <w:tcPr>
            <w:tcW w:w="1385" w:type="dxa"/>
            <w:vMerge/>
            <w:tcBorders>
              <w:left w:val="single" w:sz="4" w:space="0" w:color="auto"/>
              <w:right w:val="single" w:sz="4" w:space="0" w:color="auto"/>
            </w:tcBorders>
            <w:vAlign w:val="center"/>
          </w:tcPr>
          <w:p w14:paraId="0B8D29AD" w14:textId="77777777" w:rsidR="00D77AB6" w:rsidRPr="00430E37" w:rsidRDefault="00D77AB6">
            <w:pPr>
              <w:rPr>
                <w:rFonts w:eastAsiaTheme="minorEastAsia"/>
                <w:color w:val="000000" w:themeColor="text1"/>
                <w:sz w:val="20"/>
                <w:szCs w:val="20"/>
              </w:rPr>
            </w:pPr>
          </w:p>
        </w:tc>
        <w:tc>
          <w:tcPr>
            <w:tcW w:w="3240" w:type="dxa"/>
            <w:vMerge/>
            <w:tcBorders>
              <w:left w:val="single" w:sz="4" w:space="0" w:color="auto"/>
              <w:right w:val="single" w:sz="4" w:space="0" w:color="auto"/>
            </w:tcBorders>
            <w:vAlign w:val="center"/>
          </w:tcPr>
          <w:p w14:paraId="54B85747" w14:textId="3E7E35B4" w:rsidR="00D77AB6" w:rsidRPr="00430E37" w:rsidRDefault="00D77AB6">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6A093E0A" w14:textId="15E673A0" w:rsidR="00D77AB6" w:rsidRPr="00430E37" w:rsidRDefault="00D77AB6">
            <w:pPr>
              <w:rPr>
                <w:rFonts w:eastAsiaTheme="minorEastAsia"/>
                <w:color w:val="000000" w:themeColor="text1"/>
                <w:sz w:val="20"/>
                <w:szCs w:val="20"/>
              </w:rPr>
            </w:pPr>
            <w:r w:rsidRPr="00430E37">
              <w:rPr>
                <w:rFonts w:eastAsiaTheme="minorEastAsia"/>
                <w:color w:val="000000" w:themeColor="text1"/>
                <w:sz w:val="20"/>
                <w:szCs w:val="20"/>
              </w:rPr>
              <w:t xml:space="preserve">CD4 &gt;200 – 350 </w:t>
            </w:r>
          </w:p>
        </w:tc>
      </w:tr>
      <w:tr w:rsidR="00D77AB6" w:rsidRPr="005637A1" w14:paraId="776CC537" w14:textId="7F9DF6D9"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751BD18E" w14:textId="06A46A5E" w:rsidR="00D77AB6" w:rsidRPr="00430E37"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8</m:t>
                    </m:r>
                  </m:sub>
                </m:sSub>
              </m:oMath>
            </m:oMathPara>
          </w:p>
        </w:tc>
        <w:tc>
          <w:tcPr>
            <w:tcW w:w="1385" w:type="dxa"/>
            <w:vMerge/>
            <w:tcBorders>
              <w:left w:val="single" w:sz="4" w:space="0" w:color="auto"/>
              <w:right w:val="single" w:sz="4" w:space="0" w:color="auto"/>
            </w:tcBorders>
            <w:vAlign w:val="center"/>
          </w:tcPr>
          <w:p w14:paraId="150CA68B" w14:textId="77777777" w:rsidR="00D77AB6" w:rsidRPr="00430E37" w:rsidRDefault="00D77AB6">
            <w:pPr>
              <w:rPr>
                <w:rFonts w:eastAsiaTheme="minorEastAsia"/>
                <w:color w:val="000000" w:themeColor="text1"/>
                <w:sz w:val="20"/>
                <w:szCs w:val="20"/>
              </w:rPr>
            </w:pPr>
          </w:p>
        </w:tc>
        <w:tc>
          <w:tcPr>
            <w:tcW w:w="3240" w:type="dxa"/>
            <w:vMerge/>
            <w:tcBorders>
              <w:left w:val="single" w:sz="4" w:space="0" w:color="auto"/>
              <w:bottom w:val="single" w:sz="4" w:space="0" w:color="auto"/>
              <w:right w:val="single" w:sz="4" w:space="0" w:color="auto"/>
            </w:tcBorders>
            <w:vAlign w:val="center"/>
          </w:tcPr>
          <w:p w14:paraId="47432EF2" w14:textId="2B264C76" w:rsidR="00D77AB6" w:rsidRPr="00430E37" w:rsidRDefault="00D77AB6">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6A13CE47" w14:textId="44EE6DDB" w:rsidR="00D77AB6" w:rsidRPr="00430E37" w:rsidRDefault="00D77AB6">
            <w:pPr>
              <w:rPr>
                <w:rFonts w:eastAsiaTheme="minorEastAsia"/>
                <w:color w:val="000000" w:themeColor="text1"/>
                <w:sz w:val="20"/>
                <w:szCs w:val="20"/>
              </w:rPr>
            </w:pPr>
            <w:r w:rsidRPr="00430E37">
              <w:rPr>
                <w:rFonts w:eastAsiaTheme="minorEastAsia"/>
                <w:color w:val="000000" w:themeColor="text1"/>
                <w:sz w:val="20"/>
                <w:szCs w:val="20"/>
              </w:rPr>
              <w:t xml:space="preserve">CD4 </w:t>
            </w:r>
            <w:r w:rsidRPr="00430E37">
              <w:rPr>
                <w:rFonts w:eastAsiaTheme="minorEastAsia"/>
                <w:color w:val="000000" w:themeColor="text1"/>
                <w:sz w:val="20"/>
                <w:szCs w:val="20"/>
                <w:u w:val="single"/>
              </w:rPr>
              <w:t>&lt;</w:t>
            </w:r>
            <w:r w:rsidRPr="00430E37">
              <w:rPr>
                <w:rFonts w:eastAsiaTheme="minorEastAsia"/>
                <w:color w:val="000000" w:themeColor="text1"/>
                <w:sz w:val="20"/>
                <w:szCs w:val="20"/>
              </w:rPr>
              <w:t>200</w:t>
            </w:r>
          </w:p>
        </w:tc>
      </w:tr>
      <w:tr w:rsidR="00D77AB6" w:rsidRPr="005637A1" w14:paraId="694D06D4" w14:textId="4954BE64"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44FA5F08" w14:textId="67FE4F20" w:rsidR="00D77AB6" w:rsidRPr="00430E37"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9</m:t>
                    </m:r>
                  </m:sub>
                </m:sSub>
              </m:oMath>
            </m:oMathPara>
          </w:p>
        </w:tc>
        <w:tc>
          <w:tcPr>
            <w:tcW w:w="1385" w:type="dxa"/>
            <w:vMerge/>
            <w:tcBorders>
              <w:left w:val="single" w:sz="4" w:space="0" w:color="auto"/>
              <w:right w:val="single" w:sz="4" w:space="0" w:color="auto"/>
            </w:tcBorders>
            <w:vAlign w:val="center"/>
          </w:tcPr>
          <w:p w14:paraId="26A7717C" w14:textId="77777777" w:rsidR="00D77AB6" w:rsidRPr="00430E37" w:rsidDel="00594B9B" w:rsidRDefault="00D77AB6">
            <w:pPr>
              <w:rPr>
                <w:rFonts w:eastAsiaTheme="minorEastAsia"/>
                <w:color w:val="000000" w:themeColor="text1"/>
                <w:sz w:val="20"/>
                <w:szCs w:val="20"/>
              </w:rPr>
            </w:pPr>
          </w:p>
        </w:tc>
        <w:tc>
          <w:tcPr>
            <w:tcW w:w="3240" w:type="dxa"/>
            <w:vMerge w:val="restart"/>
            <w:tcBorders>
              <w:top w:val="single" w:sz="4" w:space="0" w:color="auto"/>
              <w:left w:val="single" w:sz="4" w:space="0" w:color="auto"/>
              <w:right w:val="single" w:sz="4" w:space="0" w:color="auto"/>
            </w:tcBorders>
            <w:vAlign w:val="center"/>
            <w:hideMark/>
          </w:tcPr>
          <w:p w14:paraId="1E241B0E" w14:textId="1000A3CC" w:rsidR="00D77AB6" w:rsidRPr="00430E37" w:rsidRDefault="00D77AB6">
            <w:pPr>
              <w:rPr>
                <w:rFonts w:eastAsiaTheme="minorEastAsia"/>
                <w:color w:val="000000" w:themeColor="text1"/>
                <w:sz w:val="20"/>
                <w:szCs w:val="20"/>
              </w:rPr>
            </w:pPr>
            <w:r w:rsidRPr="00430E37">
              <w:rPr>
                <w:rFonts w:eastAsiaTheme="minorEastAsia"/>
                <w:color w:val="000000" w:themeColor="text1"/>
                <w:sz w:val="20"/>
                <w:szCs w:val="20"/>
              </w:rPr>
              <w:t>Linked to care*</w:t>
            </w:r>
          </w:p>
          <w:p w14:paraId="541CA0AE" w14:textId="1A09C2FD" w:rsidR="00D77AB6" w:rsidRPr="00430E37" w:rsidRDefault="00D77AB6">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5318DF3D" w14:textId="09F95543" w:rsidR="00D77AB6" w:rsidRPr="00430E37" w:rsidRDefault="00D77AB6">
            <w:pPr>
              <w:rPr>
                <w:rFonts w:eastAsiaTheme="minorEastAsia"/>
                <w:color w:val="000000" w:themeColor="text1"/>
                <w:sz w:val="20"/>
                <w:szCs w:val="20"/>
              </w:rPr>
            </w:pPr>
            <w:r w:rsidRPr="00430E37">
              <w:rPr>
                <w:rFonts w:eastAsiaTheme="minorEastAsia"/>
                <w:color w:val="000000" w:themeColor="text1"/>
                <w:sz w:val="20"/>
                <w:szCs w:val="20"/>
              </w:rPr>
              <w:t>CD4&gt;500</w:t>
            </w:r>
          </w:p>
        </w:tc>
      </w:tr>
      <w:tr w:rsidR="00D77AB6" w:rsidRPr="005637A1" w14:paraId="62D9A406" w14:textId="7C3909FD" w:rsidTr="00710211">
        <w:trPr>
          <w:trHeight w:val="278"/>
        </w:trPr>
        <w:tc>
          <w:tcPr>
            <w:tcW w:w="1675" w:type="dxa"/>
            <w:tcBorders>
              <w:top w:val="single" w:sz="4" w:space="0" w:color="auto"/>
              <w:left w:val="single" w:sz="4" w:space="0" w:color="auto"/>
              <w:bottom w:val="single" w:sz="4" w:space="0" w:color="auto"/>
              <w:right w:val="single" w:sz="4" w:space="0" w:color="auto"/>
            </w:tcBorders>
            <w:vAlign w:val="center"/>
            <w:hideMark/>
          </w:tcPr>
          <w:p w14:paraId="4B0BE821" w14:textId="683B10EF" w:rsidR="00D77AB6" w:rsidRPr="00430E37"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10</m:t>
                    </m:r>
                  </m:sub>
                </m:sSub>
              </m:oMath>
            </m:oMathPara>
          </w:p>
        </w:tc>
        <w:tc>
          <w:tcPr>
            <w:tcW w:w="1385" w:type="dxa"/>
            <w:vMerge/>
            <w:tcBorders>
              <w:left w:val="single" w:sz="4" w:space="0" w:color="auto"/>
              <w:right w:val="single" w:sz="4" w:space="0" w:color="auto"/>
            </w:tcBorders>
            <w:vAlign w:val="center"/>
          </w:tcPr>
          <w:p w14:paraId="66512AF4" w14:textId="77777777" w:rsidR="00D77AB6" w:rsidRPr="00430E37" w:rsidRDefault="00D77AB6">
            <w:pPr>
              <w:rPr>
                <w:rFonts w:eastAsiaTheme="minorEastAsia"/>
                <w:color w:val="000000" w:themeColor="text1"/>
                <w:sz w:val="20"/>
                <w:szCs w:val="20"/>
              </w:rPr>
            </w:pPr>
          </w:p>
        </w:tc>
        <w:tc>
          <w:tcPr>
            <w:tcW w:w="3240" w:type="dxa"/>
            <w:vMerge/>
            <w:tcBorders>
              <w:left w:val="single" w:sz="4" w:space="0" w:color="auto"/>
              <w:right w:val="single" w:sz="4" w:space="0" w:color="auto"/>
            </w:tcBorders>
            <w:vAlign w:val="center"/>
          </w:tcPr>
          <w:p w14:paraId="22D51028" w14:textId="65D93207" w:rsidR="00D77AB6" w:rsidRPr="00430E37" w:rsidRDefault="00D77AB6">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33411F27" w14:textId="3D4891A1" w:rsidR="00D77AB6" w:rsidRPr="00430E37" w:rsidRDefault="00D77AB6">
            <w:pPr>
              <w:rPr>
                <w:rFonts w:eastAsiaTheme="minorEastAsia"/>
                <w:color w:val="000000" w:themeColor="text1"/>
                <w:sz w:val="20"/>
                <w:szCs w:val="20"/>
              </w:rPr>
            </w:pPr>
            <w:r w:rsidRPr="00430E37">
              <w:rPr>
                <w:rFonts w:eastAsiaTheme="minorEastAsia"/>
                <w:color w:val="000000" w:themeColor="text1"/>
                <w:sz w:val="20"/>
                <w:szCs w:val="20"/>
              </w:rPr>
              <w:t>CD4 &gt;350 – 500</w:t>
            </w:r>
          </w:p>
        </w:tc>
      </w:tr>
      <w:tr w:rsidR="00D77AB6" w:rsidRPr="005637A1" w14:paraId="4AFA91B2" w14:textId="6454F8E7"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52765DAF" w14:textId="1878C3D3" w:rsidR="00D77AB6" w:rsidRPr="00430E37"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11</m:t>
                    </m:r>
                  </m:sub>
                </m:sSub>
              </m:oMath>
            </m:oMathPara>
          </w:p>
        </w:tc>
        <w:tc>
          <w:tcPr>
            <w:tcW w:w="1385" w:type="dxa"/>
            <w:vMerge/>
            <w:tcBorders>
              <w:left w:val="single" w:sz="4" w:space="0" w:color="auto"/>
              <w:right w:val="single" w:sz="4" w:space="0" w:color="auto"/>
            </w:tcBorders>
            <w:vAlign w:val="center"/>
          </w:tcPr>
          <w:p w14:paraId="6E44F15F" w14:textId="77777777" w:rsidR="00D77AB6" w:rsidRPr="00430E37" w:rsidRDefault="00D77AB6">
            <w:pPr>
              <w:rPr>
                <w:rFonts w:eastAsiaTheme="minorEastAsia"/>
                <w:color w:val="000000" w:themeColor="text1"/>
                <w:sz w:val="20"/>
                <w:szCs w:val="20"/>
              </w:rPr>
            </w:pPr>
          </w:p>
        </w:tc>
        <w:tc>
          <w:tcPr>
            <w:tcW w:w="3240" w:type="dxa"/>
            <w:vMerge/>
            <w:tcBorders>
              <w:left w:val="single" w:sz="4" w:space="0" w:color="auto"/>
              <w:right w:val="single" w:sz="4" w:space="0" w:color="auto"/>
            </w:tcBorders>
            <w:vAlign w:val="center"/>
          </w:tcPr>
          <w:p w14:paraId="21F4E4CF" w14:textId="2095BC11" w:rsidR="00D77AB6" w:rsidRPr="00430E37" w:rsidRDefault="00D77AB6">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2ADD98AD" w14:textId="2407A05C" w:rsidR="00D77AB6" w:rsidRPr="00430E37" w:rsidRDefault="00D77AB6">
            <w:pPr>
              <w:rPr>
                <w:rFonts w:eastAsiaTheme="minorEastAsia"/>
                <w:color w:val="000000" w:themeColor="text1"/>
                <w:sz w:val="20"/>
                <w:szCs w:val="20"/>
              </w:rPr>
            </w:pPr>
            <w:r w:rsidRPr="00430E37">
              <w:rPr>
                <w:rFonts w:eastAsiaTheme="minorEastAsia"/>
                <w:color w:val="000000" w:themeColor="text1"/>
                <w:sz w:val="20"/>
                <w:szCs w:val="20"/>
              </w:rPr>
              <w:t xml:space="preserve">CD4 &gt;200 – 350 </w:t>
            </w:r>
          </w:p>
        </w:tc>
      </w:tr>
      <w:tr w:rsidR="00D77AB6" w:rsidRPr="005637A1" w14:paraId="76892090" w14:textId="1236E7C3" w:rsidTr="00710211">
        <w:trPr>
          <w:trHeight w:val="278"/>
        </w:trPr>
        <w:tc>
          <w:tcPr>
            <w:tcW w:w="1675" w:type="dxa"/>
            <w:tcBorders>
              <w:top w:val="single" w:sz="4" w:space="0" w:color="auto"/>
              <w:left w:val="single" w:sz="4" w:space="0" w:color="auto"/>
              <w:bottom w:val="single" w:sz="4" w:space="0" w:color="auto"/>
              <w:right w:val="single" w:sz="4" w:space="0" w:color="auto"/>
            </w:tcBorders>
            <w:vAlign w:val="center"/>
            <w:hideMark/>
          </w:tcPr>
          <w:p w14:paraId="09B431DC" w14:textId="6E417911" w:rsidR="00D77AB6" w:rsidRPr="00430E37"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12</m:t>
                    </m:r>
                  </m:sub>
                </m:sSub>
              </m:oMath>
            </m:oMathPara>
          </w:p>
        </w:tc>
        <w:tc>
          <w:tcPr>
            <w:tcW w:w="1385" w:type="dxa"/>
            <w:vMerge/>
            <w:tcBorders>
              <w:left w:val="single" w:sz="4" w:space="0" w:color="auto"/>
              <w:right w:val="single" w:sz="4" w:space="0" w:color="auto"/>
            </w:tcBorders>
            <w:vAlign w:val="center"/>
          </w:tcPr>
          <w:p w14:paraId="4573E0B7" w14:textId="77777777" w:rsidR="00D77AB6" w:rsidRPr="00430E37" w:rsidRDefault="00D77AB6">
            <w:pPr>
              <w:rPr>
                <w:rFonts w:eastAsiaTheme="minorEastAsia"/>
                <w:color w:val="000000" w:themeColor="text1"/>
                <w:sz w:val="20"/>
                <w:szCs w:val="20"/>
              </w:rPr>
            </w:pPr>
          </w:p>
        </w:tc>
        <w:tc>
          <w:tcPr>
            <w:tcW w:w="3240" w:type="dxa"/>
            <w:vMerge/>
            <w:tcBorders>
              <w:left w:val="single" w:sz="4" w:space="0" w:color="auto"/>
              <w:bottom w:val="single" w:sz="4" w:space="0" w:color="auto"/>
              <w:right w:val="single" w:sz="4" w:space="0" w:color="auto"/>
            </w:tcBorders>
            <w:vAlign w:val="center"/>
          </w:tcPr>
          <w:p w14:paraId="60E97061" w14:textId="1A887EC5" w:rsidR="00D77AB6" w:rsidRPr="00430E37" w:rsidRDefault="00D77AB6">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5F65DF2E" w14:textId="539FBF37" w:rsidR="00D77AB6" w:rsidRPr="00430E37" w:rsidRDefault="00D77AB6">
            <w:pPr>
              <w:rPr>
                <w:rFonts w:eastAsiaTheme="minorEastAsia"/>
                <w:color w:val="000000" w:themeColor="text1"/>
                <w:sz w:val="20"/>
                <w:szCs w:val="20"/>
              </w:rPr>
            </w:pPr>
            <w:r w:rsidRPr="00430E37">
              <w:rPr>
                <w:rFonts w:eastAsiaTheme="minorEastAsia"/>
                <w:color w:val="000000" w:themeColor="text1"/>
                <w:sz w:val="20"/>
                <w:szCs w:val="20"/>
              </w:rPr>
              <w:t xml:space="preserve">CD4 </w:t>
            </w:r>
            <w:r w:rsidRPr="00430E37">
              <w:rPr>
                <w:rFonts w:eastAsiaTheme="minorEastAsia"/>
                <w:color w:val="000000" w:themeColor="text1"/>
                <w:sz w:val="20"/>
                <w:szCs w:val="20"/>
                <w:u w:val="single"/>
              </w:rPr>
              <w:t>&lt;</w:t>
            </w:r>
            <w:r w:rsidRPr="00430E37">
              <w:rPr>
                <w:rFonts w:eastAsiaTheme="minorEastAsia"/>
                <w:color w:val="000000" w:themeColor="text1"/>
                <w:sz w:val="20"/>
                <w:szCs w:val="20"/>
              </w:rPr>
              <w:t>200</w:t>
            </w:r>
          </w:p>
        </w:tc>
      </w:tr>
      <w:tr w:rsidR="00D77AB6" w:rsidRPr="005637A1" w14:paraId="3E5CFA16" w14:textId="61719D79"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38EC5F3B" w14:textId="1E3C7C6D" w:rsidR="00D77AB6" w:rsidRPr="00430E37"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13</m:t>
                    </m:r>
                  </m:sub>
                </m:sSub>
              </m:oMath>
            </m:oMathPara>
          </w:p>
        </w:tc>
        <w:tc>
          <w:tcPr>
            <w:tcW w:w="1385" w:type="dxa"/>
            <w:vMerge/>
            <w:tcBorders>
              <w:left w:val="single" w:sz="4" w:space="0" w:color="auto"/>
              <w:right w:val="single" w:sz="4" w:space="0" w:color="auto"/>
            </w:tcBorders>
            <w:vAlign w:val="center"/>
          </w:tcPr>
          <w:p w14:paraId="25881FD6" w14:textId="77777777" w:rsidR="00D77AB6" w:rsidRPr="00430E37" w:rsidDel="00112D5F" w:rsidRDefault="00D77AB6">
            <w:pPr>
              <w:rPr>
                <w:rFonts w:eastAsiaTheme="minorEastAsia"/>
                <w:color w:val="000000" w:themeColor="text1"/>
                <w:sz w:val="20"/>
                <w:szCs w:val="20"/>
              </w:rPr>
            </w:pPr>
          </w:p>
        </w:tc>
        <w:tc>
          <w:tcPr>
            <w:tcW w:w="3240" w:type="dxa"/>
            <w:vMerge w:val="restart"/>
            <w:tcBorders>
              <w:top w:val="single" w:sz="4" w:space="0" w:color="auto"/>
              <w:left w:val="single" w:sz="4" w:space="0" w:color="auto"/>
              <w:right w:val="single" w:sz="4" w:space="0" w:color="auto"/>
            </w:tcBorders>
            <w:vAlign w:val="center"/>
            <w:hideMark/>
          </w:tcPr>
          <w:p w14:paraId="181E80F2" w14:textId="33629568" w:rsidR="00D77AB6" w:rsidRPr="00430E37" w:rsidRDefault="00D77AB6">
            <w:pPr>
              <w:rPr>
                <w:rFonts w:eastAsiaTheme="minorEastAsia"/>
                <w:color w:val="000000" w:themeColor="text1"/>
                <w:sz w:val="20"/>
                <w:szCs w:val="20"/>
              </w:rPr>
            </w:pPr>
            <w:r w:rsidRPr="00430E37">
              <w:rPr>
                <w:rFonts w:eastAsiaTheme="minorEastAsia"/>
                <w:color w:val="000000" w:themeColor="text1"/>
                <w:sz w:val="20"/>
                <w:szCs w:val="20"/>
              </w:rPr>
              <w:t>Lost to follow-up</w:t>
            </w:r>
            <w:r w:rsidRPr="001169A9">
              <w:rPr>
                <w:bCs/>
                <w:sz w:val="20"/>
                <w:szCs w:val="20"/>
              </w:rPr>
              <w:t>†</w:t>
            </w:r>
          </w:p>
          <w:p w14:paraId="5F0E303A" w14:textId="0680E30B" w:rsidR="00D77AB6" w:rsidRPr="00430E37" w:rsidRDefault="00D77AB6">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5EB30492" w14:textId="327779FF" w:rsidR="00D77AB6" w:rsidRPr="00430E37" w:rsidRDefault="00D77AB6">
            <w:pPr>
              <w:rPr>
                <w:rFonts w:eastAsiaTheme="minorEastAsia"/>
                <w:color w:val="000000" w:themeColor="text1"/>
                <w:sz w:val="20"/>
                <w:szCs w:val="20"/>
              </w:rPr>
            </w:pPr>
            <w:r w:rsidRPr="00430E37">
              <w:rPr>
                <w:rFonts w:eastAsiaTheme="minorEastAsia"/>
                <w:color w:val="000000" w:themeColor="text1"/>
                <w:sz w:val="20"/>
                <w:szCs w:val="20"/>
              </w:rPr>
              <w:t>CD4&gt;500</w:t>
            </w:r>
          </w:p>
        </w:tc>
      </w:tr>
      <w:tr w:rsidR="00D77AB6" w:rsidRPr="005637A1" w14:paraId="47C7B7EC" w14:textId="14C3382C" w:rsidTr="00710211">
        <w:trPr>
          <w:trHeight w:val="278"/>
        </w:trPr>
        <w:tc>
          <w:tcPr>
            <w:tcW w:w="1675" w:type="dxa"/>
            <w:tcBorders>
              <w:top w:val="single" w:sz="4" w:space="0" w:color="auto"/>
              <w:left w:val="single" w:sz="4" w:space="0" w:color="auto"/>
              <w:bottom w:val="single" w:sz="4" w:space="0" w:color="auto"/>
              <w:right w:val="single" w:sz="4" w:space="0" w:color="auto"/>
            </w:tcBorders>
            <w:vAlign w:val="center"/>
            <w:hideMark/>
          </w:tcPr>
          <w:p w14:paraId="0FF2EFBE" w14:textId="2CDBAD00" w:rsidR="00D77AB6" w:rsidRPr="00430E37"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14</m:t>
                    </m:r>
                  </m:sub>
                </m:sSub>
              </m:oMath>
            </m:oMathPara>
          </w:p>
        </w:tc>
        <w:tc>
          <w:tcPr>
            <w:tcW w:w="1385" w:type="dxa"/>
            <w:vMerge/>
            <w:tcBorders>
              <w:left w:val="single" w:sz="4" w:space="0" w:color="auto"/>
              <w:right w:val="single" w:sz="4" w:space="0" w:color="auto"/>
            </w:tcBorders>
            <w:vAlign w:val="center"/>
          </w:tcPr>
          <w:p w14:paraId="3AA45820" w14:textId="77777777" w:rsidR="00D77AB6" w:rsidRPr="00430E37" w:rsidRDefault="00D77AB6">
            <w:pPr>
              <w:rPr>
                <w:rFonts w:eastAsiaTheme="minorEastAsia"/>
                <w:color w:val="000000" w:themeColor="text1"/>
                <w:sz w:val="20"/>
                <w:szCs w:val="20"/>
              </w:rPr>
            </w:pPr>
          </w:p>
        </w:tc>
        <w:tc>
          <w:tcPr>
            <w:tcW w:w="3240" w:type="dxa"/>
            <w:vMerge/>
            <w:tcBorders>
              <w:left w:val="single" w:sz="4" w:space="0" w:color="auto"/>
              <w:right w:val="single" w:sz="4" w:space="0" w:color="auto"/>
            </w:tcBorders>
            <w:vAlign w:val="center"/>
          </w:tcPr>
          <w:p w14:paraId="75E40604" w14:textId="06FF964D" w:rsidR="00D77AB6" w:rsidRPr="00430E37" w:rsidRDefault="00D77AB6">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204EAF60" w14:textId="2C8FFD63" w:rsidR="00D77AB6" w:rsidRPr="00430E37" w:rsidRDefault="00D77AB6">
            <w:pPr>
              <w:rPr>
                <w:rFonts w:eastAsiaTheme="minorEastAsia"/>
                <w:color w:val="000000" w:themeColor="text1"/>
                <w:sz w:val="20"/>
                <w:szCs w:val="20"/>
              </w:rPr>
            </w:pPr>
            <w:r w:rsidRPr="00430E37">
              <w:rPr>
                <w:rFonts w:eastAsiaTheme="minorEastAsia"/>
                <w:color w:val="000000" w:themeColor="text1"/>
                <w:sz w:val="20"/>
                <w:szCs w:val="20"/>
              </w:rPr>
              <w:t>CD4 &gt;350 – 500</w:t>
            </w:r>
          </w:p>
        </w:tc>
      </w:tr>
      <w:tr w:rsidR="00D77AB6" w:rsidRPr="005637A1" w14:paraId="7A340130" w14:textId="05AAC2FB"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53E7A4F0" w14:textId="4C7C0ABE" w:rsidR="00D77AB6" w:rsidRPr="00430E37"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15</m:t>
                    </m:r>
                  </m:sub>
                </m:sSub>
              </m:oMath>
            </m:oMathPara>
          </w:p>
        </w:tc>
        <w:tc>
          <w:tcPr>
            <w:tcW w:w="1385" w:type="dxa"/>
            <w:vMerge/>
            <w:tcBorders>
              <w:left w:val="single" w:sz="4" w:space="0" w:color="auto"/>
              <w:right w:val="single" w:sz="4" w:space="0" w:color="auto"/>
            </w:tcBorders>
            <w:vAlign w:val="center"/>
          </w:tcPr>
          <w:p w14:paraId="143DCFFA" w14:textId="77777777" w:rsidR="00D77AB6" w:rsidRPr="00430E37" w:rsidRDefault="00D77AB6">
            <w:pPr>
              <w:rPr>
                <w:rFonts w:eastAsiaTheme="minorEastAsia"/>
                <w:color w:val="000000" w:themeColor="text1"/>
                <w:sz w:val="20"/>
                <w:szCs w:val="20"/>
              </w:rPr>
            </w:pPr>
          </w:p>
        </w:tc>
        <w:tc>
          <w:tcPr>
            <w:tcW w:w="3240" w:type="dxa"/>
            <w:vMerge/>
            <w:tcBorders>
              <w:left w:val="single" w:sz="4" w:space="0" w:color="auto"/>
              <w:right w:val="single" w:sz="4" w:space="0" w:color="auto"/>
            </w:tcBorders>
            <w:vAlign w:val="center"/>
          </w:tcPr>
          <w:p w14:paraId="78AF5A9C" w14:textId="27D7CBC5" w:rsidR="00D77AB6" w:rsidRPr="00430E37" w:rsidRDefault="00D77AB6">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0306C724" w14:textId="2AF878F6" w:rsidR="00D77AB6" w:rsidRPr="00430E37" w:rsidRDefault="00D77AB6">
            <w:pPr>
              <w:rPr>
                <w:rFonts w:eastAsiaTheme="minorEastAsia"/>
                <w:color w:val="000000" w:themeColor="text1"/>
                <w:sz w:val="20"/>
                <w:szCs w:val="20"/>
              </w:rPr>
            </w:pPr>
            <w:r w:rsidRPr="00430E37">
              <w:rPr>
                <w:rFonts w:eastAsiaTheme="minorEastAsia"/>
                <w:color w:val="000000" w:themeColor="text1"/>
                <w:sz w:val="20"/>
                <w:szCs w:val="20"/>
              </w:rPr>
              <w:t xml:space="preserve">CD4 &gt;200 – 350 </w:t>
            </w:r>
          </w:p>
        </w:tc>
      </w:tr>
      <w:tr w:rsidR="00D77AB6" w:rsidRPr="005637A1" w14:paraId="5A7FF3E2" w14:textId="36126D25"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381E8BA5" w14:textId="3014A2A1" w:rsidR="00D77AB6" w:rsidRPr="00430E37"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16</m:t>
                    </m:r>
                  </m:sub>
                </m:sSub>
              </m:oMath>
            </m:oMathPara>
          </w:p>
        </w:tc>
        <w:tc>
          <w:tcPr>
            <w:tcW w:w="1385" w:type="dxa"/>
            <w:vMerge/>
            <w:tcBorders>
              <w:left w:val="single" w:sz="4" w:space="0" w:color="auto"/>
              <w:right w:val="single" w:sz="4" w:space="0" w:color="auto"/>
            </w:tcBorders>
            <w:vAlign w:val="center"/>
          </w:tcPr>
          <w:p w14:paraId="698594A3" w14:textId="77777777" w:rsidR="00D77AB6" w:rsidRPr="00430E37" w:rsidRDefault="00D77AB6">
            <w:pPr>
              <w:rPr>
                <w:rFonts w:eastAsiaTheme="minorEastAsia"/>
                <w:color w:val="000000" w:themeColor="text1"/>
                <w:sz w:val="20"/>
                <w:szCs w:val="20"/>
              </w:rPr>
            </w:pPr>
          </w:p>
        </w:tc>
        <w:tc>
          <w:tcPr>
            <w:tcW w:w="3240" w:type="dxa"/>
            <w:vMerge/>
            <w:tcBorders>
              <w:left w:val="single" w:sz="4" w:space="0" w:color="auto"/>
              <w:bottom w:val="single" w:sz="4" w:space="0" w:color="auto"/>
              <w:right w:val="single" w:sz="4" w:space="0" w:color="auto"/>
            </w:tcBorders>
            <w:vAlign w:val="center"/>
          </w:tcPr>
          <w:p w14:paraId="06E00080" w14:textId="4CE92701" w:rsidR="00D77AB6" w:rsidRPr="00430E37" w:rsidRDefault="00D77AB6">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7BF1FFB4" w14:textId="19453F79" w:rsidR="00D77AB6" w:rsidRPr="00430E37" w:rsidRDefault="00D77AB6">
            <w:pPr>
              <w:rPr>
                <w:rFonts w:eastAsiaTheme="minorEastAsia"/>
                <w:color w:val="000000" w:themeColor="text1"/>
                <w:sz w:val="20"/>
                <w:szCs w:val="20"/>
              </w:rPr>
            </w:pPr>
            <w:r w:rsidRPr="00430E37">
              <w:rPr>
                <w:rFonts w:eastAsiaTheme="minorEastAsia"/>
                <w:color w:val="000000" w:themeColor="text1"/>
                <w:sz w:val="20"/>
                <w:szCs w:val="20"/>
              </w:rPr>
              <w:t xml:space="preserve">CD4 </w:t>
            </w:r>
            <w:r w:rsidRPr="00430E37">
              <w:rPr>
                <w:rFonts w:eastAsiaTheme="minorEastAsia"/>
                <w:color w:val="000000" w:themeColor="text1"/>
                <w:sz w:val="20"/>
                <w:szCs w:val="20"/>
                <w:u w:val="single"/>
              </w:rPr>
              <w:t>&lt;</w:t>
            </w:r>
            <w:r w:rsidRPr="00430E37">
              <w:rPr>
                <w:rFonts w:eastAsiaTheme="minorEastAsia"/>
                <w:color w:val="000000" w:themeColor="text1"/>
                <w:sz w:val="20"/>
                <w:szCs w:val="20"/>
              </w:rPr>
              <w:t>200</w:t>
            </w:r>
          </w:p>
        </w:tc>
      </w:tr>
      <w:tr w:rsidR="00D77AB6" w:rsidRPr="00D00252" w14:paraId="39183817" w14:textId="4302634B"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1084D5F3" w14:textId="6EB36401" w:rsidR="00D77AB6" w:rsidRPr="007C2C05"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17</m:t>
                    </m:r>
                  </m:sub>
                </m:sSub>
              </m:oMath>
            </m:oMathPara>
          </w:p>
        </w:tc>
        <w:tc>
          <w:tcPr>
            <w:tcW w:w="1385" w:type="dxa"/>
            <w:vMerge/>
            <w:tcBorders>
              <w:left w:val="single" w:sz="4" w:space="0" w:color="auto"/>
              <w:right w:val="single" w:sz="4" w:space="0" w:color="auto"/>
            </w:tcBorders>
            <w:vAlign w:val="center"/>
          </w:tcPr>
          <w:p w14:paraId="66934F60" w14:textId="77777777" w:rsidR="00D77AB6" w:rsidRPr="007C2C05" w:rsidDel="00112D5F" w:rsidRDefault="00D77AB6">
            <w:pPr>
              <w:rPr>
                <w:rFonts w:eastAsiaTheme="minorEastAsia"/>
                <w:color w:val="000000" w:themeColor="text1"/>
                <w:sz w:val="20"/>
                <w:szCs w:val="20"/>
              </w:rPr>
            </w:pPr>
          </w:p>
        </w:tc>
        <w:tc>
          <w:tcPr>
            <w:tcW w:w="3240" w:type="dxa"/>
            <w:vMerge w:val="restart"/>
            <w:tcBorders>
              <w:top w:val="single" w:sz="4" w:space="0" w:color="auto"/>
              <w:left w:val="single" w:sz="4" w:space="0" w:color="auto"/>
              <w:right w:val="single" w:sz="4" w:space="0" w:color="auto"/>
            </w:tcBorders>
            <w:vAlign w:val="center"/>
            <w:hideMark/>
          </w:tcPr>
          <w:p w14:paraId="4F0BF72C" w14:textId="501AFBFF" w:rsidR="00D77AB6" w:rsidRPr="007C2C05" w:rsidRDefault="00D77AB6">
            <w:pPr>
              <w:rPr>
                <w:rFonts w:eastAsiaTheme="minorEastAsia"/>
                <w:color w:val="000000" w:themeColor="text1"/>
                <w:sz w:val="20"/>
                <w:szCs w:val="20"/>
              </w:rPr>
            </w:pPr>
            <w:r w:rsidRPr="007C2C05">
              <w:rPr>
                <w:rFonts w:eastAsiaTheme="minorEastAsia"/>
                <w:color w:val="000000" w:themeColor="text1"/>
                <w:sz w:val="20"/>
                <w:szCs w:val="20"/>
              </w:rPr>
              <w:t>On ART, virally suppressed</w:t>
            </w:r>
            <w:r w:rsidRPr="00710211">
              <w:rPr>
                <w:rFonts w:eastAsiaTheme="minorEastAsia"/>
                <w:color w:val="000000" w:themeColor="text1"/>
                <w:sz w:val="20"/>
                <w:szCs w:val="20"/>
              </w:rPr>
              <w:t>‡</w:t>
            </w:r>
          </w:p>
          <w:p w14:paraId="531072FD" w14:textId="115337E7" w:rsidR="00D77AB6" w:rsidRPr="007C2C05" w:rsidRDefault="00D77AB6">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4DA809BD" w14:textId="10A0D116" w:rsidR="00D77AB6" w:rsidRPr="007C2C05" w:rsidRDefault="00D77AB6">
            <w:pPr>
              <w:rPr>
                <w:rFonts w:eastAsiaTheme="minorEastAsia"/>
                <w:color w:val="000000" w:themeColor="text1"/>
                <w:sz w:val="20"/>
                <w:szCs w:val="20"/>
              </w:rPr>
            </w:pPr>
            <w:r w:rsidRPr="007C2C05">
              <w:rPr>
                <w:rFonts w:eastAsiaTheme="minorEastAsia"/>
                <w:color w:val="000000" w:themeColor="text1"/>
                <w:sz w:val="20"/>
                <w:szCs w:val="20"/>
              </w:rPr>
              <w:t>CD4 &gt;500</w:t>
            </w:r>
          </w:p>
        </w:tc>
      </w:tr>
      <w:tr w:rsidR="00D77AB6" w:rsidRPr="00D00252" w14:paraId="53C75C68" w14:textId="428A7B2A"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712C9E92" w14:textId="56864919" w:rsidR="00D77AB6" w:rsidRPr="007C2C05"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18</m:t>
                    </m:r>
                  </m:sub>
                </m:sSub>
              </m:oMath>
            </m:oMathPara>
          </w:p>
        </w:tc>
        <w:tc>
          <w:tcPr>
            <w:tcW w:w="1385" w:type="dxa"/>
            <w:vMerge/>
            <w:tcBorders>
              <w:left w:val="single" w:sz="4" w:space="0" w:color="auto"/>
              <w:right w:val="single" w:sz="4" w:space="0" w:color="auto"/>
            </w:tcBorders>
            <w:vAlign w:val="center"/>
          </w:tcPr>
          <w:p w14:paraId="3B5E4C3D" w14:textId="77777777" w:rsidR="00D77AB6" w:rsidRPr="007C2C05" w:rsidRDefault="00D77AB6">
            <w:pPr>
              <w:rPr>
                <w:rFonts w:eastAsiaTheme="minorEastAsia"/>
                <w:color w:val="000000" w:themeColor="text1"/>
                <w:sz w:val="20"/>
                <w:szCs w:val="20"/>
              </w:rPr>
            </w:pPr>
          </w:p>
        </w:tc>
        <w:tc>
          <w:tcPr>
            <w:tcW w:w="3240" w:type="dxa"/>
            <w:vMerge/>
            <w:tcBorders>
              <w:left w:val="single" w:sz="4" w:space="0" w:color="auto"/>
              <w:right w:val="single" w:sz="4" w:space="0" w:color="auto"/>
            </w:tcBorders>
            <w:vAlign w:val="center"/>
          </w:tcPr>
          <w:p w14:paraId="57CC4D89" w14:textId="38972E12" w:rsidR="00D77AB6" w:rsidRPr="007C2C05" w:rsidRDefault="00D77AB6">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55A3DC7D" w14:textId="04820174" w:rsidR="00D77AB6" w:rsidRPr="007C2C05" w:rsidRDefault="00D77AB6">
            <w:pPr>
              <w:rPr>
                <w:rFonts w:eastAsiaTheme="minorEastAsia"/>
                <w:color w:val="000000" w:themeColor="text1"/>
                <w:sz w:val="20"/>
                <w:szCs w:val="20"/>
              </w:rPr>
            </w:pPr>
            <w:r w:rsidRPr="007C2C05">
              <w:rPr>
                <w:rFonts w:eastAsiaTheme="minorEastAsia"/>
                <w:color w:val="000000" w:themeColor="text1"/>
                <w:sz w:val="20"/>
                <w:szCs w:val="20"/>
              </w:rPr>
              <w:t>CD4 &gt;350 – 500</w:t>
            </w:r>
          </w:p>
        </w:tc>
      </w:tr>
      <w:tr w:rsidR="00D77AB6" w:rsidRPr="00D00252" w14:paraId="05976584" w14:textId="0A4E8646" w:rsidTr="00710211">
        <w:trPr>
          <w:trHeight w:val="278"/>
        </w:trPr>
        <w:tc>
          <w:tcPr>
            <w:tcW w:w="1675" w:type="dxa"/>
            <w:tcBorders>
              <w:top w:val="single" w:sz="4" w:space="0" w:color="auto"/>
              <w:left w:val="single" w:sz="4" w:space="0" w:color="auto"/>
              <w:bottom w:val="single" w:sz="4" w:space="0" w:color="auto"/>
              <w:right w:val="single" w:sz="4" w:space="0" w:color="auto"/>
            </w:tcBorders>
            <w:vAlign w:val="center"/>
            <w:hideMark/>
          </w:tcPr>
          <w:p w14:paraId="2230E13E" w14:textId="74ADCF47" w:rsidR="00D77AB6" w:rsidRPr="007C2C05"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19</m:t>
                    </m:r>
                  </m:sub>
                </m:sSub>
              </m:oMath>
            </m:oMathPara>
          </w:p>
        </w:tc>
        <w:tc>
          <w:tcPr>
            <w:tcW w:w="1385" w:type="dxa"/>
            <w:vMerge/>
            <w:tcBorders>
              <w:left w:val="single" w:sz="4" w:space="0" w:color="auto"/>
              <w:right w:val="single" w:sz="4" w:space="0" w:color="auto"/>
            </w:tcBorders>
            <w:vAlign w:val="center"/>
          </w:tcPr>
          <w:p w14:paraId="2459C9E2" w14:textId="77777777" w:rsidR="00D77AB6" w:rsidRPr="007C2C05" w:rsidRDefault="00D77AB6">
            <w:pPr>
              <w:rPr>
                <w:rFonts w:eastAsiaTheme="minorEastAsia"/>
                <w:color w:val="000000" w:themeColor="text1"/>
                <w:sz w:val="20"/>
                <w:szCs w:val="20"/>
              </w:rPr>
            </w:pPr>
          </w:p>
        </w:tc>
        <w:tc>
          <w:tcPr>
            <w:tcW w:w="3240" w:type="dxa"/>
            <w:vMerge/>
            <w:tcBorders>
              <w:left w:val="single" w:sz="4" w:space="0" w:color="auto"/>
              <w:right w:val="single" w:sz="4" w:space="0" w:color="auto"/>
            </w:tcBorders>
            <w:vAlign w:val="center"/>
          </w:tcPr>
          <w:p w14:paraId="483DCABC" w14:textId="1B2700F1" w:rsidR="00D77AB6" w:rsidRPr="007C2C05" w:rsidRDefault="00D77AB6">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0181DD43" w14:textId="0A7E650F" w:rsidR="00D77AB6" w:rsidRPr="007C2C05" w:rsidRDefault="00D77AB6">
            <w:pPr>
              <w:rPr>
                <w:rFonts w:eastAsiaTheme="minorEastAsia"/>
                <w:color w:val="000000" w:themeColor="text1"/>
                <w:sz w:val="20"/>
                <w:szCs w:val="20"/>
              </w:rPr>
            </w:pPr>
            <w:r w:rsidRPr="007C2C05">
              <w:rPr>
                <w:rFonts w:eastAsiaTheme="minorEastAsia"/>
                <w:color w:val="000000" w:themeColor="text1"/>
                <w:sz w:val="20"/>
                <w:szCs w:val="20"/>
              </w:rPr>
              <w:t xml:space="preserve">CD4 &gt;200 – 350 </w:t>
            </w:r>
          </w:p>
        </w:tc>
      </w:tr>
      <w:tr w:rsidR="00D77AB6" w:rsidRPr="00D00252" w14:paraId="40E7A530" w14:textId="6E11FECC"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1C1E3CEA" w14:textId="5348D1C3" w:rsidR="00D77AB6" w:rsidRPr="007C2C05"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20</m:t>
                    </m:r>
                  </m:sub>
                </m:sSub>
              </m:oMath>
            </m:oMathPara>
          </w:p>
        </w:tc>
        <w:tc>
          <w:tcPr>
            <w:tcW w:w="1385" w:type="dxa"/>
            <w:vMerge/>
            <w:tcBorders>
              <w:left w:val="single" w:sz="4" w:space="0" w:color="auto"/>
              <w:right w:val="single" w:sz="4" w:space="0" w:color="auto"/>
            </w:tcBorders>
            <w:vAlign w:val="center"/>
          </w:tcPr>
          <w:p w14:paraId="304C33DE" w14:textId="77777777" w:rsidR="00D77AB6" w:rsidRPr="007C2C05" w:rsidRDefault="00D77AB6">
            <w:pPr>
              <w:rPr>
                <w:rFonts w:eastAsiaTheme="minorEastAsia"/>
                <w:color w:val="000000" w:themeColor="text1"/>
                <w:sz w:val="20"/>
                <w:szCs w:val="20"/>
              </w:rPr>
            </w:pPr>
          </w:p>
        </w:tc>
        <w:tc>
          <w:tcPr>
            <w:tcW w:w="3240" w:type="dxa"/>
            <w:vMerge/>
            <w:tcBorders>
              <w:left w:val="single" w:sz="4" w:space="0" w:color="auto"/>
              <w:bottom w:val="single" w:sz="4" w:space="0" w:color="auto"/>
              <w:right w:val="single" w:sz="4" w:space="0" w:color="auto"/>
            </w:tcBorders>
            <w:vAlign w:val="center"/>
          </w:tcPr>
          <w:p w14:paraId="4F13AD2E" w14:textId="574F2CA3" w:rsidR="00D77AB6" w:rsidRPr="007C2C05" w:rsidRDefault="00D77AB6">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4368BF70" w14:textId="2DF7A07B" w:rsidR="00D77AB6" w:rsidRPr="007C2C05" w:rsidRDefault="00D77AB6">
            <w:pPr>
              <w:rPr>
                <w:rFonts w:eastAsiaTheme="minorEastAsia"/>
                <w:color w:val="000000" w:themeColor="text1"/>
                <w:sz w:val="20"/>
                <w:szCs w:val="20"/>
              </w:rPr>
            </w:pPr>
            <w:r w:rsidRPr="007C2C05">
              <w:rPr>
                <w:rFonts w:eastAsiaTheme="minorEastAsia"/>
                <w:color w:val="000000" w:themeColor="text1"/>
                <w:sz w:val="20"/>
                <w:szCs w:val="20"/>
              </w:rPr>
              <w:t xml:space="preserve">CD4 </w:t>
            </w:r>
            <w:r w:rsidRPr="007C2C05">
              <w:rPr>
                <w:rFonts w:eastAsiaTheme="minorEastAsia"/>
                <w:color w:val="000000" w:themeColor="text1"/>
                <w:sz w:val="20"/>
                <w:szCs w:val="20"/>
                <w:u w:val="single"/>
              </w:rPr>
              <w:t>&lt;</w:t>
            </w:r>
            <w:r w:rsidRPr="007C2C05">
              <w:rPr>
                <w:rFonts w:eastAsiaTheme="minorEastAsia"/>
                <w:color w:val="000000" w:themeColor="text1"/>
                <w:sz w:val="20"/>
                <w:szCs w:val="20"/>
              </w:rPr>
              <w:t>200</w:t>
            </w:r>
          </w:p>
        </w:tc>
      </w:tr>
      <w:tr w:rsidR="00D77AB6" w:rsidRPr="00D00252" w14:paraId="4E9E1F41" w14:textId="17D20EE6" w:rsidTr="00710211">
        <w:trPr>
          <w:trHeight w:val="278"/>
        </w:trPr>
        <w:tc>
          <w:tcPr>
            <w:tcW w:w="1675" w:type="dxa"/>
            <w:tcBorders>
              <w:top w:val="single" w:sz="4" w:space="0" w:color="auto"/>
              <w:left w:val="single" w:sz="4" w:space="0" w:color="auto"/>
              <w:bottom w:val="single" w:sz="4" w:space="0" w:color="auto"/>
              <w:right w:val="single" w:sz="4" w:space="0" w:color="auto"/>
            </w:tcBorders>
            <w:vAlign w:val="center"/>
            <w:hideMark/>
          </w:tcPr>
          <w:p w14:paraId="66915E41" w14:textId="50A31AAE" w:rsidR="00D77AB6" w:rsidRPr="007C2C05"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21</m:t>
                    </m:r>
                  </m:sub>
                </m:sSub>
              </m:oMath>
            </m:oMathPara>
          </w:p>
        </w:tc>
        <w:tc>
          <w:tcPr>
            <w:tcW w:w="1385" w:type="dxa"/>
            <w:vMerge/>
            <w:tcBorders>
              <w:left w:val="single" w:sz="4" w:space="0" w:color="auto"/>
              <w:right w:val="single" w:sz="4" w:space="0" w:color="auto"/>
            </w:tcBorders>
            <w:vAlign w:val="center"/>
          </w:tcPr>
          <w:p w14:paraId="0E08FB80" w14:textId="77777777" w:rsidR="00D77AB6" w:rsidRPr="007C2C05" w:rsidRDefault="00D77AB6">
            <w:pPr>
              <w:rPr>
                <w:rFonts w:eastAsiaTheme="minorEastAsia"/>
                <w:color w:val="000000" w:themeColor="text1"/>
                <w:sz w:val="20"/>
                <w:szCs w:val="20"/>
              </w:rPr>
            </w:pPr>
          </w:p>
        </w:tc>
        <w:tc>
          <w:tcPr>
            <w:tcW w:w="3240" w:type="dxa"/>
            <w:vMerge w:val="restart"/>
            <w:tcBorders>
              <w:top w:val="single" w:sz="4" w:space="0" w:color="auto"/>
              <w:left w:val="single" w:sz="4" w:space="0" w:color="auto"/>
              <w:right w:val="single" w:sz="4" w:space="0" w:color="auto"/>
            </w:tcBorders>
            <w:vAlign w:val="center"/>
            <w:hideMark/>
          </w:tcPr>
          <w:p w14:paraId="6F9C21BC" w14:textId="040D41C4" w:rsidR="00D77AB6" w:rsidRPr="007C2C05" w:rsidRDefault="00D77AB6">
            <w:pPr>
              <w:rPr>
                <w:rFonts w:eastAsiaTheme="minorEastAsia"/>
                <w:color w:val="000000" w:themeColor="text1"/>
                <w:sz w:val="20"/>
                <w:szCs w:val="20"/>
              </w:rPr>
            </w:pPr>
            <w:r w:rsidRPr="007C2C05">
              <w:rPr>
                <w:rFonts w:eastAsiaTheme="minorEastAsia"/>
                <w:color w:val="000000" w:themeColor="text1"/>
                <w:sz w:val="20"/>
                <w:szCs w:val="20"/>
              </w:rPr>
              <w:t>On ART, not virally suppressed</w:t>
            </w:r>
            <w:r w:rsidRPr="00710211">
              <w:rPr>
                <w:rFonts w:eastAsiaTheme="minorEastAsia"/>
                <w:color w:val="000000" w:themeColor="text1"/>
                <w:sz w:val="20"/>
                <w:szCs w:val="20"/>
              </w:rPr>
              <w:t>‡</w:t>
            </w:r>
          </w:p>
          <w:p w14:paraId="71D9E11E" w14:textId="0C8F3F98" w:rsidR="00D77AB6" w:rsidRPr="007C2C05" w:rsidRDefault="00D77AB6">
            <w:pPr>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709258EE" w14:textId="0FD452B9" w:rsidR="00D77AB6" w:rsidRPr="007C2C05" w:rsidRDefault="00D77AB6">
            <w:pPr>
              <w:rPr>
                <w:rFonts w:eastAsiaTheme="minorEastAsia"/>
                <w:color w:val="000000" w:themeColor="text1"/>
                <w:sz w:val="20"/>
                <w:szCs w:val="20"/>
              </w:rPr>
            </w:pPr>
            <w:r w:rsidRPr="007C2C05">
              <w:rPr>
                <w:rFonts w:eastAsiaTheme="minorEastAsia"/>
                <w:color w:val="000000" w:themeColor="text1"/>
                <w:sz w:val="20"/>
                <w:szCs w:val="20"/>
              </w:rPr>
              <w:t>CD4 &gt;500</w:t>
            </w:r>
          </w:p>
        </w:tc>
      </w:tr>
      <w:tr w:rsidR="00D77AB6" w:rsidRPr="00D00252" w14:paraId="266EEDD3" w14:textId="396A9853"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2321D50F" w14:textId="61A4D03E" w:rsidR="00D77AB6" w:rsidRPr="007C2C05"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22</m:t>
                    </m:r>
                  </m:sub>
                </m:sSub>
              </m:oMath>
            </m:oMathPara>
          </w:p>
        </w:tc>
        <w:tc>
          <w:tcPr>
            <w:tcW w:w="1385" w:type="dxa"/>
            <w:vMerge/>
            <w:tcBorders>
              <w:left w:val="single" w:sz="4" w:space="0" w:color="auto"/>
              <w:right w:val="single" w:sz="4" w:space="0" w:color="auto"/>
            </w:tcBorders>
          </w:tcPr>
          <w:p w14:paraId="1BA322D7" w14:textId="77777777" w:rsidR="00D77AB6" w:rsidRPr="007C2C05" w:rsidRDefault="00D77AB6">
            <w:pPr>
              <w:jc w:val="both"/>
              <w:rPr>
                <w:rFonts w:eastAsiaTheme="minorEastAsia"/>
                <w:color w:val="000000" w:themeColor="text1"/>
                <w:sz w:val="20"/>
                <w:szCs w:val="20"/>
              </w:rPr>
            </w:pPr>
          </w:p>
        </w:tc>
        <w:tc>
          <w:tcPr>
            <w:tcW w:w="3240" w:type="dxa"/>
            <w:vMerge/>
            <w:tcBorders>
              <w:left w:val="single" w:sz="4" w:space="0" w:color="auto"/>
              <w:right w:val="single" w:sz="4" w:space="0" w:color="auto"/>
            </w:tcBorders>
          </w:tcPr>
          <w:p w14:paraId="63F76F1F" w14:textId="773ABC83" w:rsidR="00D77AB6" w:rsidRPr="007C2C05" w:rsidRDefault="00D77AB6">
            <w:pPr>
              <w:jc w:val="both"/>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4962775A" w14:textId="5F7633FC" w:rsidR="00D77AB6" w:rsidRPr="007C2C05" w:rsidRDefault="00D77AB6">
            <w:pPr>
              <w:rPr>
                <w:rFonts w:eastAsiaTheme="minorEastAsia"/>
                <w:color w:val="000000" w:themeColor="text1"/>
                <w:sz w:val="20"/>
                <w:szCs w:val="20"/>
              </w:rPr>
            </w:pPr>
            <w:r w:rsidRPr="007C2C05">
              <w:rPr>
                <w:rFonts w:eastAsiaTheme="minorEastAsia"/>
                <w:color w:val="000000" w:themeColor="text1"/>
                <w:sz w:val="20"/>
                <w:szCs w:val="20"/>
              </w:rPr>
              <w:t>CD4 &gt;350 – 500</w:t>
            </w:r>
          </w:p>
        </w:tc>
      </w:tr>
      <w:tr w:rsidR="00D77AB6" w:rsidRPr="00D00252" w14:paraId="52359121" w14:textId="6189914F"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08A69145" w14:textId="47D35326" w:rsidR="00D77AB6" w:rsidRPr="007C2C05"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23</m:t>
                    </m:r>
                  </m:sub>
                </m:sSub>
              </m:oMath>
            </m:oMathPara>
          </w:p>
        </w:tc>
        <w:tc>
          <w:tcPr>
            <w:tcW w:w="1385" w:type="dxa"/>
            <w:vMerge/>
            <w:tcBorders>
              <w:left w:val="single" w:sz="4" w:space="0" w:color="auto"/>
              <w:right w:val="single" w:sz="4" w:space="0" w:color="auto"/>
            </w:tcBorders>
          </w:tcPr>
          <w:p w14:paraId="29DED043" w14:textId="77777777" w:rsidR="00D77AB6" w:rsidRPr="007C2C05" w:rsidRDefault="00D77AB6">
            <w:pPr>
              <w:jc w:val="both"/>
              <w:rPr>
                <w:rFonts w:eastAsiaTheme="minorEastAsia"/>
                <w:color w:val="000000" w:themeColor="text1"/>
                <w:sz w:val="20"/>
                <w:szCs w:val="20"/>
              </w:rPr>
            </w:pPr>
          </w:p>
        </w:tc>
        <w:tc>
          <w:tcPr>
            <w:tcW w:w="3240" w:type="dxa"/>
            <w:vMerge/>
            <w:tcBorders>
              <w:left w:val="single" w:sz="4" w:space="0" w:color="auto"/>
              <w:right w:val="single" w:sz="4" w:space="0" w:color="auto"/>
            </w:tcBorders>
          </w:tcPr>
          <w:p w14:paraId="791FC0D5" w14:textId="09CD0DFB" w:rsidR="00D77AB6" w:rsidRPr="007C2C05" w:rsidRDefault="00D77AB6">
            <w:pPr>
              <w:jc w:val="both"/>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759866D4" w14:textId="54B52DE7" w:rsidR="00D77AB6" w:rsidRPr="007C2C05" w:rsidRDefault="00D77AB6">
            <w:pPr>
              <w:rPr>
                <w:rFonts w:eastAsiaTheme="minorEastAsia"/>
                <w:color w:val="000000" w:themeColor="text1"/>
                <w:sz w:val="20"/>
                <w:szCs w:val="20"/>
              </w:rPr>
            </w:pPr>
            <w:r w:rsidRPr="007C2C05">
              <w:rPr>
                <w:rFonts w:eastAsiaTheme="minorEastAsia"/>
                <w:color w:val="000000" w:themeColor="text1"/>
                <w:sz w:val="20"/>
                <w:szCs w:val="20"/>
              </w:rPr>
              <w:t xml:space="preserve">CD4 &gt;200 – 350 </w:t>
            </w:r>
          </w:p>
        </w:tc>
      </w:tr>
      <w:tr w:rsidR="00D77AB6" w:rsidRPr="00D00252" w14:paraId="176739DE" w14:textId="72ADB8C4" w:rsidTr="00710211">
        <w:trPr>
          <w:trHeight w:val="257"/>
        </w:trPr>
        <w:tc>
          <w:tcPr>
            <w:tcW w:w="1675" w:type="dxa"/>
            <w:tcBorders>
              <w:top w:val="single" w:sz="4" w:space="0" w:color="auto"/>
              <w:left w:val="single" w:sz="4" w:space="0" w:color="auto"/>
              <w:bottom w:val="single" w:sz="4" w:space="0" w:color="auto"/>
              <w:right w:val="single" w:sz="4" w:space="0" w:color="auto"/>
            </w:tcBorders>
            <w:vAlign w:val="center"/>
            <w:hideMark/>
          </w:tcPr>
          <w:p w14:paraId="6C0D929A" w14:textId="08DF484C" w:rsidR="00D77AB6" w:rsidRPr="007C2C05" w:rsidRDefault="00000000" w:rsidP="00122CDD">
            <w:pPr>
              <w:rPr>
                <w:rFonts w:eastAsiaTheme="minorEastAsia"/>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24</m:t>
                    </m:r>
                  </m:sub>
                </m:sSub>
              </m:oMath>
            </m:oMathPara>
          </w:p>
        </w:tc>
        <w:tc>
          <w:tcPr>
            <w:tcW w:w="1385" w:type="dxa"/>
            <w:vMerge/>
            <w:tcBorders>
              <w:left w:val="single" w:sz="4" w:space="0" w:color="auto"/>
              <w:bottom w:val="single" w:sz="4" w:space="0" w:color="auto"/>
              <w:right w:val="single" w:sz="4" w:space="0" w:color="auto"/>
            </w:tcBorders>
          </w:tcPr>
          <w:p w14:paraId="679B5BEF" w14:textId="77777777" w:rsidR="00D77AB6" w:rsidRPr="007C2C05" w:rsidRDefault="00D77AB6">
            <w:pPr>
              <w:jc w:val="both"/>
              <w:rPr>
                <w:rFonts w:eastAsiaTheme="minorEastAsia"/>
                <w:color w:val="000000" w:themeColor="text1"/>
                <w:sz w:val="20"/>
                <w:szCs w:val="20"/>
              </w:rPr>
            </w:pPr>
          </w:p>
        </w:tc>
        <w:tc>
          <w:tcPr>
            <w:tcW w:w="3240" w:type="dxa"/>
            <w:vMerge/>
            <w:tcBorders>
              <w:left w:val="single" w:sz="4" w:space="0" w:color="auto"/>
              <w:bottom w:val="single" w:sz="4" w:space="0" w:color="auto"/>
              <w:right w:val="single" w:sz="4" w:space="0" w:color="auto"/>
            </w:tcBorders>
          </w:tcPr>
          <w:p w14:paraId="5FBE0233" w14:textId="3AB797A5" w:rsidR="00D77AB6" w:rsidRPr="007C2C05" w:rsidRDefault="00D77AB6">
            <w:pPr>
              <w:jc w:val="both"/>
              <w:rPr>
                <w:rFonts w:eastAsiaTheme="minorEastAsia"/>
                <w:color w:val="000000" w:themeColor="text1"/>
                <w:sz w:val="20"/>
                <w:szCs w:val="20"/>
              </w:rPr>
            </w:pPr>
          </w:p>
        </w:tc>
        <w:tc>
          <w:tcPr>
            <w:tcW w:w="2970" w:type="dxa"/>
            <w:tcBorders>
              <w:top w:val="single" w:sz="4" w:space="0" w:color="auto"/>
              <w:left w:val="single" w:sz="4" w:space="0" w:color="auto"/>
              <w:bottom w:val="single" w:sz="4" w:space="0" w:color="auto"/>
              <w:right w:val="single" w:sz="4" w:space="0" w:color="auto"/>
            </w:tcBorders>
          </w:tcPr>
          <w:p w14:paraId="0D962AD2" w14:textId="45AECB36" w:rsidR="00D77AB6" w:rsidRPr="007C2C05" w:rsidRDefault="00D77AB6">
            <w:pPr>
              <w:jc w:val="both"/>
              <w:rPr>
                <w:rFonts w:eastAsiaTheme="minorEastAsia"/>
                <w:color w:val="000000" w:themeColor="text1"/>
                <w:sz w:val="20"/>
                <w:szCs w:val="20"/>
              </w:rPr>
            </w:pPr>
            <w:r w:rsidRPr="007C2C05">
              <w:rPr>
                <w:rFonts w:eastAsiaTheme="minorEastAsia"/>
                <w:color w:val="000000" w:themeColor="text1"/>
                <w:sz w:val="20"/>
                <w:szCs w:val="20"/>
              </w:rPr>
              <w:t xml:space="preserve">CD4 </w:t>
            </w:r>
            <w:r w:rsidRPr="007C2C05">
              <w:rPr>
                <w:rFonts w:eastAsiaTheme="minorEastAsia"/>
                <w:color w:val="000000" w:themeColor="text1"/>
                <w:sz w:val="20"/>
                <w:szCs w:val="20"/>
                <w:u w:val="single"/>
              </w:rPr>
              <w:t>&lt;</w:t>
            </w:r>
            <w:r w:rsidRPr="007C2C05">
              <w:rPr>
                <w:rFonts w:eastAsiaTheme="minorEastAsia"/>
                <w:color w:val="000000" w:themeColor="text1"/>
                <w:sz w:val="20"/>
                <w:szCs w:val="20"/>
              </w:rPr>
              <w:t>200</w:t>
            </w:r>
          </w:p>
        </w:tc>
      </w:tr>
    </w:tbl>
    <w:p w14:paraId="1D56CA77" w14:textId="5DB6BDB8" w:rsidR="00DF6464" w:rsidRDefault="005637A1" w:rsidP="00122CDD">
      <w:pPr>
        <w:rPr>
          <w:b/>
        </w:rPr>
        <w:sectPr w:rsidR="00DF6464" w:rsidSect="00430E37">
          <w:pgSz w:w="12240" w:h="15840"/>
          <w:pgMar w:top="1440" w:right="1440" w:bottom="1440" w:left="1440" w:header="720" w:footer="720" w:gutter="0"/>
          <w:cols w:space="720"/>
          <w:docGrid w:linePitch="326"/>
        </w:sectPr>
      </w:pPr>
      <w:r w:rsidRPr="007C2C05">
        <w:rPr>
          <w:bCs/>
          <w:sz w:val="20"/>
          <w:szCs w:val="20"/>
        </w:rPr>
        <w:t>* D</w:t>
      </w:r>
      <w:r w:rsidR="00DF6464" w:rsidRPr="007C2C05">
        <w:rPr>
          <w:bCs/>
          <w:sz w:val="20"/>
          <w:szCs w:val="20"/>
        </w:rPr>
        <w:t>efined as HIV care engagement after HIV diagnosis.</w:t>
      </w:r>
      <w:r w:rsidRPr="007C2C05">
        <w:rPr>
          <w:bCs/>
          <w:sz w:val="20"/>
          <w:szCs w:val="20"/>
        </w:rPr>
        <w:t xml:space="preserve"> † D</w:t>
      </w:r>
      <w:r w:rsidR="00DF6464" w:rsidRPr="007C2C05">
        <w:rPr>
          <w:bCs/>
          <w:sz w:val="20"/>
          <w:szCs w:val="20"/>
        </w:rPr>
        <w:t xml:space="preserve">efined as </w:t>
      </w:r>
      <w:r w:rsidRPr="007C2C05">
        <w:rPr>
          <w:bCs/>
          <w:sz w:val="20"/>
          <w:szCs w:val="20"/>
        </w:rPr>
        <w:t xml:space="preserve">not continuously </w:t>
      </w:r>
      <w:r w:rsidR="00DF6464" w:rsidRPr="007C2C05">
        <w:rPr>
          <w:bCs/>
          <w:sz w:val="20"/>
          <w:szCs w:val="20"/>
        </w:rPr>
        <w:t>engage</w:t>
      </w:r>
      <w:r w:rsidRPr="007C2C05">
        <w:rPr>
          <w:bCs/>
          <w:sz w:val="20"/>
          <w:szCs w:val="20"/>
        </w:rPr>
        <w:t>d</w:t>
      </w:r>
      <w:r w:rsidR="00DF6464" w:rsidRPr="007C2C05">
        <w:rPr>
          <w:bCs/>
          <w:sz w:val="20"/>
          <w:szCs w:val="20"/>
        </w:rPr>
        <w:t xml:space="preserve"> in HIV care for at least </w:t>
      </w:r>
      <w:r w:rsidR="00520956" w:rsidRPr="007C2C05">
        <w:rPr>
          <w:bCs/>
          <w:sz w:val="20"/>
          <w:szCs w:val="20"/>
        </w:rPr>
        <w:t>12</w:t>
      </w:r>
      <w:r w:rsidR="00DF6464" w:rsidRPr="007C2C05">
        <w:rPr>
          <w:bCs/>
          <w:sz w:val="20"/>
          <w:szCs w:val="20"/>
        </w:rPr>
        <w:t xml:space="preserve"> months</w:t>
      </w:r>
      <w:r w:rsidR="00520956" w:rsidRPr="007C2C05">
        <w:rPr>
          <w:bCs/>
          <w:sz w:val="20"/>
          <w:szCs w:val="20"/>
        </w:rPr>
        <w:t xml:space="preserve"> (pre-ART) or 6 months (on ART)</w:t>
      </w:r>
      <w:r w:rsidR="00DF6464" w:rsidRPr="007C2C05">
        <w:rPr>
          <w:bCs/>
          <w:sz w:val="20"/>
          <w:szCs w:val="20"/>
        </w:rPr>
        <w:t xml:space="preserve">. </w:t>
      </w:r>
      <w:r w:rsidR="007C2C05" w:rsidRPr="00710211">
        <w:rPr>
          <w:rFonts w:eastAsiaTheme="minorEastAsia"/>
          <w:color w:val="000000" w:themeColor="text1"/>
          <w:sz w:val="20"/>
          <w:szCs w:val="20"/>
        </w:rPr>
        <w:t>‡CD4 strata is assumed to be the same as the CD4</w:t>
      </w:r>
      <w:r w:rsidR="00611562">
        <w:rPr>
          <w:rFonts w:eastAsiaTheme="minorEastAsia"/>
          <w:color w:val="000000" w:themeColor="text1"/>
          <w:sz w:val="20"/>
          <w:szCs w:val="20"/>
        </w:rPr>
        <w:t xml:space="preserve"> at ART initiation</w:t>
      </w:r>
      <w:r w:rsidR="007C2C05" w:rsidRPr="00710211">
        <w:rPr>
          <w:rFonts w:eastAsiaTheme="minorEastAsia"/>
          <w:color w:val="000000" w:themeColor="text1"/>
          <w:sz w:val="20"/>
          <w:szCs w:val="20"/>
        </w:rPr>
        <w:t>.</w:t>
      </w:r>
      <w:r w:rsidR="007C2C05">
        <w:rPr>
          <w:rFonts w:ascii="Tahoma" w:eastAsiaTheme="minorEastAsia" w:hAnsi="Tahoma" w:cs="Tahoma"/>
          <w:color w:val="000000" w:themeColor="text1"/>
          <w:sz w:val="20"/>
          <w:szCs w:val="20"/>
        </w:rPr>
        <w:t xml:space="preserve"> </w:t>
      </w:r>
    </w:p>
    <w:p w14:paraId="55FFA3B1" w14:textId="292258B7" w:rsidR="004A155D" w:rsidRPr="000938D7" w:rsidRDefault="004A155D" w:rsidP="00122CDD">
      <w:pPr>
        <w:pStyle w:val="Heading1"/>
        <w:spacing w:before="0"/>
        <w:rPr>
          <w:rFonts w:eastAsiaTheme="minorEastAsia" w:cs="Times New Roman"/>
          <w:szCs w:val="24"/>
        </w:rPr>
      </w:pPr>
      <w:bookmarkStart w:id="38" w:name="_Toc82592644"/>
      <w:r w:rsidRPr="000938D7">
        <w:rPr>
          <w:rFonts w:cs="Times New Roman"/>
          <w:szCs w:val="24"/>
        </w:rPr>
        <w:lastRenderedPageBreak/>
        <w:t>Force of infection</w:t>
      </w:r>
      <w:bookmarkEnd w:id="38"/>
    </w:p>
    <w:p w14:paraId="50DC291F" w14:textId="77777777" w:rsidR="001E6395" w:rsidRDefault="001E6395" w:rsidP="001D10D4">
      <w:pPr>
        <w:jc w:val="both"/>
      </w:pPr>
    </w:p>
    <w:p w14:paraId="3EA37292" w14:textId="63F61FA2" w:rsidR="00E861FA" w:rsidRPr="00A25EAD" w:rsidRDefault="00E861FA" w:rsidP="00E861FA">
      <w:pPr>
        <w:pStyle w:val="Heading2"/>
        <w:spacing w:before="0"/>
        <w:rPr>
          <w:rFonts w:cs="Times New Roman"/>
          <w:szCs w:val="24"/>
        </w:rPr>
      </w:pPr>
      <w:bookmarkStart w:id="39" w:name="_Assumptions_and_expression"/>
      <w:bookmarkStart w:id="40" w:name="_Toc82592645"/>
      <w:bookmarkEnd w:id="39"/>
      <w:r>
        <w:rPr>
          <w:rFonts w:cs="Times New Roman"/>
          <w:szCs w:val="24"/>
        </w:rPr>
        <w:t>Assumptions and expression</w:t>
      </w:r>
      <w:bookmarkEnd w:id="40"/>
    </w:p>
    <w:p w14:paraId="3B06DC49" w14:textId="77777777" w:rsidR="00E861FA" w:rsidRDefault="00E861FA" w:rsidP="001D10D4">
      <w:pPr>
        <w:jc w:val="both"/>
      </w:pPr>
    </w:p>
    <w:p w14:paraId="371E9F47" w14:textId="0BC26A23" w:rsidR="00C651A4" w:rsidRPr="004A155D" w:rsidRDefault="00C651A4" w:rsidP="001D10D4">
      <w:pPr>
        <w:jc w:val="both"/>
        <w:rPr>
          <w:rFonts w:eastAsiaTheme="minorEastAsia"/>
          <w:b/>
          <w:bCs/>
          <w:color w:val="000000" w:themeColor="text1"/>
        </w:rPr>
      </w:pPr>
      <w:r w:rsidRPr="004A155D">
        <w:t>The force of infection (</w:t>
      </w:r>
      <m:oMath>
        <m:sSub>
          <m:sSubPr>
            <m:ctrlPr>
              <w:rPr>
                <w:rFonts w:ascii="Cambria Math" w:hAnsi="Cambria Math"/>
                <w:iCs/>
                <w:color w:val="000000" w:themeColor="text1"/>
              </w:rPr>
            </m:ctrlPr>
          </m:sSubPr>
          <m:e>
            <m:r>
              <m:rPr>
                <m:sty m:val="p"/>
              </m:rPr>
              <w:rPr>
                <w:rFonts w:ascii="Cambria Math" w:hAnsi="Cambria Math"/>
                <w:iCs/>
                <w:color w:val="000000" w:themeColor="text1"/>
              </w:rPr>
              <w:sym w:font="Symbol" w:char="F06C"/>
            </m:r>
          </m:e>
          <m:sub>
            <m:r>
              <m:rPr>
                <m:sty m:val="p"/>
              </m:rPr>
              <w:rPr>
                <w:rFonts w:ascii="Cambria Math" w:hAnsi="Cambria Math"/>
                <w:color w:val="000000" w:themeColor="text1"/>
              </w:rPr>
              <m:t>tr</m:t>
            </m:r>
          </m:sub>
        </m:sSub>
      </m:oMath>
      <w:r w:rsidRPr="004A155D">
        <w:t xml:space="preserve">) of </w:t>
      </w:r>
      <w:r w:rsidR="00BD2714">
        <w:t xml:space="preserve">the </w:t>
      </w:r>
      <w:r w:rsidRPr="004A155D">
        <w:t xml:space="preserve">susceptible population in </w:t>
      </w:r>
      <w:r w:rsidR="00464588">
        <w:t>sub-population</w:t>
      </w:r>
      <w:r w:rsidRPr="004A155D">
        <w:t xml:space="preserve"> r is defined as the probability of the susceptible population acquiring HIV at time t.</w:t>
      </w:r>
      <w:r w:rsidRPr="004A155D">
        <w:fldChar w:fldCharType="begin" w:fldLock="1"/>
      </w:r>
      <w:r w:rsidR="007527CC">
        <w:instrText>ADDIN CSL_CITATION {"citationItems":[{"id":"ITEM-1","itemData":{"ISBN":"1525-4135","author":[{"dropping-particle":"","family":"Kerr","given":"Cliff C","non-dropping-particle":"","parse-names":false,"suffix":""},{"dropping-particle":"","family":"Stuart","given":"Robyn M","non-dropping-particle":"","parse-names":false,"suffix":""},{"dropping-particle":"","family":"Gray","given":"Richard T","non-dropping-particle":"","parse-names":false,"suffix":""},{"dropping-particle":"","family":"Shattock","given":"Andrew J","non-dropping-particle":"","parse-names":false,"suffix":""},{"dropping-particle":"","family":"Fraser-Hurt","given":"Nicole","non-dropping-particle":"","parse-names":false,"suffix":""},{"dropping-particle":"","family":"Benedikt","given":"Clemens","non-dropping-particle":"","parse-names":false,"suffix":""},{"dropping-particle":"","family":"Haacker","given":"Markus","non-dropping-particle":"","parse-names":false,"suffix":""},{"dropping-particle":"","family":"Berdnikov","given":"Maxim","non-dropping-particle":"","parse-names":false,"suffix":""},{"dropping-particle":"","family":"Mahmood","given":"Ahmed Mohamed","non-dropping-particle":"","parse-names":false,"suffix":""},{"dropping-particle":"","family":"Jaber","given":"Seham Abdalla","non-dropping-particle":"","parse-names":false,"suffix":""}],"container-title":"JAIDS Journal of Acquired Immune Deficiency Syndromes","id":"ITEM-1","issue":"3","issued":{"date-parts":[["2015"]]},"page":"365-376","title":"Optima: a model for HIV epidemic analysis, program prioritization, and resource optimization","type":"article-journal","volume":"69"},"uris":["http://www.mendeley.com/documents/?uuid=368f1f94-0c4c-451e-b7ec-fa01ad076dce"]}],"mendeley":{"formattedCitation":"&lt;sup&gt;34&lt;/sup&gt;","plainTextFormattedCitation":"34","previouslyFormattedCitation":"&lt;sup&gt;35&lt;/sup&gt;"},"properties":{"noteIndex":0},"schema":"https://github.com/citation-style-language/schema/raw/master/csl-citation.json"}</w:instrText>
      </w:r>
      <w:r w:rsidRPr="004A155D">
        <w:fldChar w:fldCharType="separate"/>
      </w:r>
      <w:r w:rsidR="007527CC" w:rsidRPr="007527CC">
        <w:rPr>
          <w:noProof/>
          <w:vertAlign w:val="superscript"/>
        </w:rPr>
        <w:t>34</w:t>
      </w:r>
      <w:r w:rsidRPr="004A155D">
        <w:fldChar w:fldCharType="end"/>
      </w:r>
    </w:p>
    <w:p w14:paraId="3EF884A7" w14:textId="77777777" w:rsidR="005B13AA" w:rsidRDefault="005B13AA" w:rsidP="00527179">
      <w:pPr>
        <w:jc w:val="both"/>
        <w:rPr>
          <w:b/>
          <w:bCs/>
        </w:rPr>
      </w:pPr>
    </w:p>
    <w:p w14:paraId="2CD1268F" w14:textId="0DDBFC73" w:rsidR="00C651A4" w:rsidRPr="00CC65CD" w:rsidRDefault="005B13AA" w:rsidP="00527179">
      <w:pPr>
        <w:jc w:val="both"/>
        <w:rPr>
          <w:b/>
          <w:bCs/>
          <w:i/>
          <w:color w:val="000000" w:themeColor="text1"/>
        </w:rPr>
      </w:pPr>
      <w:commentRangeStart w:id="41"/>
      <w:r w:rsidRPr="00CC65CD">
        <w:rPr>
          <w:b/>
          <w:bCs/>
          <w:i/>
        </w:rPr>
        <w:t>Assumptions made for estimating the force of infection</w:t>
      </w:r>
      <w:commentRangeEnd w:id="41"/>
      <w:r w:rsidR="00FF7A3B">
        <w:rPr>
          <w:rStyle w:val="CommentReference"/>
        </w:rPr>
        <w:commentReference w:id="41"/>
      </w:r>
    </w:p>
    <w:p w14:paraId="6EC10587" w14:textId="162919FB" w:rsidR="00C651A4" w:rsidRPr="00830781" w:rsidRDefault="00395665" w:rsidP="002E50FA">
      <w:pPr>
        <w:pStyle w:val="BodyText"/>
        <w:numPr>
          <w:ilvl w:val="0"/>
          <w:numId w:val="4"/>
        </w:numPr>
        <w:spacing w:before="0" w:after="0"/>
        <w:jc w:val="both"/>
      </w:pPr>
      <w:r>
        <w:t>All contacts in the model are heterosexual</w:t>
      </w:r>
      <w:r w:rsidR="00A0662A">
        <w:t>, reflecting the majority heterosexual transmission</w:t>
      </w:r>
      <w:r w:rsidR="00EB151C">
        <w:t xml:space="preserve"> (i.e., 65% in stable heterosexual relationship, 20% in female sex workers and their clients, 10% in casual heterosexual relationship)</w:t>
      </w:r>
      <w:r w:rsidR="00A0662A">
        <w:t xml:space="preserve"> in this setting</w:t>
      </w:r>
      <w:r>
        <w:t>.</w:t>
      </w:r>
      <w:r w:rsidR="00EB151C">
        <w:fldChar w:fldCharType="begin" w:fldLock="1"/>
      </w:r>
      <w:r w:rsidR="00760016">
        <w:instrText>ADDIN CSL_CITATION {"citationItems":[{"id":"ITEM-1","itemData":{"author":[{"dropping-particle":"","family":"Rwanda Biomedical Center","given":"","non-dropping-particle":"","parse-names":false,"suffix":""}],"id":"ITEM-1","issued":{"date-parts":[["2014"]]},"number-of-pages":"1-102","title":"National HIV Annual Report, 2013-2014","type":"report"},"uris":["http://www.mendeley.com/documents/?uuid=652ba895-c9a3-4375-9b3c-9ba539575bea"]}],"mendeley":{"formattedCitation":"&lt;sup&gt;36&lt;/sup&gt;","plainTextFormattedCitation":"36","previouslyFormattedCitation":"&lt;sup&gt;36&lt;/sup&gt;"},"properties":{"noteIndex":0},"schema":"https://github.com/citation-style-language/schema/raw/master/csl-citation.json"}</w:instrText>
      </w:r>
      <w:r w:rsidR="00EB151C">
        <w:fldChar w:fldCharType="separate"/>
      </w:r>
      <w:r w:rsidR="00A6018A" w:rsidRPr="00A6018A">
        <w:rPr>
          <w:noProof/>
          <w:vertAlign w:val="superscript"/>
        </w:rPr>
        <w:t>36</w:t>
      </w:r>
      <w:r w:rsidR="00EB151C">
        <w:fldChar w:fldCharType="end"/>
      </w:r>
    </w:p>
    <w:p w14:paraId="128B0848" w14:textId="1A980D49" w:rsidR="00C651A4" w:rsidRDefault="007E628F" w:rsidP="002E50FA">
      <w:pPr>
        <w:pStyle w:val="BodyText"/>
        <w:numPr>
          <w:ilvl w:val="0"/>
          <w:numId w:val="4"/>
        </w:numPr>
        <w:spacing w:before="0" w:after="0"/>
        <w:jc w:val="both"/>
      </w:pPr>
      <w:r>
        <w:t>There is r</w:t>
      </w:r>
      <w:r w:rsidR="00C651A4" w:rsidRPr="00830781">
        <w:t xml:space="preserve">andom mixing across individuals in different </w:t>
      </w:r>
      <w:r w:rsidR="00464588">
        <w:t>sub-population</w:t>
      </w:r>
      <w:r w:rsidR="00C651A4" w:rsidRPr="00830781">
        <w:t>s</w:t>
      </w:r>
      <w:r w:rsidR="009823D2">
        <w:t xml:space="preserve"> since all individuals in the model are assumed to be sexually active</w:t>
      </w:r>
      <w:r w:rsidR="00C651A4" w:rsidRPr="00830781">
        <w:t xml:space="preserve">. That is, </w:t>
      </w:r>
      <w:r w:rsidR="00805BB5">
        <w:t xml:space="preserve">all </w:t>
      </w:r>
      <w:r w:rsidR="00C651A4" w:rsidRPr="00830781">
        <w:t>individual</w:t>
      </w:r>
      <w:r w:rsidR="003048A5">
        <w:t>s</w:t>
      </w:r>
      <w:r w:rsidR="00C651A4" w:rsidRPr="00830781">
        <w:t xml:space="preserve"> in </w:t>
      </w:r>
      <w:r w:rsidR="00464588">
        <w:t>sub-population</w:t>
      </w:r>
      <w:r w:rsidR="00C651A4" w:rsidRPr="00830781">
        <w:t xml:space="preserve"> </w:t>
      </w:r>
      <w:r w:rsidR="00C651A4" w:rsidRPr="00B33B19">
        <w:rPr>
          <w:i/>
        </w:rPr>
        <w:t>r</w:t>
      </w:r>
      <w:r w:rsidR="00C651A4" w:rsidRPr="00830781">
        <w:t xml:space="preserve"> have equal probability of engaging in sexual behaviors with individuals in </w:t>
      </w:r>
      <w:r w:rsidR="003048A5">
        <w:t xml:space="preserve">other </w:t>
      </w:r>
      <w:r w:rsidR="00464588">
        <w:t>sub-population</w:t>
      </w:r>
      <w:r w:rsidR="00C651A4" w:rsidRPr="00830781">
        <w:t xml:space="preserve">s. </w:t>
      </w:r>
    </w:p>
    <w:p w14:paraId="2D7542F9" w14:textId="77777777" w:rsidR="005B218A" w:rsidRPr="005B218A" w:rsidRDefault="005B218A" w:rsidP="00122CDD">
      <w:pPr>
        <w:jc w:val="both"/>
      </w:pPr>
    </w:p>
    <w:p w14:paraId="1BBBE25E" w14:textId="7A2F1F48" w:rsidR="00611F27" w:rsidRDefault="00307CA8" w:rsidP="001D10D4">
      <w:pPr>
        <w:jc w:val="both"/>
        <w:rPr>
          <w:b/>
          <w:bCs/>
        </w:rPr>
      </w:pPr>
      <w:r w:rsidRPr="00CC65CD">
        <w:rPr>
          <w:b/>
          <w:bCs/>
          <w:i/>
        </w:rPr>
        <w:t xml:space="preserve">Force of infection </w:t>
      </w:r>
      <w:r w:rsidR="00E861FA">
        <w:rPr>
          <w:b/>
          <w:bCs/>
          <w:i/>
        </w:rPr>
        <w:t>expression</w:t>
      </w:r>
      <w:r w:rsidR="00C651A4" w:rsidRPr="00CC65CD">
        <w:rPr>
          <w:b/>
          <w:bCs/>
          <w:i/>
        </w:rPr>
        <w:t>:</w:t>
      </w:r>
      <w:r w:rsidR="00C651A4" w:rsidRPr="00830781">
        <w:rPr>
          <w:b/>
          <w:bCs/>
        </w:rPr>
        <w:t xml:space="preserve"> </w:t>
      </w:r>
      <w:r w:rsidR="001E49BE">
        <w:t xml:space="preserve">Equation 1 </w:t>
      </w:r>
      <w:r w:rsidR="00611F27" w:rsidRPr="00830781">
        <w:rPr>
          <w:color w:val="000000" w:themeColor="text1"/>
        </w:rPr>
        <w:t xml:space="preserve">shows the force of infection of </w:t>
      </w:r>
      <w:r w:rsidR="00464588">
        <w:rPr>
          <w:color w:val="000000" w:themeColor="text1"/>
        </w:rPr>
        <w:t>sub-population</w:t>
      </w:r>
      <m:oMath>
        <m:r>
          <w:rPr>
            <w:rFonts w:ascii="Cambria Math" w:hAnsi="Cambria Math"/>
            <w:color w:val="000000" w:themeColor="text1"/>
          </w:rPr>
          <m:t xml:space="preserve"> r</m:t>
        </m:r>
      </m:oMath>
      <w:r w:rsidR="00611F27" w:rsidRPr="00830781">
        <w:rPr>
          <w:color w:val="000000" w:themeColor="text1"/>
        </w:rPr>
        <w:t xml:space="preserve"> at time period</w:t>
      </w:r>
      <m:oMath>
        <m:r>
          <w:rPr>
            <w:rFonts w:ascii="Cambria Math" w:hAnsi="Cambria Math"/>
            <w:color w:val="000000" w:themeColor="text1"/>
          </w:rPr>
          <m:t xml:space="preserve"> t</m:t>
        </m:r>
      </m:oMath>
      <w:r w:rsidR="00611F27">
        <w:rPr>
          <w:color w:val="000000" w:themeColor="text1"/>
        </w:rPr>
        <w:t>. P</w:t>
      </w:r>
      <w:r w:rsidR="00C651A4" w:rsidRPr="00830781">
        <w:t xml:space="preserve">arameters </w:t>
      </w:r>
      <w:r w:rsidR="009F291A">
        <w:t>used in</w:t>
      </w:r>
      <w:r w:rsidR="00C651A4" w:rsidRPr="00830781">
        <w:t xml:space="preserve"> the force of infection </w:t>
      </w:r>
      <w:r w:rsidR="009F291A">
        <w:t>are</w:t>
      </w:r>
      <w:r w:rsidR="00C651A4" w:rsidRPr="00830781">
        <w:t xml:space="preserve"> </w:t>
      </w:r>
      <w:r w:rsidR="007E628F">
        <w:t xml:space="preserve">defined </w:t>
      </w:r>
      <w:r w:rsidR="00C651A4" w:rsidRPr="00830781">
        <w:t>in</w:t>
      </w:r>
      <w:r w:rsidR="007527CC">
        <w:t xml:space="preserve"> </w:t>
      </w:r>
      <w:r w:rsidR="007527CC">
        <w:fldChar w:fldCharType="begin"/>
      </w:r>
      <w:r w:rsidR="007527CC">
        <w:instrText xml:space="preserve"> REF _Ref81782211 \h </w:instrText>
      </w:r>
      <w:r w:rsidR="007527CC">
        <w:fldChar w:fldCharType="separate"/>
      </w:r>
      <w:r w:rsidR="001E49BE" w:rsidRPr="00377579">
        <w:rPr>
          <w:b/>
          <w:bCs/>
        </w:rPr>
        <w:t xml:space="preserve">Table </w:t>
      </w:r>
      <w:r w:rsidR="001E49BE">
        <w:rPr>
          <w:b/>
          <w:bCs/>
          <w:noProof/>
        </w:rPr>
        <w:t>3</w:t>
      </w:r>
      <w:r w:rsidR="007527CC">
        <w:fldChar w:fldCharType="end"/>
      </w:r>
      <w:r w:rsidR="00611F27">
        <w:rPr>
          <w:b/>
          <w:bCs/>
        </w:rPr>
        <w:t xml:space="preserve">. </w:t>
      </w:r>
    </w:p>
    <w:p w14:paraId="18974863" w14:textId="77777777" w:rsidR="00611F27" w:rsidRDefault="00611F27" w:rsidP="00527179">
      <w:pPr>
        <w:jc w:val="both"/>
        <w:rPr>
          <w:b/>
          <w:bCs/>
        </w:rPr>
      </w:pPr>
    </w:p>
    <w:p w14:paraId="5E4D7C68" w14:textId="2B143DB1" w:rsidR="00C651A4" w:rsidRPr="00830781" w:rsidRDefault="0051684B" w:rsidP="00527179">
      <w:pPr>
        <w:jc w:val="both"/>
      </w:pPr>
      <m:oMath>
        <m:sSub>
          <m:sSubPr>
            <m:ctrlPr>
              <w:rPr>
                <w:rFonts w:ascii="Cambria Math" w:hAnsi="Cambria Math"/>
                <w:color w:val="000000" w:themeColor="text1"/>
              </w:rPr>
            </m:ctrlPr>
          </m:sSubPr>
          <m:e>
            <m:r>
              <m:rPr>
                <m:sty m:val="p"/>
              </m:rPr>
              <w:rPr>
                <w:rFonts w:ascii="Cambria Math" w:hAnsi="Cambria Math"/>
                <w:color w:val="000000" w:themeColor="text1"/>
              </w:rPr>
              <m:t>λ</m:t>
            </m:r>
          </m:e>
          <m:sub>
            <m:r>
              <m:rPr>
                <m:sty m:val="p"/>
              </m:rPr>
              <w:rPr>
                <w:rFonts w:ascii="Cambria Math" w:hAnsi="Cambria Math"/>
                <w:color w:val="000000" w:themeColor="text1"/>
              </w:rPr>
              <m:t>r,t</m:t>
            </m:r>
          </m:sub>
        </m:sSub>
        <m:r>
          <m:rPr>
            <m:sty m:val="p"/>
          </m:rPr>
          <w:rPr>
            <w:rFonts w:ascii="Cambria Math" w:hAnsi="Cambria Math"/>
            <w:color w:val="000000" w:themeColor="text1"/>
          </w:rPr>
          <m:t>=1-</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den>
            </m:f>
            <m:sSub>
              <m:sSubPr>
                <m:ctrlPr>
                  <w:rPr>
                    <w:rFonts w:ascii="Cambria Math" w:hAnsi="Cambria Math"/>
                    <w:i/>
                  </w:rPr>
                </m:ctrlPr>
              </m:sSubPr>
              <m:e>
                <m:r>
                  <m:rPr>
                    <m:sty m:val="p"/>
                  </m:rPr>
                  <w:rPr>
                    <w:rFonts w:ascii="Cambria Math" w:hAnsi="Cambria Math"/>
                  </w:rPr>
                  <m:t>P</m:t>
                </m:r>
              </m:e>
              <m:sub>
                <m:r>
                  <w:rPr>
                    <w:rFonts w:ascii="Cambria Math" w:hAnsi="Cambria Math"/>
                  </w:rPr>
                  <m:t>j,t-1</m:t>
                </m:r>
              </m:sub>
            </m:sSub>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d>
                          <m:dPr>
                            <m:ctrlPr>
                              <w:rPr>
                                <w:rFonts w:ascii="Cambria Math" w:hAnsi="Cambria Math"/>
                                <w:i/>
                                <w:color w:val="000000" w:themeColor="text1"/>
                              </w:rPr>
                            </m:ctrlPr>
                          </m:dPr>
                          <m:e>
                            <m:r>
                              <w:rPr>
                                <w:rFonts w:ascii="Cambria Math" w:hAnsi="Cambria Math"/>
                                <w:color w:val="000000" w:themeColor="text1"/>
                              </w:rPr>
                              <m:t>1-π</m:t>
                            </m:r>
                          </m:e>
                        </m:d>
                        <m:sSub>
                          <m:sSubPr>
                            <m:ctrlPr>
                              <w:rPr>
                                <w:rFonts w:ascii="Cambria Math" w:hAnsi="Cambria Math"/>
                                <w:i/>
                              </w:rPr>
                            </m:ctrlPr>
                          </m:sSubPr>
                          <m:e>
                            <m:r>
                              <w:rPr>
                                <w:rFonts w:ascii="Cambria Math" w:hAnsi="Cambria Math"/>
                              </w:rPr>
                              <m:t>p</m:t>
                            </m:r>
                          </m:e>
                          <m:sub>
                            <m:r>
                              <w:rPr>
                                <w:rFonts w:ascii="Cambria Math" w:hAnsi="Cambria Math"/>
                              </w:rPr>
                              <m:t>v,j,t-1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n,j,t-1</m:t>
                            </m:r>
                          </m:sub>
                        </m:sSub>
                      </m:e>
                    </m:d>
                    <m:r>
                      <w:rPr>
                        <w:rFonts w:ascii="Cambria Math" w:hAnsi="Cambria Math"/>
                      </w:rPr>
                      <m:t>β</m:t>
                    </m:r>
                    <m:ctrlPr>
                      <w:rPr>
                        <w:rFonts w:ascii="Cambria Math" w:hAnsi="Cambria Math"/>
                      </w:rPr>
                    </m:ctrlPr>
                  </m:e>
                </m:d>
              </m:e>
              <m:sup>
                <m:sSub>
                  <m:sSubPr>
                    <m:ctrlPr>
                      <w:rPr>
                        <w:rFonts w:ascii="Cambria Math" w:hAnsi="Cambria Math"/>
                        <w:i/>
                      </w:rPr>
                    </m:ctrlPr>
                  </m:sSubPr>
                  <m:e>
                    <m:r>
                      <w:rPr>
                        <w:rFonts w:ascii="Cambria Math" w:hAnsi="Cambria Math"/>
                      </w:rPr>
                      <m:t>η</m:t>
                    </m:r>
                  </m:e>
                  <m:sub>
                    <m:r>
                      <w:rPr>
                        <w:rFonts w:ascii="Cambria Math" w:hAnsi="Cambria Math"/>
                      </w:rPr>
                      <m:t>r</m:t>
                    </m:r>
                  </m:sub>
                </m:sSub>
                <m:d>
                  <m:dPr>
                    <m:ctrlPr>
                      <w:rPr>
                        <w:rFonts w:ascii="Cambria Math" w:hAnsi="Cambria Math"/>
                        <w:i/>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r</m:t>
                        </m:r>
                      </m:sub>
                    </m:sSub>
                    <m:r>
                      <w:rPr>
                        <w:rFonts w:ascii="Cambria Math" w:hAnsi="Cambria Math"/>
                        <w:color w:val="000000" w:themeColor="text1"/>
                      </w:rPr>
                      <m:t>ε</m:t>
                    </m:r>
                    <m:ctrlPr>
                      <w:rPr>
                        <w:rFonts w:ascii="Cambria Math" w:hAnsi="Cambria Math"/>
                        <w:i/>
                        <w:color w:val="000000" w:themeColor="text1"/>
                      </w:rPr>
                    </m:ctrlPr>
                  </m:e>
                </m:d>
              </m:sup>
            </m:sSup>
            <m:r>
              <w:rPr>
                <w:rFonts w:ascii="Cambria Math" w:hAnsi="Cambria Math"/>
              </w:rPr>
              <m:t>)</m:t>
            </m:r>
          </m:e>
        </m:nary>
      </m:oMath>
      <w:r w:rsidR="00C651A4" w:rsidRPr="00830781">
        <w:t xml:space="preserve">                             </w:t>
      </w:r>
      <w:r w:rsidR="002D6988" w:rsidRPr="00626DD9">
        <w:rPr>
          <w:rFonts w:eastAsia="MS Mincho"/>
        </w:rPr>
        <w:t>(1)</w:t>
      </w:r>
    </w:p>
    <w:p w14:paraId="11C671B0" w14:textId="77777777" w:rsidR="00637B01" w:rsidRDefault="00637B01" w:rsidP="00527179">
      <w:pPr>
        <w:jc w:val="both"/>
        <w:rPr>
          <w:color w:val="000000" w:themeColor="text1"/>
        </w:rPr>
      </w:pPr>
    </w:p>
    <w:p w14:paraId="5DAA8F06" w14:textId="5B817DDD" w:rsidR="00C651A4" w:rsidRPr="00830781" w:rsidRDefault="00177CC0" w:rsidP="00E71320">
      <w:pPr>
        <w:jc w:val="both"/>
        <w:rPr>
          <w:color w:val="000000" w:themeColor="text1"/>
        </w:rPr>
      </w:pPr>
      <w:proofErr w:type="gramStart"/>
      <w:r w:rsidRPr="00830781">
        <w:rPr>
          <w:color w:val="000000" w:themeColor="text1"/>
        </w:rPr>
        <w:t>Where</w:t>
      </w:r>
      <w:proofErr w:type="gramEnd"/>
    </w:p>
    <w:p w14:paraId="733DD2EF" w14:textId="5C4B131A" w:rsidR="00C651A4" w:rsidRPr="00830781" w:rsidRDefault="00000000" w:rsidP="002E50FA">
      <w:pPr>
        <w:pStyle w:val="BodyText"/>
        <w:numPr>
          <w:ilvl w:val="0"/>
          <w:numId w:val="1"/>
        </w:numPr>
        <w:spacing w:before="0" w:after="0"/>
        <w:jc w:val="both"/>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r</m:t>
            </m:r>
          </m:sub>
        </m:sSub>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r</m:t>
            </m:r>
          </m:sub>
        </m:sSub>
        <m:r>
          <w:rPr>
            <w:rFonts w:ascii="Cambria Math" w:hAnsi="Cambria Math"/>
            <w:color w:val="000000" w:themeColor="text1"/>
          </w:rPr>
          <m:t>*ε)</m:t>
        </m:r>
      </m:oMath>
    </w:p>
    <w:p w14:paraId="25D22166" w14:textId="3FF46785" w:rsidR="00C651A4" w:rsidRPr="00830781" w:rsidRDefault="00C651A4" w:rsidP="002E50FA">
      <w:pPr>
        <w:pStyle w:val="BodyText"/>
        <w:numPr>
          <w:ilvl w:val="0"/>
          <w:numId w:val="1"/>
        </w:numPr>
        <w:spacing w:before="0" w:after="0"/>
        <w:jc w:val="both"/>
        <w:rPr>
          <w:color w:val="000000" w:themeColor="text1"/>
        </w:rPr>
      </w:pPr>
      <m:oMath>
        <m:r>
          <w:rPr>
            <w:rFonts w:ascii="Cambria Math" w:hAnsi="Cambria Math"/>
          </w:rPr>
          <m:t>κ</m:t>
        </m:r>
        <m:r>
          <w:rPr>
            <w:rFonts w:ascii="Cambria Math" w:hAnsi="Cambria Math"/>
            <w:color w:val="000000" w:themeColor="text1"/>
          </w:rPr>
          <m:t>=(1-π)</m:t>
        </m:r>
      </m:oMath>
    </w:p>
    <w:p w14:paraId="0958023A" w14:textId="11C37E2E" w:rsidR="00C651A4" w:rsidRPr="00830781" w:rsidRDefault="00000000" w:rsidP="002E50FA">
      <w:pPr>
        <w:pStyle w:val="BodyText"/>
        <w:numPr>
          <w:ilvl w:val="0"/>
          <w:numId w:val="1"/>
        </w:numPr>
        <w:spacing w:before="0" w:after="0"/>
        <w:jc w:val="both"/>
        <w:rPr>
          <w: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v,j,t-1</m:t>
            </m:r>
          </m:sub>
        </m:sSub>
        <m:r>
          <w:rPr>
            <w:rFonts w:ascii="Cambria Math" w:hAnsi="Cambria Math"/>
            <w:color w:val="000000" w:themeColor="text1"/>
          </w:rPr>
          <m:t>=</m:t>
        </m:r>
        <m:f>
          <m:fPr>
            <m:ctrlPr>
              <w:rPr>
                <w:rFonts w:ascii="Cambria Math" w:hAnsi="Cambria Math"/>
                <w:i/>
                <w:color w:val="000000" w:themeColor="text1"/>
              </w:rPr>
            </m:ctrlPr>
          </m:fPr>
          <m:num>
            <m:nary>
              <m:naryPr>
                <m:chr m:val="∑"/>
                <m:limLoc m:val="undOvr"/>
                <m:ctrlPr>
                  <w:rPr>
                    <w:rFonts w:ascii="Cambria Math" w:hAnsi="Cambria Math"/>
                    <w:i/>
                    <w:color w:val="000000" w:themeColor="text1"/>
                  </w:rPr>
                </m:ctrlPr>
              </m:naryPr>
              <m:sub>
                <m:r>
                  <w:rPr>
                    <w:rFonts w:ascii="Cambria Math" w:hAnsi="Cambria Math"/>
                    <w:color w:val="000000" w:themeColor="text1"/>
                  </w:rPr>
                  <m:t>i=17</m:t>
                </m:r>
              </m:sub>
              <m:sup>
                <m:r>
                  <w:rPr>
                    <w:rFonts w:ascii="Cambria Math" w:hAnsi="Cambria Math"/>
                    <w:color w:val="000000" w:themeColor="text1"/>
                  </w:rPr>
                  <m:t>20</m:t>
                </m:r>
              </m:sup>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i,j,t-1</m:t>
                    </m:r>
                  </m:sub>
                </m:sSub>
              </m:e>
            </m:nary>
          </m:num>
          <m:den>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24</m:t>
                </m:r>
              </m:sup>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i,j, t-1</m:t>
                    </m:r>
                  </m:sub>
                </m:sSub>
              </m:e>
            </m:nary>
          </m:den>
        </m:f>
      </m:oMath>
    </w:p>
    <w:p w14:paraId="4C080516" w14:textId="3653E128" w:rsidR="00FD6D0D" w:rsidRPr="00830781" w:rsidRDefault="00000000" w:rsidP="002E50FA">
      <w:pPr>
        <w:pStyle w:val="BodyText"/>
        <w:numPr>
          <w:ilvl w:val="0"/>
          <w:numId w:val="1"/>
        </w:numPr>
        <w:spacing w:before="0" w:after="0"/>
        <w:jc w:val="both"/>
        <w:rPr>
          <w:iCs/>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n,j,t-1</m:t>
            </m:r>
          </m:sub>
        </m:sSub>
        <m:r>
          <w:rPr>
            <w:rFonts w:ascii="Cambria Math" w:hAnsi="Cambria Math"/>
            <w:color w:val="000000" w:themeColor="text1"/>
          </w:rPr>
          <m:t>=</m:t>
        </m:r>
        <m:f>
          <m:fPr>
            <m:ctrlPr>
              <w:rPr>
                <w:rFonts w:ascii="Cambria Math" w:hAnsi="Cambria Math"/>
                <w:i/>
                <w:color w:val="000000" w:themeColor="text1"/>
              </w:rPr>
            </m:ctrlPr>
          </m:fPr>
          <m:num>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16</m:t>
                </m:r>
              </m:sup>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i,j,t-1</m:t>
                    </m:r>
                  </m:sub>
                </m:sSub>
              </m:e>
            </m:nary>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i=21</m:t>
                </m:r>
              </m:sub>
              <m:sup>
                <m:r>
                  <w:rPr>
                    <w:rFonts w:ascii="Cambria Math" w:hAnsi="Cambria Math"/>
                    <w:color w:val="000000" w:themeColor="text1"/>
                  </w:rPr>
                  <m:t>24</m:t>
                </m:r>
              </m:sup>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i,j,t-1</m:t>
                    </m:r>
                  </m:sub>
                </m:sSub>
              </m:e>
            </m:nary>
          </m:num>
          <m:den>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24</m:t>
                </m:r>
              </m:sup>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i,j,t-1</m:t>
                    </m:r>
                  </m:sub>
                </m:sSub>
              </m:e>
            </m:nary>
          </m:den>
        </m:f>
      </m:oMath>
    </w:p>
    <w:p w14:paraId="6B80DBF8" w14:textId="65CB8707" w:rsidR="00C651A4" w:rsidRPr="00830781" w:rsidRDefault="00C651A4" w:rsidP="00550A15">
      <w:pPr>
        <w:jc w:val="both"/>
        <w:rPr>
          <w:iCs/>
          <w:color w:val="000000" w:themeColor="text1"/>
        </w:rPr>
      </w:pPr>
      <w:r w:rsidRPr="00830781">
        <w:rPr>
          <w:iCs/>
          <w:color w:val="000000" w:themeColor="text1"/>
        </w:rPr>
        <w:t>Note:</w:t>
      </w:r>
    </w:p>
    <w:p w14:paraId="4983B2C7" w14:textId="287C0766" w:rsidR="00C651A4" w:rsidRPr="00830781" w:rsidRDefault="00000000" w:rsidP="002E50FA">
      <w:pPr>
        <w:pStyle w:val="BodyText"/>
        <w:numPr>
          <w:ilvl w:val="0"/>
          <w:numId w:val="5"/>
        </w:numPr>
        <w:spacing w:before="0" w:after="0"/>
        <w:jc w:val="both"/>
        <w:rPr>
          <w:iCs/>
          <w:color w:val="000000" w:themeColor="text1"/>
        </w:rPr>
      </w:pP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den>
        </m:f>
      </m:oMath>
      <w:r w:rsidR="00C651A4" w:rsidRPr="00830781">
        <w:t xml:space="preserve"> denotes th</w:t>
      </w:r>
      <w:r w:rsidR="004C4DD0">
        <w:t xml:space="preserve">e </w:t>
      </w:r>
      <w:r w:rsidR="00EB151C">
        <w:rPr>
          <w:color w:val="000000" w:themeColor="text1"/>
        </w:rPr>
        <w:t>probability of</w:t>
      </w:r>
      <w:r w:rsidR="00FD6D0D" w:rsidRPr="00830781">
        <w:rPr>
          <w:color w:val="000000" w:themeColor="text1"/>
        </w:rPr>
        <w:t xml:space="preserve"> sub-</w:t>
      </w:r>
      <w:r w:rsidR="00464588">
        <w:rPr>
          <w:color w:val="000000" w:themeColor="text1"/>
        </w:rPr>
        <w:t>population</w:t>
      </w:r>
      <w:r w:rsidR="00FD6D0D" w:rsidRPr="00830781">
        <w:rPr>
          <w:color w:val="000000" w:themeColor="text1"/>
        </w:rPr>
        <w:t xml:space="preserve"> r partnering with sub</w:t>
      </w:r>
      <w:r w:rsidR="00464588">
        <w:rPr>
          <w:color w:val="000000" w:themeColor="text1"/>
        </w:rPr>
        <w:t>-population</w:t>
      </w:r>
      <w:r w:rsidR="00FD6D0D" w:rsidRPr="00830781">
        <w:rPr>
          <w:color w:val="000000" w:themeColor="text1"/>
        </w:rPr>
        <w:t xml:space="preserve"> </w:t>
      </w:r>
      <w:r w:rsidR="00EB151C">
        <w:rPr>
          <w:color w:val="000000" w:themeColor="text1"/>
        </w:rPr>
        <w:t>j</w:t>
      </w:r>
      <w:r w:rsidR="00FD6D0D" w:rsidRPr="00830781">
        <w:t xml:space="preserve"> among all</w:t>
      </w:r>
      <w:r w:rsidR="00EB151C">
        <w:t xml:space="preserve"> possible</w:t>
      </w:r>
      <w:r w:rsidR="00FD6D0D" w:rsidRPr="00830781">
        <w:t xml:space="preserve"> partners</w:t>
      </w:r>
    </w:p>
    <w:p w14:paraId="44DD76C4" w14:textId="38FFC9E2" w:rsidR="00FD6D0D" w:rsidRPr="00830781" w:rsidRDefault="00000000" w:rsidP="002E50FA">
      <w:pPr>
        <w:pStyle w:val="BodyText"/>
        <w:numPr>
          <w:ilvl w:val="0"/>
          <w:numId w:val="5"/>
        </w:numPr>
        <w:spacing w:before="0" w:after="0"/>
        <w:jc w:val="both"/>
        <w:rPr>
          <w:iCs/>
          <w:color w:val="000000" w:themeColor="text1"/>
        </w:rPr>
      </w:pPr>
      <m:oMath>
        <m:sSub>
          <m:sSubPr>
            <m:ctrlPr>
              <w:rPr>
                <w:rFonts w:ascii="Cambria Math" w:hAnsi="Cambria Math"/>
                <w:i/>
              </w:rPr>
            </m:ctrlPr>
          </m:sSubPr>
          <m:e>
            <m:r>
              <m:rPr>
                <m:sty m:val="p"/>
              </m:rPr>
              <w:rPr>
                <w:rFonts w:ascii="Cambria Math" w:hAnsi="Cambria Math"/>
              </w:rPr>
              <m:t>P</m:t>
            </m:r>
          </m:e>
          <m:sub>
            <m:r>
              <w:rPr>
                <w:rFonts w:ascii="Cambria Math" w:hAnsi="Cambria Math"/>
              </w:rPr>
              <m:t>j,t-1</m:t>
            </m:r>
          </m:sub>
        </m:sSub>
      </m:oMath>
      <w:r w:rsidR="00FD6D0D" w:rsidRPr="00830781">
        <w:t xml:space="preserve"> denotes HIV prevalence in </w:t>
      </w:r>
      <w:r w:rsidR="00464588">
        <w:t>sub-population</w:t>
      </w:r>
      <w:r w:rsidR="00FD6D0D" w:rsidRPr="00830781">
        <w:t xml:space="preserve"> </w:t>
      </w:r>
      <m:oMath>
        <m:r>
          <w:rPr>
            <w:rFonts w:ascii="Cambria Math" w:hAnsi="Cambria Math"/>
          </w:rPr>
          <m:t>j</m:t>
        </m:r>
      </m:oMath>
    </w:p>
    <w:p w14:paraId="066C56C8" w14:textId="77777777" w:rsidR="00A129FF" w:rsidRDefault="00C651A4" w:rsidP="002E50FA">
      <w:pPr>
        <w:pStyle w:val="BodyText"/>
        <w:numPr>
          <w:ilvl w:val="0"/>
          <w:numId w:val="5"/>
        </w:numPr>
        <w:spacing w:before="0" w:after="0"/>
        <w:jc w:val="both"/>
      </w:pP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hAnsi="Cambria Math"/>
                  </w:rPr>
                  <m:t>β</m:t>
                </m:r>
                <m:d>
                  <m:dPr>
                    <m:ctrlPr>
                      <w:rPr>
                        <w:rFonts w:ascii="Cambria Math" w:hAnsi="Cambria Math"/>
                        <w:i/>
                      </w:rPr>
                    </m:ctrlPr>
                  </m:dPr>
                  <m:e>
                    <m:r>
                      <w:rPr>
                        <w:rFonts w:ascii="Cambria Math" w:hAnsi="Cambria Math"/>
                      </w:rPr>
                      <m:t>κ</m:t>
                    </m:r>
                    <m:sSub>
                      <m:sSubPr>
                        <m:ctrlPr>
                          <w:rPr>
                            <w:rFonts w:ascii="Cambria Math" w:hAnsi="Cambria Math"/>
                            <w:i/>
                          </w:rPr>
                        </m:ctrlPr>
                      </m:sSubPr>
                      <m:e>
                        <m:r>
                          <w:rPr>
                            <w:rFonts w:ascii="Cambria Math" w:hAnsi="Cambria Math"/>
                          </w:rPr>
                          <m:t>p</m:t>
                        </m:r>
                      </m:e>
                      <m:sub>
                        <m:r>
                          <w:rPr>
                            <w:rFonts w:ascii="Cambria Math" w:hAnsi="Cambria Math"/>
                          </w:rPr>
                          <m:t>v,j,t-1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n,j,t-1</m:t>
                        </m:r>
                      </m:sub>
                    </m:sSub>
                  </m:e>
                </m:d>
                <m:ctrlPr>
                  <w:rPr>
                    <w:rFonts w:ascii="Cambria Math" w:hAnsi="Cambria Math"/>
                  </w:rPr>
                </m:ctrlPr>
              </m:e>
            </m:d>
          </m:e>
          <m:sup>
            <m:sSub>
              <m:sSubPr>
                <m:ctrlPr>
                  <w:rPr>
                    <w:rFonts w:ascii="Cambria Math" w:hAnsi="Cambria Math"/>
                    <w:i/>
                  </w:rPr>
                </m:ctrlPr>
              </m:sSubPr>
              <m:e>
                <m:r>
                  <w:rPr>
                    <w:rFonts w:ascii="Cambria Math" w:hAnsi="Cambria Math"/>
                  </w:rPr>
                  <m:t>η</m:t>
                </m:r>
              </m:e>
              <m:sub>
                <m:r>
                  <w:rPr>
                    <w:rFonts w:ascii="Cambria Math" w:hAnsi="Cambria Math"/>
                  </w:rPr>
                  <m:t>r</m:t>
                </m:r>
              </m:sub>
            </m:sSub>
          </m:sup>
        </m:sSup>
      </m:oMath>
      <w:r w:rsidRPr="00830781">
        <w:t xml:space="preserve"> denotes the probability of HIV acquisition when partnering with individuals in </w:t>
      </w:r>
      <w:r w:rsidR="002F2D08">
        <w:t>sub-</w:t>
      </w:r>
      <w:r w:rsidR="00464588">
        <w:t>population</w:t>
      </w:r>
      <w:r w:rsidRPr="00830781">
        <w:t xml:space="preserve"> </w:t>
      </w:r>
      <w:r w:rsidR="004C4DD0">
        <w:t>j</w:t>
      </w:r>
      <w:r w:rsidRPr="00830781">
        <w:t xml:space="preserve"> with </w:t>
      </w:r>
      <m:oMath>
        <m:sSub>
          <m:sSubPr>
            <m:ctrlPr>
              <w:rPr>
                <w:rFonts w:ascii="Cambria Math" w:hAnsi="Cambria Math"/>
                <w:i/>
              </w:rPr>
            </m:ctrlPr>
          </m:sSubPr>
          <m:e>
            <m:r>
              <w:rPr>
                <w:rFonts w:ascii="Cambria Math" w:hAnsi="Cambria Math"/>
              </w:rPr>
              <m:t>η</m:t>
            </m:r>
          </m:e>
          <m:sub>
            <m:r>
              <w:rPr>
                <w:rFonts w:ascii="Cambria Math" w:hAnsi="Cambria Math"/>
              </w:rPr>
              <m:t>r</m:t>
            </m:r>
          </m:sub>
        </m:sSub>
      </m:oMath>
      <w:r w:rsidRPr="00830781">
        <w:t xml:space="preserve"> sex acts per </w:t>
      </w:r>
      <w:r w:rsidR="004C4DD0">
        <w:t>partnership</w:t>
      </w:r>
    </w:p>
    <w:p w14:paraId="40336F9F" w14:textId="77777777" w:rsidR="00E447D3" w:rsidRDefault="00E447D3" w:rsidP="00E447D3">
      <w:pPr>
        <w:pStyle w:val="BodyText"/>
        <w:spacing w:before="0" w:after="0"/>
        <w:jc w:val="both"/>
      </w:pPr>
    </w:p>
    <w:p w14:paraId="1CAD77C8" w14:textId="5CD5ED92" w:rsidR="00E447D3" w:rsidRDefault="00E447D3" w:rsidP="002A1882">
      <w:pPr>
        <w:pStyle w:val="BodyText"/>
        <w:spacing w:before="0" w:after="0"/>
        <w:jc w:val="both"/>
      </w:pPr>
    </w:p>
    <w:p w14:paraId="1607E63D" w14:textId="481870BA" w:rsidR="002A1882" w:rsidRDefault="002A1882" w:rsidP="002A1882">
      <w:pPr>
        <w:pStyle w:val="BodyText"/>
        <w:spacing w:before="0" w:after="0"/>
        <w:jc w:val="both"/>
      </w:pPr>
    </w:p>
    <w:p w14:paraId="6CA95CBE" w14:textId="3857E8AC" w:rsidR="002A1882" w:rsidRDefault="002A1882" w:rsidP="002A1882">
      <w:pPr>
        <w:pStyle w:val="BodyText"/>
        <w:spacing w:before="0" w:after="0"/>
        <w:jc w:val="both"/>
      </w:pPr>
    </w:p>
    <w:p w14:paraId="1F85EDDF" w14:textId="5BF4E1F5" w:rsidR="002A1882" w:rsidRDefault="002A1882" w:rsidP="002A1882">
      <w:pPr>
        <w:pStyle w:val="BodyText"/>
        <w:spacing w:before="0" w:after="0"/>
        <w:jc w:val="both"/>
      </w:pPr>
    </w:p>
    <w:p w14:paraId="5C8D5901" w14:textId="359C75DF" w:rsidR="00FF7A3B" w:rsidRDefault="00FF7A3B" w:rsidP="002A1882">
      <w:pPr>
        <w:pStyle w:val="BodyText"/>
        <w:spacing w:before="0" w:after="0"/>
        <w:jc w:val="both"/>
      </w:pPr>
    </w:p>
    <w:p w14:paraId="4E62C52D" w14:textId="3E332F08" w:rsidR="00FF7A3B" w:rsidRDefault="00FF7A3B" w:rsidP="002A1882">
      <w:pPr>
        <w:pStyle w:val="BodyText"/>
        <w:spacing w:before="0" w:after="0"/>
        <w:jc w:val="both"/>
      </w:pPr>
    </w:p>
    <w:p w14:paraId="4CA01E05" w14:textId="77777777" w:rsidR="00FF7A3B" w:rsidRDefault="00FF7A3B" w:rsidP="002A1882">
      <w:pPr>
        <w:pStyle w:val="BodyText"/>
        <w:spacing w:before="0" w:after="0"/>
        <w:jc w:val="both"/>
      </w:pPr>
    </w:p>
    <w:p w14:paraId="47C4D8F3" w14:textId="65C3CC4D" w:rsidR="002A1882" w:rsidRDefault="002A1882" w:rsidP="002A1882">
      <w:pPr>
        <w:pStyle w:val="BodyText"/>
        <w:spacing w:before="0" w:after="0"/>
        <w:jc w:val="both"/>
      </w:pPr>
    </w:p>
    <w:p w14:paraId="238180A3" w14:textId="77777777" w:rsidR="002A1882" w:rsidRDefault="002A1882" w:rsidP="00E447D3">
      <w:pPr>
        <w:pStyle w:val="BodyText"/>
        <w:spacing w:before="0" w:after="0"/>
        <w:jc w:val="both"/>
      </w:pPr>
    </w:p>
    <w:p w14:paraId="720CBBF7" w14:textId="4D1CE390" w:rsidR="002A1882" w:rsidRPr="00377579" w:rsidRDefault="002A1882" w:rsidP="002A1882">
      <w:pPr>
        <w:rPr>
          <w:b/>
          <w:bCs/>
        </w:rPr>
      </w:pPr>
      <w:bookmarkStart w:id="42" w:name="_Ref81782211"/>
      <w:bookmarkStart w:id="43" w:name="_Toc82448066"/>
      <w:bookmarkStart w:id="44" w:name="_Toc82592497"/>
      <w:bookmarkStart w:id="45" w:name="_Toc82599262"/>
      <w:r w:rsidRPr="00377579">
        <w:rPr>
          <w:b/>
          <w:bCs/>
        </w:rPr>
        <w:lastRenderedPageBreak/>
        <w:t xml:space="preserve">Table </w:t>
      </w:r>
      <w:r w:rsidRPr="00377579">
        <w:rPr>
          <w:b/>
          <w:bCs/>
        </w:rPr>
        <w:fldChar w:fldCharType="begin"/>
      </w:r>
      <w:r w:rsidRPr="00377579">
        <w:rPr>
          <w:b/>
          <w:bCs/>
        </w:rPr>
        <w:instrText xml:space="preserve"> SEQ Table \* ARABIC </w:instrText>
      </w:r>
      <w:r w:rsidRPr="00377579">
        <w:rPr>
          <w:b/>
          <w:bCs/>
        </w:rPr>
        <w:fldChar w:fldCharType="separate"/>
      </w:r>
      <w:r w:rsidR="001E49BE">
        <w:rPr>
          <w:b/>
          <w:bCs/>
          <w:noProof/>
        </w:rPr>
        <w:t>3</w:t>
      </w:r>
      <w:r w:rsidRPr="00377579">
        <w:rPr>
          <w:b/>
          <w:bCs/>
        </w:rPr>
        <w:fldChar w:fldCharType="end"/>
      </w:r>
      <w:bookmarkEnd w:id="42"/>
      <w:r>
        <w:rPr>
          <w:b/>
          <w:bCs/>
        </w:rPr>
        <w:t>.</w:t>
      </w:r>
      <w:r w:rsidRPr="00377579">
        <w:t xml:space="preserve"> </w:t>
      </w:r>
      <w:r w:rsidR="00180D28" w:rsidRPr="00180D28">
        <w:rPr>
          <w:b/>
        </w:rPr>
        <w:t>CA-</w:t>
      </w:r>
      <w:proofErr w:type="spellStart"/>
      <w:r>
        <w:rPr>
          <w:b/>
        </w:rPr>
        <w:t>IeDEA</w:t>
      </w:r>
      <w:proofErr w:type="spellEnd"/>
      <w:r>
        <w:rPr>
          <w:b/>
        </w:rPr>
        <w:t xml:space="preserve"> model parameters</w:t>
      </w:r>
      <w:bookmarkEnd w:id="43"/>
      <w:bookmarkEnd w:id="44"/>
      <w:bookmarkEnd w:id="45"/>
      <w:r w:rsidRPr="00377579">
        <w:rPr>
          <w:b/>
          <w:color w:val="000000" w:themeColor="text1"/>
        </w:rPr>
        <w:t xml:space="preserve"> </w:t>
      </w:r>
    </w:p>
    <w:tbl>
      <w:tblPr>
        <w:tblW w:w="5000" w:type="pct"/>
        <w:tblLook w:val="04A0" w:firstRow="1" w:lastRow="0" w:firstColumn="1" w:lastColumn="0" w:noHBand="0" w:noVBand="1"/>
      </w:tblPr>
      <w:tblGrid>
        <w:gridCol w:w="1040"/>
        <w:gridCol w:w="6696"/>
        <w:gridCol w:w="1614"/>
      </w:tblGrid>
      <w:tr w:rsidR="00F069A0" w:rsidRPr="00B62492" w14:paraId="32027534" w14:textId="59AFE2CD" w:rsidTr="00874C48">
        <w:tc>
          <w:tcPr>
            <w:tcW w:w="556" w:type="pct"/>
            <w:tcBorders>
              <w:top w:val="single" w:sz="4" w:space="0" w:color="auto"/>
              <w:left w:val="single" w:sz="4" w:space="0" w:color="auto"/>
              <w:bottom w:val="single" w:sz="4" w:space="0" w:color="auto"/>
              <w:right w:val="single" w:sz="4" w:space="0" w:color="auto"/>
            </w:tcBorders>
            <w:hideMark/>
          </w:tcPr>
          <w:p w14:paraId="20B8A968" w14:textId="77777777" w:rsidR="00F069A0" w:rsidRDefault="00F069A0" w:rsidP="00303804">
            <w:pPr>
              <w:pStyle w:val="BodyText"/>
              <w:spacing w:before="0" w:after="0"/>
              <w:jc w:val="both"/>
              <w:rPr>
                <w:rFonts w:eastAsiaTheme="minorEastAsia"/>
                <w:b/>
                <w:color w:val="000000" w:themeColor="text1"/>
                <w:sz w:val="20"/>
                <w:szCs w:val="20"/>
              </w:rPr>
            </w:pPr>
            <w:r w:rsidRPr="00073A6F">
              <w:rPr>
                <w:rFonts w:eastAsiaTheme="minorEastAsia"/>
                <w:b/>
                <w:color w:val="000000" w:themeColor="text1"/>
                <w:sz w:val="20"/>
                <w:szCs w:val="20"/>
              </w:rPr>
              <w:t>Subscript</w:t>
            </w:r>
          </w:p>
          <w:p w14:paraId="6D93F1A8" w14:textId="233AC588" w:rsidR="00F069A0" w:rsidRPr="00073A6F" w:rsidRDefault="00F069A0" w:rsidP="00303804">
            <w:pPr>
              <w:pStyle w:val="BodyText"/>
              <w:spacing w:before="0" w:after="0"/>
              <w:jc w:val="both"/>
              <w:rPr>
                <w:rFonts w:eastAsiaTheme="minorEastAsia"/>
                <w:color w:val="000000" w:themeColor="text1"/>
                <w:sz w:val="20"/>
                <w:szCs w:val="20"/>
              </w:rPr>
            </w:pPr>
          </w:p>
        </w:tc>
        <w:tc>
          <w:tcPr>
            <w:tcW w:w="3581" w:type="pct"/>
            <w:tcBorders>
              <w:top w:val="single" w:sz="4" w:space="0" w:color="auto"/>
              <w:left w:val="single" w:sz="4" w:space="0" w:color="auto"/>
              <w:bottom w:val="single" w:sz="4" w:space="0" w:color="auto"/>
              <w:right w:val="single" w:sz="4" w:space="0" w:color="auto"/>
            </w:tcBorders>
            <w:hideMark/>
          </w:tcPr>
          <w:p w14:paraId="5FAAAED8" w14:textId="77777777" w:rsidR="00F069A0" w:rsidRPr="00073A6F" w:rsidRDefault="00F069A0" w:rsidP="00303804">
            <w:pPr>
              <w:pStyle w:val="BodyText"/>
              <w:spacing w:before="0" w:after="0"/>
              <w:jc w:val="both"/>
              <w:rPr>
                <w:rFonts w:eastAsiaTheme="minorEastAsia"/>
                <w:color w:val="000000" w:themeColor="text1"/>
                <w:sz w:val="20"/>
                <w:szCs w:val="20"/>
              </w:rPr>
            </w:pPr>
            <w:r w:rsidRPr="00073A6F">
              <w:rPr>
                <w:rFonts w:eastAsiaTheme="minorEastAsia"/>
                <w:b/>
                <w:color w:val="000000" w:themeColor="text1"/>
                <w:sz w:val="20"/>
                <w:szCs w:val="20"/>
              </w:rPr>
              <w:t>Description</w:t>
            </w:r>
          </w:p>
        </w:tc>
        <w:tc>
          <w:tcPr>
            <w:tcW w:w="863" w:type="pct"/>
            <w:tcBorders>
              <w:top w:val="single" w:sz="4" w:space="0" w:color="auto"/>
              <w:left w:val="single" w:sz="4" w:space="0" w:color="auto"/>
              <w:bottom w:val="single" w:sz="4" w:space="0" w:color="auto"/>
              <w:right w:val="single" w:sz="4" w:space="0" w:color="auto"/>
            </w:tcBorders>
          </w:tcPr>
          <w:p w14:paraId="4B9CC3FD" w14:textId="35B7DED3" w:rsidR="00F069A0" w:rsidRPr="00F069A0" w:rsidRDefault="00F069A0" w:rsidP="00F069A0">
            <w:pPr>
              <w:pStyle w:val="BodyText"/>
              <w:spacing w:before="0" w:after="0"/>
              <w:jc w:val="center"/>
              <w:rPr>
                <w:rFonts w:eastAsiaTheme="minorEastAsia"/>
                <w:b/>
                <w:color w:val="000000" w:themeColor="text1"/>
                <w:sz w:val="20"/>
                <w:szCs w:val="20"/>
              </w:rPr>
            </w:pPr>
            <w:r>
              <w:rPr>
                <w:rFonts w:eastAsiaTheme="minorEastAsia"/>
                <w:b/>
                <w:color w:val="000000" w:themeColor="text1"/>
                <w:sz w:val="20"/>
                <w:szCs w:val="20"/>
              </w:rPr>
              <w:t>Data source</w:t>
            </w:r>
          </w:p>
        </w:tc>
      </w:tr>
      <w:tr w:rsidR="00F069A0" w:rsidRPr="00B62492" w14:paraId="04F0EDCD" w14:textId="5817A1DE" w:rsidTr="00874C48">
        <w:tc>
          <w:tcPr>
            <w:tcW w:w="556" w:type="pct"/>
            <w:tcBorders>
              <w:top w:val="single" w:sz="4" w:space="0" w:color="auto"/>
              <w:left w:val="single" w:sz="4" w:space="0" w:color="auto"/>
              <w:bottom w:val="single" w:sz="4" w:space="0" w:color="auto"/>
              <w:right w:val="single" w:sz="4" w:space="0" w:color="auto"/>
            </w:tcBorders>
            <w:hideMark/>
          </w:tcPr>
          <w:p w14:paraId="2357127A" w14:textId="77777777" w:rsidR="00F069A0" w:rsidRPr="00073A6F" w:rsidRDefault="00F069A0" w:rsidP="00303804">
            <w:pPr>
              <w:pStyle w:val="BodyText"/>
              <w:spacing w:before="0" w:after="0"/>
              <w:jc w:val="both"/>
              <w:rPr>
                <w:rFonts w:eastAsiaTheme="minorEastAsia"/>
                <w:i/>
                <w:color w:val="000000" w:themeColor="text1"/>
                <w:sz w:val="20"/>
                <w:szCs w:val="20"/>
              </w:rPr>
            </w:pPr>
            <w:r w:rsidRPr="00073A6F">
              <w:rPr>
                <w:rFonts w:eastAsiaTheme="minorEastAsia"/>
                <w:i/>
                <w:color w:val="000000" w:themeColor="text1"/>
                <w:sz w:val="20"/>
                <w:szCs w:val="20"/>
              </w:rPr>
              <w:t>r</w:t>
            </w:r>
          </w:p>
        </w:tc>
        <w:tc>
          <w:tcPr>
            <w:tcW w:w="3581" w:type="pct"/>
            <w:tcBorders>
              <w:top w:val="single" w:sz="4" w:space="0" w:color="auto"/>
              <w:left w:val="single" w:sz="4" w:space="0" w:color="auto"/>
              <w:bottom w:val="single" w:sz="4" w:space="0" w:color="auto"/>
              <w:right w:val="single" w:sz="4" w:space="0" w:color="auto"/>
            </w:tcBorders>
            <w:hideMark/>
          </w:tcPr>
          <w:p w14:paraId="5E6C89D7" w14:textId="77777777" w:rsidR="00F069A0" w:rsidRPr="00073A6F" w:rsidRDefault="00F069A0" w:rsidP="00303804">
            <w:pPr>
              <w:pStyle w:val="BodyText"/>
              <w:spacing w:before="0" w:after="0"/>
              <w:jc w:val="both"/>
              <w:rPr>
                <w:rFonts w:eastAsiaTheme="minorEastAsia"/>
                <w:color w:val="000000" w:themeColor="text1"/>
                <w:sz w:val="20"/>
                <w:szCs w:val="20"/>
              </w:rPr>
            </w:pPr>
            <w:r w:rsidRPr="00073A6F">
              <w:rPr>
                <w:rFonts w:eastAsiaTheme="minorEastAsia"/>
                <w:color w:val="000000" w:themeColor="text1"/>
                <w:sz w:val="20"/>
                <w:szCs w:val="20"/>
              </w:rPr>
              <w:t>Sub-</w:t>
            </w:r>
            <w:r>
              <w:rPr>
                <w:rFonts w:eastAsiaTheme="minorEastAsia"/>
                <w:color w:val="000000" w:themeColor="text1"/>
                <w:sz w:val="20"/>
                <w:szCs w:val="20"/>
              </w:rPr>
              <w:t>population*</w:t>
            </w:r>
          </w:p>
        </w:tc>
        <w:tc>
          <w:tcPr>
            <w:tcW w:w="863" w:type="pct"/>
            <w:tcBorders>
              <w:top w:val="single" w:sz="4" w:space="0" w:color="auto"/>
              <w:left w:val="single" w:sz="4" w:space="0" w:color="auto"/>
              <w:bottom w:val="single" w:sz="4" w:space="0" w:color="auto"/>
              <w:right w:val="single" w:sz="4" w:space="0" w:color="auto"/>
            </w:tcBorders>
          </w:tcPr>
          <w:p w14:paraId="1DA99D23" w14:textId="0822DAA1" w:rsidR="00F069A0" w:rsidRPr="00073A6F" w:rsidRDefault="00F069A0" w:rsidP="00F069A0">
            <w:pPr>
              <w:pStyle w:val="BodyText"/>
              <w:spacing w:before="0" w:after="0"/>
              <w:jc w:val="center"/>
              <w:rPr>
                <w:rFonts w:eastAsiaTheme="minorEastAsia"/>
                <w:color w:val="000000" w:themeColor="text1"/>
                <w:sz w:val="20"/>
                <w:szCs w:val="20"/>
              </w:rPr>
            </w:pPr>
            <w:r>
              <w:rPr>
                <w:rFonts w:eastAsiaTheme="minorEastAsia"/>
                <w:color w:val="000000" w:themeColor="text1"/>
                <w:sz w:val="20"/>
                <w:szCs w:val="20"/>
              </w:rPr>
              <w:t>N/A</w:t>
            </w:r>
          </w:p>
        </w:tc>
      </w:tr>
      <w:tr w:rsidR="00F069A0" w:rsidRPr="00B62492" w14:paraId="06300C2D" w14:textId="0EFE193D" w:rsidTr="00874C48">
        <w:tc>
          <w:tcPr>
            <w:tcW w:w="556" w:type="pct"/>
            <w:tcBorders>
              <w:top w:val="single" w:sz="4" w:space="0" w:color="auto"/>
              <w:left w:val="single" w:sz="4" w:space="0" w:color="auto"/>
              <w:bottom w:val="single" w:sz="4" w:space="0" w:color="auto"/>
              <w:right w:val="single" w:sz="4" w:space="0" w:color="auto"/>
            </w:tcBorders>
            <w:hideMark/>
          </w:tcPr>
          <w:p w14:paraId="29DF8C25" w14:textId="77777777" w:rsidR="00F069A0" w:rsidRPr="00073A6F" w:rsidRDefault="00F069A0" w:rsidP="00303804">
            <w:pPr>
              <w:pStyle w:val="BodyText"/>
              <w:spacing w:before="0" w:after="0"/>
              <w:jc w:val="both"/>
              <w:rPr>
                <w:rFonts w:eastAsia="Calibri"/>
                <w:i/>
                <w:color w:val="000000" w:themeColor="text1"/>
                <w:sz w:val="20"/>
                <w:szCs w:val="20"/>
              </w:rPr>
            </w:pPr>
            <m:oMathPara>
              <m:oMathParaPr>
                <m:jc m:val="left"/>
              </m:oMathParaPr>
              <m:oMath>
                <m:r>
                  <w:rPr>
                    <w:rFonts w:ascii="Cambria Math" w:hAnsi="Cambria Math"/>
                    <w:sz w:val="20"/>
                    <w:szCs w:val="20"/>
                  </w:rPr>
                  <m:t>j</m:t>
                </m:r>
              </m:oMath>
            </m:oMathPara>
          </w:p>
        </w:tc>
        <w:tc>
          <w:tcPr>
            <w:tcW w:w="3581" w:type="pct"/>
            <w:tcBorders>
              <w:top w:val="single" w:sz="4" w:space="0" w:color="auto"/>
              <w:left w:val="single" w:sz="4" w:space="0" w:color="auto"/>
              <w:bottom w:val="single" w:sz="4" w:space="0" w:color="auto"/>
              <w:right w:val="single" w:sz="4" w:space="0" w:color="auto"/>
            </w:tcBorders>
            <w:hideMark/>
          </w:tcPr>
          <w:p w14:paraId="0010238A" w14:textId="77777777" w:rsidR="00F069A0" w:rsidRPr="00073A6F" w:rsidRDefault="00F069A0" w:rsidP="00303804">
            <w:pPr>
              <w:jc w:val="both"/>
              <w:rPr>
                <w:color w:val="000000" w:themeColor="text1"/>
                <w:sz w:val="20"/>
                <w:szCs w:val="20"/>
              </w:rPr>
            </w:pPr>
            <w:r w:rsidRPr="00073A6F">
              <w:rPr>
                <w:color w:val="000000" w:themeColor="text1"/>
                <w:sz w:val="20"/>
                <w:szCs w:val="20"/>
              </w:rPr>
              <w:t>Partners’ sub-</w:t>
            </w:r>
            <w:r>
              <w:rPr>
                <w:color w:val="000000" w:themeColor="text1"/>
                <w:sz w:val="20"/>
                <w:szCs w:val="20"/>
              </w:rPr>
              <w:t>population</w:t>
            </w:r>
          </w:p>
        </w:tc>
        <w:tc>
          <w:tcPr>
            <w:tcW w:w="863" w:type="pct"/>
            <w:tcBorders>
              <w:top w:val="single" w:sz="4" w:space="0" w:color="auto"/>
              <w:left w:val="single" w:sz="4" w:space="0" w:color="auto"/>
              <w:bottom w:val="single" w:sz="4" w:space="0" w:color="auto"/>
              <w:right w:val="single" w:sz="4" w:space="0" w:color="auto"/>
            </w:tcBorders>
          </w:tcPr>
          <w:p w14:paraId="451B049D" w14:textId="1024ECB3" w:rsidR="00F069A0" w:rsidRPr="00073A6F" w:rsidRDefault="00F069A0" w:rsidP="00F069A0">
            <w:pPr>
              <w:jc w:val="center"/>
              <w:rPr>
                <w:color w:val="000000" w:themeColor="text1"/>
                <w:sz w:val="20"/>
                <w:szCs w:val="20"/>
              </w:rPr>
            </w:pPr>
            <w:r>
              <w:rPr>
                <w:rFonts w:eastAsiaTheme="minorEastAsia"/>
                <w:color w:val="000000" w:themeColor="text1"/>
                <w:sz w:val="20"/>
                <w:szCs w:val="20"/>
              </w:rPr>
              <w:t>N/A</w:t>
            </w:r>
          </w:p>
        </w:tc>
      </w:tr>
      <w:tr w:rsidR="00F069A0" w:rsidRPr="00B62492" w14:paraId="7F7B758C" w14:textId="388CD181" w:rsidTr="00874C48">
        <w:tc>
          <w:tcPr>
            <w:tcW w:w="556" w:type="pct"/>
            <w:tcBorders>
              <w:top w:val="single" w:sz="4" w:space="0" w:color="auto"/>
              <w:left w:val="single" w:sz="4" w:space="0" w:color="auto"/>
              <w:bottom w:val="single" w:sz="4" w:space="0" w:color="auto"/>
              <w:right w:val="single" w:sz="4" w:space="0" w:color="auto"/>
            </w:tcBorders>
          </w:tcPr>
          <w:p w14:paraId="7C4FBFCF" w14:textId="77777777" w:rsidR="00F069A0" w:rsidRPr="00073A6F" w:rsidRDefault="00F069A0" w:rsidP="00303804">
            <w:pPr>
              <w:pStyle w:val="BodyText"/>
              <w:spacing w:before="0" w:after="0"/>
              <w:rPr>
                <w:color w:val="000000" w:themeColor="text1"/>
                <w:sz w:val="20"/>
                <w:szCs w:val="20"/>
              </w:rPr>
            </w:pPr>
            <m:oMathPara>
              <m:oMathParaPr>
                <m:jc m:val="left"/>
              </m:oMathParaPr>
              <m:oMath>
                <m:r>
                  <w:rPr>
                    <w:rFonts w:ascii="Cambria Math" w:eastAsiaTheme="minorEastAsia" w:hAnsi="Cambria Math"/>
                    <w:color w:val="000000" w:themeColor="text1"/>
                    <w:sz w:val="20"/>
                    <w:szCs w:val="20"/>
                  </w:rPr>
                  <m:t>i</m:t>
                </m:r>
              </m:oMath>
            </m:oMathPara>
          </w:p>
        </w:tc>
        <w:tc>
          <w:tcPr>
            <w:tcW w:w="3581" w:type="pct"/>
            <w:tcBorders>
              <w:top w:val="single" w:sz="4" w:space="0" w:color="auto"/>
              <w:left w:val="single" w:sz="4" w:space="0" w:color="auto"/>
              <w:bottom w:val="single" w:sz="4" w:space="0" w:color="auto"/>
              <w:right w:val="single" w:sz="4" w:space="0" w:color="auto"/>
            </w:tcBorders>
          </w:tcPr>
          <w:p w14:paraId="1A7E6F2B" w14:textId="77777777" w:rsidR="00F069A0" w:rsidRPr="00073A6F" w:rsidRDefault="00F069A0" w:rsidP="00303804">
            <w:pPr>
              <w:jc w:val="both"/>
              <w:rPr>
                <w:color w:val="000000" w:themeColor="text1"/>
                <w:sz w:val="20"/>
                <w:szCs w:val="20"/>
              </w:rPr>
            </w:pPr>
            <w:r w:rsidRPr="00073A6F">
              <w:rPr>
                <w:rFonts w:eastAsiaTheme="minorEastAsia"/>
                <w:color w:val="000000" w:themeColor="text1"/>
                <w:sz w:val="20"/>
                <w:szCs w:val="20"/>
              </w:rPr>
              <w:t xml:space="preserve">Compartment </w:t>
            </w:r>
          </w:p>
        </w:tc>
        <w:tc>
          <w:tcPr>
            <w:tcW w:w="863" w:type="pct"/>
            <w:tcBorders>
              <w:top w:val="single" w:sz="4" w:space="0" w:color="auto"/>
              <w:left w:val="single" w:sz="4" w:space="0" w:color="auto"/>
              <w:bottom w:val="single" w:sz="4" w:space="0" w:color="auto"/>
              <w:right w:val="single" w:sz="4" w:space="0" w:color="auto"/>
            </w:tcBorders>
          </w:tcPr>
          <w:p w14:paraId="0D4E0CDF" w14:textId="4276AF4D" w:rsidR="00F069A0" w:rsidRPr="00073A6F" w:rsidRDefault="00F069A0" w:rsidP="00F069A0">
            <w:pPr>
              <w:jc w:val="center"/>
              <w:rPr>
                <w:rFonts w:eastAsiaTheme="minorEastAsia"/>
                <w:color w:val="000000" w:themeColor="text1"/>
                <w:sz w:val="20"/>
                <w:szCs w:val="20"/>
              </w:rPr>
            </w:pPr>
            <w:r>
              <w:rPr>
                <w:rFonts w:eastAsiaTheme="minorEastAsia"/>
                <w:color w:val="000000" w:themeColor="text1"/>
                <w:sz w:val="20"/>
                <w:szCs w:val="20"/>
              </w:rPr>
              <w:t>N/A</w:t>
            </w:r>
          </w:p>
        </w:tc>
      </w:tr>
      <w:tr w:rsidR="00F069A0" w:rsidRPr="00B62492" w14:paraId="01E27533" w14:textId="065073AC" w:rsidTr="00874C48">
        <w:trPr>
          <w:trHeight w:val="332"/>
        </w:trPr>
        <w:tc>
          <w:tcPr>
            <w:tcW w:w="556" w:type="pct"/>
            <w:tcBorders>
              <w:top w:val="single" w:sz="4" w:space="0" w:color="auto"/>
              <w:left w:val="single" w:sz="4" w:space="0" w:color="auto"/>
              <w:bottom w:val="single" w:sz="4" w:space="0" w:color="auto"/>
              <w:right w:val="single" w:sz="4" w:space="0" w:color="auto"/>
            </w:tcBorders>
          </w:tcPr>
          <w:p w14:paraId="3E596D27" w14:textId="77777777" w:rsidR="00F069A0" w:rsidRPr="00073A6F" w:rsidRDefault="00F069A0" w:rsidP="00303804">
            <w:pPr>
              <w:pStyle w:val="BodyText"/>
              <w:spacing w:before="0" w:after="0"/>
              <w:rPr>
                <w:color w:val="000000" w:themeColor="text1"/>
                <w:sz w:val="20"/>
                <w:szCs w:val="20"/>
              </w:rPr>
            </w:pPr>
            <m:oMathPara>
              <m:oMathParaPr>
                <m:jc m:val="left"/>
              </m:oMathParaPr>
              <m:oMath>
                <m:r>
                  <w:rPr>
                    <w:rFonts w:ascii="Cambria Math" w:eastAsiaTheme="minorEastAsia" w:hAnsi="Cambria Math"/>
                    <w:color w:val="000000" w:themeColor="text1"/>
                    <w:sz w:val="20"/>
                    <w:szCs w:val="20"/>
                  </w:rPr>
                  <m:t>t</m:t>
                </m:r>
              </m:oMath>
            </m:oMathPara>
          </w:p>
        </w:tc>
        <w:tc>
          <w:tcPr>
            <w:tcW w:w="3581" w:type="pct"/>
            <w:tcBorders>
              <w:top w:val="single" w:sz="4" w:space="0" w:color="auto"/>
              <w:left w:val="single" w:sz="4" w:space="0" w:color="auto"/>
              <w:bottom w:val="single" w:sz="4" w:space="0" w:color="auto"/>
              <w:right w:val="single" w:sz="4" w:space="0" w:color="auto"/>
            </w:tcBorders>
          </w:tcPr>
          <w:p w14:paraId="07BD3D39" w14:textId="77777777" w:rsidR="00F069A0" w:rsidRPr="00073A6F" w:rsidRDefault="00F069A0" w:rsidP="00303804">
            <w:pPr>
              <w:jc w:val="both"/>
              <w:rPr>
                <w:color w:val="000000" w:themeColor="text1"/>
                <w:sz w:val="20"/>
                <w:szCs w:val="20"/>
              </w:rPr>
            </w:pPr>
            <w:r w:rsidRPr="00073A6F">
              <w:rPr>
                <w:color w:val="000000" w:themeColor="text1"/>
                <w:sz w:val="20"/>
                <w:szCs w:val="20"/>
              </w:rPr>
              <w:t xml:space="preserve">Time period </w:t>
            </w:r>
          </w:p>
        </w:tc>
        <w:tc>
          <w:tcPr>
            <w:tcW w:w="863" w:type="pct"/>
            <w:tcBorders>
              <w:top w:val="single" w:sz="4" w:space="0" w:color="auto"/>
              <w:left w:val="single" w:sz="4" w:space="0" w:color="auto"/>
              <w:bottom w:val="single" w:sz="4" w:space="0" w:color="auto"/>
              <w:right w:val="single" w:sz="4" w:space="0" w:color="auto"/>
            </w:tcBorders>
          </w:tcPr>
          <w:p w14:paraId="57724AD9" w14:textId="285924D6" w:rsidR="00F069A0" w:rsidRPr="00073A6F" w:rsidRDefault="00F069A0" w:rsidP="00F069A0">
            <w:pPr>
              <w:jc w:val="center"/>
              <w:rPr>
                <w:color w:val="000000" w:themeColor="text1"/>
                <w:sz w:val="20"/>
                <w:szCs w:val="20"/>
              </w:rPr>
            </w:pPr>
            <w:r>
              <w:rPr>
                <w:rFonts w:eastAsiaTheme="minorEastAsia"/>
                <w:color w:val="000000" w:themeColor="text1"/>
                <w:sz w:val="20"/>
                <w:szCs w:val="20"/>
              </w:rPr>
              <w:t>N/A</w:t>
            </w:r>
          </w:p>
        </w:tc>
      </w:tr>
      <w:tr w:rsidR="00F069A0" w:rsidRPr="00B62492" w14:paraId="68B1A470" w14:textId="56AE5DF8" w:rsidTr="00874C48">
        <w:tc>
          <w:tcPr>
            <w:tcW w:w="4137" w:type="pct"/>
            <w:gridSpan w:val="2"/>
            <w:tcBorders>
              <w:top w:val="single" w:sz="4" w:space="0" w:color="auto"/>
              <w:left w:val="single" w:sz="4" w:space="0" w:color="auto"/>
              <w:bottom w:val="single" w:sz="4" w:space="0" w:color="auto"/>
              <w:right w:val="single" w:sz="4" w:space="0" w:color="auto"/>
            </w:tcBorders>
          </w:tcPr>
          <w:p w14:paraId="6B459D55" w14:textId="7AC4F3B1" w:rsidR="00F069A0" w:rsidRPr="00073A6F" w:rsidRDefault="00F069A0" w:rsidP="00303804">
            <w:pPr>
              <w:jc w:val="both"/>
              <w:rPr>
                <w:rFonts w:eastAsiaTheme="minorEastAsia"/>
                <w:color w:val="000000" w:themeColor="text1"/>
                <w:sz w:val="20"/>
                <w:szCs w:val="20"/>
              </w:rPr>
            </w:pPr>
            <w:r w:rsidRPr="000E3C61">
              <w:rPr>
                <w:b/>
                <w:bCs/>
                <w:color w:val="000000" w:themeColor="text1"/>
                <w:sz w:val="20"/>
                <w:szCs w:val="20"/>
              </w:rPr>
              <w:t>Parameters (force of infection)</w:t>
            </w:r>
          </w:p>
        </w:tc>
        <w:tc>
          <w:tcPr>
            <w:tcW w:w="863" w:type="pct"/>
            <w:tcBorders>
              <w:top w:val="single" w:sz="4" w:space="0" w:color="auto"/>
              <w:left w:val="single" w:sz="4" w:space="0" w:color="auto"/>
              <w:bottom w:val="single" w:sz="4" w:space="0" w:color="auto"/>
              <w:right w:val="single" w:sz="4" w:space="0" w:color="auto"/>
            </w:tcBorders>
          </w:tcPr>
          <w:p w14:paraId="7A57C596" w14:textId="77777777" w:rsidR="00F069A0" w:rsidRPr="000E3C61" w:rsidRDefault="00F069A0" w:rsidP="00F069A0">
            <w:pPr>
              <w:jc w:val="center"/>
              <w:rPr>
                <w:b/>
                <w:bCs/>
                <w:color w:val="000000" w:themeColor="text1"/>
                <w:sz w:val="20"/>
                <w:szCs w:val="20"/>
              </w:rPr>
            </w:pPr>
          </w:p>
        </w:tc>
      </w:tr>
      <w:tr w:rsidR="00F069A0" w:rsidRPr="00B62492" w14:paraId="1769AAC1" w14:textId="14440B2C" w:rsidTr="00874C48">
        <w:tc>
          <w:tcPr>
            <w:tcW w:w="556" w:type="pct"/>
            <w:tcBorders>
              <w:top w:val="single" w:sz="4" w:space="0" w:color="auto"/>
              <w:left w:val="single" w:sz="4" w:space="0" w:color="auto"/>
              <w:bottom w:val="single" w:sz="4" w:space="0" w:color="auto"/>
              <w:right w:val="single" w:sz="4" w:space="0" w:color="auto"/>
            </w:tcBorders>
            <w:hideMark/>
          </w:tcPr>
          <w:p w14:paraId="01FE3F86" w14:textId="0B54E8A3" w:rsidR="00F069A0" w:rsidRPr="00073A6F" w:rsidRDefault="00000000" w:rsidP="00303804">
            <w:pPr>
              <w:jc w:val="both"/>
              <w:rPr>
                <w:rFonts w:eastAsiaTheme="minorEastAsia"/>
                <w:color w:val="000000" w:themeColor="text1"/>
                <w:sz w:val="20"/>
                <w:szCs w:val="20"/>
              </w:rPr>
            </w:pPr>
            <m:oMathPara>
              <m:oMathParaPr>
                <m:jc m:val="left"/>
              </m:oMathParaP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β</m:t>
                    </m:r>
                  </m:e>
                  <m:sub>
                    <m:r>
                      <w:rPr>
                        <w:rFonts w:ascii="Cambria Math" w:hAnsi="Cambria Math"/>
                        <w:color w:val="000000" w:themeColor="text1"/>
                        <w:sz w:val="20"/>
                        <w:szCs w:val="20"/>
                      </w:rPr>
                      <m:t>r</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11D79B33" w14:textId="5EF7F29E" w:rsidR="00F069A0" w:rsidRPr="00073A6F" w:rsidRDefault="00F069A0" w:rsidP="00303804">
            <w:pPr>
              <w:jc w:val="both"/>
              <w:rPr>
                <w:color w:val="000000" w:themeColor="text1"/>
                <w:sz w:val="20"/>
                <w:szCs w:val="20"/>
              </w:rPr>
            </w:pPr>
            <w:r w:rsidRPr="00073A6F">
              <w:rPr>
                <w:color w:val="000000" w:themeColor="text1"/>
                <w:sz w:val="20"/>
                <w:szCs w:val="20"/>
              </w:rPr>
              <w:t xml:space="preserve">Probability of HIV transmission per unprotected sex contact when </w:t>
            </w:r>
            <w:r>
              <w:rPr>
                <w:color w:val="000000" w:themeColor="text1"/>
                <w:sz w:val="20"/>
                <w:szCs w:val="20"/>
              </w:rPr>
              <w:t>not</w:t>
            </w:r>
            <w:r w:rsidRPr="00073A6F">
              <w:rPr>
                <w:color w:val="000000" w:themeColor="text1"/>
                <w:sz w:val="20"/>
                <w:szCs w:val="20"/>
              </w:rPr>
              <w:t xml:space="preserve"> suppressed</w:t>
            </w:r>
            <w:r>
              <w:rPr>
                <w:color w:val="000000" w:themeColor="text1"/>
                <w:sz w:val="20"/>
                <w:szCs w:val="20"/>
              </w:rPr>
              <w:t xml:space="preserve"> </w:t>
            </w:r>
            <w:r>
              <w:rPr>
                <w:rFonts w:eastAsiaTheme="minorEastAsia"/>
                <w:color w:val="000000" w:themeColor="text1"/>
                <w:sz w:val="20"/>
                <w:szCs w:val="20"/>
              </w:rPr>
              <w:t>for</w:t>
            </w:r>
            <w:r w:rsidRPr="008B5C38">
              <w:rPr>
                <w:rFonts w:eastAsiaTheme="minorEastAsia"/>
                <w:color w:val="000000" w:themeColor="text1"/>
                <w:sz w:val="20"/>
                <w:szCs w:val="20"/>
              </w:rPr>
              <w:t xml:space="preserve"> </w:t>
            </w:r>
            <w:r>
              <w:rPr>
                <w:rFonts w:eastAsiaTheme="minorEastAsia"/>
                <w:color w:val="000000" w:themeColor="text1"/>
                <w:sz w:val="20"/>
                <w:szCs w:val="20"/>
              </w:rPr>
              <w:t>sub-population</w:t>
            </w:r>
            <w:r w:rsidRPr="008B5C38">
              <w:rPr>
                <w:rFonts w:eastAsiaTheme="minorEastAsia"/>
                <w:color w:val="000000" w:themeColor="text1"/>
                <w:sz w:val="20"/>
                <w:szCs w:val="20"/>
              </w:rPr>
              <w:t xml:space="preserve"> </w:t>
            </w:r>
            <w:r w:rsidRPr="008B5C38">
              <w:rPr>
                <w:rFonts w:eastAsiaTheme="minorEastAsia"/>
                <w:i/>
                <w:color w:val="000000" w:themeColor="text1"/>
                <w:sz w:val="20"/>
                <w:szCs w:val="20"/>
              </w:rPr>
              <w:t>r</w:t>
            </w:r>
          </w:p>
        </w:tc>
        <w:tc>
          <w:tcPr>
            <w:tcW w:w="863" w:type="pct"/>
            <w:tcBorders>
              <w:top w:val="single" w:sz="4" w:space="0" w:color="auto"/>
              <w:left w:val="single" w:sz="4" w:space="0" w:color="auto"/>
              <w:bottom w:val="single" w:sz="4" w:space="0" w:color="auto"/>
              <w:right w:val="single" w:sz="4" w:space="0" w:color="auto"/>
            </w:tcBorders>
          </w:tcPr>
          <w:p w14:paraId="116D5E3F" w14:textId="26E45C7D" w:rsidR="00F069A0" w:rsidRPr="00073A6F" w:rsidRDefault="00F069A0" w:rsidP="00F069A0">
            <w:pPr>
              <w:jc w:val="center"/>
              <w:rPr>
                <w:color w:val="000000" w:themeColor="text1"/>
                <w:sz w:val="20"/>
                <w:szCs w:val="20"/>
              </w:rPr>
            </w:pPr>
            <w:r>
              <w:rPr>
                <w:color w:val="000000" w:themeColor="text1"/>
                <w:sz w:val="20"/>
                <w:szCs w:val="20"/>
              </w:rPr>
              <w:t>Literature review</w:t>
            </w:r>
          </w:p>
        </w:tc>
      </w:tr>
      <w:tr w:rsidR="00F069A0" w:rsidRPr="00B62492" w14:paraId="6AE1ED30" w14:textId="2BC54066" w:rsidTr="00874C48">
        <w:tc>
          <w:tcPr>
            <w:tcW w:w="556" w:type="pct"/>
            <w:tcBorders>
              <w:top w:val="single" w:sz="4" w:space="0" w:color="auto"/>
              <w:left w:val="single" w:sz="4" w:space="0" w:color="auto"/>
              <w:bottom w:val="single" w:sz="4" w:space="0" w:color="auto"/>
              <w:right w:val="single" w:sz="4" w:space="0" w:color="auto"/>
            </w:tcBorders>
            <w:hideMark/>
          </w:tcPr>
          <w:p w14:paraId="4BC87392" w14:textId="77777777" w:rsidR="00F069A0" w:rsidRPr="008B5C38" w:rsidRDefault="00000000" w:rsidP="00303804">
            <w:pPr>
              <w:jc w:val="both"/>
              <w:rPr>
                <w:rFonts w:eastAsia="Calibri"/>
                <w:color w:val="000000" w:themeColor="text1"/>
                <w:sz w:val="20"/>
                <w:szCs w:val="20"/>
              </w:rPr>
            </w:pPr>
            <m:oMathPara>
              <m:oMathParaPr>
                <m:jc m:val="left"/>
              </m:oMathParaPr>
              <m:oMath>
                <m:sSub>
                  <m:sSubPr>
                    <m:ctrlPr>
                      <w:rPr>
                        <w:rFonts w:ascii="Cambria Math" w:eastAsia="Calibri" w:hAnsi="Cambria Math"/>
                        <w:i/>
                        <w:color w:val="000000" w:themeColor="text1"/>
                        <w:sz w:val="20"/>
                        <w:szCs w:val="20"/>
                      </w:rPr>
                    </m:ctrlPr>
                  </m:sSubPr>
                  <m:e>
                    <m:r>
                      <w:rPr>
                        <w:rFonts w:ascii="Cambria Math" w:eastAsia="Calibri" w:hAnsi="Cambria Math"/>
                        <w:color w:val="000000" w:themeColor="text1"/>
                        <w:sz w:val="20"/>
                        <w:szCs w:val="20"/>
                      </w:rPr>
                      <m:t>η</m:t>
                    </m:r>
                  </m:e>
                  <m:sub>
                    <m:r>
                      <w:rPr>
                        <w:rFonts w:ascii="Cambria Math" w:eastAsia="Calibri" w:hAnsi="Cambria Math"/>
                        <w:color w:val="000000" w:themeColor="text1"/>
                        <w:sz w:val="20"/>
                        <w:szCs w:val="20"/>
                      </w:rPr>
                      <m:t>r</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6406907D" w14:textId="77777777" w:rsidR="00F069A0" w:rsidRPr="00073A6F" w:rsidRDefault="00F069A0" w:rsidP="00303804">
            <w:pPr>
              <w:jc w:val="both"/>
              <w:rPr>
                <w:color w:val="000000" w:themeColor="text1"/>
                <w:sz w:val="20"/>
                <w:szCs w:val="20"/>
              </w:rPr>
            </w:pPr>
            <w:r w:rsidRPr="008B5C38">
              <w:rPr>
                <w:rFonts w:eastAsiaTheme="minorEastAsia"/>
                <w:color w:val="000000" w:themeColor="text1"/>
                <w:sz w:val="20"/>
                <w:szCs w:val="20"/>
              </w:rPr>
              <w:t xml:space="preserve">Average number of sexual acts per month </w:t>
            </w:r>
            <w:r>
              <w:rPr>
                <w:rFonts w:eastAsiaTheme="minorEastAsia"/>
                <w:color w:val="000000" w:themeColor="text1"/>
                <w:sz w:val="20"/>
                <w:szCs w:val="20"/>
              </w:rPr>
              <w:t>for</w:t>
            </w:r>
            <w:r w:rsidRPr="008B5C38">
              <w:rPr>
                <w:rFonts w:eastAsiaTheme="minorEastAsia"/>
                <w:color w:val="000000" w:themeColor="text1"/>
                <w:sz w:val="20"/>
                <w:szCs w:val="20"/>
              </w:rPr>
              <w:t xml:space="preserve"> </w:t>
            </w:r>
            <w:r>
              <w:rPr>
                <w:rFonts w:eastAsiaTheme="minorEastAsia"/>
                <w:color w:val="000000" w:themeColor="text1"/>
                <w:sz w:val="20"/>
                <w:szCs w:val="20"/>
              </w:rPr>
              <w:t>sub-population</w:t>
            </w:r>
            <w:r w:rsidRPr="008B5C38">
              <w:rPr>
                <w:rFonts w:eastAsiaTheme="minorEastAsia"/>
                <w:color w:val="000000" w:themeColor="text1"/>
                <w:sz w:val="20"/>
                <w:szCs w:val="20"/>
              </w:rPr>
              <w:t xml:space="preserve"> </w:t>
            </w:r>
            <w:r w:rsidRPr="008B5C38">
              <w:rPr>
                <w:rFonts w:eastAsiaTheme="minorEastAsia"/>
                <w:i/>
                <w:color w:val="000000" w:themeColor="text1"/>
                <w:sz w:val="20"/>
                <w:szCs w:val="20"/>
              </w:rPr>
              <w:t>r</w:t>
            </w:r>
          </w:p>
        </w:tc>
        <w:tc>
          <w:tcPr>
            <w:tcW w:w="863" w:type="pct"/>
            <w:tcBorders>
              <w:top w:val="single" w:sz="4" w:space="0" w:color="auto"/>
              <w:left w:val="single" w:sz="4" w:space="0" w:color="auto"/>
              <w:bottom w:val="single" w:sz="4" w:space="0" w:color="auto"/>
              <w:right w:val="single" w:sz="4" w:space="0" w:color="auto"/>
            </w:tcBorders>
          </w:tcPr>
          <w:p w14:paraId="494454A8" w14:textId="2AC1691E" w:rsidR="00F069A0" w:rsidRPr="008B5C38" w:rsidRDefault="00F069A0" w:rsidP="00F069A0">
            <w:pPr>
              <w:jc w:val="center"/>
              <w:rPr>
                <w:rFonts w:eastAsiaTheme="minorEastAsia"/>
                <w:color w:val="000000" w:themeColor="text1"/>
                <w:sz w:val="20"/>
                <w:szCs w:val="20"/>
              </w:rPr>
            </w:pPr>
            <w:r>
              <w:rPr>
                <w:rFonts w:eastAsiaTheme="minorEastAsia"/>
                <w:color w:val="000000" w:themeColor="text1"/>
                <w:sz w:val="20"/>
                <w:szCs w:val="20"/>
              </w:rPr>
              <w:t>Literature review</w:t>
            </w:r>
          </w:p>
        </w:tc>
      </w:tr>
      <w:tr w:rsidR="00F069A0" w:rsidRPr="00B62492" w14:paraId="3909EB6B" w14:textId="5D70956F" w:rsidTr="00874C48">
        <w:tc>
          <w:tcPr>
            <w:tcW w:w="556" w:type="pct"/>
            <w:tcBorders>
              <w:top w:val="single" w:sz="4" w:space="0" w:color="auto"/>
              <w:left w:val="single" w:sz="4" w:space="0" w:color="auto"/>
              <w:bottom w:val="single" w:sz="4" w:space="0" w:color="auto"/>
              <w:right w:val="single" w:sz="4" w:space="0" w:color="auto"/>
            </w:tcBorders>
            <w:hideMark/>
          </w:tcPr>
          <w:p w14:paraId="78554C36" w14:textId="77777777" w:rsidR="00F069A0" w:rsidRPr="00C0151D" w:rsidRDefault="00000000" w:rsidP="00303804">
            <w:pPr>
              <w:jc w:val="both"/>
              <w:rPr>
                <w:rFonts w:eastAsia="Calibri"/>
                <w:i/>
                <w:color w:val="000000" w:themeColor="text1"/>
                <w:sz w:val="20"/>
                <w:szCs w:val="20"/>
              </w:rPr>
            </w:pPr>
            <m:oMathPara>
              <m:oMathParaPr>
                <m:jc m:val="left"/>
              </m:oMathParaPr>
              <m:oMath>
                <m:sSub>
                  <m:sSubPr>
                    <m:ctrlPr>
                      <w:rPr>
                        <w:rFonts w:ascii="Cambria Math" w:eastAsia="Calibri" w:hAnsi="Cambria Math"/>
                        <w:i/>
                        <w:color w:val="000000" w:themeColor="text1"/>
                        <w:sz w:val="20"/>
                        <w:szCs w:val="20"/>
                      </w:rPr>
                    </m:ctrlPr>
                  </m:sSubPr>
                  <m:e>
                    <m:r>
                      <w:rPr>
                        <w:rFonts w:ascii="Cambria Math" w:eastAsia="Calibri" w:hAnsi="Cambria Math"/>
                        <w:color w:val="000000" w:themeColor="text1"/>
                        <w:sz w:val="20"/>
                        <w:szCs w:val="20"/>
                      </w:rPr>
                      <m:t>c</m:t>
                    </m:r>
                  </m:e>
                  <m:sub>
                    <m:r>
                      <w:rPr>
                        <w:rFonts w:ascii="Cambria Math" w:eastAsia="Calibri" w:hAnsi="Cambria Math"/>
                        <w:color w:val="000000" w:themeColor="text1"/>
                        <w:sz w:val="20"/>
                        <w:szCs w:val="20"/>
                      </w:rPr>
                      <m:t>r</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7B59A488" w14:textId="77777777" w:rsidR="00F069A0" w:rsidRPr="00C0151D" w:rsidRDefault="00F069A0" w:rsidP="00303804">
            <w:pPr>
              <w:jc w:val="both"/>
              <w:rPr>
                <w:rFonts w:eastAsiaTheme="minorEastAsia"/>
                <w:color w:val="000000" w:themeColor="text1"/>
                <w:sz w:val="20"/>
                <w:szCs w:val="20"/>
              </w:rPr>
            </w:pPr>
            <w:r w:rsidRPr="00C0151D">
              <w:rPr>
                <w:rFonts w:eastAsiaTheme="minorEastAsia"/>
                <w:color w:val="000000" w:themeColor="text1"/>
                <w:sz w:val="20"/>
                <w:szCs w:val="20"/>
              </w:rPr>
              <w:t xml:space="preserve">Percentage of individuals consistently using a condom </w:t>
            </w:r>
            <w:r>
              <w:rPr>
                <w:rFonts w:eastAsiaTheme="minorEastAsia"/>
                <w:color w:val="000000" w:themeColor="text1"/>
                <w:sz w:val="20"/>
                <w:szCs w:val="20"/>
              </w:rPr>
              <w:t>for</w:t>
            </w:r>
            <w:r w:rsidRPr="00C0151D">
              <w:rPr>
                <w:rFonts w:eastAsiaTheme="minorEastAsia"/>
                <w:color w:val="000000" w:themeColor="text1"/>
                <w:sz w:val="20"/>
                <w:szCs w:val="20"/>
              </w:rPr>
              <w:t xml:space="preserve"> </w:t>
            </w:r>
            <w:r>
              <w:rPr>
                <w:rFonts w:eastAsiaTheme="minorEastAsia"/>
                <w:color w:val="000000" w:themeColor="text1"/>
                <w:sz w:val="20"/>
                <w:szCs w:val="20"/>
              </w:rPr>
              <w:t>sub-population</w:t>
            </w:r>
            <w:r w:rsidRPr="00C0151D">
              <w:rPr>
                <w:rFonts w:eastAsiaTheme="minorEastAsia"/>
                <w:color w:val="000000" w:themeColor="text1"/>
                <w:sz w:val="20"/>
                <w:szCs w:val="20"/>
              </w:rPr>
              <w:t xml:space="preserve"> </w:t>
            </w:r>
            <m:oMath>
              <m:r>
                <w:rPr>
                  <w:rFonts w:ascii="Cambria Math" w:eastAsiaTheme="minorEastAsia" w:hAnsi="Cambria Math"/>
                  <w:color w:val="000000" w:themeColor="text1"/>
                  <w:sz w:val="20"/>
                  <w:szCs w:val="20"/>
                </w:rPr>
                <m:t>r</m:t>
              </m:r>
            </m:oMath>
          </w:p>
        </w:tc>
        <w:tc>
          <w:tcPr>
            <w:tcW w:w="863" w:type="pct"/>
            <w:tcBorders>
              <w:top w:val="single" w:sz="4" w:space="0" w:color="auto"/>
              <w:left w:val="single" w:sz="4" w:space="0" w:color="auto"/>
              <w:bottom w:val="single" w:sz="4" w:space="0" w:color="auto"/>
              <w:right w:val="single" w:sz="4" w:space="0" w:color="auto"/>
            </w:tcBorders>
          </w:tcPr>
          <w:p w14:paraId="4321AC73" w14:textId="5739001A" w:rsidR="00F069A0" w:rsidRPr="00C0151D" w:rsidRDefault="00F069A0" w:rsidP="00F069A0">
            <w:pPr>
              <w:jc w:val="center"/>
              <w:rPr>
                <w:rFonts w:eastAsiaTheme="minorEastAsia"/>
                <w:color w:val="000000" w:themeColor="text1"/>
                <w:sz w:val="20"/>
                <w:szCs w:val="20"/>
              </w:rPr>
            </w:pPr>
            <w:r>
              <w:rPr>
                <w:rFonts w:eastAsiaTheme="minorEastAsia"/>
                <w:color w:val="000000" w:themeColor="text1"/>
                <w:sz w:val="20"/>
                <w:szCs w:val="20"/>
              </w:rPr>
              <w:t>DHS (2005, 2010, 2015)</w:t>
            </w:r>
          </w:p>
        </w:tc>
      </w:tr>
      <w:tr w:rsidR="00F069A0" w:rsidRPr="00B62492" w14:paraId="2890B5F7" w14:textId="7DE18B8B" w:rsidTr="00874C48">
        <w:tc>
          <w:tcPr>
            <w:tcW w:w="556" w:type="pct"/>
            <w:tcBorders>
              <w:top w:val="single" w:sz="4" w:space="0" w:color="auto"/>
              <w:left w:val="single" w:sz="4" w:space="0" w:color="auto"/>
              <w:bottom w:val="single" w:sz="4" w:space="0" w:color="auto"/>
              <w:right w:val="single" w:sz="4" w:space="0" w:color="auto"/>
            </w:tcBorders>
            <w:hideMark/>
          </w:tcPr>
          <w:p w14:paraId="4C994502" w14:textId="77777777" w:rsidR="00F069A0" w:rsidRPr="008B5C38" w:rsidRDefault="00F069A0" w:rsidP="00303804">
            <w:pPr>
              <w:jc w:val="both"/>
              <w:rPr>
                <w:rFonts w:eastAsia="Calibri"/>
                <w:color w:val="000000" w:themeColor="text1"/>
                <w:sz w:val="20"/>
                <w:szCs w:val="20"/>
              </w:rPr>
            </w:pPr>
            <m:oMathPara>
              <m:oMathParaPr>
                <m:jc m:val="left"/>
              </m:oMathParaPr>
              <m:oMath>
                <m:r>
                  <w:rPr>
                    <w:rFonts w:ascii="Cambria Math" w:eastAsia="Calibri" w:hAnsi="Cambria Math"/>
                    <w:color w:val="000000" w:themeColor="text1"/>
                    <w:sz w:val="20"/>
                    <w:szCs w:val="20"/>
                  </w:rPr>
                  <m:t>ε</m:t>
                </m:r>
              </m:oMath>
            </m:oMathPara>
          </w:p>
        </w:tc>
        <w:tc>
          <w:tcPr>
            <w:tcW w:w="3581" w:type="pct"/>
            <w:tcBorders>
              <w:top w:val="single" w:sz="4" w:space="0" w:color="auto"/>
              <w:left w:val="single" w:sz="4" w:space="0" w:color="auto"/>
              <w:bottom w:val="single" w:sz="4" w:space="0" w:color="auto"/>
              <w:right w:val="single" w:sz="4" w:space="0" w:color="auto"/>
            </w:tcBorders>
            <w:hideMark/>
          </w:tcPr>
          <w:p w14:paraId="2EF92F1A" w14:textId="77777777" w:rsidR="00F069A0" w:rsidRPr="008B5C38" w:rsidRDefault="00F069A0" w:rsidP="00303804">
            <w:pPr>
              <w:jc w:val="both"/>
              <w:rPr>
                <w:rFonts w:eastAsiaTheme="minorEastAsia"/>
                <w:color w:val="000000" w:themeColor="text1"/>
                <w:sz w:val="20"/>
                <w:szCs w:val="20"/>
              </w:rPr>
            </w:pPr>
            <w:r w:rsidRPr="008B5C38">
              <w:rPr>
                <w:rFonts w:eastAsiaTheme="minorEastAsia"/>
                <w:color w:val="000000" w:themeColor="text1"/>
                <w:sz w:val="20"/>
                <w:szCs w:val="20"/>
              </w:rPr>
              <w:t>Reduction in probability of HIV transmission when using a condom</w:t>
            </w:r>
          </w:p>
        </w:tc>
        <w:tc>
          <w:tcPr>
            <w:tcW w:w="863" w:type="pct"/>
            <w:tcBorders>
              <w:top w:val="single" w:sz="4" w:space="0" w:color="auto"/>
              <w:left w:val="single" w:sz="4" w:space="0" w:color="auto"/>
              <w:bottom w:val="single" w:sz="4" w:space="0" w:color="auto"/>
              <w:right w:val="single" w:sz="4" w:space="0" w:color="auto"/>
            </w:tcBorders>
          </w:tcPr>
          <w:p w14:paraId="50B3568C" w14:textId="2B4000DF" w:rsidR="00F069A0" w:rsidRPr="008B5C38" w:rsidRDefault="00F069A0" w:rsidP="00F069A0">
            <w:pPr>
              <w:jc w:val="center"/>
              <w:rPr>
                <w:rFonts w:eastAsiaTheme="minorEastAsia"/>
                <w:color w:val="000000" w:themeColor="text1"/>
                <w:sz w:val="20"/>
                <w:szCs w:val="20"/>
              </w:rPr>
            </w:pPr>
            <w:r>
              <w:rPr>
                <w:rFonts w:eastAsiaTheme="minorEastAsia"/>
                <w:color w:val="000000" w:themeColor="text1"/>
                <w:sz w:val="20"/>
                <w:szCs w:val="20"/>
              </w:rPr>
              <w:t>Literature review</w:t>
            </w:r>
          </w:p>
        </w:tc>
      </w:tr>
      <w:tr w:rsidR="00F069A0" w:rsidRPr="00B62492" w14:paraId="24C6F262" w14:textId="0B0C06DD" w:rsidTr="00874C48">
        <w:tc>
          <w:tcPr>
            <w:tcW w:w="556" w:type="pct"/>
            <w:tcBorders>
              <w:top w:val="single" w:sz="4" w:space="0" w:color="auto"/>
              <w:left w:val="single" w:sz="4" w:space="0" w:color="auto"/>
              <w:bottom w:val="single" w:sz="4" w:space="0" w:color="auto"/>
              <w:right w:val="single" w:sz="4" w:space="0" w:color="auto"/>
            </w:tcBorders>
            <w:hideMark/>
          </w:tcPr>
          <w:p w14:paraId="52A17D13" w14:textId="77777777" w:rsidR="00F069A0" w:rsidRPr="00C0151D" w:rsidRDefault="00F069A0" w:rsidP="00303804">
            <w:pPr>
              <w:jc w:val="both"/>
              <w:rPr>
                <w:rFonts w:eastAsia="Calibri"/>
                <w:color w:val="000000" w:themeColor="text1"/>
                <w:sz w:val="20"/>
                <w:szCs w:val="20"/>
              </w:rPr>
            </w:pPr>
            <m:oMathPara>
              <m:oMathParaPr>
                <m:jc m:val="left"/>
              </m:oMathParaPr>
              <m:oMath>
                <m:r>
                  <w:rPr>
                    <w:rFonts w:ascii="Cambria Math" w:eastAsia="Calibri" w:hAnsi="Cambria Math"/>
                    <w:color w:val="000000" w:themeColor="text1"/>
                    <w:sz w:val="20"/>
                    <w:szCs w:val="20"/>
                  </w:rPr>
                  <m:t>π</m:t>
                </m:r>
              </m:oMath>
            </m:oMathPara>
          </w:p>
        </w:tc>
        <w:tc>
          <w:tcPr>
            <w:tcW w:w="3581" w:type="pct"/>
            <w:tcBorders>
              <w:top w:val="single" w:sz="4" w:space="0" w:color="auto"/>
              <w:left w:val="single" w:sz="4" w:space="0" w:color="auto"/>
              <w:bottom w:val="single" w:sz="4" w:space="0" w:color="auto"/>
              <w:right w:val="single" w:sz="4" w:space="0" w:color="auto"/>
            </w:tcBorders>
            <w:hideMark/>
          </w:tcPr>
          <w:p w14:paraId="18483286" w14:textId="77777777" w:rsidR="00F069A0" w:rsidRPr="00C0151D" w:rsidRDefault="00F069A0" w:rsidP="00303804">
            <w:pPr>
              <w:jc w:val="both"/>
              <w:rPr>
                <w:rFonts w:eastAsiaTheme="minorEastAsia"/>
                <w:color w:val="000000" w:themeColor="text1"/>
                <w:sz w:val="20"/>
                <w:szCs w:val="20"/>
              </w:rPr>
            </w:pPr>
            <w:r w:rsidRPr="00C0151D">
              <w:rPr>
                <w:rFonts w:eastAsiaTheme="minorEastAsia"/>
                <w:color w:val="000000" w:themeColor="text1"/>
                <w:sz w:val="20"/>
                <w:szCs w:val="20"/>
              </w:rPr>
              <w:t>Reduction in probability of HIV transmission when on ART and viral</w:t>
            </w:r>
            <w:r>
              <w:rPr>
                <w:rFonts w:eastAsiaTheme="minorEastAsia"/>
                <w:color w:val="000000" w:themeColor="text1"/>
                <w:sz w:val="20"/>
                <w:szCs w:val="20"/>
              </w:rPr>
              <w:t>ly</w:t>
            </w:r>
            <w:r w:rsidRPr="00C0151D">
              <w:rPr>
                <w:rFonts w:eastAsiaTheme="minorEastAsia"/>
                <w:color w:val="000000" w:themeColor="text1"/>
                <w:sz w:val="20"/>
                <w:szCs w:val="20"/>
              </w:rPr>
              <w:t xml:space="preserve"> suppressed</w:t>
            </w:r>
          </w:p>
        </w:tc>
        <w:tc>
          <w:tcPr>
            <w:tcW w:w="863" w:type="pct"/>
            <w:tcBorders>
              <w:top w:val="single" w:sz="4" w:space="0" w:color="auto"/>
              <w:left w:val="single" w:sz="4" w:space="0" w:color="auto"/>
              <w:bottom w:val="single" w:sz="4" w:space="0" w:color="auto"/>
              <w:right w:val="single" w:sz="4" w:space="0" w:color="auto"/>
            </w:tcBorders>
          </w:tcPr>
          <w:p w14:paraId="67700321" w14:textId="060E855D" w:rsidR="00F069A0" w:rsidRPr="00C0151D" w:rsidRDefault="00F069A0" w:rsidP="00F069A0">
            <w:pPr>
              <w:jc w:val="center"/>
              <w:rPr>
                <w:rFonts w:eastAsiaTheme="minorEastAsia"/>
                <w:color w:val="000000" w:themeColor="text1"/>
                <w:sz w:val="20"/>
                <w:szCs w:val="20"/>
              </w:rPr>
            </w:pPr>
            <w:r>
              <w:rPr>
                <w:rFonts w:eastAsiaTheme="minorEastAsia"/>
                <w:color w:val="000000" w:themeColor="text1"/>
                <w:sz w:val="20"/>
                <w:szCs w:val="20"/>
              </w:rPr>
              <w:t>Literature review</w:t>
            </w:r>
          </w:p>
        </w:tc>
      </w:tr>
      <w:tr w:rsidR="00F069A0" w:rsidRPr="00B62492" w14:paraId="7C1C26FD" w14:textId="4F3507B1" w:rsidTr="00874C48">
        <w:tc>
          <w:tcPr>
            <w:tcW w:w="556" w:type="pct"/>
            <w:tcBorders>
              <w:top w:val="single" w:sz="4" w:space="0" w:color="auto"/>
              <w:left w:val="single" w:sz="4" w:space="0" w:color="auto"/>
              <w:bottom w:val="single" w:sz="4" w:space="0" w:color="auto"/>
              <w:right w:val="single" w:sz="4" w:space="0" w:color="auto"/>
            </w:tcBorders>
            <w:hideMark/>
          </w:tcPr>
          <w:p w14:paraId="7F4D59D0" w14:textId="77777777" w:rsidR="00F069A0" w:rsidRPr="00C0151D" w:rsidRDefault="00000000" w:rsidP="00303804">
            <w:pPr>
              <w:jc w:val="both"/>
              <w:rPr>
                <w:rFonts w:eastAsia="Calibri"/>
                <w:color w:val="000000" w:themeColor="text1"/>
                <w:sz w:val="20"/>
                <w:szCs w:val="20"/>
              </w:rPr>
            </w:pPr>
            <m:oMathPara>
              <m:oMathParaPr>
                <m:jc m:val="left"/>
              </m:oMathParaPr>
              <m:oMath>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p</m:t>
                    </m:r>
                  </m:e>
                  <m:sub>
                    <m:r>
                      <w:rPr>
                        <w:rFonts w:ascii="Cambria Math" w:eastAsia="Calibri" w:hAnsi="Cambria Math"/>
                        <w:color w:val="000000" w:themeColor="text1"/>
                        <w:sz w:val="20"/>
                        <w:szCs w:val="20"/>
                      </w:rPr>
                      <m:t>υ</m:t>
                    </m:r>
                    <m:r>
                      <m:rPr>
                        <m:sty m:val="p"/>
                      </m:rPr>
                      <w:rPr>
                        <w:rFonts w:ascii="Cambria Math" w:eastAsia="Calibri" w:hAnsi="Cambria Math"/>
                        <w:color w:val="000000" w:themeColor="text1"/>
                        <w:sz w:val="20"/>
                        <w:szCs w:val="20"/>
                      </w:rPr>
                      <m:t>,</m:t>
                    </m:r>
                    <m:r>
                      <m:rPr>
                        <m:sty m:val="p"/>
                      </m:rPr>
                      <w:rPr>
                        <w:rFonts w:ascii="Cambria Math" w:hAnsi="Cambria Math"/>
                        <w:sz w:val="20"/>
                        <w:szCs w:val="20"/>
                      </w:rPr>
                      <m:t>j</m:t>
                    </m:r>
                    <m:r>
                      <m:rPr>
                        <m:sty m:val="p"/>
                      </m:rPr>
                      <w:rPr>
                        <w:rFonts w:ascii="Cambria Math" w:eastAsia="Calibri" w:hAnsi="Cambria Math"/>
                        <w:color w:val="000000" w:themeColor="text1"/>
                        <w:sz w:val="20"/>
                        <w:szCs w:val="20"/>
                      </w:rPr>
                      <m:t>,t</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557B73F3" w14:textId="77777777" w:rsidR="00F069A0" w:rsidRPr="00C0151D" w:rsidRDefault="00F069A0" w:rsidP="00303804">
            <w:pPr>
              <w:jc w:val="both"/>
              <w:rPr>
                <w:rFonts w:eastAsiaTheme="minorEastAsia"/>
                <w:color w:val="000000" w:themeColor="text1"/>
                <w:sz w:val="20"/>
                <w:szCs w:val="20"/>
              </w:rPr>
            </w:pPr>
            <w:r w:rsidRPr="00C0151D">
              <w:rPr>
                <w:rFonts w:eastAsiaTheme="minorEastAsia"/>
                <w:color w:val="000000" w:themeColor="text1"/>
                <w:sz w:val="20"/>
                <w:szCs w:val="20"/>
              </w:rPr>
              <w:t xml:space="preserve">Probability of individuals living with HIV who are on ART and viral suppressed at time period </w:t>
            </w:r>
            <m:oMath>
              <m:r>
                <w:rPr>
                  <w:rFonts w:ascii="Cambria Math" w:hAnsi="Cambria Math"/>
                  <w:color w:val="000000" w:themeColor="text1"/>
                  <w:sz w:val="20"/>
                  <w:szCs w:val="20"/>
                </w:rPr>
                <m:t>t</m:t>
              </m:r>
            </m:oMath>
            <w:r w:rsidRPr="00C0151D">
              <w:rPr>
                <w:rFonts w:eastAsiaTheme="minorEastAsia"/>
                <w:color w:val="000000" w:themeColor="text1"/>
                <w:sz w:val="20"/>
                <w:szCs w:val="20"/>
              </w:rPr>
              <w:t xml:space="preserve"> </w:t>
            </w:r>
            <w:r>
              <w:rPr>
                <w:rFonts w:eastAsiaTheme="minorEastAsia"/>
                <w:color w:val="000000" w:themeColor="text1"/>
                <w:sz w:val="20"/>
                <w:szCs w:val="20"/>
              </w:rPr>
              <w:t>for</w:t>
            </w:r>
            <w:r w:rsidRPr="00C0151D">
              <w:rPr>
                <w:rFonts w:eastAsiaTheme="minorEastAsia"/>
                <w:color w:val="000000" w:themeColor="text1"/>
                <w:sz w:val="20"/>
                <w:szCs w:val="20"/>
              </w:rPr>
              <w:t xml:space="preserve"> </w:t>
            </w:r>
            <w:r>
              <w:rPr>
                <w:rFonts w:eastAsiaTheme="minorEastAsia"/>
                <w:color w:val="000000" w:themeColor="text1"/>
                <w:sz w:val="20"/>
                <w:szCs w:val="20"/>
              </w:rPr>
              <w:t>sub-population</w:t>
            </w:r>
            <w:r w:rsidRPr="00C0151D">
              <w:rPr>
                <w:rFonts w:eastAsiaTheme="minorEastAsia"/>
                <w:color w:val="000000" w:themeColor="text1"/>
                <w:sz w:val="20"/>
                <w:szCs w:val="20"/>
              </w:rPr>
              <w:t xml:space="preserve"> </w:t>
            </w:r>
            <m:oMath>
              <m:r>
                <w:rPr>
                  <w:rFonts w:ascii="Cambria Math" w:hAnsi="Cambria Math"/>
                  <w:sz w:val="20"/>
                  <w:szCs w:val="20"/>
                </w:rPr>
                <m:t>j</m:t>
              </m:r>
            </m:oMath>
          </w:p>
        </w:tc>
        <w:tc>
          <w:tcPr>
            <w:tcW w:w="863" w:type="pct"/>
            <w:tcBorders>
              <w:top w:val="single" w:sz="4" w:space="0" w:color="auto"/>
              <w:left w:val="single" w:sz="4" w:space="0" w:color="auto"/>
              <w:bottom w:val="single" w:sz="4" w:space="0" w:color="auto"/>
              <w:right w:val="single" w:sz="4" w:space="0" w:color="auto"/>
            </w:tcBorders>
          </w:tcPr>
          <w:p w14:paraId="4074F10F" w14:textId="26E60DFF" w:rsidR="00F069A0" w:rsidRPr="00C0151D" w:rsidRDefault="00F069A0" w:rsidP="00F069A0">
            <w:pPr>
              <w:jc w:val="center"/>
              <w:rPr>
                <w:rFonts w:eastAsiaTheme="minorEastAsia"/>
                <w:color w:val="000000" w:themeColor="text1"/>
                <w:sz w:val="20"/>
                <w:szCs w:val="20"/>
              </w:rPr>
            </w:pPr>
            <w:proofErr w:type="spellStart"/>
            <w:r>
              <w:rPr>
                <w:rFonts w:eastAsiaTheme="minorEastAsia"/>
                <w:color w:val="000000" w:themeColor="text1"/>
                <w:sz w:val="20"/>
                <w:szCs w:val="20"/>
              </w:rPr>
              <w:t>IeDEA</w:t>
            </w:r>
            <w:proofErr w:type="spellEnd"/>
          </w:p>
        </w:tc>
      </w:tr>
      <w:tr w:rsidR="00F069A0" w:rsidRPr="00B62492" w14:paraId="080D2E5C" w14:textId="6150AB88" w:rsidTr="00874C48">
        <w:tc>
          <w:tcPr>
            <w:tcW w:w="556" w:type="pct"/>
            <w:tcBorders>
              <w:top w:val="single" w:sz="4" w:space="0" w:color="auto"/>
              <w:left w:val="single" w:sz="4" w:space="0" w:color="auto"/>
              <w:bottom w:val="single" w:sz="4" w:space="0" w:color="auto"/>
              <w:right w:val="single" w:sz="4" w:space="0" w:color="auto"/>
            </w:tcBorders>
            <w:hideMark/>
          </w:tcPr>
          <w:p w14:paraId="5F109F76" w14:textId="77777777" w:rsidR="00F069A0" w:rsidRPr="00C0151D" w:rsidRDefault="00000000" w:rsidP="00303804">
            <w:pPr>
              <w:jc w:val="both"/>
              <w:rPr>
                <w:rFonts w:eastAsia="Calibri"/>
                <w:color w:val="000000" w:themeColor="text1"/>
                <w:sz w:val="20"/>
                <w:szCs w:val="20"/>
              </w:rPr>
            </w:pPr>
            <m:oMathPara>
              <m:oMathParaPr>
                <m:jc m:val="left"/>
              </m:oMathParaPr>
              <m:oMath>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p</m:t>
                    </m:r>
                  </m:e>
                  <m:sub>
                    <m:r>
                      <m:rPr>
                        <m:sty m:val="p"/>
                      </m:rPr>
                      <w:rPr>
                        <w:rFonts w:ascii="Cambria Math" w:eastAsia="Calibri" w:hAnsi="Cambria Math"/>
                        <w:color w:val="000000" w:themeColor="text1"/>
                        <w:sz w:val="20"/>
                        <w:szCs w:val="20"/>
                      </w:rPr>
                      <m:t>n,j,t</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1BC24CE8" w14:textId="77777777" w:rsidR="00F069A0" w:rsidRPr="00C0151D" w:rsidRDefault="00F069A0" w:rsidP="00303804">
            <w:pPr>
              <w:jc w:val="both"/>
              <w:rPr>
                <w:rFonts w:eastAsiaTheme="minorEastAsia"/>
                <w:color w:val="000000" w:themeColor="text1"/>
                <w:sz w:val="20"/>
                <w:szCs w:val="20"/>
              </w:rPr>
            </w:pPr>
            <w:r w:rsidRPr="00C0151D">
              <w:rPr>
                <w:rFonts w:eastAsiaTheme="minorEastAsia"/>
                <w:color w:val="000000" w:themeColor="text1"/>
                <w:sz w:val="20"/>
                <w:szCs w:val="20"/>
              </w:rPr>
              <w:t xml:space="preserve">Probability of individuals living with HIV who are not viral suppressed at time period </w:t>
            </w:r>
            <m:oMath>
              <m:r>
                <w:rPr>
                  <w:rFonts w:ascii="Cambria Math" w:hAnsi="Cambria Math"/>
                  <w:color w:val="000000" w:themeColor="text1"/>
                  <w:sz w:val="20"/>
                  <w:szCs w:val="20"/>
                </w:rPr>
                <m:t>t</m:t>
              </m:r>
            </m:oMath>
            <w:r w:rsidRPr="00C0151D">
              <w:rPr>
                <w:rFonts w:eastAsiaTheme="minorEastAsia"/>
                <w:color w:val="000000" w:themeColor="text1"/>
                <w:sz w:val="20"/>
                <w:szCs w:val="20"/>
              </w:rPr>
              <w:t xml:space="preserve"> </w:t>
            </w:r>
            <w:r>
              <w:rPr>
                <w:rFonts w:eastAsiaTheme="minorEastAsia"/>
                <w:color w:val="000000" w:themeColor="text1"/>
                <w:sz w:val="20"/>
                <w:szCs w:val="20"/>
              </w:rPr>
              <w:t>for</w:t>
            </w:r>
            <w:r w:rsidRPr="00C0151D">
              <w:rPr>
                <w:rFonts w:eastAsiaTheme="minorEastAsia"/>
                <w:color w:val="000000" w:themeColor="text1"/>
                <w:sz w:val="20"/>
                <w:szCs w:val="20"/>
              </w:rPr>
              <w:t xml:space="preserve"> </w:t>
            </w:r>
            <w:r>
              <w:rPr>
                <w:rFonts w:eastAsiaTheme="minorEastAsia"/>
                <w:color w:val="000000" w:themeColor="text1"/>
                <w:sz w:val="20"/>
                <w:szCs w:val="20"/>
              </w:rPr>
              <w:t>sub-population</w:t>
            </w:r>
            <w:r w:rsidRPr="00C0151D">
              <w:rPr>
                <w:rFonts w:eastAsiaTheme="minorEastAsia"/>
                <w:color w:val="000000" w:themeColor="text1"/>
                <w:sz w:val="20"/>
                <w:szCs w:val="20"/>
              </w:rPr>
              <w:t xml:space="preserve"> </w:t>
            </w:r>
            <m:oMath>
              <m:r>
                <w:rPr>
                  <w:rFonts w:ascii="Cambria Math" w:hAnsi="Cambria Math"/>
                  <w:sz w:val="20"/>
                  <w:szCs w:val="20"/>
                </w:rPr>
                <m:t>j</m:t>
              </m:r>
            </m:oMath>
          </w:p>
        </w:tc>
        <w:tc>
          <w:tcPr>
            <w:tcW w:w="863" w:type="pct"/>
            <w:tcBorders>
              <w:top w:val="single" w:sz="4" w:space="0" w:color="auto"/>
              <w:left w:val="single" w:sz="4" w:space="0" w:color="auto"/>
              <w:bottom w:val="single" w:sz="4" w:space="0" w:color="auto"/>
              <w:right w:val="single" w:sz="4" w:space="0" w:color="auto"/>
            </w:tcBorders>
          </w:tcPr>
          <w:p w14:paraId="6ED16D80" w14:textId="1F6339E6" w:rsidR="00F069A0" w:rsidRPr="00C0151D" w:rsidRDefault="00F069A0" w:rsidP="00F069A0">
            <w:pPr>
              <w:jc w:val="center"/>
              <w:rPr>
                <w:rFonts w:eastAsiaTheme="minorEastAsia"/>
                <w:color w:val="000000" w:themeColor="text1"/>
                <w:sz w:val="20"/>
                <w:szCs w:val="20"/>
              </w:rPr>
            </w:pPr>
            <w:proofErr w:type="spellStart"/>
            <w:r>
              <w:rPr>
                <w:rFonts w:eastAsiaTheme="minorEastAsia"/>
                <w:color w:val="000000" w:themeColor="text1"/>
                <w:sz w:val="20"/>
                <w:szCs w:val="20"/>
              </w:rPr>
              <w:t>IeDEA</w:t>
            </w:r>
            <w:proofErr w:type="spellEnd"/>
          </w:p>
        </w:tc>
      </w:tr>
      <w:tr w:rsidR="00F069A0" w:rsidRPr="00B62492" w14:paraId="2997665F" w14:textId="7362B352" w:rsidTr="00874C48">
        <w:tc>
          <w:tcPr>
            <w:tcW w:w="556" w:type="pct"/>
            <w:tcBorders>
              <w:top w:val="single" w:sz="4" w:space="0" w:color="auto"/>
              <w:left w:val="single" w:sz="4" w:space="0" w:color="auto"/>
              <w:bottom w:val="single" w:sz="4" w:space="0" w:color="auto"/>
              <w:right w:val="single" w:sz="4" w:space="0" w:color="auto"/>
            </w:tcBorders>
            <w:hideMark/>
          </w:tcPr>
          <w:p w14:paraId="7CB83D3C" w14:textId="77777777" w:rsidR="00F069A0" w:rsidRPr="00C0151D" w:rsidRDefault="00000000" w:rsidP="00303804">
            <w:pPr>
              <w:jc w:val="both"/>
              <w:rPr>
                <w:rFonts w:eastAsia="Calibri"/>
                <w:color w:val="000000" w:themeColor="text1"/>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r</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43122161" w14:textId="77777777" w:rsidR="00F069A0" w:rsidRPr="00C0151D" w:rsidRDefault="00F069A0" w:rsidP="00303804">
            <w:pPr>
              <w:jc w:val="both"/>
              <w:rPr>
                <w:rFonts w:eastAsiaTheme="minorEastAsia"/>
                <w:color w:val="000000" w:themeColor="text1"/>
                <w:sz w:val="20"/>
                <w:szCs w:val="20"/>
              </w:rPr>
            </w:pPr>
            <w:r w:rsidRPr="00C0151D">
              <w:rPr>
                <w:rFonts w:eastAsiaTheme="minorEastAsia"/>
                <w:color w:val="000000" w:themeColor="text1"/>
                <w:sz w:val="20"/>
                <w:szCs w:val="20"/>
              </w:rPr>
              <w:t xml:space="preserve">Number of individuals </w:t>
            </w:r>
            <w:r>
              <w:rPr>
                <w:rFonts w:eastAsiaTheme="minorEastAsia"/>
                <w:color w:val="000000" w:themeColor="text1"/>
                <w:sz w:val="20"/>
                <w:szCs w:val="20"/>
              </w:rPr>
              <w:t>for</w:t>
            </w:r>
            <w:r w:rsidRPr="00C0151D">
              <w:rPr>
                <w:rFonts w:eastAsiaTheme="minorEastAsia"/>
                <w:color w:val="000000" w:themeColor="text1"/>
                <w:sz w:val="20"/>
                <w:szCs w:val="20"/>
              </w:rPr>
              <w:t xml:space="preserve"> </w:t>
            </w:r>
            <w:r>
              <w:rPr>
                <w:rFonts w:eastAsiaTheme="minorEastAsia"/>
                <w:color w:val="000000" w:themeColor="text1"/>
                <w:sz w:val="20"/>
                <w:szCs w:val="20"/>
              </w:rPr>
              <w:t>sub-population</w:t>
            </w:r>
            <w:r w:rsidRPr="00C0151D">
              <w:rPr>
                <w:rFonts w:eastAsiaTheme="minorEastAsia"/>
                <w:color w:val="000000" w:themeColor="text1"/>
                <w:sz w:val="20"/>
                <w:szCs w:val="20"/>
              </w:rPr>
              <w:t xml:space="preserve"> </w:t>
            </w:r>
            <w:r w:rsidRPr="00C0151D">
              <w:rPr>
                <w:rFonts w:eastAsiaTheme="minorEastAsia"/>
                <w:i/>
                <w:color w:val="000000" w:themeColor="text1"/>
                <w:sz w:val="20"/>
                <w:szCs w:val="20"/>
              </w:rPr>
              <w:t>r</w:t>
            </w:r>
          </w:p>
        </w:tc>
        <w:tc>
          <w:tcPr>
            <w:tcW w:w="863" w:type="pct"/>
            <w:tcBorders>
              <w:top w:val="single" w:sz="4" w:space="0" w:color="auto"/>
              <w:left w:val="single" w:sz="4" w:space="0" w:color="auto"/>
              <w:bottom w:val="single" w:sz="4" w:space="0" w:color="auto"/>
              <w:right w:val="single" w:sz="4" w:space="0" w:color="auto"/>
            </w:tcBorders>
          </w:tcPr>
          <w:p w14:paraId="2C863951" w14:textId="36591967" w:rsidR="00F069A0" w:rsidRPr="00C0151D" w:rsidRDefault="00F069A0" w:rsidP="00F069A0">
            <w:pPr>
              <w:jc w:val="center"/>
              <w:rPr>
                <w:rFonts w:eastAsiaTheme="minorEastAsia"/>
                <w:color w:val="000000" w:themeColor="text1"/>
                <w:sz w:val="20"/>
                <w:szCs w:val="20"/>
              </w:rPr>
            </w:pPr>
            <w:r>
              <w:rPr>
                <w:rFonts w:eastAsiaTheme="minorEastAsia"/>
                <w:color w:val="000000" w:themeColor="text1"/>
                <w:sz w:val="20"/>
                <w:szCs w:val="20"/>
              </w:rPr>
              <w:t>World Bank</w:t>
            </w:r>
          </w:p>
        </w:tc>
      </w:tr>
      <w:tr w:rsidR="00F069A0" w:rsidRPr="00B62492" w14:paraId="1EB80D07" w14:textId="34519AE3" w:rsidTr="00874C48">
        <w:tc>
          <w:tcPr>
            <w:tcW w:w="556" w:type="pct"/>
            <w:tcBorders>
              <w:top w:val="single" w:sz="4" w:space="0" w:color="auto"/>
              <w:left w:val="single" w:sz="4" w:space="0" w:color="auto"/>
              <w:bottom w:val="single" w:sz="4" w:space="0" w:color="auto"/>
              <w:right w:val="single" w:sz="4" w:space="0" w:color="auto"/>
            </w:tcBorders>
            <w:hideMark/>
          </w:tcPr>
          <w:p w14:paraId="303F2613" w14:textId="77777777" w:rsidR="00F069A0" w:rsidRPr="00C0151D" w:rsidRDefault="00000000" w:rsidP="00303804">
            <w:pPr>
              <w:jc w:val="both"/>
              <w:rPr>
                <w:rFonts w:eastAsia="Calibri"/>
                <w:sz w:val="20"/>
                <w:szCs w:val="20"/>
              </w:rPr>
            </w:pPr>
            <m:oMathPara>
              <m:oMathParaPr>
                <m:jc m:val="left"/>
              </m:oMathParaPr>
              <m:oMath>
                <m:sSub>
                  <m:sSubPr>
                    <m:ctrlPr>
                      <w:rPr>
                        <w:rFonts w:ascii="Cambria Math" w:hAnsi="Cambria Math"/>
                        <w:i/>
                        <w:sz w:val="20"/>
                        <w:szCs w:val="20"/>
                      </w:rPr>
                    </m:ctrlPr>
                  </m:sSubPr>
                  <m:e>
                    <m:r>
                      <m:rPr>
                        <m:sty m:val="p"/>
                      </m:rPr>
                      <w:rPr>
                        <w:rFonts w:ascii="Cambria Math" w:hAnsi="Cambria Math"/>
                        <w:sz w:val="20"/>
                        <w:szCs w:val="20"/>
                      </w:rPr>
                      <m:t>P</m:t>
                    </m:r>
                  </m:e>
                  <m:sub>
                    <m:r>
                      <w:rPr>
                        <w:rFonts w:ascii="Cambria Math" w:hAnsi="Cambria Math"/>
                        <w:sz w:val="20"/>
                        <w:szCs w:val="20"/>
                      </w:rPr>
                      <m:t>rt</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01A47F66" w14:textId="77777777" w:rsidR="00F069A0" w:rsidRPr="00C0151D" w:rsidRDefault="00F069A0" w:rsidP="00303804">
            <w:pPr>
              <w:jc w:val="both"/>
              <w:rPr>
                <w:rFonts w:eastAsiaTheme="minorEastAsia"/>
                <w:color w:val="000000" w:themeColor="text1"/>
                <w:sz w:val="20"/>
                <w:szCs w:val="20"/>
              </w:rPr>
            </w:pPr>
            <w:r w:rsidRPr="00C0151D">
              <w:rPr>
                <w:rFonts w:eastAsiaTheme="minorEastAsia"/>
                <w:color w:val="000000" w:themeColor="text1"/>
                <w:sz w:val="20"/>
                <w:szCs w:val="20"/>
              </w:rPr>
              <w:t xml:space="preserve">HIV prevalence at time period t </w:t>
            </w:r>
            <w:r>
              <w:rPr>
                <w:rFonts w:eastAsiaTheme="minorEastAsia"/>
                <w:color w:val="000000" w:themeColor="text1"/>
                <w:sz w:val="20"/>
                <w:szCs w:val="20"/>
              </w:rPr>
              <w:t>for</w:t>
            </w:r>
            <w:r w:rsidRPr="00C0151D">
              <w:rPr>
                <w:rFonts w:eastAsiaTheme="minorEastAsia"/>
                <w:color w:val="000000" w:themeColor="text1"/>
                <w:sz w:val="20"/>
                <w:szCs w:val="20"/>
              </w:rPr>
              <w:t xml:space="preserve"> </w:t>
            </w:r>
            <w:r>
              <w:rPr>
                <w:rFonts w:eastAsiaTheme="minorEastAsia"/>
                <w:color w:val="000000" w:themeColor="text1"/>
                <w:sz w:val="20"/>
                <w:szCs w:val="20"/>
              </w:rPr>
              <w:t>sub-population</w:t>
            </w:r>
            <w:r w:rsidRPr="00C0151D">
              <w:rPr>
                <w:rFonts w:eastAsiaTheme="minorEastAsia"/>
                <w:color w:val="000000" w:themeColor="text1"/>
                <w:sz w:val="20"/>
                <w:szCs w:val="20"/>
              </w:rPr>
              <w:t xml:space="preserve"> </w:t>
            </w:r>
            <w:r w:rsidRPr="00C0151D">
              <w:rPr>
                <w:rFonts w:eastAsiaTheme="minorEastAsia"/>
                <w:i/>
                <w:color w:val="000000" w:themeColor="text1"/>
                <w:sz w:val="20"/>
                <w:szCs w:val="20"/>
              </w:rPr>
              <w:t>r</w:t>
            </w:r>
          </w:p>
        </w:tc>
        <w:tc>
          <w:tcPr>
            <w:tcW w:w="863" w:type="pct"/>
            <w:tcBorders>
              <w:top w:val="single" w:sz="4" w:space="0" w:color="auto"/>
              <w:left w:val="single" w:sz="4" w:space="0" w:color="auto"/>
              <w:bottom w:val="single" w:sz="4" w:space="0" w:color="auto"/>
              <w:right w:val="single" w:sz="4" w:space="0" w:color="auto"/>
            </w:tcBorders>
          </w:tcPr>
          <w:p w14:paraId="39AFD4BA" w14:textId="1FE6DF9B" w:rsidR="00F069A0" w:rsidRPr="00C0151D" w:rsidRDefault="00F069A0" w:rsidP="00F069A0">
            <w:pPr>
              <w:jc w:val="center"/>
              <w:rPr>
                <w:rFonts w:eastAsiaTheme="minorEastAsia"/>
                <w:color w:val="000000" w:themeColor="text1"/>
                <w:sz w:val="20"/>
                <w:szCs w:val="20"/>
              </w:rPr>
            </w:pPr>
            <w:r>
              <w:rPr>
                <w:rFonts w:eastAsiaTheme="minorEastAsia"/>
                <w:color w:val="000000" w:themeColor="text1"/>
                <w:sz w:val="20"/>
                <w:szCs w:val="20"/>
              </w:rPr>
              <w:t>DHS (2005); Estimated</w:t>
            </w:r>
          </w:p>
        </w:tc>
      </w:tr>
      <w:tr w:rsidR="00F069A0" w:rsidRPr="00B62492" w14:paraId="7897F352" w14:textId="2980AA61" w:rsidTr="00874C48">
        <w:tc>
          <w:tcPr>
            <w:tcW w:w="556" w:type="pct"/>
            <w:tcBorders>
              <w:top w:val="single" w:sz="4" w:space="0" w:color="auto"/>
              <w:left w:val="single" w:sz="4" w:space="0" w:color="auto"/>
              <w:bottom w:val="single" w:sz="4" w:space="0" w:color="auto"/>
              <w:right w:val="single" w:sz="4" w:space="0" w:color="auto"/>
            </w:tcBorders>
            <w:hideMark/>
          </w:tcPr>
          <w:p w14:paraId="15D87607" w14:textId="77777777" w:rsidR="00F069A0" w:rsidRPr="00C0151D" w:rsidRDefault="00000000" w:rsidP="00303804">
            <w:pPr>
              <w:jc w:val="both"/>
              <w:rPr>
                <w:rFonts w:eastAsia="Calibri"/>
                <w:color w:val="000000" w:themeColor="text1"/>
                <w:sz w:val="20"/>
                <w:szCs w:val="20"/>
              </w:rPr>
            </w:pPr>
            <m:oMathPara>
              <m:oMathParaPr>
                <m:jc m:val="left"/>
              </m:oMathParaPr>
              <m:oMath>
                <m:sSub>
                  <m:sSubPr>
                    <m:ctrlPr>
                      <w:rPr>
                        <w:rFonts w:ascii="Cambria Math" w:eastAsia="Calibri" w:hAnsi="Cambria Math"/>
                        <w:i/>
                        <w:color w:val="000000" w:themeColor="text1"/>
                        <w:sz w:val="20"/>
                        <w:szCs w:val="20"/>
                      </w:rPr>
                    </m:ctrlPr>
                  </m:sSubPr>
                  <m:e>
                    <m:r>
                      <w:rPr>
                        <w:rFonts w:ascii="Cambria Math" w:eastAsia="Calibri" w:hAnsi="Cambria Math"/>
                        <w:color w:val="000000" w:themeColor="text1"/>
                        <w:sz w:val="20"/>
                        <w:szCs w:val="20"/>
                      </w:rPr>
                      <m:t>ω</m:t>
                    </m:r>
                  </m:e>
                  <m:sub>
                    <m:r>
                      <w:rPr>
                        <w:rFonts w:ascii="Cambria Math" w:eastAsia="Calibri" w:hAnsi="Cambria Math"/>
                        <w:color w:val="000000" w:themeColor="text1"/>
                        <w:sz w:val="20"/>
                        <w:szCs w:val="20"/>
                      </w:rPr>
                      <m:t>r</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2C34972A" w14:textId="77777777" w:rsidR="00F069A0" w:rsidRPr="00C0151D" w:rsidRDefault="00F069A0" w:rsidP="00303804">
            <w:pPr>
              <w:pStyle w:val="BodyText"/>
              <w:spacing w:before="0" w:after="0"/>
              <w:jc w:val="both"/>
              <w:rPr>
                <w:color w:val="000000" w:themeColor="text1"/>
                <w:sz w:val="20"/>
                <w:szCs w:val="20"/>
              </w:rPr>
            </w:pPr>
            <w:r w:rsidRPr="00C0151D">
              <w:rPr>
                <w:color w:val="000000" w:themeColor="text1"/>
                <w:sz w:val="20"/>
                <w:szCs w:val="20"/>
              </w:rPr>
              <w:t xml:space="preserve">Multiplier applied for condom use </w:t>
            </w:r>
            <w:r>
              <w:rPr>
                <w:rFonts w:eastAsiaTheme="minorEastAsia"/>
                <w:color w:val="000000" w:themeColor="text1"/>
                <w:sz w:val="20"/>
                <w:szCs w:val="20"/>
              </w:rPr>
              <w:t>for</w:t>
            </w:r>
            <w:r w:rsidRPr="00C0151D">
              <w:rPr>
                <w:rFonts w:eastAsiaTheme="minorEastAsia"/>
                <w:color w:val="000000" w:themeColor="text1"/>
                <w:sz w:val="20"/>
                <w:szCs w:val="20"/>
              </w:rPr>
              <w:t xml:space="preserve"> </w:t>
            </w:r>
            <w:r>
              <w:rPr>
                <w:rFonts w:eastAsiaTheme="minorEastAsia"/>
                <w:color w:val="000000" w:themeColor="text1"/>
                <w:sz w:val="20"/>
                <w:szCs w:val="20"/>
              </w:rPr>
              <w:t>sub-population</w:t>
            </w:r>
            <w:r w:rsidRPr="00C0151D">
              <w:rPr>
                <w:rFonts w:eastAsiaTheme="minorEastAsia"/>
                <w:color w:val="000000" w:themeColor="text1"/>
                <w:sz w:val="20"/>
                <w:szCs w:val="20"/>
              </w:rPr>
              <w:t xml:space="preserve"> </w:t>
            </w:r>
            <w:r w:rsidRPr="00DB1DEE">
              <w:rPr>
                <w:rFonts w:eastAsiaTheme="minorEastAsia"/>
                <w:i/>
                <w:color w:val="000000" w:themeColor="text1"/>
                <w:sz w:val="20"/>
                <w:szCs w:val="20"/>
              </w:rPr>
              <w:t>r</w:t>
            </w:r>
          </w:p>
        </w:tc>
        <w:tc>
          <w:tcPr>
            <w:tcW w:w="863" w:type="pct"/>
            <w:tcBorders>
              <w:top w:val="single" w:sz="4" w:space="0" w:color="auto"/>
              <w:left w:val="single" w:sz="4" w:space="0" w:color="auto"/>
              <w:bottom w:val="single" w:sz="4" w:space="0" w:color="auto"/>
              <w:right w:val="single" w:sz="4" w:space="0" w:color="auto"/>
            </w:tcBorders>
          </w:tcPr>
          <w:p w14:paraId="481517AA" w14:textId="476EA24D" w:rsidR="00F069A0" w:rsidRPr="00C0151D" w:rsidRDefault="00F069A0" w:rsidP="00F069A0">
            <w:pPr>
              <w:pStyle w:val="BodyText"/>
              <w:spacing w:before="0" w:after="0"/>
              <w:jc w:val="center"/>
              <w:rPr>
                <w:color w:val="000000" w:themeColor="text1"/>
                <w:sz w:val="20"/>
                <w:szCs w:val="20"/>
              </w:rPr>
            </w:pPr>
            <w:r>
              <w:rPr>
                <w:color w:val="000000" w:themeColor="text1"/>
                <w:sz w:val="20"/>
                <w:szCs w:val="20"/>
              </w:rPr>
              <w:t>Calculated</w:t>
            </w:r>
          </w:p>
        </w:tc>
      </w:tr>
      <w:tr w:rsidR="00F069A0" w:rsidRPr="00B62492" w14:paraId="3F81C987" w14:textId="6C39B916" w:rsidTr="00874C48">
        <w:tc>
          <w:tcPr>
            <w:tcW w:w="556" w:type="pct"/>
            <w:tcBorders>
              <w:top w:val="single" w:sz="4" w:space="0" w:color="auto"/>
              <w:left w:val="single" w:sz="4" w:space="0" w:color="auto"/>
              <w:bottom w:val="single" w:sz="4" w:space="0" w:color="auto"/>
              <w:right w:val="single" w:sz="4" w:space="0" w:color="auto"/>
            </w:tcBorders>
            <w:hideMark/>
          </w:tcPr>
          <w:p w14:paraId="785E76CD" w14:textId="77777777" w:rsidR="00F069A0" w:rsidRPr="00C0151D" w:rsidRDefault="00F069A0" w:rsidP="00303804">
            <w:pPr>
              <w:jc w:val="both"/>
              <w:rPr>
                <w:rFonts w:eastAsia="Calibri"/>
                <w:color w:val="000000" w:themeColor="text1"/>
                <w:sz w:val="20"/>
                <w:szCs w:val="20"/>
              </w:rPr>
            </w:pPr>
            <m:oMathPara>
              <m:oMathParaPr>
                <m:jc m:val="left"/>
              </m:oMathParaPr>
              <m:oMath>
                <m:r>
                  <w:rPr>
                    <w:rFonts w:ascii="Cambria Math" w:eastAsia="Calibri" w:hAnsi="Cambria Math"/>
                    <w:color w:val="000000" w:themeColor="text1"/>
                    <w:sz w:val="20"/>
                    <w:szCs w:val="20"/>
                  </w:rPr>
                  <m:t>κ</m:t>
                </m:r>
              </m:oMath>
            </m:oMathPara>
          </w:p>
        </w:tc>
        <w:tc>
          <w:tcPr>
            <w:tcW w:w="3581" w:type="pct"/>
            <w:tcBorders>
              <w:top w:val="single" w:sz="4" w:space="0" w:color="auto"/>
              <w:left w:val="single" w:sz="4" w:space="0" w:color="auto"/>
              <w:bottom w:val="single" w:sz="4" w:space="0" w:color="auto"/>
              <w:right w:val="single" w:sz="4" w:space="0" w:color="auto"/>
            </w:tcBorders>
            <w:hideMark/>
          </w:tcPr>
          <w:p w14:paraId="5B008F2E" w14:textId="77777777" w:rsidR="00F069A0" w:rsidRPr="00C0151D" w:rsidRDefault="00F069A0" w:rsidP="00303804">
            <w:pPr>
              <w:pStyle w:val="BodyText"/>
              <w:spacing w:before="0" w:after="0"/>
              <w:jc w:val="both"/>
              <w:rPr>
                <w:color w:val="000000" w:themeColor="text1"/>
                <w:sz w:val="20"/>
                <w:szCs w:val="20"/>
              </w:rPr>
            </w:pPr>
            <w:r w:rsidRPr="00C0151D">
              <w:rPr>
                <w:color w:val="000000" w:themeColor="text1"/>
                <w:sz w:val="20"/>
                <w:szCs w:val="20"/>
              </w:rPr>
              <w:t>Multiplier applied for viral suppressed individuals</w:t>
            </w:r>
          </w:p>
        </w:tc>
        <w:tc>
          <w:tcPr>
            <w:tcW w:w="863" w:type="pct"/>
            <w:tcBorders>
              <w:top w:val="single" w:sz="4" w:space="0" w:color="auto"/>
              <w:left w:val="single" w:sz="4" w:space="0" w:color="auto"/>
              <w:bottom w:val="single" w:sz="4" w:space="0" w:color="auto"/>
              <w:right w:val="single" w:sz="4" w:space="0" w:color="auto"/>
            </w:tcBorders>
          </w:tcPr>
          <w:p w14:paraId="7D7E6325" w14:textId="30A044B7" w:rsidR="00F069A0" w:rsidRPr="00C0151D" w:rsidRDefault="00F069A0" w:rsidP="00F069A0">
            <w:pPr>
              <w:pStyle w:val="BodyText"/>
              <w:spacing w:before="0" w:after="0"/>
              <w:jc w:val="center"/>
              <w:rPr>
                <w:color w:val="000000" w:themeColor="text1"/>
                <w:sz w:val="20"/>
                <w:szCs w:val="20"/>
              </w:rPr>
            </w:pPr>
            <w:r>
              <w:rPr>
                <w:color w:val="000000" w:themeColor="text1"/>
                <w:sz w:val="20"/>
                <w:szCs w:val="20"/>
              </w:rPr>
              <w:t>Calculated</w:t>
            </w:r>
          </w:p>
        </w:tc>
      </w:tr>
      <w:tr w:rsidR="00F069A0" w:rsidRPr="00B62492" w14:paraId="79071C50" w14:textId="74AE80D8" w:rsidTr="00874C48">
        <w:tc>
          <w:tcPr>
            <w:tcW w:w="4137" w:type="pct"/>
            <w:gridSpan w:val="2"/>
            <w:tcBorders>
              <w:top w:val="single" w:sz="4" w:space="0" w:color="auto"/>
              <w:left w:val="single" w:sz="4" w:space="0" w:color="auto"/>
              <w:bottom w:val="single" w:sz="4" w:space="0" w:color="auto"/>
              <w:right w:val="single" w:sz="4" w:space="0" w:color="auto"/>
            </w:tcBorders>
            <w:hideMark/>
          </w:tcPr>
          <w:p w14:paraId="03F56A99" w14:textId="42104B77" w:rsidR="00F069A0" w:rsidRPr="00073A6F" w:rsidRDefault="00F069A0" w:rsidP="00303804">
            <w:pPr>
              <w:pStyle w:val="BodyText"/>
              <w:spacing w:before="0" w:after="0"/>
              <w:jc w:val="both"/>
              <w:rPr>
                <w:rFonts w:eastAsiaTheme="minorEastAsia"/>
                <w:b/>
                <w:color w:val="000000" w:themeColor="text1"/>
                <w:sz w:val="20"/>
                <w:szCs w:val="20"/>
              </w:rPr>
            </w:pPr>
            <w:r w:rsidRPr="00073A6F">
              <w:rPr>
                <w:b/>
                <w:color w:val="000000" w:themeColor="text1"/>
                <w:sz w:val="20"/>
                <w:szCs w:val="20"/>
              </w:rPr>
              <w:t>Parameter</w:t>
            </w:r>
            <w:r>
              <w:rPr>
                <w:b/>
                <w:color w:val="000000" w:themeColor="text1"/>
                <w:sz w:val="20"/>
                <w:szCs w:val="20"/>
              </w:rPr>
              <w:t xml:space="preserve">s (transition </w:t>
            </w:r>
            <w:proofErr w:type="gramStart"/>
            <w:r>
              <w:rPr>
                <w:b/>
                <w:color w:val="000000" w:themeColor="text1"/>
                <w:sz w:val="20"/>
                <w:szCs w:val="20"/>
              </w:rPr>
              <w:t>probabilities)†</w:t>
            </w:r>
            <w:proofErr w:type="gramEnd"/>
          </w:p>
        </w:tc>
        <w:tc>
          <w:tcPr>
            <w:tcW w:w="863" w:type="pct"/>
            <w:tcBorders>
              <w:top w:val="single" w:sz="4" w:space="0" w:color="auto"/>
              <w:left w:val="single" w:sz="4" w:space="0" w:color="auto"/>
              <w:bottom w:val="single" w:sz="4" w:space="0" w:color="auto"/>
              <w:right w:val="single" w:sz="4" w:space="0" w:color="auto"/>
            </w:tcBorders>
          </w:tcPr>
          <w:p w14:paraId="6591C8CA" w14:textId="77777777" w:rsidR="00F069A0" w:rsidRPr="00073A6F" w:rsidRDefault="00F069A0" w:rsidP="00F069A0">
            <w:pPr>
              <w:pStyle w:val="BodyText"/>
              <w:spacing w:before="0" w:after="0"/>
              <w:jc w:val="center"/>
              <w:rPr>
                <w:b/>
                <w:color w:val="000000" w:themeColor="text1"/>
                <w:sz w:val="20"/>
                <w:szCs w:val="20"/>
              </w:rPr>
            </w:pPr>
          </w:p>
        </w:tc>
      </w:tr>
      <w:tr w:rsidR="00F069A0" w:rsidRPr="00B62492" w14:paraId="373D70A5" w14:textId="24D0E3FF" w:rsidTr="00874C48">
        <w:tc>
          <w:tcPr>
            <w:tcW w:w="556" w:type="pct"/>
            <w:tcBorders>
              <w:top w:val="single" w:sz="4" w:space="0" w:color="auto"/>
              <w:left w:val="single" w:sz="4" w:space="0" w:color="auto"/>
              <w:bottom w:val="single" w:sz="4" w:space="0" w:color="auto"/>
              <w:right w:val="single" w:sz="4" w:space="0" w:color="auto"/>
            </w:tcBorders>
            <w:hideMark/>
          </w:tcPr>
          <w:p w14:paraId="20D613C3" w14:textId="77777777" w:rsidR="00F069A0" w:rsidRPr="00073A6F" w:rsidRDefault="00000000" w:rsidP="00303804">
            <w:pPr>
              <w:jc w:val="both"/>
              <w:rPr>
                <w:rFonts w:eastAsiaTheme="minorEastAsia"/>
                <w:color w:val="000000" w:themeColor="text1"/>
                <w:sz w:val="20"/>
                <w:szCs w:val="20"/>
              </w:rPr>
            </w:pPr>
            <m:oMathPara>
              <m:oMathParaPr>
                <m:jc m:val="left"/>
              </m:oMathParaP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λ</m:t>
                    </m:r>
                  </m:e>
                  <m:sub>
                    <m:r>
                      <w:rPr>
                        <w:rFonts w:ascii="Cambria Math" w:hAnsi="Cambria Math"/>
                        <w:color w:val="000000" w:themeColor="text1"/>
                        <w:sz w:val="20"/>
                        <w:szCs w:val="20"/>
                      </w:rPr>
                      <m:t>tr</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4FC0EC7E" w14:textId="77777777" w:rsidR="00F069A0" w:rsidRPr="00073A6F" w:rsidRDefault="00F069A0" w:rsidP="00303804">
            <w:pPr>
              <w:jc w:val="both"/>
              <w:rPr>
                <w:color w:val="000000" w:themeColor="text1"/>
                <w:sz w:val="20"/>
                <w:szCs w:val="20"/>
              </w:rPr>
            </w:pPr>
            <w:r w:rsidRPr="00073A6F">
              <w:rPr>
                <w:color w:val="000000" w:themeColor="text1"/>
                <w:sz w:val="20"/>
                <w:szCs w:val="20"/>
              </w:rPr>
              <w:t xml:space="preserve">Force of infection </w:t>
            </w:r>
            <w:r w:rsidRPr="00073A6F">
              <w:rPr>
                <w:rFonts w:eastAsiaTheme="minorEastAsia"/>
                <w:color w:val="000000" w:themeColor="text1"/>
                <w:sz w:val="20"/>
                <w:szCs w:val="20"/>
              </w:rPr>
              <w:t>in sub-</w:t>
            </w:r>
            <w:r>
              <w:rPr>
                <w:rFonts w:eastAsiaTheme="minorEastAsia"/>
                <w:color w:val="000000" w:themeColor="text1"/>
                <w:sz w:val="20"/>
                <w:szCs w:val="20"/>
              </w:rPr>
              <w:t>population</w:t>
            </w:r>
            <w:r w:rsidRPr="00073A6F">
              <w:rPr>
                <w:rFonts w:eastAsiaTheme="minorEastAsia"/>
                <w:color w:val="000000" w:themeColor="text1"/>
                <w:sz w:val="20"/>
                <w:szCs w:val="20"/>
              </w:rPr>
              <w:t xml:space="preserve"> </w:t>
            </w:r>
            <m:oMath>
              <m:r>
                <w:rPr>
                  <w:rFonts w:ascii="Cambria Math" w:eastAsiaTheme="minorEastAsia" w:hAnsi="Cambria Math"/>
                  <w:color w:val="000000" w:themeColor="text1"/>
                  <w:sz w:val="20"/>
                  <w:szCs w:val="20"/>
                </w:rPr>
                <m:t>r</m:t>
              </m:r>
            </m:oMath>
            <w:r w:rsidRPr="00073A6F">
              <w:rPr>
                <w:rFonts w:eastAsiaTheme="minorEastAsia"/>
                <w:color w:val="000000" w:themeColor="text1"/>
                <w:sz w:val="20"/>
                <w:szCs w:val="20"/>
              </w:rPr>
              <w:t xml:space="preserve"> </w:t>
            </w:r>
            <w:r w:rsidRPr="00073A6F">
              <w:rPr>
                <w:color w:val="000000" w:themeColor="text1"/>
                <w:sz w:val="20"/>
                <w:szCs w:val="20"/>
              </w:rPr>
              <w:t xml:space="preserve">at time </w:t>
            </w:r>
            <m:oMath>
              <m:r>
                <w:rPr>
                  <w:rFonts w:ascii="Cambria Math" w:hAnsi="Cambria Math"/>
                  <w:color w:val="000000" w:themeColor="text1"/>
                  <w:sz w:val="20"/>
                  <w:szCs w:val="20"/>
                </w:rPr>
                <m:t>t</m:t>
              </m:r>
            </m:oMath>
          </w:p>
        </w:tc>
        <w:tc>
          <w:tcPr>
            <w:tcW w:w="863" w:type="pct"/>
            <w:tcBorders>
              <w:top w:val="single" w:sz="4" w:space="0" w:color="auto"/>
              <w:left w:val="single" w:sz="4" w:space="0" w:color="auto"/>
              <w:bottom w:val="single" w:sz="4" w:space="0" w:color="auto"/>
              <w:right w:val="single" w:sz="4" w:space="0" w:color="auto"/>
            </w:tcBorders>
          </w:tcPr>
          <w:p w14:paraId="7CC775B7" w14:textId="5C008951" w:rsidR="00F069A0" w:rsidRPr="00073A6F" w:rsidRDefault="00F069A0" w:rsidP="00874C48">
            <w:pPr>
              <w:jc w:val="center"/>
              <w:rPr>
                <w:color w:val="000000" w:themeColor="text1"/>
                <w:sz w:val="20"/>
                <w:szCs w:val="20"/>
              </w:rPr>
            </w:pPr>
            <w:r>
              <w:rPr>
                <w:color w:val="000000" w:themeColor="text1"/>
                <w:sz w:val="20"/>
                <w:szCs w:val="20"/>
              </w:rPr>
              <w:t>Calculated</w:t>
            </w:r>
          </w:p>
        </w:tc>
      </w:tr>
      <w:tr w:rsidR="00F069A0" w:rsidRPr="00B62492" w14:paraId="2F8116D0" w14:textId="0AFBE3A5" w:rsidTr="00874C48">
        <w:tc>
          <w:tcPr>
            <w:tcW w:w="556" w:type="pct"/>
            <w:tcBorders>
              <w:top w:val="single" w:sz="4" w:space="0" w:color="auto"/>
              <w:left w:val="single" w:sz="4" w:space="0" w:color="auto"/>
              <w:bottom w:val="single" w:sz="4" w:space="0" w:color="auto"/>
              <w:right w:val="single" w:sz="4" w:space="0" w:color="auto"/>
            </w:tcBorders>
            <w:hideMark/>
          </w:tcPr>
          <w:p w14:paraId="4B173FBC" w14:textId="77777777" w:rsidR="00F069A0" w:rsidRPr="00073A6F" w:rsidRDefault="00000000" w:rsidP="00303804">
            <w:pPr>
              <w:jc w:val="both"/>
              <w:rPr>
                <w:rFonts w:eastAsia="Calibri"/>
                <w:color w:val="000000" w:themeColor="text1"/>
                <w:sz w:val="20"/>
                <w:szCs w:val="20"/>
              </w:rPr>
            </w:pPr>
            <m:oMathPara>
              <m:oMathParaPr>
                <m:jc m:val="left"/>
              </m:oMathParaPr>
              <m:oMath>
                <m:sSub>
                  <m:sSubPr>
                    <m:ctrlPr>
                      <w:rPr>
                        <w:rFonts w:ascii="Cambria Math" w:eastAsia="Calibri" w:hAnsi="Cambria Math"/>
                        <w:i/>
                        <w:color w:val="000000" w:themeColor="text1"/>
                        <w:sz w:val="20"/>
                        <w:szCs w:val="20"/>
                      </w:rPr>
                    </m:ctrlPr>
                  </m:sSubPr>
                  <m:e>
                    <m:r>
                      <w:rPr>
                        <w:rFonts w:ascii="Cambria Math" w:eastAsia="Calibri" w:hAnsi="Cambria Math"/>
                        <w:color w:val="000000" w:themeColor="text1"/>
                        <w:sz w:val="20"/>
                        <w:szCs w:val="20"/>
                      </w:rPr>
                      <m:t>α</m:t>
                    </m:r>
                  </m:e>
                  <m:sub>
                    <m:r>
                      <w:rPr>
                        <w:rFonts w:ascii="Cambria Math" w:eastAsia="Calibri" w:hAnsi="Cambria Math"/>
                        <w:color w:val="000000" w:themeColor="text1"/>
                        <w:sz w:val="20"/>
                        <w:szCs w:val="20"/>
                      </w:rPr>
                      <m:t>it</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55F4E850" w14:textId="77777777" w:rsidR="00F069A0" w:rsidRPr="00073A6F" w:rsidRDefault="00F069A0" w:rsidP="00303804">
            <w:pPr>
              <w:jc w:val="both"/>
              <w:rPr>
                <w:color w:val="000000" w:themeColor="text1"/>
                <w:sz w:val="20"/>
                <w:szCs w:val="20"/>
              </w:rPr>
            </w:pPr>
            <w:r w:rsidRPr="00073A6F">
              <w:rPr>
                <w:rFonts w:eastAsiaTheme="minorEastAsia"/>
                <w:color w:val="000000" w:themeColor="text1"/>
                <w:sz w:val="20"/>
                <w:szCs w:val="20"/>
              </w:rPr>
              <w:t xml:space="preserve">Probability of </w:t>
            </w:r>
            <w:r>
              <w:rPr>
                <w:rFonts w:eastAsiaTheme="minorEastAsia"/>
                <w:color w:val="000000" w:themeColor="text1"/>
                <w:sz w:val="20"/>
                <w:szCs w:val="20"/>
              </w:rPr>
              <w:t xml:space="preserve">HIV </w:t>
            </w:r>
            <w:r w:rsidRPr="00073A6F">
              <w:rPr>
                <w:rFonts w:eastAsiaTheme="minorEastAsia"/>
                <w:color w:val="000000" w:themeColor="text1"/>
                <w:sz w:val="20"/>
                <w:szCs w:val="20"/>
              </w:rPr>
              <w:t>diagnos</w:t>
            </w:r>
            <w:r>
              <w:rPr>
                <w:rFonts w:eastAsiaTheme="minorEastAsia"/>
                <w:color w:val="000000" w:themeColor="text1"/>
                <w:sz w:val="20"/>
                <w:szCs w:val="20"/>
              </w:rPr>
              <w:t>is</w:t>
            </w:r>
            <w:r w:rsidRPr="00073A6F">
              <w:rPr>
                <w:rFonts w:eastAsiaTheme="minorEastAsia"/>
                <w:color w:val="000000" w:themeColor="text1"/>
                <w:sz w:val="20"/>
                <w:szCs w:val="20"/>
              </w:rPr>
              <w:t xml:space="preserve"> </w:t>
            </w:r>
            <w:r>
              <w:rPr>
                <w:rFonts w:eastAsiaTheme="minorEastAsia"/>
                <w:color w:val="000000" w:themeColor="text1"/>
                <w:sz w:val="20"/>
                <w:szCs w:val="20"/>
              </w:rPr>
              <w:t>for</w:t>
            </w:r>
            <w:r w:rsidRPr="00073A6F">
              <w:rPr>
                <w:rFonts w:eastAsiaTheme="minorEastAsia"/>
                <w:color w:val="000000" w:themeColor="text1"/>
                <w:sz w:val="20"/>
                <w:szCs w:val="20"/>
              </w:rPr>
              <w:t xml:space="preserve"> compartment </w:t>
            </w:r>
            <m:oMath>
              <m:r>
                <w:rPr>
                  <w:rFonts w:ascii="Cambria Math" w:eastAsiaTheme="minorEastAsia" w:hAnsi="Cambria Math"/>
                  <w:color w:val="000000" w:themeColor="text1"/>
                  <w:sz w:val="20"/>
                  <w:szCs w:val="20"/>
                </w:rPr>
                <m:t>i</m:t>
              </m:r>
            </m:oMath>
            <w:r w:rsidRPr="00073A6F">
              <w:rPr>
                <w:rFonts w:eastAsiaTheme="minorEastAsia"/>
                <w:color w:val="000000" w:themeColor="text1"/>
                <w:sz w:val="20"/>
                <w:szCs w:val="20"/>
              </w:rPr>
              <w:t xml:space="preserve"> at time t</w:t>
            </w:r>
          </w:p>
        </w:tc>
        <w:tc>
          <w:tcPr>
            <w:tcW w:w="863" w:type="pct"/>
            <w:tcBorders>
              <w:top w:val="single" w:sz="4" w:space="0" w:color="auto"/>
              <w:left w:val="single" w:sz="4" w:space="0" w:color="auto"/>
              <w:bottom w:val="single" w:sz="4" w:space="0" w:color="auto"/>
              <w:right w:val="single" w:sz="4" w:space="0" w:color="auto"/>
            </w:tcBorders>
          </w:tcPr>
          <w:p w14:paraId="7C58F5A6" w14:textId="48507867" w:rsidR="00F069A0" w:rsidRPr="00073A6F" w:rsidRDefault="00F069A0" w:rsidP="00874C48">
            <w:pPr>
              <w:jc w:val="center"/>
              <w:rPr>
                <w:rFonts w:eastAsiaTheme="minorEastAsia"/>
                <w:color w:val="000000" w:themeColor="text1"/>
                <w:sz w:val="20"/>
                <w:szCs w:val="20"/>
              </w:rPr>
            </w:pPr>
            <w:proofErr w:type="spellStart"/>
            <w:r>
              <w:rPr>
                <w:rFonts w:eastAsiaTheme="minorEastAsia"/>
                <w:color w:val="000000" w:themeColor="text1"/>
                <w:sz w:val="20"/>
                <w:szCs w:val="20"/>
              </w:rPr>
              <w:t>IeDEA</w:t>
            </w:r>
            <w:proofErr w:type="spellEnd"/>
          </w:p>
        </w:tc>
      </w:tr>
      <w:tr w:rsidR="00F069A0" w:rsidRPr="00B62492" w14:paraId="0C0A7837" w14:textId="7BD4D0CB" w:rsidTr="00874C48">
        <w:tc>
          <w:tcPr>
            <w:tcW w:w="556" w:type="pct"/>
            <w:tcBorders>
              <w:top w:val="single" w:sz="4" w:space="0" w:color="auto"/>
              <w:left w:val="single" w:sz="4" w:space="0" w:color="auto"/>
              <w:bottom w:val="single" w:sz="4" w:space="0" w:color="auto"/>
              <w:right w:val="single" w:sz="4" w:space="0" w:color="auto"/>
            </w:tcBorders>
            <w:hideMark/>
          </w:tcPr>
          <w:p w14:paraId="0654E390" w14:textId="77777777" w:rsidR="00F069A0" w:rsidRPr="00073A6F" w:rsidRDefault="00000000" w:rsidP="00303804">
            <w:pPr>
              <w:jc w:val="both"/>
              <w:rPr>
                <w:rFonts w:eastAsia="Calibri"/>
                <w:color w:val="000000" w:themeColor="text1"/>
                <w:sz w:val="20"/>
                <w:szCs w:val="20"/>
              </w:rPr>
            </w:pPr>
            <m:oMathPara>
              <m:oMathParaPr>
                <m:jc m:val="left"/>
              </m:oMathParaPr>
              <m:oMath>
                <m:sSub>
                  <m:sSubPr>
                    <m:ctrlPr>
                      <w:rPr>
                        <w:rFonts w:ascii="Cambria Math" w:eastAsia="Calibri" w:hAnsi="Cambria Math"/>
                        <w:i/>
                        <w:color w:val="000000" w:themeColor="text1"/>
                        <w:sz w:val="20"/>
                        <w:szCs w:val="20"/>
                      </w:rPr>
                    </m:ctrlPr>
                  </m:sSubPr>
                  <m:e>
                    <m:r>
                      <w:rPr>
                        <w:rFonts w:ascii="Cambria Math" w:eastAsia="Calibri" w:hAnsi="Cambria Math"/>
                        <w:color w:val="000000" w:themeColor="text1"/>
                        <w:sz w:val="20"/>
                        <w:szCs w:val="20"/>
                      </w:rPr>
                      <m:t>δ</m:t>
                    </m:r>
                  </m:e>
                  <m:sub>
                    <m:r>
                      <w:rPr>
                        <w:rFonts w:ascii="Cambria Math" w:eastAsia="Calibri" w:hAnsi="Cambria Math"/>
                        <w:color w:val="000000" w:themeColor="text1"/>
                        <w:sz w:val="20"/>
                        <w:szCs w:val="20"/>
                      </w:rPr>
                      <m:t>i</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01AAAF0F" w14:textId="77777777" w:rsidR="00F069A0" w:rsidRPr="00073A6F" w:rsidRDefault="00F069A0" w:rsidP="00303804">
            <w:pPr>
              <w:jc w:val="both"/>
              <w:rPr>
                <w:color w:val="000000" w:themeColor="text1"/>
                <w:sz w:val="20"/>
                <w:szCs w:val="20"/>
              </w:rPr>
            </w:pPr>
            <w:r w:rsidRPr="00073A6F">
              <w:rPr>
                <w:rFonts w:eastAsiaTheme="minorEastAsia"/>
                <w:color w:val="000000" w:themeColor="text1"/>
                <w:sz w:val="20"/>
                <w:szCs w:val="20"/>
              </w:rPr>
              <w:t xml:space="preserve">Probability of HIV disease progression </w:t>
            </w:r>
            <w:r>
              <w:rPr>
                <w:rFonts w:eastAsiaTheme="minorEastAsia"/>
                <w:color w:val="000000" w:themeColor="text1"/>
                <w:sz w:val="20"/>
                <w:szCs w:val="20"/>
              </w:rPr>
              <w:t>for</w:t>
            </w:r>
            <w:r w:rsidRPr="00073A6F">
              <w:rPr>
                <w:rFonts w:eastAsiaTheme="minorEastAsia"/>
                <w:color w:val="000000" w:themeColor="text1"/>
                <w:sz w:val="20"/>
                <w:szCs w:val="20"/>
              </w:rPr>
              <w:t xml:space="preserve"> compartment </w:t>
            </w:r>
            <m:oMath>
              <m:r>
                <w:rPr>
                  <w:rFonts w:ascii="Cambria Math" w:eastAsiaTheme="minorEastAsia" w:hAnsi="Cambria Math"/>
                  <w:color w:val="000000" w:themeColor="text1"/>
                  <w:sz w:val="20"/>
                  <w:szCs w:val="20"/>
                </w:rPr>
                <m:t>i</m:t>
              </m:r>
            </m:oMath>
          </w:p>
        </w:tc>
        <w:tc>
          <w:tcPr>
            <w:tcW w:w="863" w:type="pct"/>
            <w:tcBorders>
              <w:top w:val="single" w:sz="4" w:space="0" w:color="auto"/>
              <w:left w:val="single" w:sz="4" w:space="0" w:color="auto"/>
              <w:bottom w:val="single" w:sz="4" w:space="0" w:color="auto"/>
              <w:right w:val="single" w:sz="4" w:space="0" w:color="auto"/>
            </w:tcBorders>
          </w:tcPr>
          <w:p w14:paraId="2E5B06BD" w14:textId="07D0EA4D" w:rsidR="00F069A0" w:rsidRPr="00073A6F" w:rsidRDefault="00F069A0" w:rsidP="00874C48">
            <w:pPr>
              <w:jc w:val="center"/>
              <w:rPr>
                <w:rFonts w:eastAsiaTheme="minorEastAsia"/>
                <w:color w:val="000000" w:themeColor="text1"/>
                <w:sz w:val="20"/>
                <w:szCs w:val="20"/>
              </w:rPr>
            </w:pPr>
            <w:proofErr w:type="spellStart"/>
            <w:r>
              <w:rPr>
                <w:rFonts w:eastAsiaTheme="minorEastAsia"/>
                <w:color w:val="000000" w:themeColor="text1"/>
                <w:sz w:val="20"/>
                <w:szCs w:val="20"/>
              </w:rPr>
              <w:t>IeDEA</w:t>
            </w:r>
            <w:proofErr w:type="spellEnd"/>
          </w:p>
        </w:tc>
      </w:tr>
      <w:tr w:rsidR="00F069A0" w:rsidRPr="00B62492" w14:paraId="713EC86F" w14:textId="751E5866" w:rsidTr="00874C48">
        <w:tc>
          <w:tcPr>
            <w:tcW w:w="556" w:type="pct"/>
            <w:tcBorders>
              <w:top w:val="single" w:sz="4" w:space="0" w:color="auto"/>
              <w:left w:val="single" w:sz="4" w:space="0" w:color="auto"/>
              <w:bottom w:val="single" w:sz="4" w:space="0" w:color="auto"/>
              <w:right w:val="single" w:sz="4" w:space="0" w:color="auto"/>
            </w:tcBorders>
            <w:hideMark/>
          </w:tcPr>
          <w:p w14:paraId="08B29E71" w14:textId="77777777" w:rsidR="00F069A0" w:rsidRPr="00073A6F" w:rsidRDefault="00000000" w:rsidP="00303804">
            <w:pPr>
              <w:jc w:val="both"/>
              <w:rPr>
                <w:rFonts w:eastAsia="Calibri"/>
                <w:color w:val="000000" w:themeColor="text1"/>
                <w:sz w:val="20"/>
                <w:szCs w:val="20"/>
              </w:rPr>
            </w:pPr>
            <m:oMathPara>
              <m:oMathParaPr>
                <m:jc m:val="left"/>
              </m:oMathParaPr>
              <m:oMath>
                <m:sSub>
                  <m:sSubPr>
                    <m:ctrlPr>
                      <w:rPr>
                        <w:rFonts w:ascii="Cambria Math" w:eastAsia="Calibri" w:hAnsi="Cambria Math"/>
                        <w:i/>
                        <w:color w:val="000000" w:themeColor="text1"/>
                        <w:sz w:val="20"/>
                        <w:szCs w:val="20"/>
                      </w:rPr>
                    </m:ctrlPr>
                  </m:sSubPr>
                  <m:e>
                    <m:r>
                      <w:rPr>
                        <w:rFonts w:ascii="Cambria Math" w:eastAsia="Calibri" w:hAnsi="Cambria Math"/>
                        <w:color w:val="000000" w:themeColor="text1"/>
                        <w:sz w:val="20"/>
                        <w:szCs w:val="20"/>
                      </w:rPr>
                      <m:t>μ</m:t>
                    </m:r>
                  </m:e>
                  <m:sub>
                    <m:r>
                      <w:rPr>
                        <w:rFonts w:ascii="Cambria Math" w:eastAsia="Calibri" w:hAnsi="Cambria Math"/>
                        <w:color w:val="000000" w:themeColor="text1"/>
                        <w:sz w:val="20"/>
                        <w:szCs w:val="20"/>
                      </w:rPr>
                      <m:t>i</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477511F5" w14:textId="77777777" w:rsidR="00F069A0" w:rsidRPr="00073A6F" w:rsidRDefault="00F069A0" w:rsidP="00303804">
            <w:pPr>
              <w:jc w:val="both"/>
              <w:rPr>
                <w:color w:val="000000" w:themeColor="text1"/>
                <w:sz w:val="20"/>
                <w:szCs w:val="20"/>
              </w:rPr>
            </w:pPr>
            <w:r w:rsidRPr="00073A6F">
              <w:rPr>
                <w:rFonts w:eastAsiaTheme="minorEastAsia"/>
                <w:color w:val="000000" w:themeColor="text1"/>
                <w:sz w:val="20"/>
                <w:szCs w:val="20"/>
              </w:rPr>
              <w:t xml:space="preserve">Probability of death </w:t>
            </w:r>
            <w:r>
              <w:rPr>
                <w:rFonts w:eastAsiaTheme="minorEastAsia"/>
                <w:color w:val="000000" w:themeColor="text1"/>
                <w:sz w:val="20"/>
                <w:szCs w:val="20"/>
              </w:rPr>
              <w:t>for</w:t>
            </w:r>
            <w:r w:rsidRPr="00073A6F">
              <w:rPr>
                <w:rFonts w:eastAsiaTheme="minorEastAsia"/>
                <w:color w:val="000000" w:themeColor="text1"/>
                <w:sz w:val="20"/>
                <w:szCs w:val="20"/>
              </w:rPr>
              <w:t xml:space="preserve"> compartment </w:t>
            </w:r>
            <m:oMath>
              <m:r>
                <w:rPr>
                  <w:rFonts w:ascii="Cambria Math" w:eastAsiaTheme="minorEastAsia" w:hAnsi="Cambria Math"/>
                  <w:color w:val="000000" w:themeColor="text1"/>
                  <w:sz w:val="20"/>
                  <w:szCs w:val="20"/>
                </w:rPr>
                <m:t>i</m:t>
              </m:r>
            </m:oMath>
          </w:p>
        </w:tc>
        <w:tc>
          <w:tcPr>
            <w:tcW w:w="863" w:type="pct"/>
            <w:tcBorders>
              <w:top w:val="single" w:sz="4" w:space="0" w:color="auto"/>
              <w:left w:val="single" w:sz="4" w:space="0" w:color="auto"/>
              <w:bottom w:val="single" w:sz="4" w:space="0" w:color="auto"/>
              <w:right w:val="single" w:sz="4" w:space="0" w:color="auto"/>
            </w:tcBorders>
          </w:tcPr>
          <w:p w14:paraId="283235CB" w14:textId="6C28F839" w:rsidR="00F069A0" w:rsidRPr="00073A6F" w:rsidRDefault="00F069A0" w:rsidP="00874C48">
            <w:pPr>
              <w:jc w:val="center"/>
              <w:rPr>
                <w:rFonts w:eastAsiaTheme="minorEastAsia"/>
                <w:color w:val="000000" w:themeColor="text1"/>
                <w:sz w:val="20"/>
                <w:szCs w:val="20"/>
              </w:rPr>
            </w:pPr>
            <w:proofErr w:type="spellStart"/>
            <w:r>
              <w:rPr>
                <w:rFonts w:eastAsiaTheme="minorEastAsia"/>
                <w:color w:val="000000" w:themeColor="text1"/>
                <w:sz w:val="20"/>
                <w:szCs w:val="20"/>
              </w:rPr>
              <w:t>IeDEA</w:t>
            </w:r>
            <w:proofErr w:type="spellEnd"/>
          </w:p>
        </w:tc>
      </w:tr>
      <w:tr w:rsidR="00F069A0" w:rsidRPr="00B62492" w14:paraId="79D30876" w14:textId="29468696" w:rsidTr="00874C48">
        <w:tc>
          <w:tcPr>
            <w:tcW w:w="556" w:type="pct"/>
            <w:tcBorders>
              <w:top w:val="single" w:sz="4" w:space="0" w:color="auto"/>
              <w:left w:val="single" w:sz="4" w:space="0" w:color="auto"/>
              <w:bottom w:val="single" w:sz="4" w:space="0" w:color="auto"/>
              <w:right w:val="single" w:sz="4" w:space="0" w:color="auto"/>
            </w:tcBorders>
            <w:hideMark/>
          </w:tcPr>
          <w:p w14:paraId="109C3ADF" w14:textId="77777777" w:rsidR="00F069A0" w:rsidRPr="00073A6F" w:rsidRDefault="00000000" w:rsidP="00F069A0">
            <w:pPr>
              <w:jc w:val="both"/>
              <w:rPr>
                <w:rFonts w:eastAsia="Calibri"/>
                <w:color w:val="000000" w:themeColor="text1"/>
                <w:sz w:val="20"/>
                <w:szCs w:val="20"/>
              </w:rPr>
            </w:pPr>
            <m:oMathPara>
              <m:oMathParaPr>
                <m:jc m:val="left"/>
              </m:oMathParaPr>
              <m:oMath>
                <m:sSub>
                  <m:sSubPr>
                    <m:ctrlPr>
                      <w:rPr>
                        <w:rFonts w:ascii="Cambria Math" w:eastAsia="Calibri" w:hAnsi="Cambria Math"/>
                        <w:i/>
                        <w:color w:val="000000" w:themeColor="text1"/>
                        <w:sz w:val="20"/>
                        <w:szCs w:val="20"/>
                      </w:rPr>
                    </m:ctrlPr>
                  </m:sSubPr>
                  <m:e>
                    <m:r>
                      <w:rPr>
                        <w:rFonts w:ascii="Cambria Math" w:eastAsia="Calibri" w:hAnsi="Cambria Math"/>
                        <w:color w:val="000000" w:themeColor="text1"/>
                        <w:sz w:val="20"/>
                        <w:szCs w:val="20"/>
                      </w:rPr>
                      <m:t>σ</m:t>
                    </m:r>
                  </m:e>
                  <m:sub>
                    <m:r>
                      <w:rPr>
                        <w:rFonts w:ascii="Cambria Math" w:eastAsia="Calibri" w:hAnsi="Cambria Math"/>
                        <w:color w:val="000000" w:themeColor="text1"/>
                        <w:sz w:val="20"/>
                        <w:szCs w:val="20"/>
                      </w:rPr>
                      <m:t>i</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548B29E5" w14:textId="77777777" w:rsidR="00F069A0" w:rsidRPr="00073A6F" w:rsidRDefault="00F069A0" w:rsidP="00F069A0">
            <w:pPr>
              <w:jc w:val="both"/>
              <w:rPr>
                <w:color w:val="000000" w:themeColor="text1"/>
                <w:sz w:val="20"/>
                <w:szCs w:val="20"/>
              </w:rPr>
            </w:pPr>
            <w:r w:rsidRPr="00073A6F">
              <w:rPr>
                <w:rFonts w:eastAsiaTheme="minorEastAsia"/>
                <w:color w:val="000000" w:themeColor="text1"/>
                <w:sz w:val="20"/>
                <w:szCs w:val="20"/>
              </w:rPr>
              <w:t>Probability</w:t>
            </w:r>
            <w:r w:rsidRPr="00073A6F">
              <w:rPr>
                <w:color w:val="000000" w:themeColor="text1"/>
                <w:sz w:val="20"/>
                <w:szCs w:val="20"/>
              </w:rPr>
              <w:t xml:space="preserve"> of linkage to care</w:t>
            </w:r>
            <w:r w:rsidRPr="00073A6F">
              <w:rPr>
                <w:rFonts w:eastAsiaTheme="minorEastAsia"/>
                <w:color w:val="000000" w:themeColor="text1"/>
                <w:sz w:val="20"/>
                <w:szCs w:val="20"/>
              </w:rPr>
              <w:t xml:space="preserve"> </w:t>
            </w:r>
            <w:r>
              <w:rPr>
                <w:rFonts w:eastAsiaTheme="minorEastAsia"/>
                <w:color w:val="000000" w:themeColor="text1"/>
                <w:sz w:val="20"/>
                <w:szCs w:val="20"/>
              </w:rPr>
              <w:t>for</w:t>
            </w:r>
            <w:r w:rsidRPr="00073A6F">
              <w:rPr>
                <w:rFonts w:eastAsiaTheme="minorEastAsia"/>
                <w:color w:val="000000" w:themeColor="text1"/>
                <w:sz w:val="20"/>
                <w:szCs w:val="20"/>
              </w:rPr>
              <w:t xml:space="preserve"> compartment </w:t>
            </w:r>
            <m:oMath>
              <m:r>
                <w:rPr>
                  <w:rFonts w:ascii="Cambria Math" w:eastAsiaTheme="minorEastAsia" w:hAnsi="Cambria Math"/>
                  <w:color w:val="000000" w:themeColor="text1"/>
                  <w:sz w:val="20"/>
                  <w:szCs w:val="20"/>
                </w:rPr>
                <m:t>i</m:t>
              </m:r>
            </m:oMath>
          </w:p>
        </w:tc>
        <w:tc>
          <w:tcPr>
            <w:tcW w:w="863" w:type="pct"/>
            <w:tcBorders>
              <w:top w:val="single" w:sz="4" w:space="0" w:color="auto"/>
              <w:left w:val="single" w:sz="4" w:space="0" w:color="auto"/>
              <w:bottom w:val="single" w:sz="4" w:space="0" w:color="auto"/>
              <w:right w:val="single" w:sz="4" w:space="0" w:color="auto"/>
            </w:tcBorders>
          </w:tcPr>
          <w:p w14:paraId="11A5FA2B" w14:textId="4B1A3DEA" w:rsidR="00F069A0" w:rsidRPr="00073A6F" w:rsidRDefault="00F069A0" w:rsidP="00874C48">
            <w:pPr>
              <w:jc w:val="center"/>
              <w:rPr>
                <w:rFonts w:eastAsiaTheme="minorEastAsia"/>
                <w:color w:val="000000" w:themeColor="text1"/>
                <w:sz w:val="20"/>
                <w:szCs w:val="20"/>
              </w:rPr>
            </w:pPr>
            <w:r>
              <w:rPr>
                <w:rFonts w:eastAsiaTheme="minorEastAsia"/>
                <w:color w:val="000000" w:themeColor="text1"/>
                <w:sz w:val="20"/>
                <w:szCs w:val="20"/>
              </w:rPr>
              <w:t>Literature review</w:t>
            </w:r>
          </w:p>
        </w:tc>
      </w:tr>
      <w:tr w:rsidR="00F069A0" w:rsidRPr="00B62492" w14:paraId="65520725" w14:textId="277AF6A6" w:rsidTr="00874C48">
        <w:tc>
          <w:tcPr>
            <w:tcW w:w="556" w:type="pct"/>
            <w:tcBorders>
              <w:top w:val="single" w:sz="4" w:space="0" w:color="auto"/>
              <w:left w:val="single" w:sz="4" w:space="0" w:color="auto"/>
              <w:bottom w:val="single" w:sz="4" w:space="0" w:color="auto"/>
              <w:right w:val="single" w:sz="4" w:space="0" w:color="auto"/>
            </w:tcBorders>
            <w:hideMark/>
          </w:tcPr>
          <w:p w14:paraId="2FF881A4" w14:textId="77777777" w:rsidR="00F069A0" w:rsidRPr="00073A6F" w:rsidRDefault="00000000" w:rsidP="00F069A0">
            <w:pPr>
              <w:jc w:val="both"/>
              <w:rPr>
                <w:rFonts w:eastAsia="Calibri"/>
                <w:color w:val="000000" w:themeColor="text1"/>
                <w:sz w:val="20"/>
                <w:szCs w:val="20"/>
              </w:rPr>
            </w:pPr>
            <m:oMathPara>
              <m:oMathParaPr>
                <m:jc m:val="left"/>
              </m:oMathParaPr>
              <m:oMath>
                <m:sSub>
                  <m:sSubPr>
                    <m:ctrlPr>
                      <w:rPr>
                        <w:rFonts w:ascii="Cambria Math" w:eastAsia="Calibri" w:hAnsi="Cambria Math"/>
                        <w:i/>
                        <w:color w:val="000000" w:themeColor="text1"/>
                        <w:sz w:val="20"/>
                        <w:szCs w:val="20"/>
                      </w:rPr>
                    </m:ctrlPr>
                  </m:sSubPr>
                  <m:e>
                    <m:r>
                      <w:rPr>
                        <w:rFonts w:ascii="Cambria Math" w:eastAsia="Calibri" w:hAnsi="Cambria Math"/>
                        <w:color w:val="000000" w:themeColor="text1"/>
                        <w:sz w:val="20"/>
                        <w:szCs w:val="20"/>
                      </w:rPr>
                      <m:t>γ</m:t>
                    </m:r>
                  </m:e>
                  <m:sub>
                    <m:r>
                      <w:rPr>
                        <w:rFonts w:ascii="Cambria Math" w:eastAsia="Calibri" w:hAnsi="Cambria Math"/>
                        <w:color w:val="000000" w:themeColor="text1"/>
                        <w:sz w:val="20"/>
                        <w:szCs w:val="20"/>
                      </w:rPr>
                      <m:t>i</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6B924445" w14:textId="77777777" w:rsidR="00F069A0" w:rsidRPr="00073A6F" w:rsidRDefault="00F069A0" w:rsidP="00F069A0">
            <w:pPr>
              <w:jc w:val="both"/>
              <w:rPr>
                <w:color w:val="000000" w:themeColor="text1"/>
                <w:sz w:val="20"/>
                <w:szCs w:val="20"/>
              </w:rPr>
            </w:pPr>
            <w:r w:rsidRPr="00073A6F">
              <w:rPr>
                <w:rFonts w:eastAsiaTheme="minorEastAsia"/>
                <w:color w:val="000000" w:themeColor="text1"/>
                <w:sz w:val="20"/>
                <w:szCs w:val="20"/>
              </w:rPr>
              <w:t xml:space="preserve">Probability of lost to follow-up </w:t>
            </w:r>
            <w:r>
              <w:rPr>
                <w:rFonts w:eastAsiaTheme="minorEastAsia"/>
                <w:color w:val="000000" w:themeColor="text1"/>
                <w:sz w:val="20"/>
                <w:szCs w:val="20"/>
              </w:rPr>
              <w:t>for</w:t>
            </w:r>
            <w:r w:rsidRPr="00073A6F">
              <w:rPr>
                <w:rFonts w:eastAsiaTheme="minorEastAsia"/>
                <w:color w:val="000000" w:themeColor="text1"/>
                <w:sz w:val="20"/>
                <w:szCs w:val="20"/>
              </w:rPr>
              <w:t xml:space="preserve"> compartment </w:t>
            </w:r>
            <m:oMath>
              <m:r>
                <w:rPr>
                  <w:rFonts w:ascii="Cambria Math" w:eastAsiaTheme="minorEastAsia" w:hAnsi="Cambria Math"/>
                  <w:color w:val="000000" w:themeColor="text1"/>
                  <w:sz w:val="20"/>
                  <w:szCs w:val="20"/>
                </w:rPr>
                <m:t>i</m:t>
              </m:r>
            </m:oMath>
          </w:p>
        </w:tc>
        <w:tc>
          <w:tcPr>
            <w:tcW w:w="863" w:type="pct"/>
            <w:tcBorders>
              <w:top w:val="single" w:sz="4" w:space="0" w:color="auto"/>
              <w:left w:val="single" w:sz="4" w:space="0" w:color="auto"/>
              <w:bottom w:val="single" w:sz="4" w:space="0" w:color="auto"/>
              <w:right w:val="single" w:sz="4" w:space="0" w:color="auto"/>
            </w:tcBorders>
          </w:tcPr>
          <w:p w14:paraId="33550C88" w14:textId="10760B95" w:rsidR="00F069A0" w:rsidRPr="00073A6F" w:rsidRDefault="00F069A0" w:rsidP="00874C48">
            <w:pPr>
              <w:jc w:val="center"/>
              <w:rPr>
                <w:rFonts w:eastAsiaTheme="minorEastAsia"/>
                <w:color w:val="000000" w:themeColor="text1"/>
                <w:sz w:val="20"/>
                <w:szCs w:val="20"/>
              </w:rPr>
            </w:pPr>
            <w:proofErr w:type="spellStart"/>
            <w:r>
              <w:rPr>
                <w:rFonts w:eastAsiaTheme="minorEastAsia"/>
                <w:color w:val="000000" w:themeColor="text1"/>
                <w:sz w:val="20"/>
                <w:szCs w:val="20"/>
              </w:rPr>
              <w:t>IeDEA</w:t>
            </w:r>
            <w:proofErr w:type="spellEnd"/>
          </w:p>
        </w:tc>
      </w:tr>
      <w:tr w:rsidR="00F069A0" w:rsidRPr="00B62492" w14:paraId="3A0F20CC" w14:textId="60CE8928" w:rsidTr="00874C48">
        <w:tc>
          <w:tcPr>
            <w:tcW w:w="556" w:type="pct"/>
            <w:tcBorders>
              <w:top w:val="single" w:sz="4" w:space="0" w:color="auto"/>
              <w:left w:val="single" w:sz="4" w:space="0" w:color="auto"/>
              <w:bottom w:val="single" w:sz="4" w:space="0" w:color="auto"/>
              <w:right w:val="single" w:sz="4" w:space="0" w:color="auto"/>
            </w:tcBorders>
            <w:hideMark/>
          </w:tcPr>
          <w:p w14:paraId="16E90EDB" w14:textId="77777777" w:rsidR="00F069A0" w:rsidRPr="00073A6F" w:rsidRDefault="00000000" w:rsidP="00F069A0">
            <w:pPr>
              <w:jc w:val="both"/>
              <w:rPr>
                <w:rFonts w:eastAsia="Calibri"/>
                <w:color w:val="000000" w:themeColor="text1"/>
                <w:sz w:val="20"/>
                <w:szCs w:val="20"/>
              </w:rPr>
            </w:pPr>
            <m:oMathPara>
              <m:oMathParaPr>
                <m:jc m:val="left"/>
              </m:oMathParaPr>
              <m:oMath>
                <m:sSub>
                  <m:sSubPr>
                    <m:ctrlPr>
                      <w:rPr>
                        <w:rFonts w:ascii="Cambria Math" w:eastAsia="Calibri" w:hAnsi="Cambria Math"/>
                        <w:i/>
                        <w:color w:val="000000" w:themeColor="text1"/>
                        <w:sz w:val="20"/>
                        <w:szCs w:val="20"/>
                      </w:rPr>
                    </m:ctrlPr>
                  </m:sSubPr>
                  <m:e>
                    <m:r>
                      <w:rPr>
                        <w:rFonts w:ascii="Cambria Math" w:eastAsia="Calibri" w:hAnsi="Cambria Math"/>
                        <w:color w:val="000000" w:themeColor="text1"/>
                        <w:sz w:val="20"/>
                        <w:szCs w:val="20"/>
                      </w:rPr>
                      <m:t>θ</m:t>
                    </m:r>
                  </m:e>
                  <m:sub>
                    <m:r>
                      <w:rPr>
                        <w:rFonts w:ascii="Cambria Math" w:eastAsia="Calibri" w:hAnsi="Cambria Math"/>
                        <w:color w:val="000000" w:themeColor="text1"/>
                        <w:sz w:val="20"/>
                        <w:szCs w:val="20"/>
                      </w:rPr>
                      <m:t>i</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05EB9711" w14:textId="77777777" w:rsidR="00F069A0" w:rsidRPr="00073A6F" w:rsidRDefault="00F069A0" w:rsidP="00F069A0">
            <w:pPr>
              <w:jc w:val="both"/>
              <w:rPr>
                <w:rFonts w:eastAsiaTheme="minorEastAsia"/>
                <w:color w:val="000000" w:themeColor="text1"/>
                <w:sz w:val="20"/>
                <w:szCs w:val="20"/>
              </w:rPr>
            </w:pPr>
            <w:r w:rsidRPr="00073A6F">
              <w:rPr>
                <w:rFonts w:eastAsiaTheme="minorEastAsia"/>
                <w:color w:val="000000" w:themeColor="text1"/>
                <w:sz w:val="20"/>
                <w:szCs w:val="20"/>
              </w:rPr>
              <w:t xml:space="preserve">Probability of on ART and </w:t>
            </w:r>
            <w:r>
              <w:rPr>
                <w:rFonts w:eastAsiaTheme="minorEastAsia"/>
                <w:color w:val="000000" w:themeColor="text1"/>
                <w:sz w:val="20"/>
                <w:szCs w:val="20"/>
              </w:rPr>
              <w:t xml:space="preserve">virally </w:t>
            </w:r>
            <w:r w:rsidRPr="00073A6F">
              <w:rPr>
                <w:rFonts w:eastAsiaTheme="minorEastAsia"/>
                <w:color w:val="000000" w:themeColor="text1"/>
                <w:sz w:val="20"/>
                <w:szCs w:val="20"/>
              </w:rPr>
              <w:t xml:space="preserve">suppressed </w:t>
            </w:r>
            <w:r>
              <w:rPr>
                <w:rFonts w:eastAsiaTheme="minorEastAsia"/>
                <w:color w:val="000000" w:themeColor="text1"/>
                <w:sz w:val="20"/>
                <w:szCs w:val="20"/>
              </w:rPr>
              <w:t>for</w:t>
            </w:r>
            <w:r w:rsidRPr="00073A6F">
              <w:rPr>
                <w:rFonts w:eastAsiaTheme="minorEastAsia"/>
                <w:color w:val="000000" w:themeColor="text1"/>
                <w:sz w:val="20"/>
                <w:szCs w:val="20"/>
              </w:rPr>
              <w:t xml:space="preserve"> compartment </w:t>
            </w:r>
            <m:oMath>
              <m:r>
                <w:rPr>
                  <w:rFonts w:ascii="Cambria Math" w:eastAsiaTheme="minorEastAsia" w:hAnsi="Cambria Math"/>
                  <w:color w:val="000000" w:themeColor="text1"/>
                  <w:sz w:val="20"/>
                  <w:szCs w:val="20"/>
                </w:rPr>
                <m:t>i</m:t>
              </m:r>
            </m:oMath>
          </w:p>
        </w:tc>
        <w:tc>
          <w:tcPr>
            <w:tcW w:w="863" w:type="pct"/>
            <w:tcBorders>
              <w:top w:val="single" w:sz="4" w:space="0" w:color="auto"/>
              <w:left w:val="single" w:sz="4" w:space="0" w:color="auto"/>
              <w:bottom w:val="single" w:sz="4" w:space="0" w:color="auto"/>
              <w:right w:val="single" w:sz="4" w:space="0" w:color="auto"/>
            </w:tcBorders>
          </w:tcPr>
          <w:p w14:paraId="6E70B5DF" w14:textId="5756432B" w:rsidR="00F069A0" w:rsidRPr="00073A6F" w:rsidRDefault="00F069A0" w:rsidP="00874C48">
            <w:pPr>
              <w:jc w:val="center"/>
              <w:rPr>
                <w:rFonts w:eastAsiaTheme="minorEastAsia"/>
                <w:color w:val="000000" w:themeColor="text1"/>
                <w:sz w:val="20"/>
                <w:szCs w:val="20"/>
              </w:rPr>
            </w:pPr>
            <w:proofErr w:type="spellStart"/>
            <w:r>
              <w:rPr>
                <w:rFonts w:eastAsiaTheme="minorEastAsia"/>
                <w:color w:val="000000" w:themeColor="text1"/>
                <w:sz w:val="20"/>
                <w:szCs w:val="20"/>
              </w:rPr>
              <w:t>IeDEA</w:t>
            </w:r>
            <w:proofErr w:type="spellEnd"/>
          </w:p>
        </w:tc>
      </w:tr>
      <w:tr w:rsidR="00F069A0" w:rsidRPr="00B62492" w14:paraId="1F61E991" w14:textId="74FE0CE4" w:rsidTr="00874C48">
        <w:tc>
          <w:tcPr>
            <w:tcW w:w="556" w:type="pct"/>
            <w:tcBorders>
              <w:top w:val="single" w:sz="4" w:space="0" w:color="auto"/>
              <w:left w:val="single" w:sz="4" w:space="0" w:color="auto"/>
              <w:bottom w:val="single" w:sz="4" w:space="0" w:color="auto"/>
              <w:right w:val="single" w:sz="4" w:space="0" w:color="auto"/>
            </w:tcBorders>
            <w:hideMark/>
          </w:tcPr>
          <w:p w14:paraId="7169FFBB" w14:textId="77777777" w:rsidR="00F069A0" w:rsidRPr="00073A6F" w:rsidRDefault="00000000" w:rsidP="00F069A0">
            <w:pPr>
              <w:jc w:val="both"/>
              <w:rPr>
                <w:rFonts w:eastAsia="Calibri"/>
                <w:color w:val="000000" w:themeColor="text1"/>
                <w:sz w:val="20"/>
                <w:szCs w:val="20"/>
              </w:rPr>
            </w:pPr>
            <m:oMathPara>
              <m:oMathParaPr>
                <m:jc m:val="left"/>
              </m:oMathParaP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τ</m:t>
                    </m:r>
                  </m:e>
                  <m:sub>
                    <m:r>
                      <w:rPr>
                        <w:rFonts w:ascii="Cambria Math" w:eastAsiaTheme="minorEastAsia" w:hAnsi="Cambria Math"/>
                        <w:color w:val="000000" w:themeColor="text1"/>
                        <w:sz w:val="20"/>
                        <w:szCs w:val="20"/>
                      </w:rPr>
                      <m:t>i</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0A84B008" w14:textId="77777777" w:rsidR="00F069A0" w:rsidRPr="00073A6F" w:rsidRDefault="00F069A0" w:rsidP="00F069A0">
            <w:pPr>
              <w:jc w:val="both"/>
              <w:rPr>
                <w:rFonts w:eastAsiaTheme="minorEastAsia"/>
                <w:color w:val="000000" w:themeColor="text1"/>
                <w:sz w:val="20"/>
                <w:szCs w:val="20"/>
              </w:rPr>
            </w:pPr>
            <w:r w:rsidRPr="00073A6F">
              <w:rPr>
                <w:rFonts w:eastAsiaTheme="minorEastAsia"/>
                <w:color w:val="000000" w:themeColor="text1"/>
                <w:sz w:val="20"/>
                <w:szCs w:val="20"/>
              </w:rPr>
              <w:t xml:space="preserve">Probability of return to ART and </w:t>
            </w:r>
            <w:r>
              <w:rPr>
                <w:rFonts w:eastAsiaTheme="minorEastAsia"/>
                <w:color w:val="000000" w:themeColor="text1"/>
                <w:sz w:val="20"/>
                <w:szCs w:val="20"/>
              </w:rPr>
              <w:t xml:space="preserve">virally </w:t>
            </w:r>
            <w:r w:rsidRPr="00073A6F">
              <w:rPr>
                <w:rFonts w:eastAsiaTheme="minorEastAsia"/>
                <w:color w:val="000000" w:themeColor="text1"/>
                <w:sz w:val="20"/>
                <w:szCs w:val="20"/>
              </w:rPr>
              <w:t xml:space="preserve">suppressed </w:t>
            </w:r>
            <w:r>
              <w:rPr>
                <w:rFonts w:eastAsiaTheme="minorEastAsia"/>
                <w:color w:val="000000" w:themeColor="text1"/>
                <w:sz w:val="20"/>
                <w:szCs w:val="20"/>
              </w:rPr>
              <w:t>for</w:t>
            </w:r>
            <w:r w:rsidRPr="00073A6F">
              <w:rPr>
                <w:rFonts w:eastAsiaTheme="minorEastAsia"/>
                <w:color w:val="000000" w:themeColor="text1"/>
                <w:sz w:val="20"/>
                <w:szCs w:val="20"/>
              </w:rPr>
              <w:t xml:space="preserve"> compartment </w:t>
            </w:r>
            <m:oMath>
              <m:r>
                <w:rPr>
                  <w:rFonts w:ascii="Cambria Math" w:eastAsiaTheme="minorEastAsia" w:hAnsi="Cambria Math"/>
                  <w:color w:val="000000" w:themeColor="text1"/>
                  <w:sz w:val="20"/>
                  <w:szCs w:val="20"/>
                </w:rPr>
                <m:t>i</m:t>
              </m:r>
            </m:oMath>
          </w:p>
        </w:tc>
        <w:tc>
          <w:tcPr>
            <w:tcW w:w="863" w:type="pct"/>
            <w:tcBorders>
              <w:top w:val="single" w:sz="4" w:space="0" w:color="auto"/>
              <w:left w:val="single" w:sz="4" w:space="0" w:color="auto"/>
              <w:bottom w:val="single" w:sz="4" w:space="0" w:color="auto"/>
              <w:right w:val="single" w:sz="4" w:space="0" w:color="auto"/>
            </w:tcBorders>
          </w:tcPr>
          <w:p w14:paraId="514181C9" w14:textId="137083BB" w:rsidR="00F069A0" w:rsidRPr="00073A6F" w:rsidRDefault="00F069A0" w:rsidP="00874C48">
            <w:pPr>
              <w:jc w:val="center"/>
              <w:rPr>
                <w:rFonts w:eastAsiaTheme="minorEastAsia"/>
                <w:color w:val="000000" w:themeColor="text1"/>
                <w:sz w:val="20"/>
                <w:szCs w:val="20"/>
              </w:rPr>
            </w:pPr>
            <w:proofErr w:type="spellStart"/>
            <w:r>
              <w:rPr>
                <w:rFonts w:eastAsiaTheme="minorEastAsia"/>
                <w:color w:val="000000" w:themeColor="text1"/>
                <w:sz w:val="20"/>
                <w:szCs w:val="20"/>
              </w:rPr>
              <w:t>IeDEA</w:t>
            </w:r>
            <w:proofErr w:type="spellEnd"/>
          </w:p>
        </w:tc>
      </w:tr>
      <w:tr w:rsidR="00F069A0" w:rsidRPr="00B62492" w14:paraId="79A92F6B" w14:textId="591CD8B4" w:rsidTr="00874C48">
        <w:tc>
          <w:tcPr>
            <w:tcW w:w="556" w:type="pct"/>
            <w:tcBorders>
              <w:top w:val="single" w:sz="4" w:space="0" w:color="auto"/>
              <w:left w:val="single" w:sz="4" w:space="0" w:color="auto"/>
              <w:bottom w:val="single" w:sz="4" w:space="0" w:color="auto"/>
              <w:right w:val="single" w:sz="4" w:space="0" w:color="auto"/>
            </w:tcBorders>
            <w:hideMark/>
          </w:tcPr>
          <w:p w14:paraId="0A4A1E2B" w14:textId="77777777" w:rsidR="00F069A0" w:rsidRPr="00073A6F" w:rsidRDefault="00000000" w:rsidP="00F069A0">
            <w:pPr>
              <w:jc w:val="both"/>
              <w:rPr>
                <w:rFonts w:eastAsia="Calibri"/>
                <w:color w:val="000000" w:themeColor="text1"/>
                <w:sz w:val="20"/>
                <w:szCs w:val="20"/>
              </w:rPr>
            </w:pPr>
            <m:oMathPara>
              <m:oMathParaPr>
                <m:jc m:val="left"/>
              </m:oMathParaPr>
              <m:oMath>
                <m:sSub>
                  <m:sSubPr>
                    <m:ctrlPr>
                      <w:rPr>
                        <w:rFonts w:ascii="Cambria Math" w:eastAsia="Calibri" w:hAnsi="Cambria Math"/>
                        <w:i/>
                        <w:color w:val="000000" w:themeColor="text1"/>
                        <w:sz w:val="20"/>
                        <w:szCs w:val="20"/>
                      </w:rPr>
                    </m:ctrlPr>
                  </m:sSubPr>
                  <m:e>
                    <m:r>
                      <w:rPr>
                        <w:rFonts w:ascii="Cambria Math" w:eastAsia="Calibri" w:hAnsi="Cambria Math"/>
                        <w:color w:val="000000" w:themeColor="text1"/>
                        <w:sz w:val="20"/>
                        <w:szCs w:val="20"/>
                      </w:rPr>
                      <m:t>Ψ</m:t>
                    </m:r>
                  </m:e>
                  <m:sub>
                    <m:r>
                      <w:rPr>
                        <w:rFonts w:ascii="Cambria Math" w:eastAsia="Calibri" w:hAnsi="Cambria Math"/>
                        <w:color w:val="000000" w:themeColor="text1"/>
                        <w:sz w:val="20"/>
                        <w:szCs w:val="20"/>
                      </w:rPr>
                      <m:t>i</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58741DD4" w14:textId="77777777" w:rsidR="00F069A0" w:rsidRPr="00073A6F" w:rsidRDefault="00F069A0" w:rsidP="00F069A0">
            <w:pPr>
              <w:jc w:val="both"/>
              <w:rPr>
                <w:color w:val="000000" w:themeColor="text1"/>
                <w:sz w:val="20"/>
                <w:szCs w:val="20"/>
              </w:rPr>
            </w:pPr>
            <w:r w:rsidRPr="00073A6F">
              <w:rPr>
                <w:rFonts w:eastAsiaTheme="minorEastAsia"/>
                <w:color w:val="000000" w:themeColor="text1"/>
                <w:sz w:val="20"/>
                <w:szCs w:val="20"/>
              </w:rPr>
              <w:t xml:space="preserve">Probability of failure to maintain viral suppression </w:t>
            </w:r>
            <w:r>
              <w:rPr>
                <w:rFonts w:eastAsiaTheme="minorEastAsia"/>
                <w:color w:val="000000" w:themeColor="text1"/>
                <w:sz w:val="20"/>
                <w:szCs w:val="20"/>
              </w:rPr>
              <w:t>for</w:t>
            </w:r>
            <w:r w:rsidRPr="00073A6F">
              <w:rPr>
                <w:rFonts w:eastAsiaTheme="minorEastAsia"/>
                <w:color w:val="000000" w:themeColor="text1"/>
                <w:sz w:val="20"/>
                <w:szCs w:val="20"/>
              </w:rPr>
              <w:t xml:space="preserve"> compartment </w:t>
            </w:r>
            <m:oMath>
              <m:r>
                <w:rPr>
                  <w:rFonts w:ascii="Cambria Math" w:eastAsiaTheme="minorEastAsia" w:hAnsi="Cambria Math"/>
                  <w:color w:val="000000" w:themeColor="text1"/>
                  <w:sz w:val="20"/>
                  <w:szCs w:val="20"/>
                </w:rPr>
                <m:t>i</m:t>
              </m:r>
            </m:oMath>
          </w:p>
        </w:tc>
        <w:tc>
          <w:tcPr>
            <w:tcW w:w="863" w:type="pct"/>
            <w:tcBorders>
              <w:top w:val="single" w:sz="4" w:space="0" w:color="auto"/>
              <w:left w:val="single" w:sz="4" w:space="0" w:color="auto"/>
              <w:bottom w:val="single" w:sz="4" w:space="0" w:color="auto"/>
              <w:right w:val="single" w:sz="4" w:space="0" w:color="auto"/>
            </w:tcBorders>
          </w:tcPr>
          <w:p w14:paraId="42B265AE" w14:textId="1C3EFF65" w:rsidR="00F069A0" w:rsidRPr="00073A6F" w:rsidRDefault="00F069A0" w:rsidP="00874C48">
            <w:pPr>
              <w:jc w:val="center"/>
              <w:rPr>
                <w:rFonts w:eastAsiaTheme="minorEastAsia"/>
                <w:color w:val="000000" w:themeColor="text1"/>
                <w:sz w:val="20"/>
                <w:szCs w:val="20"/>
              </w:rPr>
            </w:pPr>
            <w:proofErr w:type="spellStart"/>
            <w:r>
              <w:rPr>
                <w:rFonts w:eastAsiaTheme="minorEastAsia"/>
                <w:color w:val="000000" w:themeColor="text1"/>
                <w:sz w:val="20"/>
                <w:szCs w:val="20"/>
              </w:rPr>
              <w:t>IeDEA</w:t>
            </w:r>
            <w:proofErr w:type="spellEnd"/>
          </w:p>
        </w:tc>
      </w:tr>
      <w:tr w:rsidR="00F069A0" w:rsidRPr="00B62492" w14:paraId="483D9F3A" w14:textId="50F39A74" w:rsidTr="00874C48">
        <w:tc>
          <w:tcPr>
            <w:tcW w:w="556" w:type="pct"/>
            <w:tcBorders>
              <w:top w:val="single" w:sz="4" w:space="0" w:color="auto"/>
              <w:left w:val="single" w:sz="4" w:space="0" w:color="auto"/>
              <w:bottom w:val="single" w:sz="4" w:space="0" w:color="auto"/>
              <w:right w:val="single" w:sz="4" w:space="0" w:color="auto"/>
            </w:tcBorders>
          </w:tcPr>
          <w:p w14:paraId="6A8D212B" w14:textId="77777777" w:rsidR="00F069A0" w:rsidRPr="00C0151D" w:rsidRDefault="00F069A0" w:rsidP="00F069A0">
            <w:pPr>
              <w:jc w:val="both"/>
              <w:rPr>
                <w:rFonts w:eastAsia="Calibri"/>
                <w:bCs/>
                <w:iCs/>
                <w:color w:val="000000" w:themeColor="text1"/>
                <w:sz w:val="20"/>
                <w:szCs w:val="20"/>
              </w:rPr>
            </w:pPr>
            <m:oMathPara>
              <m:oMathParaPr>
                <m:jc m:val="left"/>
              </m:oMathParaPr>
              <m:oMath>
                <m:r>
                  <m:rPr>
                    <m:sty m:val="p"/>
                  </m:rPr>
                  <w:rPr>
                    <w:rFonts w:ascii="Cambria Math" w:eastAsia="Calibri" w:hAnsi="Cambria Math"/>
                    <w:color w:val="000000" w:themeColor="text1"/>
                    <w:sz w:val="20"/>
                    <w:szCs w:val="20"/>
                  </w:rPr>
                  <m:t>ξ</m:t>
                </m:r>
              </m:oMath>
            </m:oMathPara>
          </w:p>
        </w:tc>
        <w:tc>
          <w:tcPr>
            <w:tcW w:w="3581" w:type="pct"/>
            <w:tcBorders>
              <w:top w:val="single" w:sz="4" w:space="0" w:color="auto"/>
              <w:left w:val="single" w:sz="4" w:space="0" w:color="auto"/>
              <w:bottom w:val="single" w:sz="4" w:space="0" w:color="auto"/>
              <w:right w:val="single" w:sz="4" w:space="0" w:color="auto"/>
            </w:tcBorders>
          </w:tcPr>
          <w:p w14:paraId="433E4DDB" w14:textId="77777777" w:rsidR="00F069A0" w:rsidRPr="00C0151D" w:rsidRDefault="00F069A0" w:rsidP="00F069A0">
            <w:pPr>
              <w:jc w:val="both"/>
              <w:rPr>
                <w:color w:val="000000" w:themeColor="text1"/>
                <w:sz w:val="20"/>
                <w:szCs w:val="20"/>
              </w:rPr>
            </w:pPr>
            <w:r w:rsidRPr="00C0151D">
              <w:rPr>
                <w:color w:val="000000" w:themeColor="text1"/>
                <w:sz w:val="20"/>
                <w:szCs w:val="20"/>
              </w:rPr>
              <w:t>Multiplier applied to adjust probabilities of diagnosis and linkage for population with CD4&lt;200</w:t>
            </w:r>
          </w:p>
        </w:tc>
        <w:tc>
          <w:tcPr>
            <w:tcW w:w="863" w:type="pct"/>
            <w:tcBorders>
              <w:top w:val="single" w:sz="4" w:space="0" w:color="auto"/>
              <w:left w:val="single" w:sz="4" w:space="0" w:color="auto"/>
              <w:bottom w:val="single" w:sz="4" w:space="0" w:color="auto"/>
              <w:right w:val="single" w:sz="4" w:space="0" w:color="auto"/>
            </w:tcBorders>
          </w:tcPr>
          <w:p w14:paraId="2C79309B" w14:textId="71B7CBE1" w:rsidR="00F069A0" w:rsidRPr="00C0151D" w:rsidRDefault="00F069A0" w:rsidP="00874C48">
            <w:pPr>
              <w:jc w:val="center"/>
              <w:rPr>
                <w:color w:val="000000" w:themeColor="text1"/>
                <w:sz w:val="20"/>
                <w:szCs w:val="20"/>
              </w:rPr>
            </w:pPr>
            <w:r>
              <w:rPr>
                <w:rFonts w:eastAsiaTheme="minorEastAsia"/>
                <w:color w:val="000000" w:themeColor="text1"/>
                <w:sz w:val="20"/>
                <w:szCs w:val="20"/>
              </w:rPr>
              <w:t>Literature review</w:t>
            </w:r>
          </w:p>
        </w:tc>
      </w:tr>
      <w:tr w:rsidR="00F069A0" w:rsidRPr="00B62492" w14:paraId="4C51839A" w14:textId="404A6354" w:rsidTr="00874C48">
        <w:tc>
          <w:tcPr>
            <w:tcW w:w="4137" w:type="pct"/>
            <w:gridSpan w:val="2"/>
            <w:tcBorders>
              <w:top w:val="single" w:sz="4" w:space="0" w:color="auto"/>
              <w:left w:val="single" w:sz="4" w:space="0" w:color="auto"/>
              <w:bottom w:val="single" w:sz="4" w:space="0" w:color="auto"/>
              <w:right w:val="single" w:sz="4" w:space="0" w:color="auto"/>
            </w:tcBorders>
            <w:hideMark/>
          </w:tcPr>
          <w:p w14:paraId="7DB96480" w14:textId="550F54C5" w:rsidR="00F069A0" w:rsidRPr="00DB1DEE" w:rsidRDefault="00F069A0" w:rsidP="00F069A0">
            <w:pPr>
              <w:pStyle w:val="BodyText"/>
              <w:spacing w:before="0" w:after="0"/>
              <w:jc w:val="both"/>
              <w:rPr>
                <w:color w:val="000000" w:themeColor="text1"/>
                <w:sz w:val="20"/>
                <w:szCs w:val="20"/>
              </w:rPr>
            </w:pPr>
            <w:r w:rsidRPr="00DB1DEE">
              <w:rPr>
                <w:rFonts w:eastAsiaTheme="minorEastAsia"/>
                <w:b/>
                <w:color w:val="000000" w:themeColor="text1"/>
                <w:sz w:val="20"/>
                <w:szCs w:val="20"/>
              </w:rPr>
              <w:t>Compartments</w:t>
            </w:r>
          </w:p>
        </w:tc>
        <w:tc>
          <w:tcPr>
            <w:tcW w:w="863" w:type="pct"/>
            <w:tcBorders>
              <w:top w:val="single" w:sz="4" w:space="0" w:color="auto"/>
              <w:left w:val="single" w:sz="4" w:space="0" w:color="auto"/>
              <w:bottom w:val="single" w:sz="4" w:space="0" w:color="auto"/>
              <w:right w:val="single" w:sz="4" w:space="0" w:color="auto"/>
            </w:tcBorders>
          </w:tcPr>
          <w:p w14:paraId="00D17020" w14:textId="77777777" w:rsidR="00F069A0" w:rsidRPr="00DB1DEE" w:rsidRDefault="00F069A0" w:rsidP="00874C48">
            <w:pPr>
              <w:pStyle w:val="BodyText"/>
              <w:spacing w:before="0" w:after="0"/>
              <w:jc w:val="center"/>
              <w:rPr>
                <w:rFonts w:eastAsiaTheme="minorEastAsia"/>
                <w:b/>
                <w:color w:val="000000" w:themeColor="text1"/>
                <w:sz w:val="20"/>
                <w:szCs w:val="20"/>
              </w:rPr>
            </w:pPr>
          </w:p>
        </w:tc>
      </w:tr>
      <w:tr w:rsidR="00F069A0" w:rsidRPr="00B62492" w14:paraId="42179597" w14:textId="7DC73099" w:rsidTr="00874C48">
        <w:tc>
          <w:tcPr>
            <w:tcW w:w="556" w:type="pct"/>
            <w:tcBorders>
              <w:top w:val="single" w:sz="4" w:space="0" w:color="auto"/>
              <w:left w:val="single" w:sz="4" w:space="0" w:color="auto"/>
              <w:bottom w:val="single" w:sz="4" w:space="0" w:color="auto"/>
              <w:right w:val="single" w:sz="4" w:space="0" w:color="auto"/>
            </w:tcBorders>
            <w:hideMark/>
          </w:tcPr>
          <w:p w14:paraId="6E328395" w14:textId="77777777" w:rsidR="00F069A0" w:rsidRPr="00C0151D" w:rsidRDefault="00F069A0" w:rsidP="00F069A0">
            <w:pPr>
              <w:jc w:val="both"/>
              <w:rPr>
                <w:rFonts w:eastAsiaTheme="minorEastAsia"/>
                <w:color w:val="000000" w:themeColor="text1"/>
                <w:sz w:val="20"/>
                <w:szCs w:val="20"/>
              </w:rPr>
            </w:pPr>
            <m:oMathPara>
              <m:oMathParaPr>
                <m:jc m:val="left"/>
              </m:oMathParaPr>
              <m:oMath>
                <m:r>
                  <m:rPr>
                    <m:sty m:val="p"/>
                  </m:rPr>
                  <w:rPr>
                    <w:rFonts w:ascii="Cambria Math" w:eastAsiaTheme="minorEastAsia" w:hAnsi="Cambria Math"/>
                    <w:color w:val="000000" w:themeColor="text1"/>
                    <w:sz w:val="20"/>
                    <w:szCs w:val="20"/>
                  </w:rPr>
                  <m:t>S</m:t>
                </m:r>
              </m:oMath>
            </m:oMathPara>
          </w:p>
        </w:tc>
        <w:tc>
          <w:tcPr>
            <w:tcW w:w="3581" w:type="pct"/>
            <w:tcBorders>
              <w:top w:val="single" w:sz="4" w:space="0" w:color="auto"/>
              <w:left w:val="single" w:sz="4" w:space="0" w:color="auto"/>
              <w:bottom w:val="single" w:sz="4" w:space="0" w:color="auto"/>
              <w:right w:val="single" w:sz="4" w:space="0" w:color="auto"/>
            </w:tcBorders>
            <w:hideMark/>
          </w:tcPr>
          <w:p w14:paraId="22EEE6C3" w14:textId="77777777" w:rsidR="00F069A0" w:rsidRPr="00C0151D" w:rsidRDefault="00F069A0" w:rsidP="00F069A0">
            <w:pPr>
              <w:jc w:val="both"/>
              <w:rPr>
                <w:color w:val="000000" w:themeColor="text1"/>
                <w:sz w:val="20"/>
                <w:szCs w:val="20"/>
              </w:rPr>
            </w:pPr>
            <w:r w:rsidRPr="00C0151D">
              <w:rPr>
                <w:color w:val="000000" w:themeColor="text1"/>
                <w:sz w:val="20"/>
                <w:szCs w:val="20"/>
              </w:rPr>
              <w:t>Number of susceptible individuals at time</w:t>
            </w:r>
            <m:oMath>
              <m:r>
                <w:rPr>
                  <w:rFonts w:ascii="Cambria Math" w:hAnsi="Cambria Math"/>
                  <w:color w:val="000000" w:themeColor="text1"/>
                  <w:sz w:val="20"/>
                  <w:szCs w:val="20"/>
                </w:rPr>
                <m:t xml:space="preserve"> t</m:t>
              </m:r>
            </m:oMath>
          </w:p>
        </w:tc>
        <w:tc>
          <w:tcPr>
            <w:tcW w:w="863" w:type="pct"/>
            <w:tcBorders>
              <w:top w:val="single" w:sz="4" w:space="0" w:color="auto"/>
              <w:left w:val="single" w:sz="4" w:space="0" w:color="auto"/>
              <w:bottom w:val="single" w:sz="4" w:space="0" w:color="auto"/>
              <w:right w:val="single" w:sz="4" w:space="0" w:color="auto"/>
            </w:tcBorders>
          </w:tcPr>
          <w:p w14:paraId="5DA04788" w14:textId="5FF3BABE" w:rsidR="00F069A0" w:rsidRPr="00C0151D" w:rsidRDefault="00F069A0" w:rsidP="00874C48">
            <w:pPr>
              <w:jc w:val="center"/>
              <w:rPr>
                <w:color w:val="000000" w:themeColor="text1"/>
                <w:sz w:val="20"/>
                <w:szCs w:val="20"/>
              </w:rPr>
            </w:pPr>
            <w:r>
              <w:rPr>
                <w:color w:val="000000" w:themeColor="text1"/>
                <w:sz w:val="20"/>
                <w:szCs w:val="20"/>
              </w:rPr>
              <w:t>Calculated</w:t>
            </w:r>
          </w:p>
        </w:tc>
      </w:tr>
      <w:tr w:rsidR="00F069A0" w:rsidRPr="00C0151D" w14:paraId="4576F0FD" w14:textId="68E50BA3" w:rsidTr="00874C48">
        <w:tc>
          <w:tcPr>
            <w:tcW w:w="556" w:type="pct"/>
            <w:tcBorders>
              <w:top w:val="single" w:sz="4" w:space="0" w:color="auto"/>
              <w:left w:val="single" w:sz="4" w:space="0" w:color="auto"/>
              <w:bottom w:val="single" w:sz="4" w:space="0" w:color="auto"/>
              <w:right w:val="single" w:sz="4" w:space="0" w:color="auto"/>
            </w:tcBorders>
            <w:hideMark/>
          </w:tcPr>
          <w:p w14:paraId="1DD29807" w14:textId="77777777" w:rsidR="00F069A0" w:rsidRPr="00C0151D" w:rsidRDefault="00000000" w:rsidP="00F069A0">
            <w:pPr>
              <w:jc w:val="both"/>
              <w:rPr>
                <w:rFonts w:eastAsiaTheme="minorEastAsia"/>
                <w:color w:val="000000" w:themeColor="text1"/>
                <w:sz w:val="20"/>
                <w:szCs w:val="20"/>
              </w:rPr>
            </w:pPr>
            <m:oMathPara>
              <m:oMathParaPr>
                <m:jc m:val="left"/>
              </m:oMathParaP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i</m:t>
                    </m:r>
                  </m:sub>
                </m:sSub>
              </m:oMath>
            </m:oMathPara>
          </w:p>
        </w:tc>
        <w:tc>
          <w:tcPr>
            <w:tcW w:w="3581" w:type="pct"/>
            <w:tcBorders>
              <w:top w:val="single" w:sz="4" w:space="0" w:color="auto"/>
              <w:left w:val="single" w:sz="4" w:space="0" w:color="auto"/>
              <w:bottom w:val="single" w:sz="4" w:space="0" w:color="auto"/>
              <w:right w:val="single" w:sz="4" w:space="0" w:color="auto"/>
            </w:tcBorders>
            <w:hideMark/>
          </w:tcPr>
          <w:p w14:paraId="331EF3AD" w14:textId="77777777" w:rsidR="00F069A0" w:rsidRPr="00C0151D" w:rsidRDefault="00F069A0" w:rsidP="00F069A0">
            <w:pPr>
              <w:pStyle w:val="BodyText"/>
              <w:spacing w:before="0" w:after="0"/>
              <w:jc w:val="both"/>
              <w:rPr>
                <w:rFonts w:eastAsiaTheme="minorEastAsia"/>
                <w:color w:val="000000" w:themeColor="text1"/>
                <w:sz w:val="20"/>
                <w:szCs w:val="20"/>
              </w:rPr>
            </w:pPr>
            <w:r w:rsidRPr="00C0151D">
              <w:rPr>
                <w:color w:val="000000" w:themeColor="text1"/>
                <w:sz w:val="20"/>
                <w:szCs w:val="20"/>
              </w:rPr>
              <w:t xml:space="preserve">Number of infected individuals in </w:t>
            </w:r>
            <w:r w:rsidRPr="00C0151D">
              <w:rPr>
                <w:rFonts w:eastAsiaTheme="minorEastAsia"/>
                <w:color w:val="000000" w:themeColor="text1"/>
                <w:sz w:val="20"/>
                <w:szCs w:val="20"/>
              </w:rPr>
              <w:t xml:space="preserve">compartment </w:t>
            </w:r>
            <m:oMath>
              <m:r>
                <w:rPr>
                  <w:rFonts w:ascii="Cambria Math" w:hAnsi="Cambria Math"/>
                  <w:color w:val="000000" w:themeColor="text1"/>
                  <w:sz w:val="20"/>
                  <w:szCs w:val="20"/>
                </w:rPr>
                <m:t>i</m:t>
              </m:r>
            </m:oMath>
            <w:r w:rsidRPr="00C0151D">
              <w:rPr>
                <w:rFonts w:eastAsiaTheme="minorEastAsia"/>
                <w:color w:val="000000" w:themeColor="text1"/>
                <w:sz w:val="20"/>
                <w:szCs w:val="20"/>
              </w:rPr>
              <w:t xml:space="preserve"> at time</w:t>
            </w:r>
            <m:oMath>
              <m:r>
                <w:rPr>
                  <w:rFonts w:ascii="Cambria Math" w:eastAsiaTheme="minorEastAsia" w:hAnsi="Cambria Math"/>
                  <w:color w:val="000000" w:themeColor="text1"/>
                  <w:sz w:val="20"/>
                  <w:szCs w:val="20"/>
                </w:rPr>
                <m:t xml:space="preserve"> t</m:t>
              </m:r>
            </m:oMath>
            <w:r w:rsidRPr="00C0151D">
              <w:rPr>
                <w:rFonts w:eastAsiaTheme="minorEastAsia"/>
                <w:color w:val="000000" w:themeColor="text1"/>
                <w:sz w:val="20"/>
                <w:szCs w:val="20"/>
              </w:rPr>
              <w:t xml:space="preserve"> </w:t>
            </w:r>
          </w:p>
        </w:tc>
        <w:tc>
          <w:tcPr>
            <w:tcW w:w="863" w:type="pct"/>
            <w:tcBorders>
              <w:top w:val="single" w:sz="4" w:space="0" w:color="auto"/>
              <w:left w:val="single" w:sz="4" w:space="0" w:color="auto"/>
              <w:bottom w:val="single" w:sz="4" w:space="0" w:color="auto"/>
              <w:right w:val="single" w:sz="4" w:space="0" w:color="auto"/>
            </w:tcBorders>
          </w:tcPr>
          <w:p w14:paraId="35FC673F" w14:textId="747AB103" w:rsidR="00F069A0" w:rsidRPr="00C0151D" w:rsidRDefault="00F069A0" w:rsidP="00874C48">
            <w:pPr>
              <w:pStyle w:val="BodyText"/>
              <w:spacing w:before="0" w:after="0"/>
              <w:jc w:val="center"/>
              <w:rPr>
                <w:color w:val="000000" w:themeColor="text1"/>
                <w:sz w:val="20"/>
                <w:szCs w:val="20"/>
              </w:rPr>
            </w:pPr>
            <w:r>
              <w:rPr>
                <w:color w:val="000000" w:themeColor="text1"/>
                <w:sz w:val="20"/>
                <w:szCs w:val="20"/>
              </w:rPr>
              <w:t>Calculated</w:t>
            </w:r>
          </w:p>
        </w:tc>
      </w:tr>
      <w:tr w:rsidR="00F069A0" w:rsidRPr="00B62492" w14:paraId="4D160287" w14:textId="2F11BF78" w:rsidTr="00874C48">
        <w:tc>
          <w:tcPr>
            <w:tcW w:w="556" w:type="pct"/>
            <w:tcBorders>
              <w:top w:val="single" w:sz="4" w:space="0" w:color="auto"/>
              <w:left w:val="single" w:sz="4" w:space="0" w:color="auto"/>
              <w:bottom w:val="single" w:sz="4" w:space="0" w:color="auto"/>
              <w:right w:val="single" w:sz="4" w:space="0" w:color="auto"/>
            </w:tcBorders>
            <w:hideMark/>
          </w:tcPr>
          <w:p w14:paraId="7F07FC23" w14:textId="77777777" w:rsidR="00F069A0" w:rsidRPr="00C0151D" w:rsidRDefault="00F069A0" w:rsidP="00F069A0">
            <w:pPr>
              <w:jc w:val="both"/>
              <w:rPr>
                <w:rFonts w:eastAsiaTheme="minorEastAsia"/>
                <w:b/>
                <w:color w:val="000000" w:themeColor="text1"/>
                <w:sz w:val="20"/>
                <w:szCs w:val="20"/>
              </w:rPr>
            </w:pPr>
            <w:r w:rsidRPr="00C0151D">
              <w:rPr>
                <w:rFonts w:eastAsiaTheme="minorEastAsia"/>
                <w:color w:val="000000" w:themeColor="text1"/>
                <w:sz w:val="20"/>
                <w:szCs w:val="20"/>
              </w:rPr>
              <w:t>D</w:t>
            </w:r>
          </w:p>
        </w:tc>
        <w:tc>
          <w:tcPr>
            <w:tcW w:w="3581" w:type="pct"/>
            <w:tcBorders>
              <w:top w:val="single" w:sz="4" w:space="0" w:color="auto"/>
              <w:left w:val="single" w:sz="4" w:space="0" w:color="auto"/>
              <w:bottom w:val="single" w:sz="4" w:space="0" w:color="auto"/>
              <w:right w:val="single" w:sz="4" w:space="0" w:color="auto"/>
            </w:tcBorders>
            <w:hideMark/>
          </w:tcPr>
          <w:p w14:paraId="7060CFEF" w14:textId="77777777" w:rsidR="00F069A0" w:rsidRPr="00C0151D" w:rsidRDefault="00F069A0" w:rsidP="00F069A0">
            <w:pPr>
              <w:jc w:val="both"/>
              <w:rPr>
                <w:rFonts w:eastAsiaTheme="minorEastAsia"/>
                <w:b/>
                <w:color w:val="000000" w:themeColor="text1"/>
                <w:sz w:val="20"/>
                <w:szCs w:val="20"/>
              </w:rPr>
            </w:pPr>
            <w:r w:rsidRPr="00C0151D">
              <w:rPr>
                <w:color w:val="000000" w:themeColor="text1"/>
                <w:sz w:val="20"/>
                <w:szCs w:val="20"/>
              </w:rPr>
              <w:t>Number of individuals who died at time</w:t>
            </w:r>
            <m:oMath>
              <m:r>
                <w:rPr>
                  <w:rFonts w:ascii="Cambria Math" w:hAnsi="Cambria Math"/>
                  <w:color w:val="000000" w:themeColor="text1"/>
                  <w:sz w:val="20"/>
                  <w:szCs w:val="20"/>
                </w:rPr>
                <m:t xml:space="preserve"> t</m:t>
              </m:r>
            </m:oMath>
          </w:p>
        </w:tc>
        <w:tc>
          <w:tcPr>
            <w:tcW w:w="863" w:type="pct"/>
            <w:tcBorders>
              <w:top w:val="single" w:sz="4" w:space="0" w:color="auto"/>
              <w:left w:val="single" w:sz="4" w:space="0" w:color="auto"/>
              <w:bottom w:val="single" w:sz="4" w:space="0" w:color="auto"/>
              <w:right w:val="single" w:sz="4" w:space="0" w:color="auto"/>
            </w:tcBorders>
          </w:tcPr>
          <w:p w14:paraId="56EB216E" w14:textId="7541F9D1" w:rsidR="00F069A0" w:rsidRPr="00C0151D" w:rsidRDefault="00F069A0" w:rsidP="00874C48">
            <w:pPr>
              <w:jc w:val="center"/>
              <w:rPr>
                <w:color w:val="000000" w:themeColor="text1"/>
                <w:sz w:val="20"/>
                <w:szCs w:val="20"/>
              </w:rPr>
            </w:pPr>
            <w:r>
              <w:rPr>
                <w:color w:val="000000" w:themeColor="text1"/>
                <w:sz w:val="20"/>
                <w:szCs w:val="20"/>
              </w:rPr>
              <w:t>Calculated</w:t>
            </w:r>
          </w:p>
        </w:tc>
      </w:tr>
    </w:tbl>
    <w:p w14:paraId="4CF3B1AA" w14:textId="164B974D" w:rsidR="00F069A0" w:rsidRPr="00874C48" w:rsidRDefault="00F069A0" w:rsidP="002A1882">
      <w:pPr>
        <w:keepNext/>
        <w:jc w:val="both"/>
        <w:rPr>
          <w:i/>
          <w:iCs/>
          <w:color w:val="000000" w:themeColor="text1"/>
          <w:sz w:val="20"/>
          <w:szCs w:val="20"/>
        </w:rPr>
      </w:pPr>
      <w:r>
        <w:rPr>
          <w:i/>
          <w:iCs/>
          <w:color w:val="000000" w:themeColor="text1"/>
          <w:sz w:val="20"/>
          <w:szCs w:val="20"/>
        </w:rPr>
        <w:t xml:space="preserve">Abbreviates: DHS = Demographic Health Survey; </w:t>
      </w:r>
      <w:proofErr w:type="spellStart"/>
      <w:r>
        <w:rPr>
          <w:i/>
          <w:iCs/>
          <w:color w:val="000000" w:themeColor="text1"/>
          <w:sz w:val="20"/>
          <w:szCs w:val="20"/>
        </w:rPr>
        <w:t>IeDEA</w:t>
      </w:r>
      <w:proofErr w:type="spellEnd"/>
      <w:r>
        <w:rPr>
          <w:i/>
          <w:iCs/>
          <w:color w:val="000000" w:themeColor="text1"/>
          <w:sz w:val="20"/>
          <w:szCs w:val="20"/>
        </w:rPr>
        <w:t>=International epidemiology Databases to Evaluate AIDS;</w:t>
      </w:r>
    </w:p>
    <w:p w14:paraId="606BD4E0" w14:textId="62F7869A" w:rsidR="002A1882" w:rsidRPr="00C0151D" w:rsidRDefault="002A1882" w:rsidP="002A1882">
      <w:pPr>
        <w:keepNext/>
        <w:jc w:val="both"/>
        <w:rPr>
          <w:b/>
          <w:color w:val="000000" w:themeColor="text1"/>
          <w:sz w:val="20"/>
          <w:szCs w:val="20"/>
        </w:rPr>
      </w:pPr>
      <w:r w:rsidRPr="00C0151D">
        <w:rPr>
          <w:color w:val="000000" w:themeColor="text1"/>
          <w:sz w:val="20"/>
          <w:szCs w:val="20"/>
        </w:rPr>
        <w:t xml:space="preserve">* </w:t>
      </w:r>
      <w:r>
        <w:rPr>
          <w:color w:val="000000" w:themeColor="text1"/>
          <w:sz w:val="20"/>
          <w:szCs w:val="20"/>
        </w:rPr>
        <w:t>Sub-population</w:t>
      </w:r>
      <w:r w:rsidRPr="00C0151D">
        <w:rPr>
          <w:color w:val="000000" w:themeColor="text1"/>
          <w:sz w:val="20"/>
          <w:szCs w:val="20"/>
        </w:rPr>
        <w:t xml:space="preserve">s are defined by age, sex, urbanicity, and HIV acquisition risk. </w:t>
      </w:r>
      <w:r w:rsidRPr="00B62492">
        <w:rPr>
          <w:color w:val="000000" w:themeColor="text1"/>
          <w:sz w:val="20"/>
          <w:szCs w:val="20"/>
        </w:rPr>
        <w:t xml:space="preserve">† Parameters </w:t>
      </w:r>
      <w:r>
        <w:rPr>
          <w:color w:val="000000" w:themeColor="text1"/>
          <w:sz w:val="20"/>
          <w:szCs w:val="20"/>
        </w:rPr>
        <w:t xml:space="preserve">are for </w:t>
      </w:r>
      <w:r w:rsidRPr="00B62492">
        <w:rPr>
          <w:color w:val="000000" w:themeColor="text1"/>
          <w:sz w:val="20"/>
          <w:szCs w:val="20"/>
        </w:rPr>
        <w:t>the implemented system of difference equations.</w:t>
      </w:r>
    </w:p>
    <w:p w14:paraId="75A79AF7" w14:textId="1D75538A" w:rsidR="00E447D3" w:rsidRDefault="002A1882" w:rsidP="002A1882">
      <w:r>
        <w:br w:type="page"/>
      </w:r>
    </w:p>
    <w:p w14:paraId="39F0ED8B" w14:textId="77777777" w:rsidR="00E447D3" w:rsidRPr="00A25EAD" w:rsidRDefault="00E447D3" w:rsidP="00E447D3">
      <w:pPr>
        <w:pStyle w:val="Heading2"/>
        <w:spacing w:before="0"/>
        <w:rPr>
          <w:rFonts w:cs="Times New Roman"/>
          <w:szCs w:val="24"/>
        </w:rPr>
      </w:pPr>
      <w:bookmarkStart w:id="46" w:name="_Toc82592646"/>
      <w:commentRangeStart w:id="47"/>
      <w:commentRangeStart w:id="48"/>
      <w:commentRangeStart w:id="49"/>
      <w:r w:rsidRPr="00A25EAD">
        <w:rPr>
          <w:rFonts w:cs="Times New Roman"/>
          <w:szCs w:val="24"/>
        </w:rPr>
        <w:lastRenderedPageBreak/>
        <w:t>Probability of HIV transmission per sex act</w:t>
      </w:r>
      <w:commentRangeEnd w:id="47"/>
      <w:r>
        <w:rPr>
          <w:rStyle w:val="CommentReference"/>
          <w:rFonts w:eastAsia="Times New Roman" w:cs="Times New Roman"/>
          <w:b w:val="0"/>
          <w:bCs w:val="0"/>
          <w:color w:val="auto"/>
          <w:lang w:eastAsia="zh-CN"/>
        </w:rPr>
        <w:commentReference w:id="47"/>
      </w:r>
      <w:commentRangeEnd w:id="48"/>
      <w:r>
        <w:rPr>
          <w:rStyle w:val="CommentReference"/>
          <w:rFonts w:eastAsia="Times New Roman" w:cs="Times New Roman"/>
          <w:b w:val="0"/>
          <w:bCs w:val="0"/>
          <w:color w:val="auto"/>
          <w:lang w:eastAsia="zh-CN"/>
        </w:rPr>
        <w:commentReference w:id="48"/>
      </w:r>
      <w:commentRangeEnd w:id="49"/>
      <w:r w:rsidR="00303804">
        <w:rPr>
          <w:rStyle w:val="CommentReference"/>
          <w:rFonts w:eastAsia="Times New Roman" w:cs="Times New Roman"/>
          <w:b w:val="0"/>
          <w:bCs w:val="0"/>
          <w:color w:val="auto"/>
          <w:lang w:eastAsia="zh-CN"/>
        </w:rPr>
        <w:commentReference w:id="49"/>
      </w:r>
      <w:bookmarkEnd w:id="46"/>
    </w:p>
    <w:p w14:paraId="6AD5B20E" w14:textId="77777777" w:rsidR="00E447D3" w:rsidRDefault="00E447D3" w:rsidP="00E447D3"/>
    <w:p w14:paraId="231CA4A5" w14:textId="77777777" w:rsidR="00E447D3" w:rsidRPr="005745DE" w:rsidRDefault="00E447D3" w:rsidP="00E447D3">
      <w:r w:rsidRPr="005745DE">
        <w:t xml:space="preserve">The </w:t>
      </w:r>
      <w:r>
        <w:t xml:space="preserve">per sex act </w:t>
      </w:r>
      <w:r w:rsidRPr="005745DE">
        <w:t xml:space="preserve">probability of </w:t>
      </w:r>
      <w:r>
        <w:t>acquiring HIV</w:t>
      </w:r>
      <w:r w:rsidRPr="005745DE">
        <w:t xml:space="preserve"> in the </w:t>
      </w:r>
      <w:r>
        <w:t xml:space="preserve">force of infection </w:t>
      </w:r>
      <w:r w:rsidRPr="005745DE">
        <w:t xml:space="preserve">equation is defined as the probability of HIV transmission per sex act when an individual not living with HIV will become </w:t>
      </w:r>
      <w:proofErr w:type="spellStart"/>
      <w:r w:rsidRPr="005745DE">
        <w:t>sero</w:t>
      </w:r>
      <w:proofErr w:type="spellEnd"/>
      <w:r w:rsidRPr="005745DE">
        <w:t xml:space="preserve">-positive </w:t>
      </w:r>
      <w:r>
        <w:t>after</w:t>
      </w:r>
      <w:r w:rsidRPr="005745DE">
        <w:t xml:space="preserve"> partner</w:t>
      </w:r>
      <w:r>
        <w:t>ing</w:t>
      </w:r>
      <w:r w:rsidRPr="005745DE">
        <w:t xml:space="preserve"> with non-viral suppressed partner</w:t>
      </w:r>
      <w:r>
        <w:t>,</w:t>
      </w:r>
      <w:r w:rsidRPr="005745DE">
        <w:t xml:space="preserve"> without </w:t>
      </w:r>
      <w:r>
        <w:t xml:space="preserve">using a </w:t>
      </w:r>
      <w:r w:rsidRPr="005745DE">
        <w:t xml:space="preserve">condom. </w:t>
      </w:r>
    </w:p>
    <w:p w14:paraId="1CE5149A" w14:textId="77777777" w:rsidR="00E447D3" w:rsidRPr="005745DE" w:rsidRDefault="00E447D3" w:rsidP="00E447D3"/>
    <w:p w14:paraId="1B541670" w14:textId="77777777" w:rsidR="00E447D3" w:rsidRPr="00917334" w:rsidRDefault="00E447D3" w:rsidP="00E447D3">
      <w:r w:rsidRPr="005745DE">
        <w:rPr>
          <w:b/>
          <w:i/>
        </w:rPr>
        <w:t>Data source</w:t>
      </w:r>
      <w:r>
        <w:rPr>
          <w:b/>
          <w:i/>
        </w:rPr>
        <w:t>(s)</w:t>
      </w:r>
      <w:r w:rsidRPr="005745DE">
        <w:t xml:space="preserve">: </w:t>
      </w:r>
      <w:r>
        <w:t>A systematic review of probability of HIV transmission per sex act is used.</w:t>
      </w:r>
      <w:r>
        <w:fldChar w:fldCharType="begin" w:fldLock="1"/>
      </w:r>
      <w:r>
        <w:instrText>ADDIN CSL_CITATION {"citationItems":[{"id":"ITEM-1","itemData":{"ISBN":"1473-3099","author":[{"dropping-particle":"","family":"Boily","given":"Marie-Claude","non-dropping-particle":"","parse-names":false,"suffix":""},{"dropping-particle":"","family":"Baggaley","given":"Rebecca F","non-dropping-particle":"","parse-names":false,"suffix":""},{"dropping-particle":"","family":"Wang","given":"Lei","non-dropping-particle":"","parse-names":false,"suffix":""},{"dropping-particle":"","family":"Masse","given":"Benoit","non-dropping-particle":"","parse-names":false,"suffix":""},{"dropping-particle":"","family":"White","given":"Richard G","non-dropping-particle":"","parse-names":false,"suffix":""},{"dropping-particle":"","family":"Hayes","given":"Richard J","non-dropping-particle":"","parse-names":false,"suffix":""},{"dropping-particle":"","family":"Alary","given":"Michel","non-dropping-particle":"","parse-names":false,"suffix":""}],"container-title":"The Lancet infectious diseases","id":"ITEM-1","issue":"2","issued":{"date-parts":[["2009"]]},"page":"118-129","title":"Heterosexual risk of HIV-1 infection per sexual act: systematic review and meta-analysis of observational studies","type":"article-journal","volume":"9"},"uris":["http://www.mendeley.com/documents/?uuid=29f173eb-5252-4342-9a08-4acac90a151f"]}],"mendeley":{"formattedCitation":"&lt;sup&gt;37&lt;/sup&gt;","plainTextFormattedCitation":"37","previouslyFormattedCitation":"&lt;sup&gt;37&lt;/sup&gt;"},"properties":{"noteIndex":0},"schema":"https://github.com/citation-style-language/schema/raw/master/csl-citation.json"}</w:instrText>
      </w:r>
      <w:r>
        <w:fldChar w:fldCharType="separate"/>
      </w:r>
      <w:r w:rsidRPr="00A6018A">
        <w:rPr>
          <w:noProof/>
          <w:vertAlign w:val="superscript"/>
        </w:rPr>
        <w:t>37</w:t>
      </w:r>
      <w:r>
        <w:fldChar w:fldCharType="end"/>
      </w:r>
      <w:r>
        <w:t xml:space="preserve">  </w:t>
      </w:r>
    </w:p>
    <w:p w14:paraId="03ED8CE6" w14:textId="77777777" w:rsidR="00E447D3" w:rsidRPr="00664D6C" w:rsidRDefault="00E447D3" w:rsidP="002E50FA">
      <w:pPr>
        <w:pStyle w:val="BodyText"/>
        <w:numPr>
          <w:ilvl w:val="0"/>
          <w:numId w:val="12"/>
        </w:numPr>
        <w:spacing w:before="0" w:after="0"/>
        <w:rPr>
          <w:strike/>
        </w:rPr>
      </w:pPr>
      <w:r w:rsidRPr="00615F68">
        <w:t>Among low-risk women, the systematic review found probabilities of male-to-female</w:t>
      </w:r>
      <w:r>
        <w:t xml:space="preserve"> </w:t>
      </w:r>
      <w:r w:rsidRPr="00615F68">
        <w:t>transmission</w:t>
      </w:r>
      <w:r>
        <w:t xml:space="preserve"> is 0.30%.</w:t>
      </w:r>
    </w:p>
    <w:p w14:paraId="4B430E99" w14:textId="77777777" w:rsidR="00E447D3" w:rsidRPr="00330843" w:rsidRDefault="00E447D3" w:rsidP="002E50FA">
      <w:pPr>
        <w:pStyle w:val="BodyText"/>
        <w:numPr>
          <w:ilvl w:val="0"/>
          <w:numId w:val="12"/>
        </w:numPr>
        <w:spacing w:before="0" w:after="0"/>
        <w:rPr>
          <w:b/>
          <w:i/>
        </w:rPr>
      </w:pPr>
      <w:r w:rsidRPr="005745DE">
        <w:t xml:space="preserve">Among high-risk </w:t>
      </w:r>
      <w:r>
        <w:t>women</w:t>
      </w:r>
      <w:r w:rsidRPr="005745DE">
        <w:t xml:space="preserve">, the probabilities of </w:t>
      </w:r>
      <w:r>
        <w:t xml:space="preserve">acquiring HIV per sex act due to partner living with HIV </w:t>
      </w:r>
      <w:r w:rsidRPr="005745DE">
        <w:t>differ significantly</w:t>
      </w:r>
      <w:r>
        <w:t xml:space="preserve"> </w:t>
      </w:r>
      <w:r w:rsidRPr="00330843">
        <w:t>compared to low-risk women. The probability of male-to-female transmission in commercial sex, which is 0.05%.</w:t>
      </w:r>
    </w:p>
    <w:p w14:paraId="6693E284" w14:textId="77777777" w:rsidR="00E447D3" w:rsidRPr="0065158F" w:rsidRDefault="00E447D3" w:rsidP="002E50FA">
      <w:pPr>
        <w:pStyle w:val="BodyText"/>
        <w:numPr>
          <w:ilvl w:val="0"/>
          <w:numId w:val="12"/>
        </w:numPr>
        <w:spacing w:before="0" w:after="0"/>
        <w:rPr>
          <w:b/>
          <w:i/>
        </w:rPr>
      </w:pPr>
      <w:r w:rsidRPr="00330843">
        <w:t xml:space="preserve">In particular, men who were engaging in commercial sex were found to have a higher per-act probability of acquiring HIV of 2.44% and men regardless of the type of sex partner were found to have a per-act probability of acquiring </w:t>
      </w:r>
      <w:r>
        <w:t>HIV of 0.87%. Since we did not model men who are the clients of female sex workers independently, the probability of acquiring HIV regardless of sex partner is used (0.87%).</w:t>
      </w:r>
    </w:p>
    <w:p w14:paraId="5265C11C" w14:textId="77777777" w:rsidR="00E447D3" w:rsidRPr="002553D8" w:rsidRDefault="00E447D3" w:rsidP="00E447D3">
      <w:pPr>
        <w:rPr>
          <w:b/>
          <w:i/>
        </w:rPr>
      </w:pPr>
    </w:p>
    <w:p w14:paraId="24AE433D" w14:textId="77777777" w:rsidR="00E447D3" w:rsidRPr="005745DE" w:rsidRDefault="00E447D3" w:rsidP="00E447D3">
      <w:pPr>
        <w:jc w:val="both"/>
        <w:rPr>
          <w:b/>
          <w:i/>
        </w:rPr>
      </w:pPr>
      <w:r w:rsidRPr="005745DE">
        <w:rPr>
          <w:b/>
          <w:i/>
        </w:rPr>
        <w:t xml:space="preserve">Assumptions </w:t>
      </w:r>
    </w:p>
    <w:p w14:paraId="4C563C7F" w14:textId="0E524D95" w:rsidR="00E447D3" w:rsidRDefault="00E447D3" w:rsidP="002E50FA">
      <w:pPr>
        <w:pStyle w:val="BodyText"/>
        <w:numPr>
          <w:ilvl w:val="0"/>
          <w:numId w:val="9"/>
        </w:numPr>
        <w:spacing w:before="0" w:after="0"/>
        <w:ind w:left="360"/>
        <w:rPr>
          <w:lang w:eastAsia="ja-JP"/>
        </w:rPr>
      </w:pPr>
      <w:r>
        <w:t xml:space="preserve">Probability of HIV transmission </w:t>
      </w:r>
      <w:r w:rsidRPr="005745DE">
        <w:t>is assumed to b</w:t>
      </w:r>
      <w:r>
        <w:t xml:space="preserve">e the same irrespective of </w:t>
      </w:r>
      <w:r w:rsidRPr="005745DE">
        <w:t>age and urbanicity</w:t>
      </w:r>
      <w:r>
        <w:t xml:space="preserve"> since a study suggested that probability of HIV transmission does not statistically differ by susceptible population’s age group.</w:t>
      </w:r>
      <w:r>
        <w:fldChar w:fldCharType="begin" w:fldLock="1"/>
      </w:r>
      <w:r w:rsidR="00036C3E">
        <w:instrText>ADDIN CSL_CITATION {"citationItems":[{"id":"ITEM-1","itemData":{"DOI":"10.1016/S1473-3099(08)70156-7","ISSN":"14733099","abstract":"Studies of cumulative HIV incidence suggest that cofactors such as genital ulcer disease, HIV disease stage, and male circumcision influence HIV transmission; however, the heterosexual infectivity of HIV-1 is commonly cited as a fixed value (approximately 0·001, or one transmission per 1000 contacts). We sought to estimate transmission cofactor effects on the heterosexual infectivity of HIV-1 and to quantify the extent to which study methods have affected infectivity estimates. We undertook a systematic search (up to April 27, 2008) of PubMed, Web of Science, and relevant bibliographies to identify articles estimating the heterosexual infectivity of HIV-1. We used meta-regression and stratified random-effects meta-analysis to assess differences in infectivity associated with cofactors and study methods. Infectivity estimates were very heterogeneous, ranging from zero transmissions after more than 100 penile-vaginal contacts in some serodiscordant couples to one transmission for every 3·1 episodes of heterosexual anal intercourse. Estimates were only weakly associated with study methods. Infectivity differences, expressed as number of transmissions per 1000 contacts, were 8·1 (95 % CI 0·4-15·8) when comparing uncircumcised to circumcised susceptible men, 6·0 (3·3-8·8) comparing susceptible individuals with and without genital ulcer disease, 1·9 (0·9-2·8) comparing late-stage to mid-stage index cases, and 2·5 (0·2-4·9) comparing early-stage to mid-stage index cases. A single value for the heterosexual infectivity of HIV-1 fails to reflect the variation associated with important cofactors. The commonly cited value of 0·001 was estimated among stable couples with low prevalences of high-risk cofactors, and represents a lower bound. Cofactor effects are important to include in epidemic models, policy considerations, and prevention messages. © 2008 Elsevier Ltd. All rights reserved.","author":[{"dropping-particle":"","family":"Powers","given":"Kimberly A.","non-dropping-particle":"","parse-names":false,"suffix":""},{"dropping-particle":"","family":"Poole","given":"Charles","non-dropping-particle":"","parse-names":false,"suffix":""},{"dropping-particle":"","family":"Pettifor","given":"Audrey E.","non-dropping-particle":"","parse-names":false,"suffix":""},{"dropping-particle":"","family":"Cohen","given":"Myron S.","non-dropping-particle":"","parse-names":false,"suffix":""}],"container-title":"The Lancet Infectious Diseases","id":"ITEM-1","issued":{"date-parts":[["2008"]]},"title":"Rethinking the heterosexual infectivity of HIV-1: a systematic review and meta-analysis","type":"article"},"uris":["http://www.mendeley.com/documents/?uuid=556831af-080c-4507-8a8e-58c620144193"]}],"mendeley":{"formattedCitation":"&lt;sup&gt;38&lt;/sup&gt;","plainTextFormattedCitation":"38","previouslyFormattedCitation":"&lt;sup&gt;38&lt;/sup&gt;"},"properties":{"noteIndex":0},"schema":"https://github.com/citation-style-language/schema/raw/master/csl-citation.json"}</w:instrText>
      </w:r>
      <w:r>
        <w:fldChar w:fldCharType="separate"/>
      </w:r>
      <w:r w:rsidR="00E60418" w:rsidRPr="00E60418">
        <w:rPr>
          <w:noProof/>
          <w:vertAlign w:val="superscript"/>
          <w:lang w:eastAsia="ja-JP"/>
        </w:rPr>
        <w:t>38</w:t>
      </w:r>
      <w:r>
        <w:fldChar w:fldCharType="end"/>
      </w:r>
      <w:r>
        <w:rPr>
          <w:lang w:eastAsia="ja-JP"/>
        </w:rPr>
        <w:t xml:space="preserve"> </w:t>
      </w:r>
    </w:p>
    <w:p w14:paraId="235BBCF7" w14:textId="37E0BA68" w:rsidR="00E447D3" w:rsidRDefault="00E447D3" w:rsidP="002E50FA">
      <w:pPr>
        <w:pStyle w:val="BodyText"/>
        <w:numPr>
          <w:ilvl w:val="0"/>
          <w:numId w:val="9"/>
        </w:numPr>
        <w:spacing w:before="0" w:after="0"/>
        <w:ind w:left="360"/>
        <w:rPr>
          <w:lang w:eastAsia="ja-JP"/>
        </w:rPr>
      </w:pPr>
      <w:r>
        <w:rPr>
          <w:lang w:eastAsia="ja-JP"/>
        </w:rPr>
        <w:t>W</w:t>
      </w:r>
      <w:r w:rsidRPr="00FE0893">
        <w:rPr>
          <w:lang w:eastAsia="ja-JP"/>
        </w:rPr>
        <w:t xml:space="preserve">e did not account for differences in probabilities of HIV transmission for disease stage since </w:t>
      </w:r>
      <w:r>
        <w:rPr>
          <w:lang w:eastAsia="ja-JP"/>
        </w:rPr>
        <w:t>we did not stratify the sub-population by disease stage.</w:t>
      </w:r>
    </w:p>
    <w:p w14:paraId="435C001F" w14:textId="3B7D8505" w:rsidR="00E639E1" w:rsidRDefault="00E639E1" w:rsidP="00E639E1">
      <w:pPr>
        <w:pStyle w:val="BodyText"/>
        <w:spacing w:before="0" w:after="0"/>
        <w:rPr>
          <w:lang w:eastAsia="ja-JP"/>
        </w:rPr>
      </w:pPr>
    </w:p>
    <w:p w14:paraId="5964EFE6" w14:textId="23CEF700" w:rsidR="00E639E1" w:rsidRDefault="00E639E1" w:rsidP="00E639E1">
      <w:pPr>
        <w:pStyle w:val="BodyText"/>
        <w:spacing w:before="0" w:after="0"/>
        <w:rPr>
          <w:b/>
          <w:bCs/>
          <w:i/>
          <w:iCs/>
          <w:lang w:eastAsia="ja-JP"/>
        </w:rPr>
      </w:pPr>
      <w:r>
        <w:rPr>
          <w:b/>
          <w:bCs/>
          <w:i/>
          <w:iCs/>
          <w:lang w:eastAsia="ja-JP"/>
        </w:rPr>
        <w:t>Analytic decisions</w:t>
      </w:r>
    </w:p>
    <w:p w14:paraId="55E67512" w14:textId="4F2F5923" w:rsidR="00E639E1" w:rsidRPr="00E639E1" w:rsidRDefault="00E639E1" w:rsidP="00E639E1">
      <w:pPr>
        <w:pStyle w:val="BodyText"/>
        <w:numPr>
          <w:ilvl w:val="0"/>
          <w:numId w:val="55"/>
        </w:numPr>
        <w:spacing w:before="0" w:after="0"/>
        <w:rPr>
          <w:lang w:eastAsia="ja-JP"/>
        </w:rPr>
      </w:pPr>
      <w:r>
        <w:rPr>
          <w:lang w:eastAsia="ja-JP"/>
        </w:rPr>
        <w:t xml:space="preserve">The probabilities of HIV transmission </w:t>
      </w:r>
      <w:r w:rsidR="00626DD9">
        <w:rPr>
          <w:lang w:eastAsia="ja-JP"/>
        </w:rPr>
        <w:t>are</w:t>
      </w:r>
      <w:r>
        <w:rPr>
          <w:lang w:eastAsia="ja-JP"/>
        </w:rPr>
        <w:t xml:space="preserve"> reported in </w:t>
      </w:r>
      <w:r>
        <w:rPr>
          <w:lang w:eastAsia="ja-JP"/>
        </w:rPr>
        <w:fldChar w:fldCharType="begin"/>
      </w:r>
      <w:r>
        <w:rPr>
          <w:lang w:eastAsia="ja-JP"/>
        </w:rPr>
        <w:instrText xml:space="preserve"> REF _Ref81782410 \h </w:instrText>
      </w:r>
      <w:r>
        <w:rPr>
          <w:lang w:eastAsia="ja-JP"/>
        </w:rPr>
      </w:r>
      <w:r>
        <w:rPr>
          <w:lang w:eastAsia="ja-JP"/>
        </w:rPr>
        <w:fldChar w:fldCharType="separate"/>
      </w:r>
      <w:r w:rsidR="001E49BE" w:rsidRPr="00285794">
        <w:rPr>
          <w:b/>
          <w:lang w:eastAsia="ja-JP"/>
        </w:rPr>
        <w:t xml:space="preserve">Table </w:t>
      </w:r>
      <w:r w:rsidR="001E49BE">
        <w:rPr>
          <w:b/>
          <w:noProof/>
          <w:lang w:eastAsia="ja-JP"/>
        </w:rPr>
        <w:t>4</w:t>
      </w:r>
      <w:r>
        <w:rPr>
          <w:lang w:eastAsia="ja-JP"/>
        </w:rPr>
        <w:fldChar w:fldCharType="end"/>
      </w:r>
      <w:r>
        <w:rPr>
          <w:lang w:eastAsia="ja-JP"/>
        </w:rPr>
        <w:t>.</w:t>
      </w:r>
    </w:p>
    <w:p w14:paraId="116D07A1" w14:textId="77777777" w:rsidR="00E447D3" w:rsidRPr="00FE0893" w:rsidRDefault="00E447D3" w:rsidP="00E447D3">
      <w:pPr>
        <w:rPr>
          <w:b/>
          <w:lang w:eastAsia="ja-JP"/>
        </w:rPr>
      </w:pPr>
    </w:p>
    <w:p w14:paraId="1ECA724C" w14:textId="16340C15" w:rsidR="00E447D3" w:rsidRPr="00285794" w:rsidRDefault="00E447D3" w:rsidP="00E447D3">
      <w:pPr>
        <w:jc w:val="both"/>
        <w:rPr>
          <w:b/>
          <w:lang w:eastAsia="ja-JP"/>
        </w:rPr>
      </w:pPr>
      <w:bookmarkStart w:id="50" w:name="_Ref81782410"/>
      <w:bookmarkStart w:id="51" w:name="_Toc82448067"/>
      <w:bookmarkStart w:id="52" w:name="_Toc82592498"/>
      <w:bookmarkStart w:id="53" w:name="_Toc82599263"/>
      <w:r w:rsidRPr="00285794">
        <w:rPr>
          <w:b/>
          <w:lang w:eastAsia="ja-JP"/>
        </w:rPr>
        <w:t xml:space="preserve">Table </w:t>
      </w:r>
      <w:r w:rsidRPr="00285794">
        <w:rPr>
          <w:b/>
        </w:rPr>
        <w:fldChar w:fldCharType="begin"/>
      </w:r>
      <w:r w:rsidRPr="00285794">
        <w:rPr>
          <w:b/>
          <w:lang w:eastAsia="ja-JP"/>
        </w:rPr>
        <w:instrText xml:space="preserve"> SEQ Table \* ARABIC </w:instrText>
      </w:r>
      <w:r w:rsidRPr="00285794">
        <w:rPr>
          <w:b/>
        </w:rPr>
        <w:fldChar w:fldCharType="separate"/>
      </w:r>
      <w:r w:rsidR="001E49BE">
        <w:rPr>
          <w:b/>
          <w:noProof/>
          <w:lang w:eastAsia="ja-JP"/>
        </w:rPr>
        <w:t>4</w:t>
      </w:r>
      <w:r w:rsidRPr="00285794">
        <w:rPr>
          <w:b/>
        </w:rPr>
        <w:fldChar w:fldCharType="end"/>
      </w:r>
      <w:bookmarkEnd w:id="50"/>
      <w:r w:rsidRPr="00285794">
        <w:rPr>
          <w:b/>
          <w:lang w:eastAsia="ja-JP"/>
        </w:rPr>
        <w:t>:</w:t>
      </w:r>
      <w:r w:rsidRPr="00285794">
        <w:rPr>
          <w:b/>
          <w:bCs/>
          <w:lang w:eastAsia="ja-JP"/>
        </w:rPr>
        <w:t xml:space="preserve"> </w:t>
      </w:r>
      <w:bookmarkStart w:id="54" w:name="_Hlk74741214"/>
      <w:r w:rsidRPr="00285794">
        <w:rPr>
          <w:b/>
          <w:bCs/>
          <w:lang w:eastAsia="ja-JP"/>
        </w:rPr>
        <w:t>Probabilities of HIV transmission per sex act</w:t>
      </w:r>
      <w:r>
        <w:rPr>
          <w:b/>
          <w:bCs/>
          <w:lang w:eastAsia="ja-JP"/>
        </w:rPr>
        <w:t>, by</w:t>
      </w:r>
      <w:r w:rsidRPr="00285794">
        <w:rPr>
          <w:b/>
          <w:bCs/>
          <w:lang w:eastAsia="ja-JP"/>
        </w:rPr>
        <w:t xml:space="preserve"> sub-group </w:t>
      </w:r>
      <w:r>
        <w:rPr>
          <w:b/>
          <w:bCs/>
          <w:lang w:eastAsia="ja-JP"/>
        </w:rPr>
        <w:t>and</w:t>
      </w:r>
      <w:r w:rsidRPr="00285794">
        <w:rPr>
          <w:b/>
          <w:bCs/>
          <w:lang w:eastAsia="ja-JP"/>
        </w:rPr>
        <w:t xml:space="preserve"> direction</w:t>
      </w:r>
      <w:bookmarkEnd w:id="51"/>
      <w:bookmarkEnd w:id="52"/>
      <w:bookmarkEnd w:id="53"/>
      <w:bookmarkEnd w:id="54"/>
      <w:r w:rsidRPr="00285794">
        <w:rPr>
          <w:b/>
          <w:bCs/>
          <w:lang w:eastAsia="ja-JP"/>
        </w:rPr>
        <w:t xml:space="preserve"> </w:t>
      </w:r>
    </w:p>
    <w:tbl>
      <w:tblPr>
        <w:tblW w:w="85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713"/>
        <w:gridCol w:w="2790"/>
      </w:tblGrid>
      <w:tr w:rsidR="00E447D3" w:rsidRPr="002F34FC" w14:paraId="603A448D" w14:textId="77777777" w:rsidTr="00303804">
        <w:trPr>
          <w:trHeight w:val="264"/>
        </w:trPr>
        <w:tc>
          <w:tcPr>
            <w:tcW w:w="2070" w:type="dxa"/>
          </w:tcPr>
          <w:p w14:paraId="578F9A09" w14:textId="77777777" w:rsidR="00E447D3" w:rsidRPr="002F34FC" w:rsidRDefault="00E447D3" w:rsidP="00303804">
            <w:pPr>
              <w:rPr>
                <w:b/>
                <w:bCs/>
                <w:sz w:val="20"/>
                <w:szCs w:val="20"/>
                <w:lang w:eastAsia="ja-JP"/>
              </w:rPr>
            </w:pPr>
            <w:r w:rsidRPr="002F34FC">
              <w:rPr>
                <w:b/>
                <w:bCs/>
                <w:sz w:val="20"/>
                <w:szCs w:val="20"/>
                <w:lang w:eastAsia="ja-JP"/>
              </w:rPr>
              <w:t>Sub-population</w:t>
            </w:r>
          </w:p>
        </w:tc>
        <w:tc>
          <w:tcPr>
            <w:tcW w:w="3713" w:type="dxa"/>
          </w:tcPr>
          <w:p w14:paraId="3B152F99" w14:textId="77777777" w:rsidR="00E447D3" w:rsidRPr="002F34FC" w:rsidRDefault="00E447D3" w:rsidP="00303804">
            <w:pPr>
              <w:rPr>
                <w:b/>
                <w:bCs/>
                <w:sz w:val="20"/>
                <w:szCs w:val="20"/>
                <w:lang w:eastAsia="ja-JP"/>
              </w:rPr>
            </w:pPr>
            <w:r w:rsidRPr="002F34FC">
              <w:rPr>
                <w:b/>
                <w:bCs/>
                <w:sz w:val="20"/>
                <w:szCs w:val="20"/>
                <w:lang w:eastAsia="ja-JP"/>
              </w:rPr>
              <w:t>Direction</w:t>
            </w:r>
          </w:p>
        </w:tc>
        <w:tc>
          <w:tcPr>
            <w:tcW w:w="2790" w:type="dxa"/>
          </w:tcPr>
          <w:p w14:paraId="36CFE2BD" w14:textId="77777777" w:rsidR="00E447D3" w:rsidRPr="002F34FC" w:rsidRDefault="00E447D3" w:rsidP="00303804">
            <w:pPr>
              <w:rPr>
                <w:b/>
                <w:bCs/>
                <w:sz w:val="20"/>
                <w:szCs w:val="20"/>
                <w:lang w:eastAsia="ja-JP"/>
              </w:rPr>
            </w:pPr>
            <w:r w:rsidRPr="002F34FC">
              <w:rPr>
                <w:b/>
                <w:bCs/>
                <w:sz w:val="20"/>
                <w:szCs w:val="20"/>
                <w:lang w:eastAsia="ja-JP"/>
              </w:rPr>
              <w:t>Probabilities (95% CI)</w:t>
            </w:r>
          </w:p>
        </w:tc>
      </w:tr>
      <w:tr w:rsidR="00E447D3" w:rsidRPr="002F34FC" w14:paraId="05EF7D9C" w14:textId="77777777" w:rsidTr="00303804">
        <w:trPr>
          <w:trHeight w:val="264"/>
        </w:trPr>
        <w:tc>
          <w:tcPr>
            <w:tcW w:w="2070" w:type="dxa"/>
            <w:vAlign w:val="center"/>
          </w:tcPr>
          <w:p w14:paraId="3664B189" w14:textId="77777777" w:rsidR="00E447D3" w:rsidRPr="002F34FC" w:rsidRDefault="00E447D3" w:rsidP="00303804">
            <w:pPr>
              <w:rPr>
                <w:sz w:val="20"/>
                <w:szCs w:val="20"/>
                <w:lang w:eastAsia="ja-JP"/>
              </w:rPr>
            </w:pPr>
            <w:r w:rsidRPr="002F34FC">
              <w:rPr>
                <w:sz w:val="20"/>
                <w:szCs w:val="20"/>
                <w:lang w:eastAsia="ja-JP"/>
              </w:rPr>
              <w:t xml:space="preserve">High-risk women </w:t>
            </w:r>
          </w:p>
        </w:tc>
        <w:tc>
          <w:tcPr>
            <w:tcW w:w="3713" w:type="dxa"/>
            <w:vAlign w:val="center"/>
          </w:tcPr>
          <w:p w14:paraId="4FFBA637" w14:textId="77777777" w:rsidR="00E447D3" w:rsidRPr="002F34FC" w:rsidRDefault="00E447D3" w:rsidP="00303804">
            <w:pPr>
              <w:rPr>
                <w:sz w:val="20"/>
                <w:szCs w:val="20"/>
                <w:lang w:eastAsia="ja-JP"/>
              </w:rPr>
            </w:pPr>
            <w:r w:rsidRPr="002F34FC">
              <w:rPr>
                <w:sz w:val="20"/>
                <w:szCs w:val="20"/>
                <w:lang w:eastAsia="ja-JP"/>
              </w:rPr>
              <w:t>Male-to-female</w:t>
            </w:r>
          </w:p>
        </w:tc>
        <w:tc>
          <w:tcPr>
            <w:tcW w:w="2790" w:type="dxa"/>
            <w:vAlign w:val="center"/>
          </w:tcPr>
          <w:p w14:paraId="042476D5" w14:textId="77777777" w:rsidR="00E447D3" w:rsidRPr="002F34FC" w:rsidRDefault="00E447D3" w:rsidP="00303804">
            <w:pPr>
              <w:rPr>
                <w:sz w:val="20"/>
                <w:szCs w:val="20"/>
                <w:vertAlign w:val="superscript"/>
                <w:lang w:eastAsia="ja-JP"/>
              </w:rPr>
            </w:pPr>
            <w:commentRangeStart w:id="55"/>
            <w:r w:rsidRPr="002F34FC">
              <w:rPr>
                <w:sz w:val="20"/>
                <w:szCs w:val="20"/>
                <w:lang w:eastAsia="ja-JP"/>
              </w:rPr>
              <w:t xml:space="preserve">0.0005 (0.0002 – </w:t>
            </w:r>
            <w:proofErr w:type="gramStart"/>
            <w:r w:rsidRPr="002F34FC">
              <w:rPr>
                <w:sz w:val="20"/>
                <w:szCs w:val="20"/>
                <w:lang w:eastAsia="ja-JP"/>
              </w:rPr>
              <w:t>0.0013)</w:t>
            </w:r>
            <w:r w:rsidRPr="002F34FC">
              <w:rPr>
                <w:sz w:val="20"/>
                <w:szCs w:val="20"/>
                <w:vertAlign w:val="superscript"/>
                <w:lang w:eastAsia="ja-JP"/>
              </w:rPr>
              <w:t>a</w:t>
            </w:r>
            <w:commentRangeEnd w:id="55"/>
            <w:proofErr w:type="gramEnd"/>
            <w:r w:rsidRPr="002F34FC">
              <w:rPr>
                <w:rStyle w:val="Heading2Char"/>
                <w:rFonts w:cs="Times New Roman"/>
                <w:sz w:val="20"/>
                <w:szCs w:val="20"/>
              </w:rPr>
              <w:commentReference w:id="55"/>
            </w:r>
          </w:p>
        </w:tc>
      </w:tr>
      <w:tr w:rsidR="00E447D3" w:rsidRPr="002F34FC" w14:paraId="273DC42F" w14:textId="77777777" w:rsidTr="00303804">
        <w:trPr>
          <w:trHeight w:val="264"/>
        </w:trPr>
        <w:tc>
          <w:tcPr>
            <w:tcW w:w="2070" w:type="dxa"/>
            <w:vAlign w:val="center"/>
          </w:tcPr>
          <w:p w14:paraId="4FB26DF0" w14:textId="77777777" w:rsidR="00E447D3" w:rsidRPr="002F34FC" w:rsidRDefault="00E447D3" w:rsidP="00303804">
            <w:pPr>
              <w:rPr>
                <w:sz w:val="20"/>
                <w:szCs w:val="20"/>
                <w:lang w:eastAsia="ja-JP"/>
              </w:rPr>
            </w:pPr>
            <w:r w:rsidRPr="002F34FC">
              <w:rPr>
                <w:sz w:val="20"/>
                <w:szCs w:val="20"/>
                <w:lang w:eastAsia="ja-JP"/>
              </w:rPr>
              <w:t>Low-risk women</w:t>
            </w:r>
          </w:p>
        </w:tc>
        <w:tc>
          <w:tcPr>
            <w:tcW w:w="3713" w:type="dxa"/>
            <w:vAlign w:val="center"/>
          </w:tcPr>
          <w:p w14:paraId="0B3066BC" w14:textId="77777777" w:rsidR="00E447D3" w:rsidRPr="002F34FC" w:rsidRDefault="00E447D3" w:rsidP="00303804">
            <w:pPr>
              <w:rPr>
                <w:sz w:val="20"/>
                <w:szCs w:val="20"/>
                <w:lang w:eastAsia="ja-JP"/>
              </w:rPr>
            </w:pPr>
            <w:r w:rsidRPr="002F34FC">
              <w:rPr>
                <w:sz w:val="20"/>
                <w:szCs w:val="20"/>
                <w:lang w:eastAsia="ja-JP"/>
              </w:rPr>
              <w:t>Male-to-female</w:t>
            </w:r>
          </w:p>
        </w:tc>
        <w:tc>
          <w:tcPr>
            <w:tcW w:w="2790" w:type="dxa"/>
            <w:vAlign w:val="center"/>
          </w:tcPr>
          <w:p w14:paraId="5AE1E5E7" w14:textId="77777777" w:rsidR="00E447D3" w:rsidRPr="002F34FC" w:rsidRDefault="00E447D3" w:rsidP="00303804">
            <w:pPr>
              <w:rPr>
                <w:sz w:val="20"/>
                <w:szCs w:val="20"/>
                <w:lang w:eastAsia="ja-JP"/>
              </w:rPr>
            </w:pPr>
            <w:r w:rsidRPr="002F34FC">
              <w:rPr>
                <w:sz w:val="20"/>
                <w:szCs w:val="20"/>
                <w:lang w:eastAsia="ja-JP"/>
              </w:rPr>
              <w:t>0.0030 (0.0014 – 0.0063)</w:t>
            </w:r>
          </w:p>
        </w:tc>
      </w:tr>
      <w:tr w:rsidR="00E447D3" w:rsidRPr="002F34FC" w14:paraId="716F505C" w14:textId="77777777" w:rsidTr="00303804">
        <w:trPr>
          <w:trHeight w:val="264"/>
        </w:trPr>
        <w:tc>
          <w:tcPr>
            <w:tcW w:w="2070" w:type="dxa"/>
            <w:vAlign w:val="center"/>
          </w:tcPr>
          <w:p w14:paraId="079BFCD2" w14:textId="77777777" w:rsidR="00E447D3" w:rsidRPr="002F34FC" w:rsidRDefault="00E447D3" w:rsidP="00303804">
            <w:pPr>
              <w:rPr>
                <w:sz w:val="20"/>
                <w:szCs w:val="20"/>
                <w:lang w:eastAsia="ja-JP"/>
              </w:rPr>
            </w:pPr>
            <w:r w:rsidRPr="002F34FC">
              <w:rPr>
                <w:sz w:val="20"/>
                <w:szCs w:val="20"/>
                <w:lang w:eastAsia="ja-JP"/>
              </w:rPr>
              <w:t>Men</w:t>
            </w:r>
          </w:p>
        </w:tc>
        <w:tc>
          <w:tcPr>
            <w:tcW w:w="3713" w:type="dxa"/>
            <w:vAlign w:val="center"/>
          </w:tcPr>
          <w:p w14:paraId="063EAB2E" w14:textId="77777777" w:rsidR="00E447D3" w:rsidRPr="002F34FC" w:rsidRDefault="00E447D3" w:rsidP="00303804">
            <w:pPr>
              <w:rPr>
                <w:sz w:val="20"/>
                <w:szCs w:val="20"/>
                <w:lang w:eastAsia="ja-JP"/>
              </w:rPr>
            </w:pPr>
            <w:r w:rsidRPr="002F34FC">
              <w:rPr>
                <w:sz w:val="20"/>
                <w:szCs w:val="20"/>
                <w:lang w:eastAsia="ja-JP"/>
              </w:rPr>
              <w:t xml:space="preserve">Female-to-male </w:t>
            </w:r>
          </w:p>
          <w:p w14:paraId="2D39C19A" w14:textId="77777777" w:rsidR="00E447D3" w:rsidRPr="002F34FC" w:rsidRDefault="00E447D3" w:rsidP="00303804">
            <w:pPr>
              <w:rPr>
                <w:sz w:val="20"/>
                <w:szCs w:val="20"/>
                <w:lang w:eastAsia="ja-JP"/>
              </w:rPr>
            </w:pPr>
            <w:r w:rsidRPr="002F34FC">
              <w:rPr>
                <w:sz w:val="20"/>
                <w:szCs w:val="20"/>
                <w:lang w:eastAsia="ja-JP"/>
              </w:rPr>
              <w:t>(Pooled estimate for all men)</w:t>
            </w:r>
          </w:p>
        </w:tc>
        <w:tc>
          <w:tcPr>
            <w:tcW w:w="2790" w:type="dxa"/>
            <w:vAlign w:val="center"/>
          </w:tcPr>
          <w:p w14:paraId="1BC50C23" w14:textId="77777777" w:rsidR="00E447D3" w:rsidRPr="002F34FC" w:rsidRDefault="00E447D3" w:rsidP="00303804">
            <w:pPr>
              <w:rPr>
                <w:sz w:val="20"/>
                <w:szCs w:val="20"/>
                <w:lang w:eastAsia="ja-JP"/>
              </w:rPr>
            </w:pPr>
            <w:r w:rsidRPr="002F34FC">
              <w:rPr>
                <w:sz w:val="20"/>
                <w:szCs w:val="20"/>
                <w:lang w:eastAsia="ja-JP"/>
              </w:rPr>
              <w:t>0.0087 (0.0028 – 0.0270)</w:t>
            </w:r>
          </w:p>
        </w:tc>
      </w:tr>
    </w:tbl>
    <w:p w14:paraId="566ADBB9" w14:textId="77777777" w:rsidR="00E447D3" w:rsidRPr="002F34FC" w:rsidRDefault="00E447D3" w:rsidP="00E447D3">
      <w:pPr>
        <w:jc w:val="both"/>
        <w:rPr>
          <w:bCs/>
          <w:i/>
          <w:iCs/>
          <w:sz w:val="20"/>
          <w:szCs w:val="20"/>
          <w:lang w:eastAsia="ja-JP"/>
        </w:rPr>
      </w:pPr>
      <w:r w:rsidRPr="002F34FC">
        <w:rPr>
          <w:bCs/>
          <w:i/>
          <w:iCs/>
          <w:sz w:val="20"/>
          <w:szCs w:val="20"/>
          <w:lang w:eastAsia="ja-JP"/>
        </w:rPr>
        <w:t xml:space="preserve">Note: 95% CI is extracted from literature. </w:t>
      </w:r>
    </w:p>
    <w:p w14:paraId="5C7C1D40" w14:textId="12A1A178" w:rsidR="00E447D3" w:rsidRPr="002F34FC" w:rsidRDefault="00035872" w:rsidP="00035872">
      <w:pPr>
        <w:pStyle w:val="BodyText"/>
        <w:spacing w:before="0" w:after="0"/>
        <w:jc w:val="both"/>
        <w:rPr>
          <w:b/>
          <w:sz w:val="20"/>
          <w:szCs w:val="20"/>
          <w:lang w:eastAsia="ja-JP"/>
        </w:rPr>
      </w:pPr>
      <w:proofErr w:type="spellStart"/>
      <w:r w:rsidRPr="00035872">
        <w:rPr>
          <w:sz w:val="20"/>
          <w:szCs w:val="20"/>
          <w:vertAlign w:val="superscript"/>
          <w:lang w:eastAsia="ja-JP"/>
        </w:rPr>
        <w:t>a</w:t>
      </w:r>
      <w:proofErr w:type="spellEnd"/>
      <w:r>
        <w:rPr>
          <w:sz w:val="20"/>
          <w:szCs w:val="20"/>
          <w:lang w:eastAsia="ja-JP"/>
        </w:rPr>
        <w:t xml:space="preserve"> </w:t>
      </w:r>
      <w:proofErr w:type="gramStart"/>
      <w:r w:rsidR="00E447D3" w:rsidRPr="002F34FC">
        <w:rPr>
          <w:sz w:val="20"/>
          <w:szCs w:val="20"/>
          <w:lang w:eastAsia="ja-JP"/>
        </w:rPr>
        <w:t>The</w:t>
      </w:r>
      <w:proofErr w:type="gramEnd"/>
      <w:r w:rsidR="00E447D3" w:rsidRPr="002F34FC">
        <w:rPr>
          <w:sz w:val="20"/>
          <w:szCs w:val="20"/>
          <w:lang w:eastAsia="ja-JP"/>
        </w:rPr>
        <w:t xml:space="preserve"> probability of client-to-female-sex workers transmission is low possibly due to imprecise data or low prevalence of other sexually transmitted diseases among female sex workers in the country studied. Given the </w:t>
      </w:r>
      <w:r>
        <w:rPr>
          <w:sz w:val="20"/>
          <w:szCs w:val="20"/>
          <w:lang w:eastAsia="ja-JP"/>
        </w:rPr>
        <w:t xml:space="preserve">uncertainty </w:t>
      </w:r>
      <w:r w:rsidR="00E447D3" w:rsidRPr="002F34FC">
        <w:rPr>
          <w:sz w:val="20"/>
          <w:szCs w:val="20"/>
          <w:lang w:eastAsia="ja-JP"/>
        </w:rPr>
        <w:t xml:space="preserve">in </w:t>
      </w:r>
      <w:r>
        <w:rPr>
          <w:sz w:val="20"/>
          <w:szCs w:val="20"/>
          <w:lang w:eastAsia="ja-JP"/>
        </w:rPr>
        <w:t xml:space="preserve">the </w:t>
      </w:r>
      <w:r w:rsidR="00E447D3" w:rsidRPr="002F34FC">
        <w:rPr>
          <w:sz w:val="20"/>
          <w:szCs w:val="20"/>
          <w:lang w:eastAsia="ja-JP"/>
        </w:rPr>
        <w:t xml:space="preserve">data, the baseline probability might be chosen </w:t>
      </w:r>
      <w:r>
        <w:rPr>
          <w:sz w:val="20"/>
          <w:szCs w:val="20"/>
          <w:lang w:eastAsia="ja-JP"/>
        </w:rPr>
        <w:t xml:space="preserve">outside </w:t>
      </w:r>
      <w:r w:rsidR="00E447D3" w:rsidRPr="002F34FC">
        <w:rPr>
          <w:sz w:val="20"/>
          <w:szCs w:val="20"/>
          <w:lang w:eastAsia="ja-JP"/>
        </w:rPr>
        <w:t xml:space="preserve">the confidence interval </w:t>
      </w:r>
      <w:r>
        <w:rPr>
          <w:sz w:val="20"/>
          <w:szCs w:val="20"/>
          <w:lang w:eastAsia="ja-JP"/>
        </w:rPr>
        <w:t>during model calibration</w:t>
      </w:r>
      <w:r w:rsidR="00E447D3" w:rsidRPr="002F34FC">
        <w:rPr>
          <w:sz w:val="20"/>
          <w:szCs w:val="20"/>
          <w:lang w:eastAsia="ja-JP"/>
        </w:rPr>
        <w:t xml:space="preserve">. </w:t>
      </w:r>
    </w:p>
    <w:p w14:paraId="207B004F" w14:textId="77777777" w:rsidR="00E447D3" w:rsidRDefault="00E447D3" w:rsidP="00E447D3">
      <w:pPr>
        <w:jc w:val="both"/>
        <w:rPr>
          <w:b/>
          <w:i/>
          <w:lang w:eastAsia="ja-JP"/>
        </w:rPr>
      </w:pPr>
    </w:p>
    <w:p w14:paraId="29C7AB4C" w14:textId="77777777" w:rsidR="00E447D3" w:rsidRDefault="00E447D3" w:rsidP="00E447D3">
      <w:pPr>
        <w:rPr>
          <w:b/>
          <w:i/>
          <w:lang w:eastAsia="ja-JP"/>
        </w:rPr>
        <w:sectPr w:rsidR="00E447D3" w:rsidSect="002A1882">
          <w:headerReference w:type="even" r:id="rId30"/>
          <w:headerReference w:type="default" r:id="rId31"/>
          <w:headerReference w:type="first" r:id="rId32"/>
          <w:pgSz w:w="12240" w:h="15840"/>
          <w:pgMar w:top="1440" w:right="1440" w:bottom="1440" w:left="1440" w:header="720" w:footer="720" w:gutter="0"/>
          <w:cols w:space="720"/>
          <w:docGrid w:linePitch="326"/>
        </w:sectPr>
      </w:pPr>
      <w:r>
        <w:rPr>
          <w:b/>
          <w:i/>
          <w:lang w:eastAsia="ja-JP"/>
        </w:rPr>
        <w:br w:type="page"/>
      </w:r>
    </w:p>
    <w:p w14:paraId="6C0338DB" w14:textId="21A6EFAF" w:rsidR="00E447D3" w:rsidRPr="00A25EAD" w:rsidRDefault="001856A1" w:rsidP="00E447D3">
      <w:pPr>
        <w:pStyle w:val="Heading2"/>
        <w:spacing w:before="0"/>
        <w:rPr>
          <w:rFonts w:cs="Times New Roman"/>
          <w:szCs w:val="24"/>
        </w:rPr>
      </w:pPr>
      <w:bookmarkStart w:id="56" w:name="_Toc82592647"/>
      <w:r>
        <w:rPr>
          <w:rFonts w:cs="Times New Roman"/>
          <w:szCs w:val="24"/>
        </w:rPr>
        <w:lastRenderedPageBreak/>
        <w:t>Condom e</w:t>
      </w:r>
      <w:r w:rsidR="00E447D3" w:rsidRPr="00A25EAD">
        <w:rPr>
          <w:rFonts w:cs="Times New Roman"/>
          <w:szCs w:val="24"/>
        </w:rPr>
        <w:t>ffectiveness</w:t>
      </w:r>
      <w:bookmarkEnd w:id="56"/>
    </w:p>
    <w:p w14:paraId="52A916E1" w14:textId="77777777" w:rsidR="00E447D3" w:rsidRPr="005745DE" w:rsidRDefault="00E447D3" w:rsidP="00E447D3">
      <w:pPr>
        <w:rPr>
          <w:lang w:eastAsia="ja-JP"/>
        </w:rPr>
      </w:pPr>
      <w:r w:rsidRPr="005745DE">
        <w:rPr>
          <w:lang w:eastAsia="ja-JP"/>
        </w:rPr>
        <w:t xml:space="preserve">The </w:t>
      </w:r>
      <w:r>
        <w:rPr>
          <w:lang w:eastAsia="ja-JP"/>
        </w:rPr>
        <w:t>effectiveness of condom</w:t>
      </w:r>
      <w:r w:rsidRPr="005745DE">
        <w:rPr>
          <w:lang w:eastAsia="ja-JP"/>
        </w:rPr>
        <w:t xml:space="preserve"> in the </w:t>
      </w:r>
      <w:r>
        <w:rPr>
          <w:lang w:eastAsia="ja-JP"/>
        </w:rPr>
        <w:t xml:space="preserve">force of infection </w:t>
      </w:r>
      <w:r w:rsidRPr="005745DE">
        <w:rPr>
          <w:lang w:eastAsia="ja-JP"/>
        </w:rPr>
        <w:t xml:space="preserve">equation is defined as the </w:t>
      </w:r>
      <w:r>
        <w:rPr>
          <w:lang w:eastAsia="ja-JP"/>
        </w:rPr>
        <w:t xml:space="preserve">reduced </w:t>
      </w:r>
      <w:r w:rsidRPr="005745DE">
        <w:rPr>
          <w:lang w:eastAsia="ja-JP"/>
        </w:rPr>
        <w:t xml:space="preserve">probability of HIV transmission per sex act when an individual not living with HIV </w:t>
      </w:r>
      <w:r>
        <w:rPr>
          <w:lang w:eastAsia="ja-JP"/>
        </w:rPr>
        <w:t xml:space="preserve">is consistently using condom during sex behaviors with </w:t>
      </w:r>
      <w:proofErr w:type="spellStart"/>
      <w:r w:rsidRPr="005745DE">
        <w:rPr>
          <w:lang w:eastAsia="ja-JP"/>
        </w:rPr>
        <w:t>sero</w:t>
      </w:r>
      <w:proofErr w:type="spellEnd"/>
      <w:r w:rsidRPr="005745DE">
        <w:rPr>
          <w:lang w:eastAsia="ja-JP"/>
        </w:rPr>
        <w:t>-positive</w:t>
      </w:r>
      <w:r>
        <w:rPr>
          <w:lang w:eastAsia="ja-JP"/>
        </w:rPr>
        <w:t xml:space="preserve">, non-viral suppressed </w:t>
      </w:r>
      <w:r w:rsidRPr="005745DE">
        <w:rPr>
          <w:lang w:eastAsia="ja-JP"/>
        </w:rPr>
        <w:t xml:space="preserve">partner. </w:t>
      </w:r>
    </w:p>
    <w:p w14:paraId="3BDF902D" w14:textId="77777777" w:rsidR="00E447D3" w:rsidRPr="005745DE" w:rsidRDefault="00E447D3" w:rsidP="00E447D3">
      <w:pPr>
        <w:rPr>
          <w:lang w:eastAsia="ja-JP"/>
        </w:rPr>
      </w:pPr>
    </w:p>
    <w:p w14:paraId="0AAAF168" w14:textId="77777777" w:rsidR="00E447D3" w:rsidRDefault="00E447D3" w:rsidP="00E447D3">
      <w:pPr>
        <w:rPr>
          <w:lang w:eastAsia="ja-JP"/>
        </w:rPr>
      </w:pPr>
      <w:r w:rsidRPr="005745DE">
        <w:rPr>
          <w:b/>
          <w:i/>
          <w:lang w:eastAsia="ja-JP"/>
        </w:rPr>
        <w:t>Data source</w:t>
      </w:r>
      <w:r w:rsidRPr="005745DE">
        <w:rPr>
          <w:lang w:eastAsia="ja-JP"/>
        </w:rPr>
        <w:t xml:space="preserve">: </w:t>
      </w:r>
    </w:p>
    <w:p w14:paraId="5AFBDB33" w14:textId="18B6055B" w:rsidR="00E447D3" w:rsidRDefault="00E447D3" w:rsidP="002E50FA">
      <w:pPr>
        <w:pStyle w:val="BodyText"/>
        <w:numPr>
          <w:ilvl w:val="0"/>
          <w:numId w:val="13"/>
        </w:numPr>
        <w:spacing w:before="0" w:after="0"/>
      </w:pPr>
      <w:r>
        <w:t>A systematic review found that ‘always’ using a condom (</w:t>
      </w:r>
      <w:proofErr w:type="gramStart"/>
      <w:r>
        <w:t>i.e.</w:t>
      </w:r>
      <w:proofErr w:type="gramEnd"/>
      <w:r>
        <w:t xml:space="preserve"> use condom for all sex acts) is effective is reducing the HIV incidence by 77.6% - 82.9%, depending on the ch</w:t>
      </w:r>
      <w:r>
        <w:rPr>
          <w:rFonts w:hint="eastAsia"/>
        </w:rPr>
        <w:t>aracteristics</w:t>
      </w:r>
      <w:r>
        <w:t xml:space="preserve"> of ‘never’ using a condom group. The effectiveness of condom could range between 34.5% and 94.2%.</w:t>
      </w:r>
      <w:r>
        <w:fldChar w:fldCharType="begin" w:fldLock="1"/>
      </w:r>
      <w:r w:rsidR="00036C3E">
        <w:instrText>ADDIN CSL_CITATION {"citationItems":[{"id":"ITEM-1","itemData":{"ISBN":"1465-1858","author":[{"dropping-particle":"","family":"Weller","given":"Susan C","non-dropping-particle":"","parse-names":false,"suffix":""},{"dropping-particle":"","family":"Davis‐Beaty","given":"Karen","non-dropping-particle":"","parse-names":false,"suffix":""}],"container-title":"Cochrane database of systematic reviews","id":"ITEM-1","issue":"1","issued":{"date-parts":[["2002"]]},"title":"Condom effectiveness in reducing heterosexual HIV transmission","type":"article-journal"},"uris":["http://www.mendeley.com/documents/?uuid=df9f09fe-120b-4f4b-8f8b-d232e8dc1802"]}],"mendeley":{"formattedCitation":"&lt;sup&gt;39&lt;/sup&gt;","plainTextFormattedCitation":"39","previouslyFormattedCitation":"&lt;sup&gt;39&lt;/sup&gt;"},"properties":{"noteIndex":0},"schema":"https://github.com/citation-style-language/schema/raw/master/csl-citation.json"}</w:instrText>
      </w:r>
      <w:r>
        <w:fldChar w:fldCharType="separate"/>
      </w:r>
      <w:r w:rsidR="00E60418" w:rsidRPr="00E60418">
        <w:rPr>
          <w:noProof/>
          <w:vertAlign w:val="superscript"/>
        </w:rPr>
        <w:t>39</w:t>
      </w:r>
      <w:r>
        <w:fldChar w:fldCharType="end"/>
      </w:r>
      <w:r>
        <w:t xml:space="preserve"> </w:t>
      </w:r>
    </w:p>
    <w:p w14:paraId="0B152B1E" w14:textId="5EF72196" w:rsidR="00E447D3" w:rsidRPr="00E22EF0" w:rsidRDefault="00E447D3" w:rsidP="002E50FA">
      <w:pPr>
        <w:pStyle w:val="BodyText"/>
        <w:numPr>
          <w:ilvl w:val="0"/>
          <w:numId w:val="13"/>
        </w:numPr>
        <w:spacing w:before="0" w:after="0"/>
      </w:pPr>
      <w:r>
        <w:t>A more recent quantitative study among African suggested a similar outcome that condom use could reduce the per-act HIV risk by 78%, with a confidence interval of 58% to 89%.</w:t>
      </w:r>
      <w:r>
        <w:fldChar w:fldCharType="begin" w:fldLock="1"/>
      </w:r>
      <w:r w:rsidR="00036C3E">
        <w:instrText>ADDIN CSL_CITATION {"citationItems":[{"id":"ITEM-1","itemData":{"DOI":"10.1093/infdis/jir747","ISSN":"00221899","PMID":"22241800","abstract":"Background. Knowledge of factors that affect per-act infectivity of human immunodeficiency virus type 1 (HIV-1) is important for designing HIV-1 prevention interventions and for the mathematical modeling of the spread of HIV-1. Methods. We analyzed data from a prospective study of African HIV-1-serodiscordant couples. We assessed transmissions for linkage within the study partnership, based on HIV-1 sequencing. The primary exposure measure was the HIV-1-seropositive partners' reports of number of sex acts and condom use with their study partner. Results. Of 3297 couples experiencing 86 linked HIV-1 transmissions, the unadjusted per-act risks of unprotected male-to-female (MTF) and female-to-male (FTM) transmission were 0.0019 (95% confidence interval [CI],. 0010-.0037) and 0.0010 (95% CI,. 00060-.0017), respectively. After adjusting for plasma HIV-1 RNA of the HIV-1-infected partner and herpes simplex virus type 2 serostatus and age of the HIV-1-uninfected partner, we calculated the relative risk (RR) for MTF versus FTM transmission to be 1.03 (P =. 93). Each log 10 increase in plasma HIV-1 RNA increased the per-act risk of transmission by 2.9-fold (95% CI, 2.2-3.8). Self-reported condom use reduced the per-act risk by 78% (RR = 0.22 [95% CI,. 11-.42]). Conclusions. Modifiable risk factors for HIV-1 transmission were plasma HIV-1 RNA level and condom use, and, in HIV-1-uninfected partners, herpes simplex virus 2 infection, genital ulcers, Trichomonas vaginalis, vaginitis or cervicitis, and male circumcision. © The Author 2011. Published by Oxford University Press on behalf of the Infectious.","author":[{"dropping-particle":"","family":"Hughes","given":"James P.","non-dropping-particle":"","parse-names":false,"suffix":""},{"dropping-particle":"","family":"Baeten","given":"Jared M.","non-dropping-particle":"","parse-names":false,"suffix":""},{"dropping-particle":"","family":"Lingappa","given":"Jairam R.","non-dropping-particle":"","parse-names":false,"suffix":""},{"dropping-particle":"","family":"Magaret","given":"Amalia S.","non-dropping-particle":"","parse-names":false,"suffix":""},{"dropping-particle":"","family":"Wald","given":"Anna","non-dropping-particle":"","parse-names":false,"suffix":""},{"dropping-particle":"","family":"Bruyn","given":"Guy","non-dropping-particle":"De","parse-names":false,"suffix":""},{"dropping-particle":"","family":"Kiarie","given":"James","non-dropping-particle":"","parse-names":false,"suffix":""},{"dropping-particle":"","family":"Inambao","given":"Mubiana","non-dropping-particle":"","parse-names":false,"suffix":""},{"dropping-particle":"","family":"Kilembe","given":"William","non-dropping-particle":"","parse-names":false,"suffix":""},{"dropping-particle":"","family":"Farquhar","given":"Carey","non-dropping-particle":"","parse-names":false,"suffix":""},{"dropping-particle":"","family":"Celum","given":"Connie","non-dropping-particle":"","parse-names":false,"suffix":""}],"container-title":"Journal of Infectious Diseases","id":"ITEM-1","issued":{"date-parts":[["2012"]]},"title":"Determinants of per-coital-act HIV-1 infectivity among African HIV-1-serodiscordant couples","type":"article-journal"},"uris":["http://www.mendeley.com/documents/?uuid=7ca3d364-20a8-4210-a7d9-13f052abae65"]}],"mendeley":{"formattedCitation":"&lt;sup&gt;40&lt;/sup&gt;","plainTextFormattedCitation":"40","previouslyFormattedCitation":"&lt;sup&gt;40&lt;/sup&gt;"},"properties":{"noteIndex":0},"schema":"https://github.com/citation-style-language/schema/raw/master/csl-citation.json"}</w:instrText>
      </w:r>
      <w:r>
        <w:fldChar w:fldCharType="separate"/>
      </w:r>
      <w:r w:rsidR="00E60418" w:rsidRPr="00E60418">
        <w:rPr>
          <w:noProof/>
          <w:vertAlign w:val="superscript"/>
        </w:rPr>
        <w:t>40</w:t>
      </w:r>
      <w:r>
        <w:fldChar w:fldCharType="end"/>
      </w:r>
    </w:p>
    <w:p w14:paraId="4623CD7A" w14:textId="77777777" w:rsidR="00E447D3" w:rsidRDefault="00E447D3" w:rsidP="00E447D3">
      <w:pPr>
        <w:jc w:val="both"/>
        <w:rPr>
          <w:b/>
          <w:i/>
        </w:rPr>
      </w:pPr>
    </w:p>
    <w:p w14:paraId="668EA845" w14:textId="77777777" w:rsidR="00E447D3" w:rsidRPr="005745DE" w:rsidRDefault="00E447D3" w:rsidP="00E447D3">
      <w:pPr>
        <w:jc w:val="both"/>
        <w:rPr>
          <w:b/>
          <w:i/>
        </w:rPr>
      </w:pPr>
      <w:r w:rsidRPr="005745DE">
        <w:rPr>
          <w:b/>
          <w:i/>
        </w:rPr>
        <w:t xml:space="preserve">Assumptions </w:t>
      </w:r>
    </w:p>
    <w:p w14:paraId="09DA4EF0" w14:textId="1AFA138C" w:rsidR="00E447D3" w:rsidRDefault="00E447D3" w:rsidP="002E50FA">
      <w:pPr>
        <w:pStyle w:val="BodyText"/>
        <w:numPr>
          <w:ilvl w:val="0"/>
          <w:numId w:val="9"/>
        </w:numPr>
        <w:spacing w:before="0" w:after="0"/>
        <w:ind w:left="360"/>
      </w:pPr>
      <w:r>
        <w:t>We assumed that only male condom will be used based on the Demographic and Health Survey 2014-2015 that almost none of the women aged 19-45 were using female condom.</w:t>
      </w:r>
      <w:r>
        <w:fldChar w:fldCharType="begin" w:fldLock="1"/>
      </w:r>
      <w:r w:rsidR="007527CC">
        <w:instrText>ADDIN CSL_CITATION {"citationItems":[{"id":"ITEM-1","itemData":{"DOI":"March, 2016","ISBN":"9789997743091","author":[{"dropping-particle":"","family":"National Institute of Statistics of Rwanda (NISR) [Rwanda] Ministry of Health (MOH) [Rwanda] and ICF International.","given":"","non-dropping-particle":"","parse-names":false,"suffix":""}],"container-title":"Rwanda Mininstry of Health","id":"ITEM-1","issued":{"date-parts":[["2015"]]},"number-of-pages":"640","publisher-place":"Rockville, Maryland, USA: NISR, MOH, and ICF International.","title":"Rwanda Demographic and Health Survey 2014-15","type":"report"},"uris":["http://www.mendeley.com/documents/?uuid=1cd2afa0-8858-4818-a7e0-ec39e8a650ac"]}],"mendeley":{"formattedCitation":"&lt;sup&gt;18&lt;/sup&gt;","plainTextFormattedCitation":"18","previouslyFormattedCitation":"&lt;sup&gt;19&lt;/sup&gt;"},"properties":{"noteIndex":0},"schema":"https://github.com/citation-style-language/schema/raw/master/csl-citation.json"}</w:instrText>
      </w:r>
      <w:r>
        <w:fldChar w:fldCharType="separate"/>
      </w:r>
      <w:r w:rsidR="007527CC" w:rsidRPr="007527CC">
        <w:rPr>
          <w:noProof/>
          <w:vertAlign w:val="superscript"/>
        </w:rPr>
        <w:t>18</w:t>
      </w:r>
      <w:r>
        <w:fldChar w:fldCharType="end"/>
      </w:r>
      <w:r>
        <w:t xml:space="preserve"> </w:t>
      </w:r>
    </w:p>
    <w:p w14:paraId="171307EF" w14:textId="77777777" w:rsidR="00E447D3" w:rsidRDefault="00E447D3" w:rsidP="002E50FA">
      <w:pPr>
        <w:pStyle w:val="BodyText"/>
        <w:numPr>
          <w:ilvl w:val="0"/>
          <w:numId w:val="9"/>
        </w:numPr>
        <w:spacing w:before="0" w:after="0"/>
        <w:ind w:left="360"/>
      </w:pPr>
      <w:r>
        <w:t>We assume that the effectiveness of condom is applied on a per-act bases since the systematic review on population-level analysis is comparable to the study on per-act effectiveness.</w:t>
      </w:r>
    </w:p>
    <w:p w14:paraId="50241EE2" w14:textId="77777777" w:rsidR="00E447D3" w:rsidRDefault="00E447D3" w:rsidP="00E447D3"/>
    <w:p w14:paraId="14C1B3BF" w14:textId="77777777" w:rsidR="00E447D3" w:rsidRDefault="00E447D3" w:rsidP="00E447D3">
      <w:pPr>
        <w:rPr>
          <w:b/>
          <w:bCs/>
          <w:i/>
          <w:iCs/>
        </w:rPr>
      </w:pPr>
      <w:r>
        <w:rPr>
          <w:b/>
          <w:bCs/>
          <w:i/>
          <w:iCs/>
        </w:rPr>
        <w:t>Analytic decision:</w:t>
      </w:r>
    </w:p>
    <w:p w14:paraId="66197296" w14:textId="5DBC368F" w:rsidR="00E447D3" w:rsidRPr="00CD465D" w:rsidRDefault="00E447D3" w:rsidP="002E50FA">
      <w:pPr>
        <w:pStyle w:val="BodyText"/>
        <w:numPr>
          <w:ilvl w:val="0"/>
          <w:numId w:val="14"/>
        </w:numPr>
        <w:spacing w:before="0" w:after="0"/>
      </w:pPr>
      <w:r>
        <w:t xml:space="preserve">The effectiveness of condom is 80% based on the systematic review, which is commonly cited by other modeling </w:t>
      </w:r>
      <w:commentRangeStart w:id="57"/>
      <w:r>
        <w:t>stud</w:t>
      </w:r>
      <w:r w:rsidR="00035872">
        <w:t>ies</w:t>
      </w:r>
      <w:commentRangeEnd w:id="57"/>
      <w:r w:rsidR="00035872">
        <w:rPr>
          <w:rStyle w:val="CommentReference"/>
          <w:rFonts w:eastAsia="Times New Roman"/>
          <w:lang w:eastAsia="zh-CN"/>
        </w:rPr>
        <w:commentReference w:id="57"/>
      </w:r>
      <w:r>
        <w:t>.</w:t>
      </w:r>
      <w:r w:rsidR="00036C3E">
        <w:fldChar w:fldCharType="begin" w:fldLock="1"/>
      </w:r>
      <w:r w:rsidR="007527CC">
        <w:instrText>ADDIN CSL_CITATION {"citationItems":[{"id":"ITEM-1","itemData":{"ISBN":"1932-6203","author":[{"dropping-particle":"","family":"Alsallaq","given":"Ramzi A","non-dropping-particle":"","parse-names":false,"suffix":""},{"dropping-particle":"","family":"Buttolph","given":"Jasmine","non-dropping-particle":"","parse-names":false,"suffix":""},{"dropping-particle":"","family":"Cleland","given":"Charles M","non-dropping-particle":"","parse-names":false,"suffix":""},{"dropping-particle":"","family":"Hallett","given":"Timothy","non-dropping-particle":"","parse-names":false,"suffix":""},{"dropping-particle":"","family":"Inwani","given":"Irene","non-dropping-particle":"","parse-names":false,"suffix":""},{"dropping-particle":"","family":"Agot","given":"Kawango","non-dropping-particle":"","parse-names":false,"suffix":""},{"dropping-particle":"","family":"Kurth","given":"Ann E","non-dropping-particle":"","parse-names":false,"suffix":""}],"container-title":"PloS one","id":"ITEM-1","issue":"4","issued":{"date-parts":[["2017"]]},"page":"e0175447","title":"The potential impact and cost of focusing HIV prevention on young women and men: A modeling analysis in western Kenya","type":"article-journal","volume":"12"},"uris":["http://www.mendeley.com/documents/?uuid=20fca247-bf32-409c-bacf-78fb78474961"]},{"id":"ITEM-2","itemData":{"ISBN":"1932-6203","author":[{"dropping-particle":"","family":"Sorensen","given":"Stephen W","non-dropping-particle":"","parse-names":false,"suffix":""},{"dropping-particle":"","family":"Sansom","given":"Stephanie L","non-dropping-particle":"","parse-names":false,"suffix":""},{"dropping-particle":"","family":"Brooks","given":"John T","non-dropping-particle":"","parse-names":false,"suffix":""},{"dropping-particle":"","family":"Marks","given":"Gary","non-dropping-particle":"","parse-names":false,"suffix":""},{"dropping-particle":"","family":"Begier","given":"Elizabeth M","non-dropping-particle":"","parse-names":false,"suffix":""},{"dropping-particle":"","family":"Buchacz","given":"Kate","non-dropping-particle":"","parse-names":false,"suffix":""},{"dropping-particle":"","family":"DiNenno","given":"Elizabeth A","non-dropping-particle":"","parse-names":false,"suffix":""},{"dropping-particle":"","family":"Mermin","given":"Jonathan H","non-dropping-particle":"","parse-names":false,"suffix":""},{"dropping-particle":"","family":"Kilmarx","given":"Peter H","non-dropping-particle":"","parse-names":false,"suffix":""}],"container-title":"PloS one","id":"ITEM-2","issue":"2","issued":{"date-parts":[["2012"]]},"page":"e29098","title":"A mathematical model of comprehensive test-and-treat services and HIV incidence among men who have sex with men in the United States","type":"article-journal","volume":"7"},"uris":["http://www.mendeley.com/documents/?uuid=4ae568f4-5acb-4437-8dd7-f792ab95db07"]}],"mendeley":{"formattedCitation":"&lt;sup&gt;41,42&lt;/sup&gt;","plainTextFormattedCitation":"41,42","previouslyFormattedCitation":"&lt;sup&gt;41,42&lt;/sup&gt;"},"properties":{"noteIndex":0},"schema":"https://github.com/citation-style-language/schema/raw/master/csl-citation.json"}</w:instrText>
      </w:r>
      <w:r w:rsidR="00036C3E">
        <w:fldChar w:fldCharType="separate"/>
      </w:r>
      <w:r w:rsidR="00036C3E" w:rsidRPr="00036C3E">
        <w:rPr>
          <w:noProof/>
          <w:vertAlign w:val="superscript"/>
        </w:rPr>
        <w:t>41,42</w:t>
      </w:r>
      <w:r w:rsidR="00036C3E">
        <w:fldChar w:fldCharType="end"/>
      </w:r>
      <w:r>
        <w:t xml:space="preserve"> The range of the condom effectiveness is from 34.5% to 94.2% for sensitivity </w:t>
      </w:r>
      <w:commentRangeStart w:id="58"/>
      <w:r>
        <w:t>analysis</w:t>
      </w:r>
      <w:commentRangeEnd w:id="58"/>
      <w:r w:rsidR="00035872">
        <w:rPr>
          <w:rStyle w:val="CommentReference"/>
          <w:rFonts w:eastAsia="Times New Roman"/>
          <w:lang w:eastAsia="zh-CN"/>
        </w:rPr>
        <w:commentReference w:id="58"/>
      </w:r>
      <w:r>
        <w:t>.</w:t>
      </w:r>
      <w:r w:rsidR="00036C3E">
        <w:fldChar w:fldCharType="begin" w:fldLock="1"/>
      </w:r>
      <w:r w:rsidR="00036C3E">
        <w:instrText>ADDIN CSL_CITATION {"citationItems":[{"id":"ITEM-1","itemData":{"ISBN":"1465-1858","author":[{"dropping-particle":"","family":"Weller","given":"Susan C","non-dropping-particle":"","parse-names":false,"suffix":""},{"dropping-particle":"","family":"Davis‐Beaty","given":"Karen","non-dropping-particle":"","parse-names":false,"suffix":""}],"container-title":"Cochrane database of systematic reviews","id":"ITEM-1","issue":"1","issued":{"date-parts":[["2002"]]},"title":"Condom effectiveness in reducing heterosexual HIV transmission","type":"article-journal"},"uris":["http://www.mendeley.com/documents/?uuid=df9f09fe-120b-4f4b-8f8b-d232e8dc1802"]}],"mendeley":{"formattedCitation":"&lt;sup&gt;39&lt;/sup&gt;","plainTextFormattedCitation":"39","previouslyFormattedCitation":"&lt;sup&gt;39&lt;/sup&gt;"},"properties":{"noteIndex":0},"schema":"https://github.com/citation-style-language/schema/raw/master/csl-citation.json"}</w:instrText>
      </w:r>
      <w:r w:rsidR="00036C3E">
        <w:fldChar w:fldCharType="separate"/>
      </w:r>
      <w:r w:rsidR="00036C3E" w:rsidRPr="00E60418">
        <w:rPr>
          <w:noProof/>
          <w:vertAlign w:val="superscript"/>
        </w:rPr>
        <w:t>39</w:t>
      </w:r>
      <w:r w:rsidR="00036C3E">
        <w:fldChar w:fldCharType="end"/>
      </w:r>
      <w:r>
        <w:t xml:space="preserve"> </w:t>
      </w:r>
    </w:p>
    <w:p w14:paraId="794DDA47" w14:textId="77777777" w:rsidR="00E447D3" w:rsidRDefault="00E447D3" w:rsidP="00E447D3">
      <w:pPr>
        <w:rPr>
          <w:b/>
          <w:i/>
        </w:rPr>
        <w:sectPr w:rsidR="00E447D3" w:rsidSect="00A129FF">
          <w:pgSz w:w="12240" w:h="15840"/>
          <w:pgMar w:top="1440" w:right="1440" w:bottom="1440" w:left="1440" w:header="720" w:footer="720" w:gutter="0"/>
          <w:cols w:space="720"/>
          <w:docGrid w:linePitch="326"/>
        </w:sectPr>
      </w:pPr>
    </w:p>
    <w:p w14:paraId="3ABBC450" w14:textId="650C59B3" w:rsidR="00E447D3" w:rsidRPr="00A25EAD" w:rsidRDefault="00E447D3" w:rsidP="00E447D3">
      <w:pPr>
        <w:pStyle w:val="Heading2"/>
        <w:spacing w:before="0"/>
        <w:rPr>
          <w:rFonts w:cs="Times New Roman"/>
          <w:szCs w:val="24"/>
        </w:rPr>
      </w:pPr>
      <w:bookmarkStart w:id="59" w:name="_Toc82592648"/>
      <w:commentRangeStart w:id="60"/>
      <w:r w:rsidRPr="00A25EAD">
        <w:rPr>
          <w:rFonts w:cs="Times New Roman"/>
          <w:szCs w:val="24"/>
        </w:rPr>
        <w:lastRenderedPageBreak/>
        <w:t>Proportion</w:t>
      </w:r>
      <w:commentRangeEnd w:id="60"/>
      <w:r w:rsidR="00035872">
        <w:rPr>
          <w:rStyle w:val="CommentReference"/>
          <w:rFonts w:eastAsia="Times New Roman" w:cs="Times New Roman"/>
          <w:b w:val="0"/>
          <w:bCs w:val="0"/>
          <w:color w:val="auto"/>
          <w:lang w:eastAsia="zh-CN"/>
        </w:rPr>
        <w:commentReference w:id="60"/>
      </w:r>
      <w:r w:rsidRPr="00A25EAD">
        <w:rPr>
          <w:rFonts w:cs="Times New Roman"/>
          <w:szCs w:val="24"/>
        </w:rPr>
        <w:t xml:space="preserve"> </w:t>
      </w:r>
      <w:r w:rsidR="00E861FA">
        <w:rPr>
          <w:rFonts w:cs="Times New Roman"/>
          <w:szCs w:val="24"/>
        </w:rPr>
        <w:t xml:space="preserve">with </w:t>
      </w:r>
      <w:r w:rsidR="00035872">
        <w:rPr>
          <w:rFonts w:cs="Times New Roman"/>
          <w:szCs w:val="24"/>
        </w:rPr>
        <w:t>c</w:t>
      </w:r>
      <w:r w:rsidR="00035872" w:rsidRPr="00A25EAD">
        <w:rPr>
          <w:rFonts w:cs="Times New Roman"/>
          <w:szCs w:val="24"/>
        </w:rPr>
        <w:t xml:space="preserve">onsistent </w:t>
      </w:r>
      <w:r w:rsidR="00035872">
        <w:rPr>
          <w:rFonts w:cs="Times New Roman"/>
          <w:szCs w:val="24"/>
        </w:rPr>
        <w:t>c</w:t>
      </w:r>
      <w:r w:rsidR="00035872" w:rsidRPr="00A25EAD">
        <w:rPr>
          <w:rFonts w:cs="Times New Roman"/>
          <w:szCs w:val="24"/>
        </w:rPr>
        <w:t xml:space="preserve">ondom </w:t>
      </w:r>
      <w:r w:rsidRPr="00A25EAD">
        <w:rPr>
          <w:rFonts w:cs="Times New Roman"/>
          <w:szCs w:val="24"/>
        </w:rPr>
        <w:t>use</w:t>
      </w:r>
      <w:bookmarkEnd w:id="59"/>
      <w:r w:rsidRPr="00A25EAD">
        <w:rPr>
          <w:rFonts w:cs="Times New Roman"/>
          <w:szCs w:val="24"/>
        </w:rPr>
        <w:t xml:space="preserve"> </w:t>
      </w:r>
    </w:p>
    <w:p w14:paraId="506707E7" w14:textId="77777777" w:rsidR="00E447D3" w:rsidRDefault="00E447D3" w:rsidP="00E447D3">
      <w:r>
        <w:t xml:space="preserve">Consistent condom use is defined as individuals who reported always using a condom. The proportion of consistent condom use in the force of equation is measured as the proportion of individuals in a sub-population that reports consistent condom use in the past 30 days. </w:t>
      </w:r>
    </w:p>
    <w:p w14:paraId="1BA716C4" w14:textId="77777777" w:rsidR="00E447D3" w:rsidRPr="005745DE" w:rsidRDefault="00E447D3" w:rsidP="00E447D3"/>
    <w:p w14:paraId="74211B9E" w14:textId="60F8DA67" w:rsidR="00E447D3" w:rsidRDefault="00E447D3" w:rsidP="00E447D3">
      <w:r w:rsidRPr="005745DE">
        <w:rPr>
          <w:b/>
          <w:i/>
        </w:rPr>
        <w:t>Data source</w:t>
      </w:r>
      <w:r w:rsidR="00035872">
        <w:rPr>
          <w:b/>
          <w:i/>
        </w:rPr>
        <w:t>s</w:t>
      </w:r>
      <w:r>
        <w:rPr>
          <w:b/>
          <w:i/>
        </w:rPr>
        <w:t xml:space="preserve">: </w:t>
      </w:r>
      <w:r w:rsidRPr="005745DE">
        <w:t xml:space="preserve"> </w:t>
      </w:r>
    </w:p>
    <w:p w14:paraId="352D6201" w14:textId="6AA8FF23" w:rsidR="00E447D3" w:rsidRPr="008D4A27" w:rsidRDefault="00E447D3" w:rsidP="00610A49">
      <w:pPr>
        <w:pStyle w:val="BodyText"/>
        <w:numPr>
          <w:ilvl w:val="0"/>
          <w:numId w:val="50"/>
        </w:numPr>
        <w:autoSpaceDE w:val="0"/>
        <w:autoSpaceDN w:val="0"/>
        <w:adjustRightInd w:val="0"/>
        <w:spacing w:before="0" w:after="0"/>
      </w:pPr>
      <w:r w:rsidRPr="008D4A27">
        <w:t>Among low-risk population, we will use Demographic and Health Survey (2005, 2010, 2015) to estimate the proportion of consistent condom use by age, sex, and urbanicity.</w:t>
      </w:r>
      <w:r>
        <w:fldChar w:fldCharType="begin" w:fldLock="1"/>
      </w:r>
      <w:r w:rsidR="007527CC">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Health","id":"ITEM-1","issued":{"date-parts":[["2005"]]},"title":"Demographic and Health Survey, 2005","type":"webpage"},"uris":["http://www.mendeley.com/documents/?uuid=6f21bb5a-4b85-490b-a1b4-bfcffbde8423"]},{"id":"ITEM-2","itemData":{"author":[{"dropping-particle":"","family":"National Institute of Statistics of Rwanda (NISR) [Rwanda] Ministry of Health (MOH) [Rwanda] and ICF International.","given":"","non-dropping-particle":"","parse-names":false,"suffix":""}],"container-title":"Rwanda Mininstry of Health","id":"ITEM-2","issued":{"date-parts":[["2010"]]},"title":"Demographic and Health Survey, 2010","type":"webpage"},"uris":["http://www.mendeley.com/documents/?uuid=ad9040c2-d770-4441-b0a2-11a1c9d3664f"]},{"id":"ITEM-3","itemData":{"author":[{"dropping-particle":"","family":"National Institute of Statistics of Rwanda (NISR) [Rwanda] Ministry of Health (MOH) [Rwanda] and ICF International.","given":"","non-dropping-particle":"","parse-names":false,"suffix":""}],"container-title":"Rwanda Mininstry of Health","id":"ITEM-3","issued":{"date-parts":[["2015"]]},"title":"Demographic and Health Survey, 2015","type":"webpage"},"uris":["http://www.mendeley.com/documents/?uuid=a01ee458-5ceb-42cb-9802-8a0c4cfbc426"]}],"mendeley":{"formattedCitation":"&lt;sup&gt;22,29,43&lt;/sup&gt;","plainTextFormattedCitation":"22,29,43","previouslyFormattedCitation":"&lt;sup&gt;23,30,43&lt;/sup&gt;"},"properties":{"noteIndex":0},"schema":"https://github.com/citation-style-language/schema/raw/master/csl-citation.json"}</w:instrText>
      </w:r>
      <w:r>
        <w:fldChar w:fldCharType="separate"/>
      </w:r>
      <w:r w:rsidR="007527CC" w:rsidRPr="007527CC">
        <w:rPr>
          <w:noProof/>
          <w:vertAlign w:val="superscript"/>
        </w:rPr>
        <w:t>22,29,43</w:t>
      </w:r>
      <w:r>
        <w:fldChar w:fldCharType="end"/>
      </w:r>
      <w:r w:rsidRPr="008D4A27">
        <w:t xml:space="preserve"> The DHS interviewed on “How long ago that you had your last sexual relations with a woman (men)?” “The last time you had sexual intercourse with this (second/third) person, was a condom used?” and “Did you use a condom every time you had sexual intercourse with this person in the last 12 months</w:t>
      </w:r>
      <w:r>
        <w:t>, if used condom last time?</w:t>
      </w:r>
      <w:r w:rsidRPr="008D4A27">
        <w:t xml:space="preserve">” </w:t>
      </w:r>
    </w:p>
    <w:p w14:paraId="29157F88" w14:textId="6D84918E" w:rsidR="00E447D3" w:rsidRPr="00951939" w:rsidRDefault="00E447D3" w:rsidP="00610A49">
      <w:pPr>
        <w:pStyle w:val="BodyText"/>
        <w:numPr>
          <w:ilvl w:val="0"/>
          <w:numId w:val="50"/>
        </w:numPr>
        <w:spacing w:before="0" w:after="0"/>
      </w:pPr>
      <w:r>
        <w:t>Among high-risk women, the proportion of women consistently used condom will come from the Behavioral and Biological Survey, 2010 in Rwanda, which is the only publicly available survey data that stratified consistent condom use by age.</w:t>
      </w:r>
      <w:r>
        <w:fldChar w:fldCharType="begin" w:fldLock="1"/>
      </w:r>
      <w:r w:rsidR="007527CC">
        <w:instrText>ADDIN CSL_CITATION {"citationItems":[{"id":"ITEM-1","itemData":{"DOI":"10.1016/B978-0-12-420118-7.00008-1.Dopamine","ISBN":"9780124201187","ISSN":"0036-8075","PMID":"25792328","author":[{"dropping-particle":"","family":"Rwanda Ministry of Health","given":"","non-dropping-particle":"","parse-names":false,"suffix":""}],"container-title":"Center for Treatment and Research on AIDS, Malaria, Tuberculosis and Other Epidemics","id":"ITEM-1","issue":"December","issued":{"date-parts":[["2010"]]},"title":"Behavioral and Biological Surveillance Survey among Female Sex Workers, Rwanda – 2010","type":"report"},"uris":["http://www.mendeley.com/documents/?uuid=c3b9fbfb-d893-4cee-aa49-4ba2d2fc2bf1"]}],"mendeley":{"formattedCitation":"&lt;sup&gt;44&lt;/sup&gt;","plainTextFormattedCitation":"44","previouslyFormattedCitation":"&lt;sup&gt;44&lt;/sup&gt;"},"properties":{"noteIndex":0},"schema":"https://github.com/citation-style-language/schema/raw/master/csl-citation.json"}</w:instrText>
      </w:r>
      <w:r>
        <w:fldChar w:fldCharType="separate"/>
      </w:r>
      <w:r w:rsidR="00036C3E" w:rsidRPr="00036C3E">
        <w:rPr>
          <w:noProof/>
          <w:vertAlign w:val="superscript"/>
        </w:rPr>
        <w:t>44</w:t>
      </w:r>
      <w:r>
        <w:fldChar w:fldCharType="end"/>
      </w:r>
      <w:r>
        <w:t xml:space="preserve"> </w:t>
      </w:r>
    </w:p>
    <w:p w14:paraId="38CA3C9A" w14:textId="77777777" w:rsidR="00E447D3" w:rsidRPr="002553D8" w:rsidRDefault="00E447D3" w:rsidP="00E447D3">
      <w:pPr>
        <w:rPr>
          <w:b/>
          <w:i/>
        </w:rPr>
      </w:pPr>
    </w:p>
    <w:p w14:paraId="4183C2A0" w14:textId="77777777" w:rsidR="00E447D3" w:rsidRPr="005745DE" w:rsidRDefault="00E447D3" w:rsidP="00E447D3">
      <w:pPr>
        <w:jc w:val="both"/>
        <w:rPr>
          <w:b/>
          <w:i/>
        </w:rPr>
      </w:pPr>
      <w:r w:rsidRPr="005745DE">
        <w:rPr>
          <w:b/>
          <w:i/>
        </w:rPr>
        <w:t xml:space="preserve">Assumptions </w:t>
      </w:r>
    </w:p>
    <w:p w14:paraId="76CE566E" w14:textId="6084979C" w:rsidR="00E447D3" w:rsidRDefault="00E447D3" w:rsidP="002E50FA">
      <w:pPr>
        <w:pStyle w:val="BodyText"/>
        <w:numPr>
          <w:ilvl w:val="0"/>
          <w:numId w:val="9"/>
        </w:numPr>
        <w:spacing w:before="0" w:after="0"/>
        <w:ind w:left="360"/>
      </w:pPr>
      <w:r>
        <w:t>We assume the proportion of individuals who uses condom</w:t>
      </w:r>
      <w:r w:rsidR="00035872">
        <w:t>s</w:t>
      </w:r>
      <w:r>
        <w:t xml:space="preserve"> </w:t>
      </w:r>
      <w:commentRangeStart w:id="61"/>
      <w:r w:rsidR="00035872">
        <w:t>for each sex act is uniform over a year</w:t>
      </w:r>
      <w:r>
        <w:t xml:space="preserve">. </w:t>
      </w:r>
      <w:commentRangeEnd w:id="61"/>
      <w:r w:rsidR="00035872">
        <w:rPr>
          <w:rStyle w:val="CommentReference"/>
          <w:rFonts w:eastAsia="Times New Roman"/>
          <w:lang w:eastAsia="zh-CN"/>
        </w:rPr>
        <w:commentReference w:id="61"/>
      </w:r>
    </w:p>
    <w:p w14:paraId="64D69FC9" w14:textId="5A90968A" w:rsidR="00E447D3" w:rsidRPr="00437D0E" w:rsidRDefault="00E447D3" w:rsidP="002E50FA">
      <w:pPr>
        <w:pStyle w:val="BodyText"/>
        <w:numPr>
          <w:ilvl w:val="0"/>
          <w:numId w:val="9"/>
        </w:numPr>
        <w:spacing w:before="0" w:after="0"/>
        <w:ind w:left="360"/>
        <w:rPr>
          <w:b/>
        </w:rPr>
      </w:pPr>
      <w:r w:rsidRPr="00C12150">
        <w:t xml:space="preserve">We assume </w:t>
      </w:r>
      <w:r>
        <w:t xml:space="preserve">the same proportion of consistent condom use for </w:t>
      </w:r>
      <w:r w:rsidRPr="00C12150">
        <w:t xml:space="preserve">individuals aged 25+ </w:t>
      </w:r>
      <w:r>
        <w:t>since the estimated proportion from DHS does not differ significantly.</w:t>
      </w:r>
    </w:p>
    <w:p w14:paraId="77EC0824" w14:textId="35014F61" w:rsidR="00036C3E" w:rsidRDefault="00036C3E" w:rsidP="00036C3E">
      <w:pPr>
        <w:pStyle w:val="BodyText"/>
        <w:spacing w:before="0" w:after="0"/>
      </w:pPr>
    </w:p>
    <w:p w14:paraId="0E4F1149" w14:textId="097CB67C" w:rsidR="00036C3E" w:rsidRDefault="00036C3E" w:rsidP="0017306C">
      <w:pPr>
        <w:rPr>
          <w:b/>
          <w:bCs/>
          <w:i/>
          <w:iCs/>
        </w:rPr>
      </w:pPr>
      <w:r>
        <w:rPr>
          <w:b/>
          <w:bCs/>
          <w:i/>
          <w:iCs/>
        </w:rPr>
        <w:t>Analytic decision:</w:t>
      </w:r>
    </w:p>
    <w:p w14:paraId="10715ECF" w14:textId="0F304557" w:rsidR="0017306C" w:rsidRPr="00437D0E" w:rsidRDefault="0017306C" w:rsidP="00437D0E">
      <w:pPr>
        <w:pStyle w:val="ListParagraph"/>
        <w:numPr>
          <w:ilvl w:val="0"/>
          <w:numId w:val="51"/>
        </w:numPr>
      </w:pPr>
      <w:bookmarkStart w:id="62" w:name="OLE_LINK7"/>
      <w:bookmarkStart w:id="63" w:name="OLE_LINK8"/>
      <w:r>
        <w:t xml:space="preserve">The proportion of consistent condom use is presented in </w:t>
      </w:r>
      <w:r w:rsidRPr="00437D0E">
        <w:rPr>
          <w:b/>
          <w:bCs/>
        </w:rPr>
        <w:fldChar w:fldCharType="begin"/>
      </w:r>
      <w:r w:rsidRPr="00437D0E">
        <w:rPr>
          <w:b/>
          <w:bCs/>
        </w:rPr>
        <w:instrText xml:space="preserve"> REF _Ref80486246 \h </w:instrText>
      </w:r>
      <w:r>
        <w:rPr>
          <w:b/>
          <w:bCs/>
        </w:rPr>
        <w:instrText xml:space="preserve"> \* MERGEFORMAT </w:instrText>
      </w:r>
      <w:r w:rsidRPr="00437D0E">
        <w:rPr>
          <w:b/>
          <w:bCs/>
        </w:rPr>
      </w:r>
      <w:r w:rsidRPr="00437D0E">
        <w:rPr>
          <w:b/>
          <w:bCs/>
        </w:rPr>
        <w:fldChar w:fldCharType="separate"/>
      </w:r>
      <w:r w:rsidR="001E49BE" w:rsidRPr="00580BE8">
        <w:rPr>
          <w:b/>
          <w:bCs/>
        </w:rPr>
        <w:t xml:space="preserve">Table </w:t>
      </w:r>
      <w:r w:rsidR="001E49BE" w:rsidRPr="00580BE8">
        <w:rPr>
          <w:b/>
          <w:bCs/>
          <w:noProof/>
        </w:rPr>
        <w:t>5</w:t>
      </w:r>
      <w:r w:rsidRPr="00437D0E">
        <w:rPr>
          <w:b/>
          <w:bCs/>
        </w:rPr>
        <w:fldChar w:fldCharType="end"/>
      </w:r>
      <w:r>
        <w:t>.</w:t>
      </w:r>
    </w:p>
    <w:bookmarkEnd w:id="62"/>
    <w:bookmarkEnd w:id="63"/>
    <w:p w14:paraId="18BCDC88" w14:textId="77777777" w:rsidR="00E447D3" w:rsidRPr="004F6186" w:rsidRDefault="00E447D3" w:rsidP="00E447D3">
      <w:pPr>
        <w:pStyle w:val="BodyText"/>
        <w:spacing w:before="0" w:after="0"/>
        <w:ind w:left="360"/>
        <w:rPr>
          <w:b/>
        </w:rPr>
      </w:pPr>
    </w:p>
    <w:p w14:paraId="242A70B6" w14:textId="77777777" w:rsidR="00035872" w:rsidRDefault="00035872">
      <w:pPr>
        <w:rPr>
          <w:b/>
          <w:bCs/>
        </w:rPr>
      </w:pPr>
      <w:r>
        <w:br w:type="page"/>
      </w:r>
    </w:p>
    <w:p w14:paraId="20650036" w14:textId="4F04271A" w:rsidR="00E447D3" w:rsidRDefault="00E447D3" w:rsidP="00E447D3">
      <w:pPr>
        <w:pStyle w:val="Caption"/>
        <w:keepNext/>
        <w:spacing w:after="0"/>
      </w:pPr>
      <w:bookmarkStart w:id="64" w:name="_Ref80486246"/>
      <w:bookmarkStart w:id="65" w:name="_Toc82448068"/>
      <w:bookmarkStart w:id="66" w:name="_Toc82592499"/>
      <w:bookmarkStart w:id="67" w:name="_Toc82599264"/>
      <w:r w:rsidRPr="004F6186">
        <w:rPr>
          <w:color w:val="auto"/>
          <w:sz w:val="24"/>
          <w:szCs w:val="24"/>
        </w:rPr>
        <w:lastRenderedPageBreak/>
        <w:t xml:space="preserve">Table </w:t>
      </w:r>
      <w:r w:rsidRPr="004F6186">
        <w:rPr>
          <w:color w:val="auto"/>
          <w:sz w:val="24"/>
          <w:szCs w:val="24"/>
        </w:rPr>
        <w:fldChar w:fldCharType="begin"/>
      </w:r>
      <w:r w:rsidRPr="004F6186">
        <w:rPr>
          <w:color w:val="auto"/>
          <w:sz w:val="24"/>
          <w:szCs w:val="24"/>
        </w:rPr>
        <w:instrText xml:space="preserve"> SEQ Table \* ARABIC </w:instrText>
      </w:r>
      <w:r w:rsidRPr="004F6186">
        <w:rPr>
          <w:color w:val="auto"/>
          <w:sz w:val="24"/>
          <w:szCs w:val="24"/>
        </w:rPr>
        <w:fldChar w:fldCharType="separate"/>
      </w:r>
      <w:r w:rsidR="001E49BE">
        <w:rPr>
          <w:noProof/>
          <w:color w:val="auto"/>
          <w:sz w:val="24"/>
          <w:szCs w:val="24"/>
        </w:rPr>
        <w:t>5</w:t>
      </w:r>
      <w:r w:rsidRPr="004F6186">
        <w:rPr>
          <w:color w:val="auto"/>
          <w:sz w:val="24"/>
          <w:szCs w:val="24"/>
        </w:rPr>
        <w:fldChar w:fldCharType="end"/>
      </w:r>
      <w:bookmarkEnd w:id="64"/>
      <w:r w:rsidRPr="004F6186">
        <w:rPr>
          <w:color w:val="auto"/>
          <w:sz w:val="24"/>
          <w:szCs w:val="24"/>
        </w:rPr>
        <w:t xml:space="preserve">: </w:t>
      </w:r>
      <w:bookmarkStart w:id="68" w:name="_Hlk74741236"/>
      <w:commentRangeStart w:id="69"/>
      <w:commentRangeStart w:id="70"/>
      <w:r>
        <w:rPr>
          <w:color w:val="auto"/>
          <w:sz w:val="24"/>
          <w:szCs w:val="24"/>
        </w:rPr>
        <w:t>Proportion</w:t>
      </w:r>
      <w:commentRangeEnd w:id="69"/>
      <w:r w:rsidR="00172214">
        <w:rPr>
          <w:rStyle w:val="CommentReference"/>
          <w:b w:val="0"/>
          <w:bCs w:val="0"/>
          <w:color w:val="auto"/>
        </w:rPr>
        <w:commentReference w:id="69"/>
      </w:r>
      <w:commentRangeEnd w:id="70"/>
      <w:r w:rsidR="00F71ADB">
        <w:rPr>
          <w:rStyle w:val="CommentReference"/>
          <w:b w:val="0"/>
          <w:bCs w:val="0"/>
          <w:color w:val="auto"/>
        </w:rPr>
        <w:commentReference w:id="70"/>
      </w:r>
      <w:r>
        <w:rPr>
          <w:color w:val="auto"/>
          <w:sz w:val="24"/>
          <w:szCs w:val="24"/>
        </w:rPr>
        <w:t xml:space="preserve"> of consistent condom use</w:t>
      </w:r>
      <w:r w:rsidR="00180D28">
        <w:rPr>
          <w:color w:val="auto"/>
          <w:sz w:val="24"/>
          <w:szCs w:val="24"/>
        </w:rPr>
        <w:t>, by sub-population</w:t>
      </w:r>
      <w:bookmarkEnd w:id="65"/>
      <w:bookmarkEnd w:id="66"/>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5"/>
        <w:gridCol w:w="2050"/>
        <w:gridCol w:w="1259"/>
        <w:gridCol w:w="2510"/>
        <w:gridCol w:w="1266"/>
      </w:tblGrid>
      <w:tr w:rsidR="00F71ADB" w:rsidRPr="00035872" w14:paraId="2016FCEE" w14:textId="6D241554" w:rsidTr="00F71ADB">
        <w:trPr>
          <w:trHeight w:val="298"/>
        </w:trPr>
        <w:tc>
          <w:tcPr>
            <w:tcW w:w="1211" w:type="pct"/>
          </w:tcPr>
          <w:bookmarkEnd w:id="68"/>
          <w:p w14:paraId="5DC5D0F0" w14:textId="77777777" w:rsidR="00F71ADB" w:rsidRPr="00035872" w:rsidRDefault="00F71ADB" w:rsidP="00F71ADB">
            <w:pPr>
              <w:jc w:val="both"/>
              <w:rPr>
                <w:sz w:val="20"/>
                <w:szCs w:val="20"/>
              </w:rPr>
            </w:pPr>
            <w:r w:rsidRPr="00035872">
              <w:rPr>
                <w:b/>
                <w:bCs/>
                <w:sz w:val="20"/>
                <w:szCs w:val="20"/>
              </w:rPr>
              <w:t>Sub-group</w:t>
            </w:r>
          </w:p>
        </w:tc>
        <w:tc>
          <w:tcPr>
            <w:tcW w:w="1096" w:type="pct"/>
          </w:tcPr>
          <w:p w14:paraId="33958114" w14:textId="344F40E4" w:rsidR="00F71ADB" w:rsidRPr="00035872" w:rsidRDefault="00F71ADB" w:rsidP="00F71ADB">
            <w:pPr>
              <w:jc w:val="center"/>
              <w:rPr>
                <w:b/>
                <w:bCs/>
                <w:sz w:val="20"/>
                <w:szCs w:val="20"/>
              </w:rPr>
            </w:pPr>
            <w:commentRangeStart w:id="71"/>
            <w:r w:rsidRPr="00956EBE">
              <w:rPr>
                <w:b/>
                <w:bCs/>
                <w:sz w:val="20"/>
                <w:szCs w:val="20"/>
              </w:rPr>
              <w:t>Year</w:t>
            </w:r>
            <w:commentRangeEnd w:id="71"/>
            <w:r>
              <w:rPr>
                <w:rStyle w:val="CommentReference"/>
              </w:rPr>
              <w:commentReference w:id="71"/>
            </w:r>
            <w:r>
              <w:rPr>
                <w:b/>
                <w:bCs/>
                <w:sz w:val="20"/>
                <w:szCs w:val="20"/>
              </w:rPr>
              <w:t>s</w:t>
            </w:r>
            <w:r w:rsidRPr="00956EBE">
              <w:rPr>
                <w:b/>
                <w:bCs/>
                <w:sz w:val="20"/>
                <w:szCs w:val="20"/>
              </w:rPr>
              <w:t xml:space="preserve"> of data </w:t>
            </w:r>
            <w:r>
              <w:rPr>
                <w:b/>
                <w:bCs/>
                <w:sz w:val="20"/>
                <w:szCs w:val="20"/>
              </w:rPr>
              <w:t>applied</w:t>
            </w:r>
          </w:p>
        </w:tc>
        <w:tc>
          <w:tcPr>
            <w:tcW w:w="673" w:type="pct"/>
          </w:tcPr>
          <w:p w14:paraId="156DFE31" w14:textId="2D190304" w:rsidR="00F71ADB" w:rsidRPr="00035872" w:rsidRDefault="00F71ADB" w:rsidP="00F71ADB">
            <w:pPr>
              <w:jc w:val="both"/>
              <w:rPr>
                <w:sz w:val="20"/>
                <w:szCs w:val="20"/>
              </w:rPr>
            </w:pPr>
            <w:r w:rsidRPr="00035872">
              <w:rPr>
                <w:b/>
                <w:bCs/>
                <w:sz w:val="20"/>
                <w:szCs w:val="20"/>
              </w:rPr>
              <w:t>Age group (Years)</w:t>
            </w:r>
          </w:p>
        </w:tc>
        <w:tc>
          <w:tcPr>
            <w:tcW w:w="1342" w:type="pct"/>
          </w:tcPr>
          <w:p w14:paraId="77876412" w14:textId="77777777" w:rsidR="00F71ADB" w:rsidRPr="00035872" w:rsidRDefault="00F71ADB" w:rsidP="00F71ADB">
            <w:pPr>
              <w:jc w:val="both"/>
              <w:rPr>
                <w:sz w:val="20"/>
                <w:szCs w:val="20"/>
              </w:rPr>
            </w:pPr>
            <w:r w:rsidRPr="00035872">
              <w:rPr>
                <w:b/>
                <w:bCs/>
                <w:sz w:val="20"/>
                <w:szCs w:val="20"/>
              </w:rPr>
              <w:t>Proportion of consistent condom use</w:t>
            </w:r>
          </w:p>
        </w:tc>
        <w:tc>
          <w:tcPr>
            <w:tcW w:w="677" w:type="pct"/>
            <w:vAlign w:val="center"/>
          </w:tcPr>
          <w:p w14:paraId="4B2985E5" w14:textId="67FB2153" w:rsidR="00F71ADB" w:rsidRPr="00035872" w:rsidRDefault="00F71ADB" w:rsidP="00F71ADB">
            <w:pPr>
              <w:jc w:val="center"/>
              <w:rPr>
                <w:b/>
                <w:bCs/>
                <w:sz w:val="20"/>
                <w:szCs w:val="20"/>
              </w:rPr>
            </w:pPr>
            <w:r>
              <w:rPr>
                <w:b/>
                <w:bCs/>
                <w:sz w:val="20"/>
                <w:szCs w:val="20"/>
              </w:rPr>
              <w:t>Reference</w:t>
            </w:r>
          </w:p>
        </w:tc>
      </w:tr>
      <w:tr w:rsidR="00F71ADB" w:rsidRPr="00035872" w14:paraId="7AE2E010" w14:textId="401D1920" w:rsidTr="00F71ADB">
        <w:trPr>
          <w:trHeight w:val="298"/>
        </w:trPr>
        <w:tc>
          <w:tcPr>
            <w:tcW w:w="1211" w:type="pct"/>
            <w:vMerge w:val="restart"/>
          </w:tcPr>
          <w:p w14:paraId="2CF1E9A3" w14:textId="77777777" w:rsidR="00F71ADB" w:rsidRPr="00035872" w:rsidRDefault="00F71ADB" w:rsidP="00F71ADB">
            <w:pPr>
              <w:jc w:val="both"/>
              <w:rPr>
                <w:sz w:val="20"/>
                <w:szCs w:val="20"/>
              </w:rPr>
            </w:pPr>
            <w:r w:rsidRPr="00035872">
              <w:rPr>
                <w:sz w:val="20"/>
                <w:szCs w:val="20"/>
              </w:rPr>
              <w:t>Low-risk urban women</w:t>
            </w:r>
          </w:p>
        </w:tc>
        <w:tc>
          <w:tcPr>
            <w:tcW w:w="1096" w:type="pct"/>
            <w:vMerge w:val="restart"/>
            <w:vAlign w:val="center"/>
          </w:tcPr>
          <w:p w14:paraId="6677A035" w14:textId="7E33287D" w:rsidR="00F71ADB" w:rsidRPr="00035872" w:rsidRDefault="00F71ADB" w:rsidP="00F71ADB">
            <w:pPr>
              <w:rPr>
                <w:sz w:val="20"/>
                <w:szCs w:val="20"/>
              </w:rPr>
            </w:pPr>
            <w:r>
              <w:rPr>
                <w:sz w:val="20"/>
                <w:szCs w:val="20"/>
              </w:rPr>
              <w:t>2004-2005</w:t>
            </w:r>
          </w:p>
        </w:tc>
        <w:tc>
          <w:tcPr>
            <w:tcW w:w="673" w:type="pct"/>
          </w:tcPr>
          <w:p w14:paraId="39490C7A" w14:textId="0985A0D4" w:rsidR="00F71ADB" w:rsidRPr="00035872" w:rsidRDefault="00F71ADB" w:rsidP="00F71ADB">
            <w:pPr>
              <w:jc w:val="both"/>
              <w:rPr>
                <w:sz w:val="20"/>
                <w:szCs w:val="20"/>
              </w:rPr>
            </w:pPr>
            <w:r w:rsidRPr="00035872">
              <w:rPr>
                <w:sz w:val="20"/>
                <w:szCs w:val="20"/>
              </w:rPr>
              <w:t>15-24</w:t>
            </w:r>
          </w:p>
        </w:tc>
        <w:tc>
          <w:tcPr>
            <w:tcW w:w="1342" w:type="pct"/>
          </w:tcPr>
          <w:p w14:paraId="70A4BC90" w14:textId="77777777" w:rsidR="00F71ADB" w:rsidRPr="00035872" w:rsidRDefault="00F71ADB" w:rsidP="00F71ADB">
            <w:pPr>
              <w:jc w:val="both"/>
              <w:rPr>
                <w:sz w:val="20"/>
                <w:szCs w:val="20"/>
              </w:rPr>
            </w:pPr>
            <w:r w:rsidRPr="00035872">
              <w:rPr>
                <w:sz w:val="20"/>
                <w:szCs w:val="20"/>
              </w:rPr>
              <w:t>0.134 (0.091– 0.194)</w:t>
            </w:r>
          </w:p>
        </w:tc>
        <w:tc>
          <w:tcPr>
            <w:tcW w:w="677" w:type="pct"/>
            <w:vMerge w:val="restart"/>
            <w:vAlign w:val="center"/>
          </w:tcPr>
          <w:p w14:paraId="724F063E" w14:textId="77777777" w:rsidR="00F71ADB" w:rsidRPr="00035872" w:rsidRDefault="00F71ADB" w:rsidP="00F71ADB">
            <w:pPr>
              <w:jc w:val="center"/>
              <w:rPr>
                <w:sz w:val="20"/>
                <w:szCs w:val="20"/>
              </w:rPr>
            </w:pPr>
          </w:p>
          <w:p w14:paraId="6299425A" w14:textId="507E3CBD" w:rsidR="00F71ADB" w:rsidRPr="00035872" w:rsidRDefault="00F71ADB" w:rsidP="00F71ADB">
            <w:pPr>
              <w:jc w:val="center"/>
              <w:rPr>
                <w:sz w:val="20"/>
                <w:szCs w:val="20"/>
              </w:rPr>
            </w:pPr>
            <w:r>
              <w:rPr>
                <w:sz w:val="20"/>
                <w:szCs w:val="20"/>
              </w:rPr>
              <w:t>DHS 2005</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Health","id":"ITEM-1","issued":{"date-parts":[["2005"]]},"title":"Demographic and Health Survey, 2005","type":"webpage"},"uris":["http://www.mendeley.com/documents/?uuid=6f21bb5a-4b85-490b-a1b4-bfcffbde8423"]}],"mendeley":{"formattedCitation":"&lt;sup&gt;22&lt;/sup&gt;","plainTextFormattedCitation":"22","previouslyFormattedCitation":"&lt;sup&gt;23&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22</w:t>
            </w:r>
            <w:r>
              <w:rPr>
                <w:sz w:val="20"/>
                <w:szCs w:val="20"/>
              </w:rPr>
              <w:fldChar w:fldCharType="end"/>
            </w:r>
          </w:p>
        </w:tc>
      </w:tr>
      <w:tr w:rsidR="00F71ADB" w:rsidRPr="00035872" w14:paraId="46D11EB0" w14:textId="072B263A" w:rsidTr="00F71ADB">
        <w:trPr>
          <w:trHeight w:val="298"/>
        </w:trPr>
        <w:tc>
          <w:tcPr>
            <w:tcW w:w="1211" w:type="pct"/>
            <w:vMerge/>
          </w:tcPr>
          <w:p w14:paraId="6CBABA79" w14:textId="77777777" w:rsidR="00F71ADB" w:rsidRPr="00035872" w:rsidRDefault="00F71ADB" w:rsidP="00F71ADB">
            <w:pPr>
              <w:jc w:val="both"/>
              <w:rPr>
                <w:sz w:val="20"/>
                <w:szCs w:val="20"/>
              </w:rPr>
            </w:pPr>
          </w:p>
        </w:tc>
        <w:tc>
          <w:tcPr>
            <w:tcW w:w="1096" w:type="pct"/>
            <w:vMerge/>
            <w:vAlign w:val="center"/>
          </w:tcPr>
          <w:p w14:paraId="2FA6E88B" w14:textId="77777777" w:rsidR="00F71ADB" w:rsidRPr="00035872" w:rsidRDefault="00F71ADB" w:rsidP="00F71ADB">
            <w:pPr>
              <w:rPr>
                <w:sz w:val="20"/>
                <w:szCs w:val="20"/>
              </w:rPr>
            </w:pPr>
          </w:p>
        </w:tc>
        <w:tc>
          <w:tcPr>
            <w:tcW w:w="673" w:type="pct"/>
          </w:tcPr>
          <w:p w14:paraId="134E26CD" w14:textId="30635541" w:rsidR="00F71ADB" w:rsidRPr="00F71ADB" w:rsidRDefault="00F71ADB" w:rsidP="00F71ADB">
            <w:pPr>
              <w:jc w:val="both"/>
              <w:rPr>
                <w:sz w:val="20"/>
                <w:szCs w:val="20"/>
                <w:vertAlign w:val="superscript"/>
              </w:rPr>
            </w:pPr>
            <w:r w:rsidRPr="00035872">
              <w:rPr>
                <w:sz w:val="20"/>
                <w:szCs w:val="20"/>
              </w:rPr>
              <w:t>25+</w:t>
            </w:r>
            <w:r>
              <w:rPr>
                <w:sz w:val="20"/>
                <w:szCs w:val="20"/>
                <w:vertAlign w:val="superscript"/>
              </w:rPr>
              <w:t>a</w:t>
            </w:r>
          </w:p>
        </w:tc>
        <w:tc>
          <w:tcPr>
            <w:tcW w:w="1342" w:type="pct"/>
          </w:tcPr>
          <w:p w14:paraId="21CCBF3C" w14:textId="77777777" w:rsidR="00F71ADB" w:rsidRPr="00035872" w:rsidRDefault="00F71ADB" w:rsidP="00F71ADB">
            <w:pPr>
              <w:jc w:val="both"/>
              <w:rPr>
                <w:sz w:val="20"/>
                <w:szCs w:val="20"/>
              </w:rPr>
            </w:pPr>
            <w:r w:rsidRPr="00035872">
              <w:rPr>
                <w:sz w:val="20"/>
                <w:szCs w:val="20"/>
              </w:rPr>
              <w:t>0.043 (0.030 – 0.063)</w:t>
            </w:r>
          </w:p>
        </w:tc>
        <w:tc>
          <w:tcPr>
            <w:tcW w:w="677" w:type="pct"/>
            <w:vMerge/>
            <w:vAlign w:val="center"/>
          </w:tcPr>
          <w:p w14:paraId="2B825E10" w14:textId="77777777" w:rsidR="00F71ADB" w:rsidRPr="00035872" w:rsidRDefault="00F71ADB" w:rsidP="00F71ADB">
            <w:pPr>
              <w:jc w:val="center"/>
              <w:rPr>
                <w:sz w:val="20"/>
                <w:szCs w:val="20"/>
              </w:rPr>
            </w:pPr>
          </w:p>
        </w:tc>
      </w:tr>
      <w:tr w:rsidR="00F71ADB" w:rsidRPr="00035872" w14:paraId="48DB5576" w14:textId="74FB9309" w:rsidTr="00F71ADB">
        <w:trPr>
          <w:trHeight w:val="298"/>
        </w:trPr>
        <w:tc>
          <w:tcPr>
            <w:tcW w:w="1211" w:type="pct"/>
            <w:vMerge/>
          </w:tcPr>
          <w:p w14:paraId="5F932120" w14:textId="77777777" w:rsidR="00F71ADB" w:rsidRPr="00035872" w:rsidRDefault="00F71ADB" w:rsidP="00F71ADB">
            <w:pPr>
              <w:jc w:val="both"/>
              <w:rPr>
                <w:sz w:val="20"/>
                <w:szCs w:val="20"/>
              </w:rPr>
            </w:pPr>
          </w:p>
        </w:tc>
        <w:tc>
          <w:tcPr>
            <w:tcW w:w="1096" w:type="pct"/>
            <w:vMerge w:val="restart"/>
            <w:vAlign w:val="center"/>
          </w:tcPr>
          <w:p w14:paraId="2FC92693" w14:textId="6357005F" w:rsidR="00F71ADB" w:rsidRPr="00035872" w:rsidRDefault="00F71ADB" w:rsidP="00F71ADB">
            <w:pPr>
              <w:rPr>
                <w:sz w:val="20"/>
                <w:szCs w:val="20"/>
              </w:rPr>
            </w:pPr>
            <w:r>
              <w:rPr>
                <w:sz w:val="20"/>
                <w:szCs w:val="20"/>
              </w:rPr>
              <w:t>2006-2010</w:t>
            </w:r>
          </w:p>
        </w:tc>
        <w:tc>
          <w:tcPr>
            <w:tcW w:w="673" w:type="pct"/>
          </w:tcPr>
          <w:p w14:paraId="6542F622" w14:textId="3133EAF2" w:rsidR="00F71ADB" w:rsidRPr="00035872" w:rsidRDefault="00F71ADB" w:rsidP="00F71ADB">
            <w:pPr>
              <w:jc w:val="both"/>
              <w:rPr>
                <w:sz w:val="20"/>
                <w:szCs w:val="20"/>
              </w:rPr>
            </w:pPr>
            <w:r w:rsidRPr="00035872">
              <w:rPr>
                <w:sz w:val="20"/>
                <w:szCs w:val="20"/>
              </w:rPr>
              <w:t>15-24</w:t>
            </w:r>
          </w:p>
        </w:tc>
        <w:tc>
          <w:tcPr>
            <w:tcW w:w="1342" w:type="pct"/>
          </w:tcPr>
          <w:p w14:paraId="1B59388E" w14:textId="77777777" w:rsidR="00F71ADB" w:rsidRPr="00035872" w:rsidRDefault="00F71ADB" w:rsidP="00F71ADB">
            <w:pPr>
              <w:jc w:val="both"/>
              <w:rPr>
                <w:sz w:val="20"/>
                <w:szCs w:val="20"/>
              </w:rPr>
            </w:pPr>
            <w:r w:rsidRPr="00035872">
              <w:rPr>
                <w:sz w:val="20"/>
                <w:szCs w:val="20"/>
              </w:rPr>
              <w:t>0.165 (0.123 – 0.218)</w:t>
            </w:r>
          </w:p>
        </w:tc>
        <w:tc>
          <w:tcPr>
            <w:tcW w:w="677" w:type="pct"/>
            <w:vMerge w:val="restart"/>
            <w:vAlign w:val="center"/>
          </w:tcPr>
          <w:p w14:paraId="4EDD559A" w14:textId="77777777" w:rsidR="00F71ADB" w:rsidRPr="00035872" w:rsidRDefault="00F71ADB" w:rsidP="00F71ADB">
            <w:pPr>
              <w:jc w:val="center"/>
              <w:rPr>
                <w:sz w:val="20"/>
                <w:szCs w:val="20"/>
              </w:rPr>
            </w:pPr>
          </w:p>
          <w:p w14:paraId="3B1F681F" w14:textId="6AC972A9" w:rsidR="00F71ADB" w:rsidRPr="00035872" w:rsidRDefault="00F71ADB" w:rsidP="00F71ADB">
            <w:pPr>
              <w:jc w:val="center"/>
              <w:rPr>
                <w:sz w:val="20"/>
                <w:szCs w:val="20"/>
              </w:rPr>
            </w:pPr>
            <w:r>
              <w:rPr>
                <w:sz w:val="20"/>
                <w:szCs w:val="20"/>
              </w:rPr>
              <w:t>DHS 2010</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Health","id":"ITEM-1","issued":{"date-parts":[["2010"]]},"title":"Demographic and Health Survey, 2010","type":"webpage"},"uris":["http://www.mendeley.com/documents/?uuid=ad9040c2-d770-4441-b0a2-11a1c9d3664f"]}],"mendeley":{"formattedCitation":"&lt;sup&gt;43&lt;/sup&gt;","plainTextFormattedCitation":"43","previouslyFormattedCitation":"&lt;sup&gt;41&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43</w:t>
            </w:r>
            <w:r>
              <w:rPr>
                <w:sz w:val="20"/>
                <w:szCs w:val="20"/>
              </w:rPr>
              <w:fldChar w:fldCharType="end"/>
            </w:r>
          </w:p>
        </w:tc>
      </w:tr>
      <w:tr w:rsidR="00F71ADB" w:rsidRPr="00035872" w14:paraId="46A329C0" w14:textId="531A0DCF" w:rsidTr="00F71ADB">
        <w:trPr>
          <w:trHeight w:val="298"/>
        </w:trPr>
        <w:tc>
          <w:tcPr>
            <w:tcW w:w="1211" w:type="pct"/>
            <w:vMerge/>
          </w:tcPr>
          <w:p w14:paraId="216A5A59" w14:textId="77777777" w:rsidR="00F71ADB" w:rsidRPr="00035872" w:rsidRDefault="00F71ADB" w:rsidP="00F71ADB">
            <w:pPr>
              <w:jc w:val="both"/>
              <w:rPr>
                <w:sz w:val="20"/>
                <w:szCs w:val="20"/>
              </w:rPr>
            </w:pPr>
          </w:p>
        </w:tc>
        <w:tc>
          <w:tcPr>
            <w:tcW w:w="1096" w:type="pct"/>
            <w:vMerge/>
            <w:vAlign w:val="center"/>
          </w:tcPr>
          <w:p w14:paraId="00369C77" w14:textId="77777777" w:rsidR="00F71ADB" w:rsidRPr="00035872" w:rsidRDefault="00F71ADB" w:rsidP="00F71ADB">
            <w:pPr>
              <w:rPr>
                <w:sz w:val="20"/>
                <w:szCs w:val="20"/>
              </w:rPr>
            </w:pPr>
          </w:p>
        </w:tc>
        <w:tc>
          <w:tcPr>
            <w:tcW w:w="673" w:type="pct"/>
          </w:tcPr>
          <w:p w14:paraId="3B146167" w14:textId="0C1704D5" w:rsidR="00F71ADB" w:rsidRPr="00035872" w:rsidRDefault="00F71ADB" w:rsidP="00F71ADB">
            <w:pPr>
              <w:jc w:val="both"/>
              <w:rPr>
                <w:sz w:val="20"/>
                <w:szCs w:val="20"/>
                <w:vertAlign w:val="superscript"/>
              </w:rPr>
            </w:pPr>
            <w:r w:rsidRPr="00035872">
              <w:rPr>
                <w:sz w:val="20"/>
                <w:szCs w:val="20"/>
              </w:rPr>
              <w:t>25+</w:t>
            </w:r>
            <w:r>
              <w:rPr>
                <w:sz w:val="20"/>
                <w:szCs w:val="20"/>
                <w:vertAlign w:val="superscript"/>
              </w:rPr>
              <w:t>a</w:t>
            </w:r>
          </w:p>
        </w:tc>
        <w:tc>
          <w:tcPr>
            <w:tcW w:w="1342" w:type="pct"/>
          </w:tcPr>
          <w:p w14:paraId="730FF7D2" w14:textId="77777777" w:rsidR="00F71ADB" w:rsidRPr="00035872" w:rsidRDefault="00F71ADB" w:rsidP="00F71ADB">
            <w:pPr>
              <w:jc w:val="both"/>
              <w:rPr>
                <w:sz w:val="20"/>
                <w:szCs w:val="20"/>
              </w:rPr>
            </w:pPr>
            <w:r w:rsidRPr="00035872">
              <w:rPr>
                <w:sz w:val="20"/>
                <w:szCs w:val="20"/>
              </w:rPr>
              <w:t>0.066 (0.050 – 0.085)</w:t>
            </w:r>
          </w:p>
        </w:tc>
        <w:tc>
          <w:tcPr>
            <w:tcW w:w="677" w:type="pct"/>
            <w:vMerge/>
            <w:vAlign w:val="center"/>
          </w:tcPr>
          <w:p w14:paraId="3A271F9B" w14:textId="77777777" w:rsidR="00F71ADB" w:rsidRPr="00035872" w:rsidRDefault="00F71ADB" w:rsidP="00F71ADB">
            <w:pPr>
              <w:jc w:val="center"/>
              <w:rPr>
                <w:sz w:val="20"/>
                <w:szCs w:val="20"/>
              </w:rPr>
            </w:pPr>
          </w:p>
        </w:tc>
      </w:tr>
      <w:tr w:rsidR="00F71ADB" w:rsidRPr="00035872" w14:paraId="4C5638E4" w14:textId="2C0B7EF6" w:rsidTr="00F71ADB">
        <w:trPr>
          <w:trHeight w:val="298"/>
        </w:trPr>
        <w:tc>
          <w:tcPr>
            <w:tcW w:w="1211" w:type="pct"/>
            <w:vMerge/>
          </w:tcPr>
          <w:p w14:paraId="7C858B54" w14:textId="77777777" w:rsidR="00F71ADB" w:rsidRPr="00035872" w:rsidRDefault="00F71ADB" w:rsidP="00F71ADB">
            <w:pPr>
              <w:jc w:val="both"/>
              <w:rPr>
                <w:sz w:val="20"/>
                <w:szCs w:val="20"/>
              </w:rPr>
            </w:pPr>
          </w:p>
        </w:tc>
        <w:tc>
          <w:tcPr>
            <w:tcW w:w="1096" w:type="pct"/>
            <w:vMerge w:val="restart"/>
            <w:vAlign w:val="center"/>
          </w:tcPr>
          <w:p w14:paraId="5B1A70D8" w14:textId="7F0654F8" w:rsidR="00F71ADB" w:rsidRPr="00035872" w:rsidRDefault="00F71ADB" w:rsidP="00F71ADB">
            <w:pPr>
              <w:rPr>
                <w:sz w:val="20"/>
                <w:szCs w:val="20"/>
              </w:rPr>
            </w:pPr>
            <w:r>
              <w:rPr>
                <w:sz w:val="20"/>
                <w:szCs w:val="20"/>
              </w:rPr>
              <w:t>2011-End of projection period</w:t>
            </w:r>
          </w:p>
        </w:tc>
        <w:tc>
          <w:tcPr>
            <w:tcW w:w="673" w:type="pct"/>
          </w:tcPr>
          <w:p w14:paraId="19A7FCCD" w14:textId="4A1D24D2" w:rsidR="00F71ADB" w:rsidRPr="00035872" w:rsidRDefault="00F71ADB" w:rsidP="00F71ADB">
            <w:pPr>
              <w:jc w:val="both"/>
              <w:rPr>
                <w:sz w:val="20"/>
                <w:szCs w:val="20"/>
              </w:rPr>
            </w:pPr>
            <w:r w:rsidRPr="00035872">
              <w:rPr>
                <w:sz w:val="20"/>
                <w:szCs w:val="20"/>
              </w:rPr>
              <w:t>15-24</w:t>
            </w:r>
          </w:p>
        </w:tc>
        <w:tc>
          <w:tcPr>
            <w:tcW w:w="1342" w:type="pct"/>
          </w:tcPr>
          <w:p w14:paraId="1BEC1E61" w14:textId="77777777" w:rsidR="00F71ADB" w:rsidRPr="00035872" w:rsidRDefault="00F71ADB" w:rsidP="00F71ADB">
            <w:pPr>
              <w:jc w:val="both"/>
              <w:rPr>
                <w:sz w:val="20"/>
                <w:szCs w:val="20"/>
              </w:rPr>
            </w:pPr>
            <w:r w:rsidRPr="00035872">
              <w:rPr>
                <w:sz w:val="20"/>
                <w:szCs w:val="20"/>
              </w:rPr>
              <w:t>0.266 (0.221 – 0.316)</w:t>
            </w:r>
          </w:p>
        </w:tc>
        <w:tc>
          <w:tcPr>
            <w:tcW w:w="677" w:type="pct"/>
            <w:vMerge w:val="restart"/>
            <w:vAlign w:val="center"/>
          </w:tcPr>
          <w:p w14:paraId="7AC380E0" w14:textId="29EF620A" w:rsidR="00F71ADB" w:rsidRPr="00035872" w:rsidRDefault="00F71ADB" w:rsidP="00F71ADB">
            <w:pPr>
              <w:jc w:val="center"/>
              <w:rPr>
                <w:sz w:val="20"/>
                <w:szCs w:val="20"/>
              </w:rPr>
            </w:pPr>
            <w:r>
              <w:rPr>
                <w:sz w:val="20"/>
                <w:szCs w:val="20"/>
              </w:rPr>
              <w:t>DHS 2015</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Health","id":"ITEM-1","issued":{"date-parts":[["2015"]]},"title":"Demographic and Health Survey, 2015","type":"webpage"},"uris":["http://www.mendeley.com/documents/?uuid=a01ee458-5ceb-42cb-9802-8a0c4cfbc426"]}],"mendeley":{"formattedCitation":"&lt;sup&gt;29&lt;/sup&gt;","plainTextFormattedCitation":"29","previouslyFormattedCitation":"&lt;sup&gt;30&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29</w:t>
            </w:r>
            <w:r>
              <w:rPr>
                <w:sz w:val="20"/>
                <w:szCs w:val="20"/>
              </w:rPr>
              <w:fldChar w:fldCharType="end"/>
            </w:r>
          </w:p>
        </w:tc>
      </w:tr>
      <w:tr w:rsidR="00F71ADB" w:rsidRPr="00035872" w14:paraId="498249D6" w14:textId="6CDF1404" w:rsidTr="00F71ADB">
        <w:trPr>
          <w:trHeight w:val="298"/>
        </w:trPr>
        <w:tc>
          <w:tcPr>
            <w:tcW w:w="1211" w:type="pct"/>
            <w:vMerge/>
          </w:tcPr>
          <w:p w14:paraId="22D171E0" w14:textId="77777777" w:rsidR="00F71ADB" w:rsidRPr="00035872" w:rsidRDefault="00F71ADB" w:rsidP="00F71ADB">
            <w:pPr>
              <w:jc w:val="both"/>
              <w:rPr>
                <w:sz w:val="20"/>
                <w:szCs w:val="20"/>
              </w:rPr>
            </w:pPr>
          </w:p>
        </w:tc>
        <w:tc>
          <w:tcPr>
            <w:tcW w:w="1096" w:type="pct"/>
            <w:vMerge/>
            <w:vAlign w:val="center"/>
          </w:tcPr>
          <w:p w14:paraId="4E112751" w14:textId="77777777" w:rsidR="00F71ADB" w:rsidRPr="00035872" w:rsidRDefault="00F71ADB" w:rsidP="00580BE8">
            <w:pPr>
              <w:rPr>
                <w:sz w:val="20"/>
                <w:szCs w:val="20"/>
              </w:rPr>
            </w:pPr>
          </w:p>
        </w:tc>
        <w:tc>
          <w:tcPr>
            <w:tcW w:w="673" w:type="pct"/>
          </w:tcPr>
          <w:p w14:paraId="200C9D32" w14:textId="12F120D1" w:rsidR="00F71ADB" w:rsidRPr="00035872" w:rsidRDefault="00F71ADB" w:rsidP="00F71ADB">
            <w:pPr>
              <w:jc w:val="both"/>
              <w:rPr>
                <w:sz w:val="20"/>
                <w:szCs w:val="20"/>
              </w:rPr>
            </w:pPr>
            <w:r w:rsidRPr="00035872">
              <w:rPr>
                <w:sz w:val="20"/>
                <w:szCs w:val="20"/>
              </w:rPr>
              <w:t>25+</w:t>
            </w:r>
            <w:r>
              <w:rPr>
                <w:sz w:val="20"/>
                <w:szCs w:val="20"/>
                <w:vertAlign w:val="superscript"/>
              </w:rPr>
              <w:t>a</w:t>
            </w:r>
          </w:p>
        </w:tc>
        <w:tc>
          <w:tcPr>
            <w:tcW w:w="1342" w:type="pct"/>
          </w:tcPr>
          <w:p w14:paraId="1037D8BB" w14:textId="77777777" w:rsidR="00F71ADB" w:rsidRPr="00035872" w:rsidRDefault="00F71ADB" w:rsidP="00F71ADB">
            <w:pPr>
              <w:jc w:val="both"/>
              <w:rPr>
                <w:sz w:val="20"/>
                <w:szCs w:val="20"/>
              </w:rPr>
            </w:pPr>
            <w:r w:rsidRPr="00035872">
              <w:rPr>
                <w:sz w:val="20"/>
                <w:szCs w:val="20"/>
              </w:rPr>
              <w:t>0.090 (0.075 – 0.108)</w:t>
            </w:r>
          </w:p>
        </w:tc>
        <w:tc>
          <w:tcPr>
            <w:tcW w:w="677" w:type="pct"/>
            <w:vMerge/>
            <w:vAlign w:val="center"/>
          </w:tcPr>
          <w:p w14:paraId="1B0F497C" w14:textId="77777777" w:rsidR="00F71ADB" w:rsidRPr="00035872" w:rsidRDefault="00F71ADB" w:rsidP="00F71ADB">
            <w:pPr>
              <w:jc w:val="center"/>
              <w:rPr>
                <w:sz w:val="20"/>
                <w:szCs w:val="20"/>
              </w:rPr>
            </w:pPr>
          </w:p>
        </w:tc>
      </w:tr>
      <w:tr w:rsidR="00F71ADB" w:rsidRPr="00035872" w14:paraId="35A8DDDA" w14:textId="08A0F6DB" w:rsidTr="00F71ADB">
        <w:trPr>
          <w:trHeight w:val="287"/>
        </w:trPr>
        <w:tc>
          <w:tcPr>
            <w:tcW w:w="1211" w:type="pct"/>
            <w:vMerge w:val="restart"/>
          </w:tcPr>
          <w:p w14:paraId="265770A8" w14:textId="77777777" w:rsidR="00F71ADB" w:rsidRPr="00035872" w:rsidRDefault="00F71ADB" w:rsidP="00F71ADB">
            <w:pPr>
              <w:jc w:val="both"/>
              <w:rPr>
                <w:sz w:val="20"/>
                <w:szCs w:val="20"/>
              </w:rPr>
            </w:pPr>
            <w:r w:rsidRPr="00035872">
              <w:rPr>
                <w:sz w:val="20"/>
                <w:szCs w:val="20"/>
              </w:rPr>
              <w:t>Low-risk rural women</w:t>
            </w:r>
          </w:p>
        </w:tc>
        <w:tc>
          <w:tcPr>
            <w:tcW w:w="1096" w:type="pct"/>
            <w:vMerge w:val="restart"/>
            <w:vAlign w:val="center"/>
          </w:tcPr>
          <w:p w14:paraId="39AD6B56" w14:textId="630CC0C6" w:rsidR="00F71ADB" w:rsidRPr="00035872" w:rsidRDefault="00F71ADB" w:rsidP="00E639E1">
            <w:pPr>
              <w:rPr>
                <w:sz w:val="20"/>
                <w:szCs w:val="20"/>
              </w:rPr>
            </w:pPr>
            <w:r>
              <w:rPr>
                <w:sz w:val="20"/>
                <w:szCs w:val="20"/>
              </w:rPr>
              <w:t>2004-2005</w:t>
            </w:r>
          </w:p>
        </w:tc>
        <w:tc>
          <w:tcPr>
            <w:tcW w:w="673" w:type="pct"/>
          </w:tcPr>
          <w:p w14:paraId="550B5CC0" w14:textId="031E3A40" w:rsidR="00F71ADB" w:rsidRPr="00035872" w:rsidRDefault="00F71ADB" w:rsidP="00F71ADB">
            <w:pPr>
              <w:jc w:val="both"/>
              <w:rPr>
                <w:sz w:val="20"/>
                <w:szCs w:val="20"/>
              </w:rPr>
            </w:pPr>
            <w:r w:rsidRPr="00035872">
              <w:rPr>
                <w:sz w:val="20"/>
                <w:szCs w:val="20"/>
              </w:rPr>
              <w:t>15-24</w:t>
            </w:r>
          </w:p>
        </w:tc>
        <w:tc>
          <w:tcPr>
            <w:tcW w:w="1342" w:type="pct"/>
          </w:tcPr>
          <w:p w14:paraId="77C402B5" w14:textId="77777777" w:rsidR="00F71ADB" w:rsidRPr="00035872" w:rsidRDefault="00F71ADB" w:rsidP="00F71ADB">
            <w:pPr>
              <w:jc w:val="both"/>
              <w:rPr>
                <w:sz w:val="20"/>
                <w:szCs w:val="20"/>
              </w:rPr>
            </w:pPr>
            <w:r w:rsidRPr="00035872">
              <w:rPr>
                <w:sz w:val="20"/>
                <w:szCs w:val="20"/>
              </w:rPr>
              <w:t>0.017 (0.010 – 0.027)</w:t>
            </w:r>
          </w:p>
        </w:tc>
        <w:tc>
          <w:tcPr>
            <w:tcW w:w="677" w:type="pct"/>
            <w:vMerge w:val="restart"/>
            <w:vAlign w:val="center"/>
          </w:tcPr>
          <w:p w14:paraId="1A696FF7" w14:textId="6033470A" w:rsidR="00F71ADB" w:rsidRPr="00035872" w:rsidRDefault="00F71ADB" w:rsidP="00F71ADB">
            <w:pPr>
              <w:jc w:val="center"/>
              <w:rPr>
                <w:sz w:val="20"/>
                <w:szCs w:val="20"/>
              </w:rPr>
            </w:pPr>
            <w:r>
              <w:rPr>
                <w:sz w:val="20"/>
                <w:szCs w:val="20"/>
              </w:rPr>
              <w:t>DHS 2005</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Health","id":"ITEM-1","issued":{"date-parts":[["2005"]]},"title":"Demographic and Health Survey, 2005","type":"webpage"},"uris":["http://www.mendeley.com/documents/?uuid=6f21bb5a-4b85-490b-a1b4-bfcffbde8423"]}],"mendeley":{"formattedCitation":"&lt;sup&gt;22&lt;/sup&gt;","plainTextFormattedCitation":"22","previouslyFormattedCitation":"&lt;sup&gt;23&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22</w:t>
            </w:r>
            <w:r>
              <w:rPr>
                <w:sz w:val="20"/>
                <w:szCs w:val="20"/>
              </w:rPr>
              <w:fldChar w:fldCharType="end"/>
            </w:r>
          </w:p>
        </w:tc>
      </w:tr>
      <w:tr w:rsidR="00F71ADB" w:rsidRPr="00035872" w14:paraId="49941600" w14:textId="63E42FF7" w:rsidTr="00F71ADB">
        <w:trPr>
          <w:trHeight w:val="298"/>
        </w:trPr>
        <w:tc>
          <w:tcPr>
            <w:tcW w:w="1211" w:type="pct"/>
            <w:vMerge/>
          </w:tcPr>
          <w:p w14:paraId="2A53D707" w14:textId="77777777" w:rsidR="00F71ADB" w:rsidRPr="00035872" w:rsidRDefault="00F71ADB" w:rsidP="00F71ADB">
            <w:pPr>
              <w:jc w:val="both"/>
              <w:rPr>
                <w:sz w:val="20"/>
                <w:szCs w:val="20"/>
              </w:rPr>
            </w:pPr>
          </w:p>
        </w:tc>
        <w:tc>
          <w:tcPr>
            <w:tcW w:w="1096" w:type="pct"/>
            <w:vMerge/>
            <w:vAlign w:val="center"/>
          </w:tcPr>
          <w:p w14:paraId="6CD06C98" w14:textId="77777777" w:rsidR="00F71ADB" w:rsidRPr="00035872" w:rsidRDefault="00F71ADB" w:rsidP="00F71ADB">
            <w:pPr>
              <w:rPr>
                <w:sz w:val="20"/>
                <w:szCs w:val="20"/>
              </w:rPr>
            </w:pPr>
          </w:p>
        </w:tc>
        <w:tc>
          <w:tcPr>
            <w:tcW w:w="673" w:type="pct"/>
          </w:tcPr>
          <w:p w14:paraId="077699D3" w14:textId="4AACC558" w:rsidR="00F71ADB" w:rsidRPr="00035872" w:rsidRDefault="00F71ADB" w:rsidP="00F71ADB">
            <w:pPr>
              <w:jc w:val="both"/>
              <w:rPr>
                <w:sz w:val="20"/>
                <w:szCs w:val="20"/>
              </w:rPr>
            </w:pPr>
            <w:r w:rsidRPr="00035872">
              <w:rPr>
                <w:sz w:val="20"/>
                <w:szCs w:val="20"/>
              </w:rPr>
              <w:t>25+</w:t>
            </w:r>
            <w:r>
              <w:rPr>
                <w:sz w:val="20"/>
                <w:szCs w:val="20"/>
                <w:vertAlign w:val="superscript"/>
              </w:rPr>
              <w:t>a</w:t>
            </w:r>
          </w:p>
        </w:tc>
        <w:tc>
          <w:tcPr>
            <w:tcW w:w="1342" w:type="pct"/>
          </w:tcPr>
          <w:p w14:paraId="1FACF733" w14:textId="77777777" w:rsidR="00F71ADB" w:rsidRPr="00035872" w:rsidRDefault="00F71ADB" w:rsidP="00F71ADB">
            <w:pPr>
              <w:jc w:val="both"/>
              <w:rPr>
                <w:sz w:val="20"/>
                <w:szCs w:val="20"/>
              </w:rPr>
            </w:pPr>
            <w:r w:rsidRPr="00035872">
              <w:rPr>
                <w:sz w:val="20"/>
                <w:szCs w:val="20"/>
              </w:rPr>
              <w:t>0.008 (0.006 – 0.012)</w:t>
            </w:r>
          </w:p>
        </w:tc>
        <w:tc>
          <w:tcPr>
            <w:tcW w:w="677" w:type="pct"/>
            <w:vMerge/>
            <w:vAlign w:val="center"/>
          </w:tcPr>
          <w:p w14:paraId="43373759" w14:textId="77777777" w:rsidR="00F71ADB" w:rsidRPr="00035872" w:rsidRDefault="00F71ADB" w:rsidP="00F71ADB">
            <w:pPr>
              <w:jc w:val="center"/>
              <w:rPr>
                <w:sz w:val="20"/>
                <w:szCs w:val="20"/>
              </w:rPr>
            </w:pPr>
          </w:p>
        </w:tc>
      </w:tr>
      <w:tr w:rsidR="00F71ADB" w:rsidRPr="00035872" w14:paraId="117CB986" w14:textId="593D3EF6" w:rsidTr="00F71ADB">
        <w:trPr>
          <w:trHeight w:val="278"/>
        </w:trPr>
        <w:tc>
          <w:tcPr>
            <w:tcW w:w="1211" w:type="pct"/>
            <w:vMerge/>
          </w:tcPr>
          <w:p w14:paraId="511CD9DD" w14:textId="77777777" w:rsidR="00F71ADB" w:rsidRPr="00035872" w:rsidRDefault="00F71ADB" w:rsidP="00F71ADB">
            <w:pPr>
              <w:jc w:val="both"/>
              <w:rPr>
                <w:sz w:val="20"/>
                <w:szCs w:val="20"/>
              </w:rPr>
            </w:pPr>
          </w:p>
        </w:tc>
        <w:tc>
          <w:tcPr>
            <w:tcW w:w="1096" w:type="pct"/>
            <w:vMerge w:val="restart"/>
            <w:vAlign w:val="center"/>
          </w:tcPr>
          <w:p w14:paraId="2660E217" w14:textId="4DC175D1" w:rsidR="00F71ADB" w:rsidRPr="00035872" w:rsidRDefault="00F71ADB" w:rsidP="00F71ADB">
            <w:pPr>
              <w:rPr>
                <w:sz w:val="20"/>
                <w:szCs w:val="20"/>
              </w:rPr>
            </w:pPr>
            <w:r>
              <w:rPr>
                <w:sz w:val="20"/>
                <w:szCs w:val="20"/>
              </w:rPr>
              <w:t>2006-2010</w:t>
            </w:r>
          </w:p>
        </w:tc>
        <w:tc>
          <w:tcPr>
            <w:tcW w:w="673" w:type="pct"/>
          </w:tcPr>
          <w:p w14:paraId="2EA9EABB" w14:textId="12E2EB13" w:rsidR="00F71ADB" w:rsidRPr="00035872" w:rsidRDefault="00F71ADB" w:rsidP="00F71ADB">
            <w:pPr>
              <w:jc w:val="both"/>
              <w:rPr>
                <w:sz w:val="20"/>
                <w:szCs w:val="20"/>
              </w:rPr>
            </w:pPr>
            <w:r w:rsidRPr="00035872">
              <w:rPr>
                <w:sz w:val="20"/>
                <w:szCs w:val="20"/>
              </w:rPr>
              <w:t>15-24</w:t>
            </w:r>
          </w:p>
        </w:tc>
        <w:tc>
          <w:tcPr>
            <w:tcW w:w="1342" w:type="pct"/>
          </w:tcPr>
          <w:p w14:paraId="350EBD30" w14:textId="77777777" w:rsidR="00F71ADB" w:rsidRPr="00035872" w:rsidRDefault="00F71ADB" w:rsidP="00F71ADB">
            <w:pPr>
              <w:jc w:val="both"/>
              <w:rPr>
                <w:sz w:val="20"/>
                <w:szCs w:val="20"/>
              </w:rPr>
            </w:pPr>
            <w:r w:rsidRPr="00035872">
              <w:rPr>
                <w:sz w:val="20"/>
                <w:szCs w:val="20"/>
              </w:rPr>
              <w:t>0.066 (0.053 – 0.082)</w:t>
            </w:r>
          </w:p>
        </w:tc>
        <w:tc>
          <w:tcPr>
            <w:tcW w:w="677" w:type="pct"/>
            <w:vMerge w:val="restart"/>
            <w:vAlign w:val="center"/>
          </w:tcPr>
          <w:p w14:paraId="67FFBBEC" w14:textId="4B7C2855" w:rsidR="00F71ADB" w:rsidRPr="00035872" w:rsidRDefault="00F71ADB" w:rsidP="00F71ADB">
            <w:pPr>
              <w:jc w:val="center"/>
              <w:rPr>
                <w:sz w:val="20"/>
                <w:szCs w:val="20"/>
              </w:rPr>
            </w:pPr>
            <w:r>
              <w:rPr>
                <w:sz w:val="20"/>
                <w:szCs w:val="20"/>
              </w:rPr>
              <w:t>DHS 2010</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Health","id":"ITEM-1","issued":{"date-parts":[["2010"]]},"title":"Demographic and Health Survey, 2010","type":"webpage"},"uris":["http://www.mendeley.com/documents/?uuid=ad9040c2-d770-4441-b0a2-11a1c9d3664f"]}],"mendeley":{"formattedCitation":"&lt;sup&gt;43&lt;/sup&gt;","plainTextFormattedCitation":"43","previouslyFormattedCitation":"&lt;sup&gt;41&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43</w:t>
            </w:r>
            <w:r>
              <w:rPr>
                <w:sz w:val="20"/>
                <w:szCs w:val="20"/>
              </w:rPr>
              <w:fldChar w:fldCharType="end"/>
            </w:r>
          </w:p>
        </w:tc>
      </w:tr>
      <w:tr w:rsidR="00F71ADB" w:rsidRPr="00035872" w14:paraId="1B5BEDF0" w14:textId="666F1454" w:rsidTr="00F71ADB">
        <w:trPr>
          <w:trHeight w:val="298"/>
        </w:trPr>
        <w:tc>
          <w:tcPr>
            <w:tcW w:w="1211" w:type="pct"/>
            <w:vMerge/>
          </w:tcPr>
          <w:p w14:paraId="78E61069" w14:textId="77777777" w:rsidR="00F71ADB" w:rsidRPr="00035872" w:rsidRDefault="00F71ADB" w:rsidP="00F71ADB">
            <w:pPr>
              <w:jc w:val="both"/>
              <w:rPr>
                <w:sz w:val="20"/>
                <w:szCs w:val="20"/>
              </w:rPr>
            </w:pPr>
          </w:p>
        </w:tc>
        <w:tc>
          <w:tcPr>
            <w:tcW w:w="1096" w:type="pct"/>
            <w:vMerge/>
            <w:vAlign w:val="center"/>
          </w:tcPr>
          <w:p w14:paraId="1DF7AE98" w14:textId="77777777" w:rsidR="00F71ADB" w:rsidRPr="00035872" w:rsidRDefault="00F71ADB" w:rsidP="00F71ADB">
            <w:pPr>
              <w:rPr>
                <w:sz w:val="20"/>
                <w:szCs w:val="20"/>
              </w:rPr>
            </w:pPr>
          </w:p>
        </w:tc>
        <w:tc>
          <w:tcPr>
            <w:tcW w:w="673" w:type="pct"/>
          </w:tcPr>
          <w:p w14:paraId="6BD72741" w14:textId="7A0654C4" w:rsidR="00F71ADB" w:rsidRPr="00035872" w:rsidRDefault="00F71ADB" w:rsidP="00F71ADB">
            <w:pPr>
              <w:jc w:val="both"/>
              <w:rPr>
                <w:sz w:val="20"/>
                <w:szCs w:val="20"/>
              </w:rPr>
            </w:pPr>
            <w:r w:rsidRPr="00035872">
              <w:rPr>
                <w:sz w:val="20"/>
                <w:szCs w:val="20"/>
              </w:rPr>
              <w:t>25+</w:t>
            </w:r>
            <w:r>
              <w:rPr>
                <w:sz w:val="20"/>
                <w:szCs w:val="20"/>
                <w:vertAlign w:val="superscript"/>
              </w:rPr>
              <w:t>a</w:t>
            </w:r>
          </w:p>
        </w:tc>
        <w:tc>
          <w:tcPr>
            <w:tcW w:w="1342" w:type="pct"/>
          </w:tcPr>
          <w:p w14:paraId="6BB1B439" w14:textId="77777777" w:rsidR="00F71ADB" w:rsidRPr="00035872" w:rsidRDefault="00F71ADB" w:rsidP="00F71ADB">
            <w:pPr>
              <w:jc w:val="both"/>
              <w:rPr>
                <w:sz w:val="20"/>
                <w:szCs w:val="20"/>
              </w:rPr>
            </w:pPr>
            <w:r w:rsidRPr="00035872">
              <w:rPr>
                <w:sz w:val="20"/>
                <w:szCs w:val="20"/>
              </w:rPr>
              <w:t>0.032 (0.028 – 0.038)</w:t>
            </w:r>
          </w:p>
        </w:tc>
        <w:tc>
          <w:tcPr>
            <w:tcW w:w="677" w:type="pct"/>
            <w:vMerge/>
            <w:vAlign w:val="center"/>
          </w:tcPr>
          <w:p w14:paraId="2360C540" w14:textId="77777777" w:rsidR="00F71ADB" w:rsidRPr="00035872" w:rsidRDefault="00F71ADB" w:rsidP="00F71ADB">
            <w:pPr>
              <w:jc w:val="center"/>
              <w:rPr>
                <w:sz w:val="20"/>
                <w:szCs w:val="20"/>
              </w:rPr>
            </w:pPr>
          </w:p>
        </w:tc>
      </w:tr>
      <w:tr w:rsidR="00F71ADB" w:rsidRPr="00035872" w14:paraId="25B670CE" w14:textId="1A877875" w:rsidTr="00F71ADB">
        <w:trPr>
          <w:trHeight w:val="298"/>
        </w:trPr>
        <w:tc>
          <w:tcPr>
            <w:tcW w:w="1211" w:type="pct"/>
            <w:vMerge/>
          </w:tcPr>
          <w:p w14:paraId="30C3D426" w14:textId="77777777" w:rsidR="00F71ADB" w:rsidRPr="00035872" w:rsidRDefault="00F71ADB" w:rsidP="00F71ADB">
            <w:pPr>
              <w:jc w:val="both"/>
              <w:rPr>
                <w:sz w:val="20"/>
                <w:szCs w:val="20"/>
              </w:rPr>
            </w:pPr>
          </w:p>
        </w:tc>
        <w:tc>
          <w:tcPr>
            <w:tcW w:w="1096" w:type="pct"/>
            <w:vMerge w:val="restart"/>
            <w:vAlign w:val="center"/>
          </w:tcPr>
          <w:p w14:paraId="72E30E00" w14:textId="11D1A3A0" w:rsidR="00F71ADB" w:rsidRPr="00035872" w:rsidRDefault="00F71ADB" w:rsidP="00F71ADB">
            <w:pPr>
              <w:rPr>
                <w:sz w:val="20"/>
                <w:szCs w:val="20"/>
              </w:rPr>
            </w:pPr>
            <w:r>
              <w:rPr>
                <w:sz w:val="20"/>
                <w:szCs w:val="20"/>
              </w:rPr>
              <w:t>2011-End of projection period</w:t>
            </w:r>
          </w:p>
        </w:tc>
        <w:tc>
          <w:tcPr>
            <w:tcW w:w="673" w:type="pct"/>
          </w:tcPr>
          <w:p w14:paraId="3956AF4C" w14:textId="41F1C36D" w:rsidR="00F71ADB" w:rsidRPr="00035872" w:rsidRDefault="00F71ADB" w:rsidP="00F71ADB">
            <w:pPr>
              <w:jc w:val="both"/>
              <w:rPr>
                <w:sz w:val="20"/>
                <w:szCs w:val="20"/>
              </w:rPr>
            </w:pPr>
            <w:r w:rsidRPr="00035872">
              <w:rPr>
                <w:sz w:val="20"/>
                <w:szCs w:val="20"/>
              </w:rPr>
              <w:t>15-24</w:t>
            </w:r>
          </w:p>
        </w:tc>
        <w:tc>
          <w:tcPr>
            <w:tcW w:w="1342" w:type="pct"/>
          </w:tcPr>
          <w:p w14:paraId="205987AB" w14:textId="77777777" w:rsidR="00F71ADB" w:rsidRPr="00035872" w:rsidRDefault="00F71ADB" w:rsidP="00F71ADB">
            <w:pPr>
              <w:jc w:val="both"/>
              <w:rPr>
                <w:sz w:val="20"/>
                <w:szCs w:val="20"/>
              </w:rPr>
            </w:pPr>
            <w:r w:rsidRPr="00035872">
              <w:rPr>
                <w:sz w:val="20"/>
                <w:szCs w:val="20"/>
              </w:rPr>
              <w:t>0.098 (0.082 – 0.117)</w:t>
            </w:r>
          </w:p>
        </w:tc>
        <w:tc>
          <w:tcPr>
            <w:tcW w:w="677" w:type="pct"/>
            <w:vMerge w:val="restart"/>
            <w:vAlign w:val="center"/>
          </w:tcPr>
          <w:p w14:paraId="76724BAD" w14:textId="7027DD7A" w:rsidR="00F71ADB" w:rsidRPr="00035872" w:rsidRDefault="00F71ADB" w:rsidP="00F71ADB">
            <w:pPr>
              <w:jc w:val="center"/>
              <w:rPr>
                <w:sz w:val="20"/>
                <w:szCs w:val="20"/>
              </w:rPr>
            </w:pPr>
            <w:r>
              <w:rPr>
                <w:sz w:val="20"/>
                <w:szCs w:val="20"/>
              </w:rPr>
              <w:t>DHS 2015</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Health","id":"ITEM-1","issued":{"date-parts":[["2015"]]},"title":"Demographic and Health Survey, 2015","type":"webpage"},"uris":["http://www.mendeley.com/documents/?uuid=a01ee458-5ceb-42cb-9802-8a0c4cfbc426"]}],"mendeley":{"formattedCitation":"&lt;sup&gt;29&lt;/sup&gt;","plainTextFormattedCitation":"29","previouslyFormattedCitation":"&lt;sup&gt;30&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29</w:t>
            </w:r>
            <w:r>
              <w:rPr>
                <w:sz w:val="20"/>
                <w:szCs w:val="20"/>
              </w:rPr>
              <w:fldChar w:fldCharType="end"/>
            </w:r>
          </w:p>
        </w:tc>
      </w:tr>
      <w:tr w:rsidR="00F71ADB" w:rsidRPr="00035872" w14:paraId="6DADFAB8" w14:textId="55578E27" w:rsidTr="00F71ADB">
        <w:trPr>
          <w:trHeight w:val="298"/>
        </w:trPr>
        <w:tc>
          <w:tcPr>
            <w:tcW w:w="1211" w:type="pct"/>
            <w:vMerge/>
          </w:tcPr>
          <w:p w14:paraId="631265D3" w14:textId="77777777" w:rsidR="00F71ADB" w:rsidRPr="00035872" w:rsidRDefault="00F71ADB" w:rsidP="00F71ADB">
            <w:pPr>
              <w:jc w:val="both"/>
              <w:rPr>
                <w:sz w:val="20"/>
                <w:szCs w:val="20"/>
              </w:rPr>
            </w:pPr>
          </w:p>
        </w:tc>
        <w:tc>
          <w:tcPr>
            <w:tcW w:w="1096" w:type="pct"/>
            <w:vMerge/>
            <w:vAlign w:val="center"/>
          </w:tcPr>
          <w:p w14:paraId="252D11D8" w14:textId="77777777" w:rsidR="00F71ADB" w:rsidRPr="00035872" w:rsidRDefault="00F71ADB" w:rsidP="00F71ADB">
            <w:pPr>
              <w:rPr>
                <w:sz w:val="20"/>
                <w:szCs w:val="20"/>
              </w:rPr>
            </w:pPr>
          </w:p>
        </w:tc>
        <w:tc>
          <w:tcPr>
            <w:tcW w:w="673" w:type="pct"/>
          </w:tcPr>
          <w:p w14:paraId="522FBDDC" w14:textId="69D92710" w:rsidR="00F71ADB" w:rsidRPr="00035872" w:rsidRDefault="00F71ADB" w:rsidP="00F71ADB">
            <w:pPr>
              <w:jc w:val="both"/>
              <w:rPr>
                <w:sz w:val="20"/>
                <w:szCs w:val="20"/>
              </w:rPr>
            </w:pPr>
            <w:r w:rsidRPr="00035872">
              <w:rPr>
                <w:sz w:val="20"/>
                <w:szCs w:val="20"/>
              </w:rPr>
              <w:t>25+</w:t>
            </w:r>
            <w:r>
              <w:rPr>
                <w:sz w:val="20"/>
                <w:szCs w:val="20"/>
                <w:vertAlign w:val="superscript"/>
              </w:rPr>
              <w:t>a</w:t>
            </w:r>
          </w:p>
        </w:tc>
        <w:tc>
          <w:tcPr>
            <w:tcW w:w="1342" w:type="pct"/>
          </w:tcPr>
          <w:p w14:paraId="12B966EB" w14:textId="77777777" w:rsidR="00F71ADB" w:rsidRPr="00035872" w:rsidRDefault="00F71ADB" w:rsidP="00F71ADB">
            <w:pPr>
              <w:jc w:val="both"/>
              <w:rPr>
                <w:sz w:val="20"/>
                <w:szCs w:val="20"/>
              </w:rPr>
            </w:pPr>
            <w:r w:rsidRPr="00035872">
              <w:rPr>
                <w:sz w:val="20"/>
                <w:szCs w:val="20"/>
              </w:rPr>
              <w:t>0.039 (0.034 – 0.045)</w:t>
            </w:r>
          </w:p>
        </w:tc>
        <w:tc>
          <w:tcPr>
            <w:tcW w:w="677" w:type="pct"/>
            <w:vMerge/>
            <w:vAlign w:val="center"/>
          </w:tcPr>
          <w:p w14:paraId="14F5A67A" w14:textId="77777777" w:rsidR="00F71ADB" w:rsidRPr="00035872" w:rsidRDefault="00F71ADB" w:rsidP="00F71ADB">
            <w:pPr>
              <w:jc w:val="center"/>
              <w:rPr>
                <w:sz w:val="20"/>
                <w:szCs w:val="20"/>
              </w:rPr>
            </w:pPr>
          </w:p>
        </w:tc>
      </w:tr>
      <w:tr w:rsidR="00F71ADB" w:rsidRPr="00035872" w14:paraId="7C682089" w14:textId="4EE6A5C0" w:rsidTr="00F71ADB">
        <w:trPr>
          <w:trHeight w:val="298"/>
        </w:trPr>
        <w:tc>
          <w:tcPr>
            <w:tcW w:w="1211" w:type="pct"/>
            <w:vMerge w:val="restart"/>
          </w:tcPr>
          <w:p w14:paraId="46784B45" w14:textId="77777777" w:rsidR="00F71ADB" w:rsidRPr="00035872" w:rsidRDefault="00F71ADB" w:rsidP="00F71ADB">
            <w:pPr>
              <w:jc w:val="both"/>
              <w:rPr>
                <w:sz w:val="20"/>
                <w:szCs w:val="20"/>
              </w:rPr>
            </w:pPr>
            <w:r w:rsidRPr="00035872">
              <w:rPr>
                <w:sz w:val="20"/>
                <w:szCs w:val="20"/>
              </w:rPr>
              <w:t>Urban men</w:t>
            </w:r>
          </w:p>
        </w:tc>
        <w:tc>
          <w:tcPr>
            <w:tcW w:w="1096" w:type="pct"/>
            <w:vMerge w:val="restart"/>
            <w:vAlign w:val="center"/>
          </w:tcPr>
          <w:p w14:paraId="54FF024B" w14:textId="2AA97FF0" w:rsidR="00F71ADB" w:rsidRPr="00035872" w:rsidRDefault="00F71ADB" w:rsidP="00F71ADB">
            <w:pPr>
              <w:rPr>
                <w:sz w:val="20"/>
                <w:szCs w:val="20"/>
              </w:rPr>
            </w:pPr>
            <w:r>
              <w:rPr>
                <w:sz w:val="20"/>
                <w:szCs w:val="20"/>
              </w:rPr>
              <w:t>2004-2005</w:t>
            </w:r>
          </w:p>
        </w:tc>
        <w:tc>
          <w:tcPr>
            <w:tcW w:w="673" w:type="pct"/>
          </w:tcPr>
          <w:p w14:paraId="7E4E54C6" w14:textId="4D126023" w:rsidR="00F71ADB" w:rsidRPr="00035872" w:rsidRDefault="00F71ADB" w:rsidP="00F71ADB">
            <w:pPr>
              <w:jc w:val="both"/>
              <w:rPr>
                <w:sz w:val="20"/>
                <w:szCs w:val="20"/>
              </w:rPr>
            </w:pPr>
            <w:r w:rsidRPr="00035872">
              <w:rPr>
                <w:sz w:val="20"/>
                <w:szCs w:val="20"/>
              </w:rPr>
              <w:t>15-24</w:t>
            </w:r>
          </w:p>
        </w:tc>
        <w:tc>
          <w:tcPr>
            <w:tcW w:w="1342" w:type="pct"/>
          </w:tcPr>
          <w:p w14:paraId="7BF18AD6" w14:textId="77777777" w:rsidR="00F71ADB" w:rsidRPr="00035872" w:rsidRDefault="00F71ADB" w:rsidP="00F71ADB">
            <w:pPr>
              <w:jc w:val="both"/>
              <w:rPr>
                <w:sz w:val="20"/>
                <w:szCs w:val="20"/>
              </w:rPr>
            </w:pPr>
            <w:r w:rsidRPr="00035872">
              <w:rPr>
                <w:sz w:val="20"/>
                <w:szCs w:val="20"/>
              </w:rPr>
              <w:t>0.408 (0.290 – 0.536)</w:t>
            </w:r>
          </w:p>
        </w:tc>
        <w:tc>
          <w:tcPr>
            <w:tcW w:w="677" w:type="pct"/>
            <w:vMerge w:val="restart"/>
            <w:vAlign w:val="center"/>
          </w:tcPr>
          <w:p w14:paraId="39528653" w14:textId="7931A77D" w:rsidR="00F71ADB" w:rsidRPr="00035872" w:rsidRDefault="00F71ADB" w:rsidP="00F71ADB">
            <w:pPr>
              <w:jc w:val="center"/>
              <w:rPr>
                <w:sz w:val="20"/>
                <w:szCs w:val="20"/>
              </w:rPr>
            </w:pPr>
            <w:r>
              <w:rPr>
                <w:sz w:val="20"/>
                <w:szCs w:val="20"/>
              </w:rPr>
              <w:t>DHS 2005</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Health","id":"ITEM-1","issued":{"date-parts":[["2005"]]},"title":"Demographic and Health Survey, 2005","type":"webpage"},"uris":["http://www.mendeley.com/documents/?uuid=6f21bb5a-4b85-490b-a1b4-bfcffbde8423"]}],"mendeley":{"formattedCitation":"&lt;sup&gt;22&lt;/sup&gt;","plainTextFormattedCitation":"22","previouslyFormattedCitation":"&lt;sup&gt;23&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22</w:t>
            </w:r>
            <w:r>
              <w:rPr>
                <w:sz w:val="20"/>
                <w:szCs w:val="20"/>
              </w:rPr>
              <w:fldChar w:fldCharType="end"/>
            </w:r>
          </w:p>
        </w:tc>
      </w:tr>
      <w:tr w:rsidR="00F71ADB" w:rsidRPr="00035872" w14:paraId="51940A30" w14:textId="7F5CC4A6" w:rsidTr="00F71ADB">
        <w:trPr>
          <w:trHeight w:val="311"/>
        </w:trPr>
        <w:tc>
          <w:tcPr>
            <w:tcW w:w="1211" w:type="pct"/>
            <w:vMerge/>
          </w:tcPr>
          <w:p w14:paraId="41B51E15" w14:textId="77777777" w:rsidR="00F71ADB" w:rsidRPr="00035872" w:rsidRDefault="00F71ADB" w:rsidP="00F71ADB">
            <w:pPr>
              <w:jc w:val="both"/>
              <w:rPr>
                <w:sz w:val="20"/>
                <w:szCs w:val="20"/>
              </w:rPr>
            </w:pPr>
          </w:p>
        </w:tc>
        <w:tc>
          <w:tcPr>
            <w:tcW w:w="1096" w:type="pct"/>
            <w:vMerge/>
            <w:vAlign w:val="center"/>
          </w:tcPr>
          <w:p w14:paraId="073A5028" w14:textId="77777777" w:rsidR="00F71ADB" w:rsidRPr="00035872" w:rsidRDefault="00F71ADB" w:rsidP="00F71ADB">
            <w:pPr>
              <w:rPr>
                <w:sz w:val="20"/>
                <w:szCs w:val="20"/>
              </w:rPr>
            </w:pPr>
          </w:p>
        </w:tc>
        <w:tc>
          <w:tcPr>
            <w:tcW w:w="673" w:type="pct"/>
          </w:tcPr>
          <w:p w14:paraId="7F0F0AAD" w14:textId="3AD2A924" w:rsidR="00F71ADB" w:rsidRPr="00035872" w:rsidRDefault="00F71ADB" w:rsidP="00F71ADB">
            <w:pPr>
              <w:jc w:val="both"/>
              <w:rPr>
                <w:sz w:val="20"/>
                <w:szCs w:val="20"/>
              </w:rPr>
            </w:pPr>
            <w:r w:rsidRPr="00035872">
              <w:rPr>
                <w:sz w:val="20"/>
                <w:szCs w:val="20"/>
              </w:rPr>
              <w:t>25+</w:t>
            </w:r>
            <w:r>
              <w:rPr>
                <w:sz w:val="20"/>
                <w:szCs w:val="20"/>
                <w:vertAlign w:val="superscript"/>
              </w:rPr>
              <w:t>a</w:t>
            </w:r>
          </w:p>
        </w:tc>
        <w:tc>
          <w:tcPr>
            <w:tcW w:w="1342" w:type="pct"/>
          </w:tcPr>
          <w:p w14:paraId="144C638E" w14:textId="77777777" w:rsidR="00F71ADB" w:rsidRPr="00035872" w:rsidRDefault="00F71ADB" w:rsidP="00F71ADB">
            <w:pPr>
              <w:jc w:val="both"/>
              <w:rPr>
                <w:sz w:val="20"/>
                <w:szCs w:val="20"/>
              </w:rPr>
            </w:pPr>
            <w:r w:rsidRPr="00035872">
              <w:rPr>
                <w:sz w:val="20"/>
                <w:szCs w:val="20"/>
              </w:rPr>
              <w:t>0.120 (0.090 – 0.159)</w:t>
            </w:r>
          </w:p>
        </w:tc>
        <w:tc>
          <w:tcPr>
            <w:tcW w:w="677" w:type="pct"/>
            <w:vMerge/>
            <w:vAlign w:val="center"/>
          </w:tcPr>
          <w:p w14:paraId="1CA40071" w14:textId="77777777" w:rsidR="00F71ADB" w:rsidRPr="00035872" w:rsidRDefault="00F71ADB" w:rsidP="00F71ADB">
            <w:pPr>
              <w:jc w:val="center"/>
              <w:rPr>
                <w:sz w:val="20"/>
                <w:szCs w:val="20"/>
              </w:rPr>
            </w:pPr>
          </w:p>
        </w:tc>
      </w:tr>
      <w:tr w:rsidR="00F71ADB" w:rsidRPr="00035872" w14:paraId="2A5F3D6A" w14:textId="50AC70ED" w:rsidTr="00F71ADB">
        <w:trPr>
          <w:trHeight w:val="311"/>
        </w:trPr>
        <w:tc>
          <w:tcPr>
            <w:tcW w:w="1211" w:type="pct"/>
            <w:vMerge/>
          </w:tcPr>
          <w:p w14:paraId="3757B7D8" w14:textId="77777777" w:rsidR="00F71ADB" w:rsidRPr="00035872" w:rsidRDefault="00F71ADB" w:rsidP="00F71ADB">
            <w:pPr>
              <w:jc w:val="both"/>
              <w:rPr>
                <w:sz w:val="20"/>
                <w:szCs w:val="20"/>
              </w:rPr>
            </w:pPr>
          </w:p>
        </w:tc>
        <w:tc>
          <w:tcPr>
            <w:tcW w:w="1096" w:type="pct"/>
            <w:vMerge w:val="restart"/>
            <w:vAlign w:val="center"/>
          </w:tcPr>
          <w:p w14:paraId="20EBBA99" w14:textId="73E62024" w:rsidR="00F71ADB" w:rsidRPr="00035872" w:rsidRDefault="00F71ADB" w:rsidP="00F71ADB">
            <w:pPr>
              <w:rPr>
                <w:sz w:val="20"/>
                <w:szCs w:val="20"/>
              </w:rPr>
            </w:pPr>
            <w:r>
              <w:rPr>
                <w:sz w:val="20"/>
                <w:szCs w:val="20"/>
              </w:rPr>
              <w:t>2006-2010</w:t>
            </w:r>
          </w:p>
        </w:tc>
        <w:tc>
          <w:tcPr>
            <w:tcW w:w="673" w:type="pct"/>
          </w:tcPr>
          <w:p w14:paraId="6C5A5733" w14:textId="6321C0BB" w:rsidR="00F71ADB" w:rsidRPr="00035872" w:rsidRDefault="00F71ADB" w:rsidP="00F71ADB">
            <w:pPr>
              <w:jc w:val="both"/>
              <w:rPr>
                <w:sz w:val="20"/>
                <w:szCs w:val="20"/>
              </w:rPr>
            </w:pPr>
            <w:r w:rsidRPr="00035872">
              <w:rPr>
                <w:sz w:val="20"/>
                <w:szCs w:val="20"/>
              </w:rPr>
              <w:t>15-24</w:t>
            </w:r>
          </w:p>
        </w:tc>
        <w:tc>
          <w:tcPr>
            <w:tcW w:w="1342" w:type="pct"/>
          </w:tcPr>
          <w:p w14:paraId="3096F5C4" w14:textId="77777777" w:rsidR="00F71ADB" w:rsidRPr="00035872" w:rsidRDefault="00F71ADB" w:rsidP="00F71ADB">
            <w:pPr>
              <w:jc w:val="both"/>
              <w:rPr>
                <w:sz w:val="20"/>
                <w:szCs w:val="20"/>
              </w:rPr>
            </w:pPr>
            <w:r w:rsidRPr="00035872">
              <w:rPr>
                <w:sz w:val="20"/>
                <w:szCs w:val="20"/>
              </w:rPr>
              <w:t>0.512 (0.407 – 0.617)</w:t>
            </w:r>
          </w:p>
        </w:tc>
        <w:tc>
          <w:tcPr>
            <w:tcW w:w="677" w:type="pct"/>
            <w:vMerge w:val="restart"/>
            <w:vAlign w:val="center"/>
          </w:tcPr>
          <w:p w14:paraId="6B110E16" w14:textId="526EF614" w:rsidR="00F71ADB" w:rsidRPr="00035872" w:rsidRDefault="00F71ADB" w:rsidP="00F71ADB">
            <w:pPr>
              <w:jc w:val="center"/>
              <w:rPr>
                <w:sz w:val="20"/>
                <w:szCs w:val="20"/>
              </w:rPr>
            </w:pPr>
            <w:r>
              <w:rPr>
                <w:sz w:val="20"/>
                <w:szCs w:val="20"/>
              </w:rPr>
              <w:t>DHS 2010</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Health","id":"ITEM-1","issued":{"date-parts":[["2010"]]},"title":"Demographic and Health Survey, 2010","type":"webpage"},"uris":["http://www.mendeley.com/documents/?uuid=ad9040c2-d770-4441-b0a2-11a1c9d3664f"]}],"mendeley":{"formattedCitation":"&lt;sup&gt;43&lt;/sup&gt;","plainTextFormattedCitation":"43","previouslyFormattedCitation":"&lt;sup&gt;41&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43</w:t>
            </w:r>
            <w:r>
              <w:rPr>
                <w:sz w:val="20"/>
                <w:szCs w:val="20"/>
              </w:rPr>
              <w:fldChar w:fldCharType="end"/>
            </w:r>
          </w:p>
        </w:tc>
      </w:tr>
      <w:tr w:rsidR="00F71ADB" w:rsidRPr="00035872" w14:paraId="3CA56A46" w14:textId="61F1C759" w:rsidTr="00F71ADB">
        <w:trPr>
          <w:trHeight w:val="311"/>
        </w:trPr>
        <w:tc>
          <w:tcPr>
            <w:tcW w:w="1211" w:type="pct"/>
            <w:vMerge/>
          </w:tcPr>
          <w:p w14:paraId="22C3E3DA" w14:textId="77777777" w:rsidR="00F71ADB" w:rsidRPr="00035872" w:rsidRDefault="00F71ADB" w:rsidP="00F71ADB">
            <w:pPr>
              <w:jc w:val="both"/>
              <w:rPr>
                <w:sz w:val="20"/>
                <w:szCs w:val="20"/>
              </w:rPr>
            </w:pPr>
          </w:p>
        </w:tc>
        <w:tc>
          <w:tcPr>
            <w:tcW w:w="1096" w:type="pct"/>
            <w:vMerge/>
            <w:vAlign w:val="center"/>
          </w:tcPr>
          <w:p w14:paraId="6CFC4231" w14:textId="77777777" w:rsidR="00F71ADB" w:rsidRPr="00035872" w:rsidRDefault="00F71ADB" w:rsidP="00F71ADB">
            <w:pPr>
              <w:rPr>
                <w:sz w:val="20"/>
                <w:szCs w:val="20"/>
              </w:rPr>
            </w:pPr>
          </w:p>
        </w:tc>
        <w:tc>
          <w:tcPr>
            <w:tcW w:w="673" w:type="pct"/>
          </w:tcPr>
          <w:p w14:paraId="7EDD0EF0" w14:textId="717873D4" w:rsidR="00F71ADB" w:rsidRPr="00035872" w:rsidRDefault="00F71ADB" w:rsidP="00F71ADB">
            <w:pPr>
              <w:jc w:val="both"/>
              <w:rPr>
                <w:sz w:val="20"/>
                <w:szCs w:val="20"/>
              </w:rPr>
            </w:pPr>
            <w:r w:rsidRPr="00035872">
              <w:rPr>
                <w:sz w:val="20"/>
                <w:szCs w:val="20"/>
              </w:rPr>
              <w:t>25+</w:t>
            </w:r>
            <w:r>
              <w:rPr>
                <w:sz w:val="20"/>
                <w:szCs w:val="20"/>
                <w:vertAlign w:val="superscript"/>
              </w:rPr>
              <w:t>a</w:t>
            </w:r>
          </w:p>
        </w:tc>
        <w:tc>
          <w:tcPr>
            <w:tcW w:w="1342" w:type="pct"/>
          </w:tcPr>
          <w:p w14:paraId="7E9887F9" w14:textId="77777777" w:rsidR="00F71ADB" w:rsidRPr="00035872" w:rsidRDefault="00F71ADB" w:rsidP="00F71ADB">
            <w:pPr>
              <w:jc w:val="both"/>
              <w:rPr>
                <w:sz w:val="20"/>
                <w:szCs w:val="20"/>
              </w:rPr>
            </w:pPr>
            <w:r w:rsidRPr="00035872">
              <w:rPr>
                <w:sz w:val="20"/>
                <w:szCs w:val="20"/>
              </w:rPr>
              <w:t>0.121 (0.096 – 0.153)</w:t>
            </w:r>
          </w:p>
        </w:tc>
        <w:tc>
          <w:tcPr>
            <w:tcW w:w="677" w:type="pct"/>
            <w:vMerge/>
            <w:vAlign w:val="center"/>
          </w:tcPr>
          <w:p w14:paraId="6FE604AD" w14:textId="77777777" w:rsidR="00F71ADB" w:rsidRPr="00035872" w:rsidRDefault="00F71ADB" w:rsidP="00F71ADB">
            <w:pPr>
              <w:jc w:val="center"/>
              <w:rPr>
                <w:sz w:val="20"/>
                <w:szCs w:val="20"/>
              </w:rPr>
            </w:pPr>
          </w:p>
        </w:tc>
      </w:tr>
      <w:tr w:rsidR="00F71ADB" w:rsidRPr="00035872" w14:paraId="0B91E977" w14:textId="364651DC" w:rsidTr="00F71ADB">
        <w:trPr>
          <w:trHeight w:val="311"/>
        </w:trPr>
        <w:tc>
          <w:tcPr>
            <w:tcW w:w="1211" w:type="pct"/>
            <w:vMerge/>
          </w:tcPr>
          <w:p w14:paraId="30EAC663" w14:textId="77777777" w:rsidR="00F71ADB" w:rsidRPr="00035872" w:rsidRDefault="00F71ADB" w:rsidP="00F71ADB">
            <w:pPr>
              <w:jc w:val="both"/>
              <w:rPr>
                <w:sz w:val="20"/>
                <w:szCs w:val="20"/>
              </w:rPr>
            </w:pPr>
          </w:p>
        </w:tc>
        <w:tc>
          <w:tcPr>
            <w:tcW w:w="1096" w:type="pct"/>
            <w:vMerge w:val="restart"/>
            <w:vAlign w:val="center"/>
          </w:tcPr>
          <w:p w14:paraId="7EA79798" w14:textId="5E6BEA01" w:rsidR="00F71ADB" w:rsidRPr="00035872" w:rsidRDefault="00F71ADB" w:rsidP="00F71ADB">
            <w:pPr>
              <w:rPr>
                <w:sz w:val="20"/>
                <w:szCs w:val="20"/>
              </w:rPr>
            </w:pPr>
            <w:r>
              <w:rPr>
                <w:sz w:val="20"/>
                <w:szCs w:val="20"/>
              </w:rPr>
              <w:t>2011-End of projection period</w:t>
            </w:r>
          </w:p>
        </w:tc>
        <w:tc>
          <w:tcPr>
            <w:tcW w:w="673" w:type="pct"/>
          </w:tcPr>
          <w:p w14:paraId="06CBD89B" w14:textId="2484330F" w:rsidR="00F71ADB" w:rsidRPr="00035872" w:rsidRDefault="00F71ADB" w:rsidP="00F71ADB">
            <w:pPr>
              <w:jc w:val="both"/>
              <w:rPr>
                <w:sz w:val="20"/>
                <w:szCs w:val="20"/>
              </w:rPr>
            </w:pPr>
            <w:r w:rsidRPr="00035872">
              <w:rPr>
                <w:sz w:val="20"/>
                <w:szCs w:val="20"/>
              </w:rPr>
              <w:t>15-24</w:t>
            </w:r>
          </w:p>
        </w:tc>
        <w:tc>
          <w:tcPr>
            <w:tcW w:w="1342" w:type="pct"/>
          </w:tcPr>
          <w:p w14:paraId="4A46720B" w14:textId="77777777" w:rsidR="00F71ADB" w:rsidRPr="00035872" w:rsidRDefault="00F71ADB" w:rsidP="00F71ADB">
            <w:pPr>
              <w:jc w:val="both"/>
              <w:rPr>
                <w:sz w:val="20"/>
                <w:szCs w:val="20"/>
              </w:rPr>
            </w:pPr>
            <w:r w:rsidRPr="00035872">
              <w:rPr>
                <w:sz w:val="20"/>
                <w:szCs w:val="20"/>
              </w:rPr>
              <w:t>0.622 (0.527 – 0.708)</w:t>
            </w:r>
          </w:p>
        </w:tc>
        <w:tc>
          <w:tcPr>
            <w:tcW w:w="677" w:type="pct"/>
            <w:vMerge w:val="restart"/>
            <w:vAlign w:val="center"/>
          </w:tcPr>
          <w:p w14:paraId="6727AA77" w14:textId="502B300B" w:rsidR="00F71ADB" w:rsidRPr="00035872" w:rsidRDefault="00F71ADB" w:rsidP="00F71ADB">
            <w:pPr>
              <w:jc w:val="center"/>
              <w:rPr>
                <w:sz w:val="20"/>
                <w:szCs w:val="20"/>
              </w:rPr>
            </w:pPr>
            <w:r>
              <w:rPr>
                <w:sz w:val="20"/>
                <w:szCs w:val="20"/>
              </w:rPr>
              <w:t>DHS 2015</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Health","id":"ITEM-1","issued":{"date-parts":[["2015"]]},"title":"Demographic and Health Survey, 2015","type":"webpage"},"uris":["http://www.mendeley.com/documents/?uuid=a01ee458-5ceb-42cb-9802-8a0c4cfbc426"]}],"mendeley":{"formattedCitation":"&lt;sup&gt;29&lt;/sup&gt;","plainTextFormattedCitation":"29","previouslyFormattedCitation":"&lt;sup&gt;30&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29</w:t>
            </w:r>
            <w:r>
              <w:rPr>
                <w:sz w:val="20"/>
                <w:szCs w:val="20"/>
              </w:rPr>
              <w:fldChar w:fldCharType="end"/>
            </w:r>
          </w:p>
        </w:tc>
      </w:tr>
      <w:tr w:rsidR="00F71ADB" w:rsidRPr="00035872" w14:paraId="77D6FD5E" w14:textId="3B6AAC72" w:rsidTr="00F71ADB">
        <w:trPr>
          <w:trHeight w:val="311"/>
        </w:trPr>
        <w:tc>
          <w:tcPr>
            <w:tcW w:w="1211" w:type="pct"/>
            <w:vMerge/>
          </w:tcPr>
          <w:p w14:paraId="77B6290F" w14:textId="77777777" w:rsidR="00F71ADB" w:rsidRPr="00035872" w:rsidRDefault="00F71ADB" w:rsidP="00F71ADB">
            <w:pPr>
              <w:jc w:val="both"/>
              <w:rPr>
                <w:sz w:val="20"/>
                <w:szCs w:val="20"/>
              </w:rPr>
            </w:pPr>
          </w:p>
        </w:tc>
        <w:tc>
          <w:tcPr>
            <w:tcW w:w="1096" w:type="pct"/>
            <w:vMerge/>
            <w:vAlign w:val="center"/>
          </w:tcPr>
          <w:p w14:paraId="1A160DD0" w14:textId="77777777" w:rsidR="00F71ADB" w:rsidRPr="00035872" w:rsidRDefault="00F71ADB" w:rsidP="00F71ADB">
            <w:pPr>
              <w:rPr>
                <w:sz w:val="20"/>
                <w:szCs w:val="20"/>
              </w:rPr>
            </w:pPr>
          </w:p>
        </w:tc>
        <w:tc>
          <w:tcPr>
            <w:tcW w:w="673" w:type="pct"/>
          </w:tcPr>
          <w:p w14:paraId="419A6BC4" w14:textId="6DC0182A" w:rsidR="00F71ADB" w:rsidRPr="00035872" w:rsidRDefault="00F71ADB" w:rsidP="00F71ADB">
            <w:pPr>
              <w:jc w:val="both"/>
              <w:rPr>
                <w:sz w:val="20"/>
                <w:szCs w:val="20"/>
              </w:rPr>
            </w:pPr>
            <w:r w:rsidRPr="00035872">
              <w:rPr>
                <w:sz w:val="20"/>
                <w:szCs w:val="20"/>
              </w:rPr>
              <w:t>25+</w:t>
            </w:r>
            <w:r>
              <w:rPr>
                <w:sz w:val="20"/>
                <w:szCs w:val="20"/>
                <w:vertAlign w:val="superscript"/>
              </w:rPr>
              <w:t>a</w:t>
            </w:r>
          </w:p>
        </w:tc>
        <w:tc>
          <w:tcPr>
            <w:tcW w:w="1342" w:type="pct"/>
          </w:tcPr>
          <w:p w14:paraId="169F4998" w14:textId="77777777" w:rsidR="00F71ADB" w:rsidRPr="00035872" w:rsidRDefault="00F71ADB" w:rsidP="00F71ADB">
            <w:pPr>
              <w:jc w:val="both"/>
              <w:rPr>
                <w:sz w:val="20"/>
                <w:szCs w:val="20"/>
              </w:rPr>
            </w:pPr>
            <w:r w:rsidRPr="00035872">
              <w:rPr>
                <w:sz w:val="20"/>
                <w:szCs w:val="20"/>
              </w:rPr>
              <w:t>0.133 (0.109 – 0.161)</w:t>
            </w:r>
          </w:p>
        </w:tc>
        <w:tc>
          <w:tcPr>
            <w:tcW w:w="677" w:type="pct"/>
            <w:vMerge/>
            <w:vAlign w:val="center"/>
          </w:tcPr>
          <w:p w14:paraId="24397EA6" w14:textId="77777777" w:rsidR="00F71ADB" w:rsidRPr="00035872" w:rsidRDefault="00F71ADB" w:rsidP="00F71ADB">
            <w:pPr>
              <w:jc w:val="center"/>
              <w:rPr>
                <w:sz w:val="20"/>
                <w:szCs w:val="20"/>
              </w:rPr>
            </w:pPr>
          </w:p>
        </w:tc>
      </w:tr>
      <w:tr w:rsidR="00F71ADB" w:rsidRPr="00035872" w14:paraId="5E2A3335" w14:textId="2347219D" w:rsidTr="00F71ADB">
        <w:trPr>
          <w:trHeight w:val="311"/>
        </w:trPr>
        <w:tc>
          <w:tcPr>
            <w:tcW w:w="1211" w:type="pct"/>
            <w:vMerge w:val="restart"/>
          </w:tcPr>
          <w:p w14:paraId="0DC30559" w14:textId="77777777" w:rsidR="00F71ADB" w:rsidRPr="00035872" w:rsidRDefault="00F71ADB" w:rsidP="00F71ADB">
            <w:pPr>
              <w:jc w:val="both"/>
              <w:rPr>
                <w:sz w:val="20"/>
                <w:szCs w:val="20"/>
              </w:rPr>
            </w:pPr>
            <w:r w:rsidRPr="00035872">
              <w:rPr>
                <w:sz w:val="20"/>
                <w:szCs w:val="20"/>
              </w:rPr>
              <w:t>Rural men</w:t>
            </w:r>
          </w:p>
        </w:tc>
        <w:tc>
          <w:tcPr>
            <w:tcW w:w="1096" w:type="pct"/>
            <w:vMerge w:val="restart"/>
            <w:vAlign w:val="center"/>
          </w:tcPr>
          <w:p w14:paraId="729A0DF5" w14:textId="37AD6574" w:rsidR="00F71ADB" w:rsidRPr="00035872" w:rsidRDefault="00F71ADB" w:rsidP="00F71ADB">
            <w:pPr>
              <w:rPr>
                <w:sz w:val="20"/>
                <w:szCs w:val="20"/>
              </w:rPr>
            </w:pPr>
            <w:r>
              <w:rPr>
                <w:sz w:val="20"/>
                <w:szCs w:val="20"/>
              </w:rPr>
              <w:t>2004-2005</w:t>
            </w:r>
          </w:p>
        </w:tc>
        <w:tc>
          <w:tcPr>
            <w:tcW w:w="673" w:type="pct"/>
          </w:tcPr>
          <w:p w14:paraId="569E73A9" w14:textId="5B1C9557" w:rsidR="00F71ADB" w:rsidRPr="00035872" w:rsidRDefault="00F71ADB" w:rsidP="00F71ADB">
            <w:pPr>
              <w:jc w:val="both"/>
              <w:rPr>
                <w:sz w:val="20"/>
                <w:szCs w:val="20"/>
              </w:rPr>
            </w:pPr>
            <w:r w:rsidRPr="00035872">
              <w:rPr>
                <w:sz w:val="20"/>
                <w:szCs w:val="20"/>
              </w:rPr>
              <w:t>15-24</w:t>
            </w:r>
          </w:p>
        </w:tc>
        <w:tc>
          <w:tcPr>
            <w:tcW w:w="1342" w:type="pct"/>
          </w:tcPr>
          <w:p w14:paraId="6F139AE5" w14:textId="77777777" w:rsidR="00F71ADB" w:rsidRPr="00035872" w:rsidRDefault="00F71ADB" w:rsidP="00F71ADB">
            <w:pPr>
              <w:jc w:val="both"/>
              <w:rPr>
                <w:sz w:val="20"/>
                <w:szCs w:val="20"/>
              </w:rPr>
            </w:pPr>
            <w:r w:rsidRPr="00035872">
              <w:rPr>
                <w:sz w:val="20"/>
                <w:szCs w:val="20"/>
              </w:rPr>
              <w:t>0.089 (0.060 – 0.131)</w:t>
            </w:r>
          </w:p>
        </w:tc>
        <w:tc>
          <w:tcPr>
            <w:tcW w:w="677" w:type="pct"/>
            <w:vMerge w:val="restart"/>
            <w:vAlign w:val="center"/>
          </w:tcPr>
          <w:p w14:paraId="70BBE01A" w14:textId="1B11CB3A" w:rsidR="00F71ADB" w:rsidRPr="00035872" w:rsidRDefault="00F71ADB" w:rsidP="00F71ADB">
            <w:pPr>
              <w:jc w:val="center"/>
              <w:rPr>
                <w:sz w:val="20"/>
                <w:szCs w:val="20"/>
              </w:rPr>
            </w:pPr>
            <w:r>
              <w:rPr>
                <w:sz w:val="20"/>
                <w:szCs w:val="20"/>
              </w:rPr>
              <w:t>DHS 2005</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Health","id":"ITEM-1","issued":{"date-parts":[["2005"]]},"title":"Demographic and Health Survey, 2005","type":"webpage"},"uris":["http://www.mendeley.com/documents/?uuid=6f21bb5a-4b85-490b-a1b4-bfcffbde8423"]}],"mendeley":{"formattedCitation":"&lt;sup&gt;22&lt;/sup&gt;","plainTextFormattedCitation":"22","previouslyFormattedCitation":"&lt;sup&gt;23&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22</w:t>
            </w:r>
            <w:r>
              <w:rPr>
                <w:sz w:val="20"/>
                <w:szCs w:val="20"/>
              </w:rPr>
              <w:fldChar w:fldCharType="end"/>
            </w:r>
          </w:p>
        </w:tc>
      </w:tr>
      <w:tr w:rsidR="00F71ADB" w:rsidRPr="00035872" w14:paraId="2312CEA8" w14:textId="2FC1CFBE" w:rsidTr="00F71ADB">
        <w:trPr>
          <w:trHeight w:val="298"/>
        </w:trPr>
        <w:tc>
          <w:tcPr>
            <w:tcW w:w="1211" w:type="pct"/>
            <w:vMerge/>
          </w:tcPr>
          <w:p w14:paraId="13FB6760" w14:textId="77777777" w:rsidR="00F71ADB" w:rsidRPr="00035872" w:rsidRDefault="00F71ADB" w:rsidP="00F71ADB">
            <w:pPr>
              <w:jc w:val="both"/>
              <w:rPr>
                <w:sz w:val="20"/>
                <w:szCs w:val="20"/>
              </w:rPr>
            </w:pPr>
          </w:p>
        </w:tc>
        <w:tc>
          <w:tcPr>
            <w:tcW w:w="1096" w:type="pct"/>
            <w:vMerge/>
            <w:vAlign w:val="center"/>
          </w:tcPr>
          <w:p w14:paraId="4606BC92" w14:textId="77777777" w:rsidR="00F71ADB" w:rsidRPr="00035872" w:rsidRDefault="00F71ADB" w:rsidP="00F71ADB">
            <w:pPr>
              <w:rPr>
                <w:sz w:val="20"/>
                <w:szCs w:val="20"/>
              </w:rPr>
            </w:pPr>
          </w:p>
        </w:tc>
        <w:tc>
          <w:tcPr>
            <w:tcW w:w="673" w:type="pct"/>
          </w:tcPr>
          <w:p w14:paraId="1FC932AB" w14:textId="31F34D07" w:rsidR="00F71ADB" w:rsidRPr="00035872" w:rsidRDefault="00F71ADB" w:rsidP="00F71ADB">
            <w:pPr>
              <w:jc w:val="both"/>
              <w:rPr>
                <w:sz w:val="20"/>
                <w:szCs w:val="20"/>
              </w:rPr>
            </w:pPr>
            <w:r w:rsidRPr="00035872">
              <w:rPr>
                <w:sz w:val="20"/>
                <w:szCs w:val="20"/>
              </w:rPr>
              <w:t>25+</w:t>
            </w:r>
            <w:r>
              <w:rPr>
                <w:sz w:val="20"/>
                <w:szCs w:val="20"/>
                <w:vertAlign w:val="superscript"/>
              </w:rPr>
              <w:t>a</w:t>
            </w:r>
          </w:p>
        </w:tc>
        <w:tc>
          <w:tcPr>
            <w:tcW w:w="1342" w:type="pct"/>
          </w:tcPr>
          <w:p w14:paraId="77F8E915" w14:textId="77777777" w:rsidR="00F71ADB" w:rsidRPr="00035872" w:rsidRDefault="00F71ADB" w:rsidP="00F71ADB">
            <w:pPr>
              <w:jc w:val="both"/>
              <w:rPr>
                <w:sz w:val="20"/>
                <w:szCs w:val="20"/>
              </w:rPr>
            </w:pPr>
            <w:r w:rsidRPr="00035872">
              <w:rPr>
                <w:sz w:val="20"/>
                <w:szCs w:val="20"/>
              </w:rPr>
              <w:t>0.014 (0.009 – 0.020)</w:t>
            </w:r>
          </w:p>
        </w:tc>
        <w:tc>
          <w:tcPr>
            <w:tcW w:w="677" w:type="pct"/>
            <w:vMerge/>
            <w:vAlign w:val="center"/>
          </w:tcPr>
          <w:p w14:paraId="480D5B5D" w14:textId="77777777" w:rsidR="00F71ADB" w:rsidRPr="00035872" w:rsidRDefault="00F71ADB" w:rsidP="00F71ADB">
            <w:pPr>
              <w:jc w:val="center"/>
              <w:rPr>
                <w:sz w:val="20"/>
                <w:szCs w:val="20"/>
              </w:rPr>
            </w:pPr>
          </w:p>
        </w:tc>
      </w:tr>
      <w:tr w:rsidR="00F71ADB" w:rsidRPr="00035872" w14:paraId="100DB4BD" w14:textId="1F4A58C1" w:rsidTr="00F71ADB">
        <w:trPr>
          <w:trHeight w:val="298"/>
        </w:trPr>
        <w:tc>
          <w:tcPr>
            <w:tcW w:w="1211" w:type="pct"/>
            <w:vMerge/>
          </w:tcPr>
          <w:p w14:paraId="238EB89B" w14:textId="77777777" w:rsidR="00F71ADB" w:rsidRPr="00035872" w:rsidRDefault="00F71ADB" w:rsidP="00F71ADB">
            <w:pPr>
              <w:jc w:val="both"/>
              <w:rPr>
                <w:sz w:val="20"/>
                <w:szCs w:val="20"/>
              </w:rPr>
            </w:pPr>
          </w:p>
        </w:tc>
        <w:tc>
          <w:tcPr>
            <w:tcW w:w="1096" w:type="pct"/>
            <w:vMerge w:val="restart"/>
            <w:vAlign w:val="center"/>
          </w:tcPr>
          <w:p w14:paraId="572D0F85" w14:textId="3820C728" w:rsidR="00F71ADB" w:rsidRPr="00035872" w:rsidRDefault="00F71ADB" w:rsidP="00F71ADB">
            <w:pPr>
              <w:rPr>
                <w:sz w:val="20"/>
                <w:szCs w:val="20"/>
              </w:rPr>
            </w:pPr>
            <w:r>
              <w:rPr>
                <w:sz w:val="20"/>
                <w:szCs w:val="20"/>
              </w:rPr>
              <w:t>2006-2010</w:t>
            </w:r>
          </w:p>
        </w:tc>
        <w:tc>
          <w:tcPr>
            <w:tcW w:w="673" w:type="pct"/>
          </w:tcPr>
          <w:p w14:paraId="625167E2" w14:textId="0B7D0B74" w:rsidR="00F71ADB" w:rsidRPr="00035872" w:rsidRDefault="00F71ADB" w:rsidP="00F71ADB">
            <w:pPr>
              <w:jc w:val="both"/>
              <w:rPr>
                <w:sz w:val="20"/>
                <w:szCs w:val="20"/>
              </w:rPr>
            </w:pPr>
            <w:r w:rsidRPr="00035872">
              <w:rPr>
                <w:sz w:val="20"/>
                <w:szCs w:val="20"/>
              </w:rPr>
              <w:t>15-24</w:t>
            </w:r>
          </w:p>
        </w:tc>
        <w:tc>
          <w:tcPr>
            <w:tcW w:w="1342" w:type="pct"/>
          </w:tcPr>
          <w:p w14:paraId="0E1D2B2A" w14:textId="77777777" w:rsidR="00F71ADB" w:rsidRPr="00035872" w:rsidRDefault="00F71ADB" w:rsidP="00F71ADB">
            <w:pPr>
              <w:jc w:val="both"/>
              <w:rPr>
                <w:sz w:val="20"/>
                <w:szCs w:val="20"/>
              </w:rPr>
            </w:pPr>
            <w:r w:rsidRPr="00035872">
              <w:rPr>
                <w:sz w:val="20"/>
                <w:szCs w:val="20"/>
              </w:rPr>
              <w:t>0.210 (0.173 – 0.253)</w:t>
            </w:r>
          </w:p>
        </w:tc>
        <w:tc>
          <w:tcPr>
            <w:tcW w:w="677" w:type="pct"/>
            <w:vMerge w:val="restart"/>
            <w:vAlign w:val="center"/>
          </w:tcPr>
          <w:p w14:paraId="437DAB7C" w14:textId="5FA6A122" w:rsidR="00F71ADB" w:rsidRPr="00035872" w:rsidRDefault="00F71ADB" w:rsidP="00F71ADB">
            <w:pPr>
              <w:jc w:val="center"/>
              <w:rPr>
                <w:sz w:val="20"/>
                <w:szCs w:val="20"/>
              </w:rPr>
            </w:pPr>
            <w:r>
              <w:rPr>
                <w:sz w:val="20"/>
                <w:szCs w:val="20"/>
              </w:rPr>
              <w:t>DHS 2010</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Health","id":"ITEM-1","issued":{"date-parts":[["2010"]]},"title":"Demographic and Health Survey, 2010","type":"webpage"},"uris":["http://www.mendeley.com/documents/?uuid=ad9040c2-d770-4441-b0a2-11a1c9d3664f"]}],"mendeley":{"formattedCitation":"&lt;sup&gt;43&lt;/sup&gt;","plainTextFormattedCitation":"43","previouslyFormattedCitation":"&lt;sup&gt;41&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43</w:t>
            </w:r>
            <w:r>
              <w:rPr>
                <w:sz w:val="20"/>
                <w:szCs w:val="20"/>
              </w:rPr>
              <w:fldChar w:fldCharType="end"/>
            </w:r>
          </w:p>
        </w:tc>
      </w:tr>
      <w:tr w:rsidR="00F71ADB" w:rsidRPr="00035872" w14:paraId="29DE9F06" w14:textId="4788DB9B" w:rsidTr="00F71ADB">
        <w:trPr>
          <w:trHeight w:val="298"/>
        </w:trPr>
        <w:tc>
          <w:tcPr>
            <w:tcW w:w="1211" w:type="pct"/>
            <w:vMerge/>
          </w:tcPr>
          <w:p w14:paraId="78DB7F43" w14:textId="77777777" w:rsidR="00F71ADB" w:rsidRPr="00035872" w:rsidRDefault="00F71ADB" w:rsidP="00F71ADB">
            <w:pPr>
              <w:jc w:val="both"/>
              <w:rPr>
                <w:sz w:val="20"/>
                <w:szCs w:val="20"/>
              </w:rPr>
            </w:pPr>
          </w:p>
        </w:tc>
        <w:tc>
          <w:tcPr>
            <w:tcW w:w="1096" w:type="pct"/>
            <w:vMerge/>
            <w:vAlign w:val="center"/>
          </w:tcPr>
          <w:p w14:paraId="3DA0425D" w14:textId="77777777" w:rsidR="00F71ADB" w:rsidRPr="00035872" w:rsidRDefault="00F71ADB" w:rsidP="00F71ADB">
            <w:pPr>
              <w:rPr>
                <w:sz w:val="20"/>
                <w:szCs w:val="20"/>
              </w:rPr>
            </w:pPr>
          </w:p>
        </w:tc>
        <w:tc>
          <w:tcPr>
            <w:tcW w:w="673" w:type="pct"/>
          </w:tcPr>
          <w:p w14:paraId="10245E86" w14:textId="4A9F7F1A" w:rsidR="00F71ADB" w:rsidRPr="00035872" w:rsidRDefault="00F71ADB" w:rsidP="00F71ADB">
            <w:pPr>
              <w:jc w:val="both"/>
              <w:rPr>
                <w:sz w:val="20"/>
                <w:szCs w:val="20"/>
              </w:rPr>
            </w:pPr>
            <w:r w:rsidRPr="00035872">
              <w:rPr>
                <w:sz w:val="20"/>
                <w:szCs w:val="20"/>
              </w:rPr>
              <w:t>25+</w:t>
            </w:r>
            <w:r>
              <w:rPr>
                <w:sz w:val="20"/>
                <w:szCs w:val="20"/>
                <w:vertAlign w:val="superscript"/>
              </w:rPr>
              <w:t>a</w:t>
            </w:r>
          </w:p>
        </w:tc>
        <w:tc>
          <w:tcPr>
            <w:tcW w:w="1342" w:type="pct"/>
          </w:tcPr>
          <w:p w14:paraId="7E374853" w14:textId="77777777" w:rsidR="00F71ADB" w:rsidRPr="00035872" w:rsidRDefault="00F71ADB" w:rsidP="00F71ADB">
            <w:pPr>
              <w:jc w:val="both"/>
              <w:rPr>
                <w:sz w:val="20"/>
                <w:szCs w:val="20"/>
              </w:rPr>
            </w:pPr>
            <w:r w:rsidRPr="00035872">
              <w:rPr>
                <w:sz w:val="20"/>
                <w:szCs w:val="20"/>
              </w:rPr>
              <w:t>0.040 (0.034 – 0.049)</w:t>
            </w:r>
          </w:p>
        </w:tc>
        <w:tc>
          <w:tcPr>
            <w:tcW w:w="677" w:type="pct"/>
            <w:vMerge/>
            <w:vAlign w:val="center"/>
          </w:tcPr>
          <w:p w14:paraId="78A75CD8" w14:textId="77777777" w:rsidR="00F71ADB" w:rsidRPr="00035872" w:rsidRDefault="00F71ADB" w:rsidP="00F71ADB">
            <w:pPr>
              <w:jc w:val="center"/>
              <w:rPr>
                <w:sz w:val="20"/>
                <w:szCs w:val="20"/>
              </w:rPr>
            </w:pPr>
          </w:p>
        </w:tc>
      </w:tr>
      <w:tr w:rsidR="00F71ADB" w:rsidRPr="00035872" w14:paraId="13D7A6F5" w14:textId="6E4B2ED1" w:rsidTr="00F71ADB">
        <w:trPr>
          <w:trHeight w:val="298"/>
        </w:trPr>
        <w:tc>
          <w:tcPr>
            <w:tcW w:w="1211" w:type="pct"/>
            <w:vMerge/>
          </w:tcPr>
          <w:p w14:paraId="5C878138" w14:textId="77777777" w:rsidR="00F71ADB" w:rsidRPr="00035872" w:rsidRDefault="00F71ADB" w:rsidP="00F71ADB">
            <w:pPr>
              <w:jc w:val="both"/>
              <w:rPr>
                <w:sz w:val="20"/>
                <w:szCs w:val="20"/>
              </w:rPr>
            </w:pPr>
          </w:p>
        </w:tc>
        <w:tc>
          <w:tcPr>
            <w:tcW w:w="1096" w:type="pct"/>
            <w:vMerge w:val="restart"/>
            <w:vAlign w:val="center"/>
          </w:tcPr>
          <w:p w14:paraId="5F776078" w14:textId="5C852A90" w:rsidR="00F71ADB" w:rsidRPr="00035872" w:rsidRDefault="00F71ADB" w:rsidP="00F71ADB">
            <w:pPr>
              <w:rPr>
                <w:sz w:val="20"/>
                <w:szCs w:val="20"/>
              </w:rPr>
            </w:pPr>
            <w:r>
              <w:rPr>
                <w:sz w:val="20"/>
                <w:szCs w:val="20"/>
              </w:rPr>
              <w:t>2011-End of projection period</w:t>
            </w:r>
          </w:p>
        </w:tc>
        <w:tc>
          <w:tcPr>
            <w:tcW w:w="673" w:type="pct"/>
          </w:tcPr>
          <w:p w14:paraId="0B162F6D" w14:textId="481EC4F9" w:rsidR="00F71ADB" w:rsidRPr="00035872" w:rsidRDefault="00F71ADB" w:rsidP="00F71ADB">
            <w:pPr>
              <w:jc w:val="both"/>
              <w:rPr>
                <w:sz w:val="20"/>
                <w:szCs w:val="20"/>
              </w:rPr>
            </w:pPr>
            <w:r w:rsidRPr="00035872">
              <w:rPr>
                <w:sz w:val="20"/>
                <w:szCs w:val="20"/>
              </w:rPr>
              <w:t>15-24</w:t>
            </w:r>
          </w:p>
        </w:tc>
        <w:tc>
          <w:tcPr>
            <w:tcW w:w="1342" w:type="pct"/>
          </w:tcPr>
          <w:p w14:paraId="6CB917EC" w14:textId="77777777" w:rsidR="00F71ADB" w:rsidRPr="00035872" w:rsidRDefault="00F71ADB" w:rsidP="00F71ADB">
            <w:pPr>
              <w:jc w:val="both"/>
              <w:rPr>
                <w:sz w:val="20"/>
                <w:szCs w:val="20"/>
              </w:rPr>
            </w:pPr>
            <w:r w:rsidRPr="00035872">
              <w:rPr>
                <w:sz w:val="20"/>
                <w:szCs w:val="20"/>
              </w:rPr>
              <w:t>0.276 (0.230 – 0.325)</w:t>
            </w:r>
          </w:p>
        </w:tc>
        <w:tc>
          <w:tcPr>
            <w:tcW w:w="677" w:type="pct"/>
            <w:vMerge w:val="restart"/>
            <w:vAlign w:val="center"/>
          </w:tcPr>
          <w:p w14:paraId="2151239E" w14:textId="3D4F4DA7" w:rsidR="00F71ADB" w:rsidRPr="00035872" w:rsidRDefault="00F71ADB" w:rsidP="00F71ADB">
            <w:pPr>
              <w:jc w:val="center"/>
              <w:rPr>
                <w:sz w:val="20"/>
                <w:szCs w:val="20"/>
              </w:rPr>
            </w:pPr>
            <w:r>
              <w:rPr>
                <w:sz w:val="20"/>
                <w:szCs w:val="20"/>
              </w:rPr>
              <w:t>DHS 2015</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Health","id":"ITEM-1","issued":{"date-parts":[["2015"]]},"title":"Demographic and Health Survey, 2015","type":"webpage"},"uris":["http://www.mendeley.com/documents/?uuid=a01ee458-5ceb-42cb-9802-8a0c4cfbc426"]}],"mendeley":{"formattedCitation":"&lt;sup&gt;29&lt;/sup&gt;","plainTextFormattedCitation":"29","previouslyFormattedCitation":"&lt;sup&gt;30&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29</w:t>
            </w:r>
            <w:r>
              <w:rPr>
                <w:sz w:val="20"/>
                <w:szCs w:val="20"/>
              </w:rPr>
              <w:fldChar w:fldCharType="end"/>
            </w:r>
          </w:p>
        </w:tc>
      </w:tr>
      <w:tr w:rsidR="00F71ADB" w:rsidRPr="00035872" w14:paraId="0A0F9F6A" w14:textId="7A1E0E1D" w:rsidTr="00F71ADB">
        <w:trPr>
          <w:trHeight w:val="298"/>
        </w:trPr>
        <w:tc>
          <w:tcPr>
            <w:tcW w:w="1211" w:type="pct"/>
            <w:vMerge/>
          </w:tcPr>
          <w:p w14:paraId="532CBFF9" w14:textId="77777777" w:rsidR="00F71ADB" w:rsidRPr="00035872" w:rsidRDefault="00F71ADB" w:rsidP="00F71ADB">
            <w:pPr>
              <w:jc w:val="both"/>
              <w:rPr>
                <w:sz w:val="20"/>
                <w:szCs w:val="20"/>
              </w:rPr>
            </w:pPr>
          </w:p>
        </w:tc>
        <w:tc>
          <w:tcPr>
            <w:tcW w:w="1096" w:type="pct"/>
            <w:vMerge/>
            <w:vAlign w:val="center"/>
          </w:tcPr>
          <w:p w14:paraId="3FD9B160" w14:textId="77777777" w:rsidR="00F71ADB" w:rsidRPr="00035872" w:rsidRDefault="00F71ADB" w:rsidP="00F71ADB">
            <w:pPr>
              <w:rPr>
                <w:sz w:val="20"/>
                <w:szCs w:val="20"/>
              </w:rPr>
            </w:pPr>
          </w:p>
        </w:tc>
        <w:tc>
          <w:tcPr>
            <w:tcW w:w="673" w:type="pct"/>
          </w:tcPr>
          <w:p w14:paraId="466A9184" w14:textId="03BEB0A1" w:rsidR="00F71ADB" w:rsidRPr="00035872" w:rsidRDefault="00F71ADB" w:rsidP="00F71ADB">
            <w:pPr>
              <w:jc w:val="both"/>
              <w:rPr>
                <w:sz w:val="20"/>
                <w:szCs w:val="20"/>
              </w:rPr>
            </w:pPr>
            <w:r w:rsidRPr="00035872">
              <w:rPr>
                <w:sz w:val="20"/>
                <w:szCs w:val="20"/>
              </w:rPr>
              <w:t>25+</w:t>
            </w:r>
            <w:r>
              <w:rPr>
                <w:sz w:val="20"/>
                <w:szCs w:val="20"/>
                <w:vertAlign w:val="superscript"/>
              </w:rPr>
              <w:t>a</w:t>
            </w:r>
          </w:p>
        </w:tc>
        <w:tc>
          <w:tcPr>
            <w:tcW w:w="1342" w:type="pct"/>
          </w:tcPr>
          <w:p w14:paraId="71C768E2" w14:textId="77777777" w:rsidR="00F71ADB" w:rsidRPr="00035872" w:rsidRDefault="00F71ADB" w:rsidP="00F71ADB">
            <w:pPr>
              <w:jc w:val="both"/>
              <w:rPr>
                <w:sz w:val="20"/>
                <w:szCs w:val="20"/>
              </w:rPr>
            </w:pPr>
            <w:r w:rsidRPr="00035872">
              <w:rPr>
                <w:sz w:val="20"/>
                <w:szCs w:val="20"/>
              </w:rPr>
              <w:t>0.050 (0.042 – 0.058)</w:t>
            </w:r>
          </w:p>
        </w:tc>
        <w:tc>
          <w:tcPr>
            <w:tcW w:w="677" w:type="pct"/>
            <w:vMerge/>
            <w:vAlign w:val="center"/>
          </w:tcPr>
          <w:p w14:paraId="0D52B9F8" w14:textId="77777777" w:rsidR="00F71ADB" w:rsidRPr="00035872" w:rsidRDefault="00F71ADB" w:rsidP="00F71ADB">
            <w:pPr>
              <w:jc w:val="center"/>
              <w:rPr>
                <w:sz w:val="20"/>
                <w:szCs w:val="20"/>
              </w:rPr>
            </w:pPr>
          </w:p>
        </w:tc>
      </w:tr>
      <w:tr w:rsidR="00F71ADB" w:rsidRPr="00035872" w14:paraId="07751A28" w14:textId="07A0388C" w:rsidTr="00F71ADB">
        <w:trPr>
          <w:trHeight w:val="298"/>
        </w:trPr>
        <w:tc>
          <w:tcPr>
            <w:tcW w:w="1211" w:type="pct"/>
            <w:vMerge w:val="restart"/>
          </w:tcPr>
          <w:p w14:paraId="14636786" w14:textId="77777777" w:rsidR="00F71ADB" w:rsidRPr="00035872" w:rsidRDefault="00F71ADB" w:rsidP="00F71ADB">
            <w:pPr>
              <w:jc w:val="both"/>
              <w:rPr>
                <w:sz w:val="20"/>
                <w:szCs w:val="20"/>
                <w:vertAlign w:val="superscript"/>
              </w:rPr>
            </w:pPr>
            <w:r w:rsidRPr="00035872">
              <w:rPr>
                <w:sz w:val="20"/>
                <w:szCs w:val="20"/>
              </w:rPr>
              <w:t>High-risk urban women</w:t>
            </w:r>
          </w:p>
        </w:tc>
        <w:tc>
          <w:tcPr>
            <w:tcW w:w="1096" w:type="pct"/>
            <w:vMerge w:val="restart"/>
            <w:vAlign w:val="center"/>
          </w:tcPr>
          <w:p w14:paraId="67715B72" w14:textId="023396CB" w:rsidR="00F71ADB" w:rsidRPr="00035872" w:rsidRDefault="00F71ADB" w:rsidP="00F71ADB">
            <w:pPr>
              <w:rPr>
                <w:sz w:val="20"/>
                <w:szCs w:val="20"/>
              </w:rPr>
            </w:pPr>
            <w:r>
              <w:rPr>
                <w:sz w:val="20"/>
                <w:szCs w:val="20"/>
              </w:rPr>
              <w:t>2004-End of projection period</w:t>
            </w:r>
          </w:p>
        </w:tc>
        <w:tc>
          <w:tcPr>
            <w:tcW w:w="673" w:type="pct"/>
          </w:tcPr>
          <w:p w14:paraId="11E7B586" w14:textId="719AC371" w:rsidR="00F71ADB" w:rsidRPr="00035872" w:rsidRDefault="00F71ADB" w:rsidP="00F71ADB">
            <w:pPr>
              <w:jc w:val="both"/>
              <w:rPr>
                <w:sz w:val="20"/>
                <w:szCs w:val="20"/>
                <w:vertAlign w:val="superscript"/>
              </w:rPr>
            </w:pPr>
            <w:r w:rsidRPr="00035872">
              <w:rPr>
                <w:sz w:val="20"/>
                <w:szCs w:val="20"/>
              </w:rPr>
              <w:t>15-24</w:t>
            </w:r>
            <w:r>
              <w:rPr>
                <w:sz w:val="20"/>
                <w:szCs w:val="20"/>
                <w:vertAlign w:val="superscript"/>
              </w:rPr>
              <w:t>b</w:t>
            </w:r>
          </w:p>
        </w:tc>
        <w:tc>
          <w:tcPr>
            <w:tcW w:w="1342" w:type="pct"/>
          </w:tcPr>
          <w:p w14:paraId="01A08E05" w14:textId="77777777" w:rsidR="00F71ADB" w:rsidRPr="00035872" w:rsidRDefault="00F71ADB" w:rsidP="00F71ADB">
            <w:pPr>
              <w:jc w:val="both"/>
              <w:rPr>
                <w:sz w:val="20"/>
                <w:szCs w:val="20"/>
              </w:rPr>
            </w:pPr>
            <w:r w:rsidRPr="00035872">
              <w:rPr>
                <w:sz w:val="20"/>
                <w:szCs w:val="20"/>
              </w:rPr>
              <w:t>0.351 (0.298 – 0.404)</w:t>
            </w:r>
          </w:p>
        </w:tc>
        <w:tc>
          <w:tcPr>
            <w:tcW w:w="677" w:type="pct"/>
            <w:vMerge w:val="restart"/>
            <w:vAlign w:val="center"/>
          </w:tcPr>
          <w:p w14:paraId="72B01B8B" w14:textId="66F4ADBB" w:rsidR="00F71ADB" w:rsidRPr="00035872" w:rsidRDefault="00F71ADB" w:rsidP="00F71ADB">
            <w:pPr>
              <w:jc w:val="center"/>
              <w:rPr>
                <w:sz w:val="20"/>
                <w:szCs w:val="20"/>
              </w:rPr>
            </w:pPr>
            <w:r>
              <w:rPr>
                <w:sz w:val="20"/>
                <w:szCs w:val="20"/>
              </w:rPr>
              <w:t>BSS 2010</w:t>
            </w:r>
            <w:r>
              <w:rPr>
                <w:sz w:val="20"/>
                <w:szCs w:val="20"/>
              </w:rPr>
              <w:fldChar w:fldCharType="begin" w:fldLock="1"/>
            </w:r>
            <w:r w:rsidR="007527CC">
              <w:rPr>
                <w:sz w:val="20"/>
                <w:szCs w:val="20"/>
              </w:rPr>
              <w:instrText>ADDIN CSL_CITATION {"citationItems":[{"id":"ITEM-1","itemData":{"DOI":"10.1016/B978-0-12-420118-7.00008-1.Dopamine","ISBN":"9780124201187","ISSN":"0036-8075","PMID":"25792328","author":[{"dropping-particle":"","family":"Rwanda Ministry of Health","given":"","non-dropping-particle":"","parse-names":false,"suffix":""}],"container-title":"Center for Treatment and Research on AIDS, Malaria, Tuberculosis and Other Epidemics","id":"ITEM-1","issue":"December","issued":{"date-parts":[["2010"]]},"title":"Behavioral and Biological Surveillance Survey among Female Sex Workers, Rwanda – 2010","type":"report"},"uris":["http://www.mendeley.com/documents/?uuid=c3b9fbfb-d893-4cee-aa49-4ba2d2fc2bf1"]}],"mendeley":{"formattedCitation":"&lt;sup&gt;44&lt;/sup&gt;","plainTextFormattedCitation":"44","previouslyFormattedCitation":"&lt;sup&gt;42&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44</w:t>
            </w:r>
            <w:r>
              <w:rPr>
                <w:sz w:val="20"/>
                <w:szCs w:val="20"/>
              </w:rPr>
              <w:fldChar w:fldCharType="end"/>
            </w:r>
          </w:p>
        </w:tc>
      </w:tr>
      <w:tr w:rsidR="00F71ADB" w:rsidRPr="00035872" w14:paraId="382195F8" w14:textId="02D273FD" w:rsidTr="00F71ADB">
        <w:trPr>
          <w:trHeight w:val="233"/>
        </w:trPr>
        <w:tc>
          <w:tcPr>
            <w:tcW w:w="1211" w:type="pct"/>
            <w:vMerge/>
          </w:tcPr>
          <w:p w14:paraId="32792252" w14:textId="77777777" w:rsidR="00F71ADB" w:rsidRPr="00035872" w:rsidRDefault="00F71ADB" w:rsidP="00F71ADB">
            <w:pPr>
              <w:jc w:val="both"/>
              <w:rPr>
                <w:sz w:val="20"/>
                <w:szCs w:val="20"/>
              </w:rPr>
            </w:pPr>
          </w:p>
        </w:tc>
        <w:tc>
          <w:tcPr>
            <w:tcW w:w="1096" w:type="pct"/>
            <w:vMerge/>
            <w:vAlign w:val="center"/>
          </w:tcPr>
          <w:p w14:paraId="385FBE95" w14:textId="77777777" w:rsidR="00F71ADB" w:rsidRPr="00035872" w:rsidRDefault="00F71ADB" w:rsidP="00F71ADB">
            <w:pPr>
              <w:rPr>
                <w:sz w:val="20"/>
                <w:szCs w:val="20"/>
              </w:rPr>
            </w:pPr>
          </w:p>
        </w:tc>
        <w:tc>
          <w:tcPr>
            <w:tcW w:w="673" w:type="pct"/>
          </w:tcPr>
          <w:p w14:paraId="1962E196" w14:textId="14B2CE94" w:rsidR="00F71ADB" w:rsidRPr="00035872" w:rsidRDefault="00F71ADB" w:rsidP="00F71ADB">
            <w:pPr>
              <w:jc w:val="both"/>
              <w:rPr>
                <w:sz w:val="20"/>
                <w:szCs w:val="20"/>
              </w:rPr>
            </w:pPr>
            <w:r w:rsidRPr="00035872">
              <w:rPr>
                <w:sz w:val="20"/>
                <w:szCs w:val="20"/>
              </w:rPr>
              <w:t>25+</w:t>
            </w:r>
            <w:proofErr w:type="gramStart"/>
            <w:r>
              <w:rPr>
                <w:sz w:val="20"/>
                <w:szCs w:val="20"/>
                <w:vertAlign w:val="superscript"/>
              </w:rPr>
              <w:t>a,b</w:t>
            </w:r>
            <w:proofErr w:type="gramEnd"/>
          </w:p>
        </w:tc>
        <w:tc>
          <w:tcPr>
            <w:tcW w:w="1342" w:type="pct"/>
          </w:tcPr>
          <w:p w14:paraId="7CF402EF" w14:textId="30F6A7EE" w:rsidR="00F71ADB" w:rsidRPr="0051032A" w:rsidRDefault="00F71ADB" w:rsidP="0051032A">
            <w:pPr>
              <w:rPr>
                <w:sz w:val="20"/>
                <w:szCs w:val="20"/>
              </w:rPr>
            </w:pPr>
            <w:r w:rsidRPr="0051032A">
              <w:rPr>
                <w:sz w:val="20"/>
                <w:szCs w:val="20"/>
              </w:rPr>
              <w:t>0.276 (0.235 – 0.317)</w:t>
            </w:r>
            <w:commentRangeStart w:id="72"/>
            <w:commentRangeEnd w:id="72"/>
            <w:r w:rsidRPr="0051032A">
              <w:rPr>
                <w:rStyle w:val="CommentReference"/>
                <w:sz w:val="20"/>
                <w:szCs w:val="20"/>
              </w:rPr>
              <w:commentReference w:id="72"/>
            </w:r>
          </w:p>
        </w:tc>
        <w:tc>
          <w:tcPr>
            <w:tcW w:w="677" w:type="pct"/>
            <w:vMerge/>
            <w:vAlign w:val="center"/>
          </w:tcPr>
          <w:p w14:paraId="313D7A6D" w14:textId="77777777" w:rsidR="00F71ADB" w:rsidRPr="00172214" w:rsidRDefault="00F71ADB" w:rsidP="00F71ADB">
            <w:pPr>
              <w:pStyle w:val="Heading2"/>
              <w:numPr>
                <w:ilvl w:val="1"/>
                <w:numId w:val="35"/>
              </w:numPr>
              <w:jc w:val="center"/>
              <w:rPr>
                <w:sz w:val="20"/>
                <w:szCs w:val="20"/>
              </w:rPr>
            </w:pPr>
          </w:p>
        </w:tc>
      </w:tr>
    </w:tbl>
    <w:p w14:paraId="6EEDD05C" w14:textId="190072EE" w:rsidR="00E447D3" w:rsidRPr="00172214" w:rsidRDefault="00F71ADB" w:rsidP="00172214">
      <w:pPr>
        <w:pStyle w:val="BodyText"/>
        <w:spacing w:before="0" w:after="0"/>
        <w:rPr>
          <w:bCs/>
          <w:sz w:val="20"/>
          <w:szCs w:val="20"/>
        </w:rPr>
      </w:pPr>
      <w:proofErr w:type="spellStart"/>
      <w:r>
        <w:rPr>
          <w:bCs/>
          <w:sz w:val="20"/>
          <w:szCs w:val="20"/>
          <w:vertAlign w:val="superscript"/>
        </w:rPr>
        <w:t>a</w:t>
      </w:r>
      <w:proofErr w:type="spellEnd"/>
      <w:r w:rsidR="00172214" w:rsidRPr="00172214">
        <w:rPr>
          <w:bCs/>
          <w:sz w:val="20"/>
          <w:szCs w:val="20"/>
        </w:rPr>
        <w:t xml:space="preserve"> </w:t>
      </w:r>
      <w:r w:rsidR="00E447D3" w:rsidRPr="00172214">
        <w:rPr>
          <w:bCs/>
          <w:sz w:val="20"/>
          <w:szCs w:val="20"/>
        </w:rPr>
        <w:t>We assume the proportion of consistent condom use</w:t>
      </w:r>
      <w:r w:rsidR="00E447D3" w:rsidRPr="00172214">
        <w:rPr>
          <w:rFonts w:hint="eastAsia"/>
          <w:bCs/>
          <w:sz w:val="20"/>
          <w:szCs w:val="20"/>
        </w:rPr>
        <w:t xml:space="preserve"> </w:t>
      </w:r>
      <w:r w:rsidR="00E447D3" w:rsidRPr="00172214">
        <w:rPr>
          <w:bCs/>
          <w:sz w:val="20"/>
          <w:szCs w:val="20"/>
        </w:rPr>
        <w:t xml:space="preserve">is the same for individuals aged 25+ given the existing data. </w:t>
      </w:r>
    </w:p>
    <w:p w14:paraId="345F458B" w14:textId="2FA09681" w:rsidR="00E447D3" w:rsidRPr="00172214" w:rsidRDefault="00F71ADB" w:rsidP="00172214">
      <w:pPr>
        <w:pStyle w:val="BodyText"/>
        <w:spacing w:before="0" w:after="0"/>
        <w:rPr>
          <w:bCs/>
          <w:sz w:val="20"/>
          <w:szCs w:val="20"/>
        </w:rPr>
      </w:pPr>
      <w:r>
        <w:rPr>
          <w:sz w:val="20"/>
          <w:szCs w:val="20"/>
          <w:vertAlign w:val="superscript"/>
        </w:rPr>
        <w:t>b</w:t>
      </w:r>
      <w:r w:rsidR="00172214" w:rsidRPr="00172214">
        <w:rPr>
          <w:sz w:val="20"/>
          <w:szCs w:val="20"/>
        </w:rPr>
        <w:t xml:space="preserve"> </w:t>
      </w:r>
      <w:r w:rsidR="00E447D3" w:rsidRPr="00172214">
        <w:rPr>
          <w:sz w:val="20"/>
          <w:szCs w:val="20"/>
        </w:rPr>
        <w:t xml:space="preserve">Due to lack of data, we assume that the confidence interval would be a relative </w:t>
      </w:r>
      <m:oMath>
        <m:r>
          <w:rPr>
            <w:rFonts w:ascii="Cambria Math" w:hAnsi="Cambria Math"/>
            <w:sz w:val="20"/>
            <w:szCs w:val="20"/>
          </w:rPr>
          <m:t>∓15%</m:t>
        </m:r>
      </m:oMath>
      <w:r w:rsidR="00E447D3" w:rsidRPr="00172214">
        <w:rPr>
          <w:sz w:val="20"/>
          <w:szCs w:val="20"/>
        </w:rPr>
        <w:t xml:space="preserve"> of the baseline value. </w:t>
      </w:r>
    </w:p>
    <w:p w14:paraId="45FBC388" w14:textId="77777777" w:rsidR="00E447D3" w:rsidRDefault="00E447D3" w:rsidP="00E447D3">
      <w:pPr>
        <w:rPr>
          <w:bCs/>
        </w:rPr>
      </w:pPr>
    </w:p>
    <w:p w14:paraId="668910AB" w14:textId="77777777" w:rsidR="00E447D3" w:rsidRDefault="00E447D3" w:rsidP="00E447D3">
      <w:pPr>
        <w:jc w:val="both"/>
        <w:rPr>
          <w:b/>
          <w:i/>
        </w:rPr>
        <w:sectPr w:rsidR="00E447D3" w:rsidSect="00A129FF">
          <w:pgSz w:w="12240" w:h="15840"/>
          <w:pgMar w:top="1440" w:right="1440" w:bottom="1440" w:left="1440" w:header="720" w:footer="720" w:gutter="0"/>
          <w:cols w:space="720"/>
          <w:docGrid w:linePitch="326"/>
        </w:sectPr>
      </w:pPr>
    </w:p>
    <w:p w14:paraId="33516F47" w14:textId="0195166E" w:rsidR="00E447D3" w:rsidRPr="00EF17A0" w:rsidRDefault="00E447D3" w:rsidP="00E447D3">
      <w:pPr>
        <w:pStyle w:val="Heading2"/>
        <w:spacing w:before="0"/>
        <w:rPr>
          <w:rFonts w:cs="Times New Roman"/>
          <w:szCs w:val="24"/>
        </w:rPr>
      </w:pPr>
      <w:bookmarkStart w:id="73" w:name="_Effectiveness__"/>
      <w:bookmarkStart w:id="74" w:name="_Toc82592649"/>
      <w:bookmarkEnd w:id="73"/>
      <w:commentRangeStart w:id="75"/>
      <w:commentRangeStart w:id="76"/>
      <w:commentRangeStart w:id="77"/>
      <w:r w:rsidRPr="00EF17A0">
        <w:rPr>
          <w:rFonts w:cs="Times New Roman"/>
          <w:szCs w:val="24"/>
        </w:rPr>
        <w:lastRenderedPageBreak/>
        <w:t>Effectiveness</w:t>
      </w:r>
      <w:commentRangeEnd w:id="75"/>
      <w:commentRangeEnd w:id="76"/>
      <w:r w:rsidR="00172214">
        <w:rPr>
          <w:rStyle w:val="CommentReference"/>
          <w:rFonts w:eastAsia="Times New Roman" w:cs="Times New Roman"/>
          <w:b w:val="0"/>
          <w:bCs w:val="0"/>
          <w:color w:val="auto"/>
          <w:lang w:eastAsia="zh-CN"/>
        </w:rPr>
        <w:commentReference w:id="75"/>
      </w:r>
      <w:r>
        <w:rPr>
          <w:rStyle w:val="CommentReference"/>
          <w:rFonts w:eastAsia="Times New Roman" w:cs="Times New Roman"/>
          <w:b w:val="0"/>
          <w:bCs w:val="0"/>
          <w:color w:val="auto"/>
          <w:lang w:eastAsia="zh-CN"/>
        </w:rPr>
        <w:commentReference w:id="76"/>
      </w:r>
      <w:commentRangeEnd w:id="77"/>
      <w:r>
        <w:rPr>
          <w:rStyle w:val="CommentReference"/>
          <w:rFonts w:eastAsia="Times New Roman" w:cs="Times New Roman"/>
          <w:b w:val="0"/>
          <w:bCs w:val="0"/>
          <w:color w:val="auto"/>
          <w:lang w:eastAsia="zh-CN"/>
        </w:rPr>
        <w:commentReference w:id="77"/>
      </w:r>
      <w:r>
        <w:rPr>
          <w:rFonts w:cs="Times New Roman"/>
          <w:szCs w:val="24"/>
        </w:rPr>
        <w:t xml:space="preserve"> </w:t>
      </w:r>
      <w:r w:rsidR="00572D89">
        <w:rPr>
          <w:rFonts w:cs="Times New Roman"/>
          <w:szCs w:val="24"/>
        </w:rPr>
        <w:t xml:space="preserve">of viral suppression </w:t>
      </w:r>
      <w:r>
        <w:rPr>
          <w:rFonts w:cs="Times New Roman"/>
          <w:szCs w:val="24"/>
        </w:rPr>
        <w:t>in reducing HIV transmission</w:t>
      </w:r>
      <w:bookmarkEnd w:id="74"/>
    </w:p>
    <w:p w14:paraId="5626B3A2" w14:textId="59B9168F" w:rsidR="00E447D3" w:rsidRPr="005745DE" w:rsidRDefault="00E447D3" w:rsidP="00E447D3">
      <w:commentRangeStart w:id="78"/>
      <w:r w:rsidRPr="005745DE">
        <w:t xml:space="preserve">The </w:t>
      </w:r>
      <w:r>
        <w:t>effectiveness of viral suppression</w:t>
      </w:r>
      <w:r w:rsidR="007B102E">
        <w:t xml:space="preserve"> on transmission</w:t>
      </w:r>
      <w:r>
        <w:t xml:space="preserve"> </w:t>
      </w:r>
      <w:r w:rsidRPr="005745DE">
        <w:t xml:space="preserve">in the </w:t>
      </w:r>
      <w:r>
        <w:t xml:space="preserve">force of infection </w:t>
      </w:r>
      <w:r w:rsidRPr="005745DE">
        <w:t xml:space="preserve">equation is defined as the </w:t>
      </w:r>
      <w:r w:rsidR="007B102E">
        <w:t xml:space="preserve">percent </w:t>
      </w:r>
      <w:r>
        <w:t>reduc</w:t>
      </w:r>
      <w:r w:rsidR="007B102E">
        <w:t>tion in the</w:t>
      </w:r>
      <w:r>
        <w:t xml:space="preserve"> </w:t>
      </w:r>
      <w:r w:rsidRPr="005745DE">
        <w:t xml:space="preserve">probability of HIV transmission per sex act </w:t>
      </w:r>
      <w:commentRangeEnd w:id="78"/>
      <w:r w:rsidR="00572D89">
        <w:rPr>
          <w:rStyle w:val="CommentReference"/>
        </w:rPr>
        <w:commentReference w:id="78"/>
      </w:r>
      <w:r w:rsidRPr="005745DE">
        <w:t xml:space="preserve">when an individual living with HIV </w:t>
      </w:r>
      <w:r>
        <w:t>viral suppressed but not using condom consistently</w:t>
      </w:r>
      <w:r w:rsidRPr="005745DE">
        <w:t xml:space="preserve">. </w:t>
      </w:r>
      <w:r>
        <w:t xml:space="preserve">Viral suppression status is defined as having viral load </w:t>
      </w:r>
      <w:commentRangeStart w:id="79"/>
      <w:commentRangeStart w:id="80"/>
      <w:r>
        <w:t>&lt; 1000 copies/ml.</w:t>
      </w:r>
      <w:commentRangeEnd w:id="79"/>
      <w:r w:rsidR="00172214">
        <w:rPr>
          <w:rStyle w:val="CommentReference"/>
        </w:rPr>
        <w:commentReference w:id="79"/>
      </w:r>
      <w:commentRangeEnd w:id="80"/>
      <w:r w:rsidR="00F71ADB">
        <w:rPr>
          <w:rStyle w:val="CommentReference"/>
        </w:rPr>
        <w:commentReference w:id="80"/>
      </w:r>
      <w:r>
        <w:t xml:space="preserve"> </w:t>
      </w:r>
    </w:p>
    <w:p w14:paraId="25C63A93" w14:textId="77777777" w:rsidR="00E447D3" w:rsidRPr="005745DE" w:rsidRDefault="00E447D3" w:rsidP="00172214"/>
    <w:p w14:paraId="40C1E262" w14:textId="36822BEE" w:rsidR="00E447D3" w:rsidRDefault="00E447D3" w:rsidP="00172214">
      <w:commentRangeStart w:id="81"/>
      <w:r w:rsidRPr="005745DE">
        <w:rPr>
          <w:b/>
          <w:i/>
        </w:rPr>
        <w:t>Data source</w:t>
      </w:r>
      <w:r w:rsidR="00F71ADB">
        <w:rPr>
          <w:b/>
          <w:i/>
        </w:rPr>
        <w:t xml:space="preserve"> (s)</w:t>
      </w:r>
      <w:r w:rsidRPr="005745DE">
        <w:t xml:space="preserve">: </w:t>
      </w:r>
      <w:commentRangeEnd w:id="81"/>
      <w:r w:rsidR="00F71ADB">
        <w:rPr>
          <w:rStyle w:val="CommentReference"/>
        </w:rPr>
        <w:commentReference w:id="81"/>
      </w:r>
    </w:p>
    <w:p w14:paraId="6916A04B" w14:textId="18F52C0A" w:rsidR="00E447D3" w:rsidRDefault="00E447D3" w:rsidP="002E50FA">
      <w:pPr>
        <w:pStyle w:val="BodyText"/>
        <w:numPr>
          <w:ilvl w:val="0"/>
          <w:numId w:val="13"/>
        </w:numPr>
        <w:spacing w:before="0" w:after="0"/>
      </w:pPr>
      <w:r>
        <w:t>A systematic review on per-act HIV transmission risk for among individuals living with HIV off ART and under combination ART (</w:t>
      </w:r>
      <w:proofErr w:type="spellStart"/>
      <w:r>
        <w:t>cART</w:t>
      </w:r>
      <w:proofErr w:type="spellEnd"/>
      <w:r>
        <w:t xml:space="preserve">) for more than 6 months suggested that the per-act probabilities of HIV transmission for unprotected sex are 0.0014 (0.0010 – 0.0018) for those off-ART and range between 0.000024 (0.0000006 – 0.000087) and 0.000047 (0.0000057 – 0.00013) for those under </w:t>
      </w:r>
      <w:proofErr w:type="spellStart"/>
      <w:r>
        <w:t>cART</w:t>
      </w:r>
      <w:proofErr w:type="spellEnd"/>
      <w:r>
        <w:t xml:space="preserve"> for 6 months depending on whether the transmission occur after 6 months of cART.</w:t>
      </w:r>
      <w:r>
        <w:fldChar w:fldCharType="begin" w:fldLock="1"/>
      </w:r>
      <w:r w:rsidR="007527CC">
        <w:instrText>ADDIN CSL_CITATION {"citationItems":[{"id":"ITEM-1","itemData":{"DOI":"10.1093/cid/ciu223","ISSN":"15376591","PMID":"24723286","abstract":"Background. Although essential for patient counseling and quality of life of human immunodeficiency virus (HIV)-infected individuals, the risk of HIV transmission during 1 unprotected sex act with an HIV-infected person under combination antiretroviral therapy (cART) remains unknown. Methods. We reviewed systematically the literature for studies on HIV transmission among heterosexual HIV-serodiscordant couples, where the infected partner was on cART, with regular virological monitoring, reporting on condom use and sexual activity. We used Bayesian statistics to combine data from selected studies, to investigate the per-act risk of HIV transmission through unprotected sex with an HIV-infected person on cART for &gt;6 months. Results. At most, 1 HIV transmission, over an estimated 113 480 sex acts, of which 17% were not condom protected, was reported within 1672 HIV-serodiscordant couples where the index partner had been treated for &gt;6 months. Data were insufficient to determine whether the reported transmission occurred before or after 6 months of cART. We estimated the upper-bound per-act risk of HIV transmission at either 8.7 or 13:100 000, depending on whether the transmission occurred before or after 6 months of cART. These estimates applied whether or not index partners were virally suppressed. Estimating an upper-bound risk &lt;1:100 000 would require observing no HIV transmission while collecting &gt;12 times the available amount of data. Conclusions. Available data do not support zero risk of HIV transmission under cART. The per-act risk of HIV transmission through unprotected sex with HIV-infected individuals on cART in comprehensive care for &gt;6 months (whether or not virally suppressed) is &lt;13:100 000. Estimating a 10-fold lower upper-bound risk may be unfeasible due to high condom use among HIV-serodiscordant couples in most research studies. © The Author 2014.","author":[{"dropping-particle":"","family":"Supervie","given":"Virginie","non-dropping-particle":"","parse-names":false,"suffix":""},{"dropping-particle":"","family":"Viard","given":"Jean Paul","non-dropping-particle":"","parse-names":false,"suffix":""},{"dropping-particle":"","family":"Costagliola","given":"Dominique","non-dropping-particle":"","parse-names":false,"suffix":""},{"dropping-particle":"","family":"Breban","given":"Romulus","non-dropping-particle":"","parse-names":false,"suffix":""}],"container-title":"Clinical Infectious Diseases","id":"ITEM-1","issued":{"date-parts":[["2014"]]},"title":"Heterosexual risk of HIV transmission per sexual act under combined antiretroviral therapy: Systematic review and bayesian modeling","type":"article-journal"},"uris":["http://www.mendeley.com/documents/?uuid=c31f4940-8e35-42ef-a69a-ab94076e3d1b"]}],"mendeley":{"formattedCitation":"&lt;sup&gt;45&lt;/sup&gt;","plainTextFormattedCitation":"45","previouslyFormattedCitation":"&lt;sup&gt;45&lt;/sup&gt;"},"properties":{"noteIndex":0},"schema":"https://github.com/citation-style-language/schema/raw/master/csl-citation.json"}</w:instrText>
      </w:r>
      <w:r>
        <w:fldChar w:fldCharType="separate"/>
      </w:r>
      <w:r w:rsidR="00036C3E" w:rsidRPr="00036C3E">
        <w:rPr>
          <w:noProof/>
          <w:vertAlign w:val="superscript"/>
        </w:rPr>
        <w:t>45</w:t>
      </w:r>
      <w:r>
        <w:fldChar w:fldCharType="end"/>
      </w:r>
      <w:r>
        <w:t xml:space="preserve"> </w:t>
      </w:r>
    </w:p>
    <w:p w14:paraId="2F6BD660" w14:textId="1229CC4D" w:rsidR="00F71ADB" w:rsidRDefault="00F71ADB" w:rsidP="00497512">
      <w:pPr>
        <w:pStyle w:val="BodyText"/>
        <w:numPr>
          <w:ilvl w:val="1"/>
          <w:numId w:val="13"/>
        </w:numPr>
        <w:spacing w:before="0" w:after="0"/>
      </w:pPr>
      <w:r>
        <w:t>T</w:t>
      </w:r>
      <w:r w:rsidRPr="00DD3DD1">
        <w:t>he reviewed articles have inconsistent viral suppression threshold ranging from 50 copies/ml to 400 copies/ml</w:t>
      </w:r>
      <w:r>
        <w:t>, with a majority of studies defining viral suppression by 400 copies/ml. Our model defines a lower level of HIV RNA load for viral suppression suggesting that the estimates might underestimate the effectiveness of viral suppression.</w:t>
      </w:r>
    </w:p>
    <w:p w14:paraId="669A67B4" w14:textId="4C89554F" w:rsidR="00F71ADB" w:rsidRPr="00497512" w:rsidRDefault="00F71ADB" w:rsidP="00F71ADB">
      <w:pPr>
        <w:pStyle w:val="BodyText"/>
        <w:spacing w:before="0" w:after="0"/>
        <w:rPr>
          <w:b/>
          <w:bCs/>
          <w:i/>
          <w:iCs/>
        </w:rPr>
      </w:pPr>
    </w:p>
    <w:p w14:paraId="4B9A8746" w14:textId="1E11D89F" w:rsidR="00F71ADB" w:rsidRPr="00497512" w:rsidRDefault="00F71ADB" w:rsidP="00F71ADB">
      <w:pPr>
        <w:pStyle w:val="BodyText"/>
        <w:spacing w:before="0" w:after="0"/>
        <w:rPr>
          <w:b/>
          <w:bCs/>
          <w:i/>
          <w:iCs/>
        </w:rPr>
      </w:pPr>
      <w:r w:rsidRPr="00497512">
        <w:rPr>
          <w:b/>
          <w:bCs/>
          <w:i/>
          <w:iCs/>
        </w:rPr>
        <w:t>Assumptions:</w:t>
      </w:r>
    </w:p>
    <w:p w14:paraId="213A32FC" w14:textId="19159F81" w:rsidR="00E447D3" w:rsidRDefault="00F71ADB" w:rsidP="00497512">
      <w:pPr>
        <w:pStyle w:val="BodyText"/>
        <w:numPr>
          <w:ilvl w:val="0"/>
          <w:numId w:val="13"/>
        </w:numPr>
        <w:spacing w:before="0" w:after="0"/>
      </w:pPr>
      <w:r>
        <w:t xml:space="preserve">For model structure simplicity, we assume equal risk of HIV transmission overtime when on ART before virological failure and all transmission occurs after 6 months of </w:t>
      </w:r>
      <w:proofErr w:type="spellStart"/>
      <w:r>
        <w:t>cART</w:t>
      </w:r>
      <w:proofErr w:type="spellEnd"/>
      <w:r>
        <w:t>. The</w:t>
      </w:r>
      <w:r w:rsidRPr="005B2E48">
        <w:t xml:space="preserve"> estimate might underestimate the effectiveness of</w:t>
      </w:r>
      <w:r>
        <w:t xml:space="preserve"> </w:t>
      </w:r>
      <w:r w:rsidRPr="005B2E48">
        <w:t xml:space="preserve">viral suppression since transmission </w:t>
      </w:r>
      <w:r>
        <w:t>are</w:t>
      </w:r>
      <w:r w:rsidRPr="005B2E48">
        <w:t xml:space="preserve"> more likely to occur among those with higher viral load level. </w:t>
      </w:r>
    </w:p>
    <w:p w14:paraId="5D2B566E" w14:textId="61785E5F" w:rsidR="00E447D3" w:rsidRPr="005B2E48" w:rsidRDefault="00E447D3" w:rsidP="00F71ADB">
      <w:pPr>
        <w:pStyle w:val="BodyText"/>
        <w:spacing w:before="0" w:after="0"/>
        <w:ind w:left="360"/>
      </w:pPr>
    </w:p>
    <w:p w14:paraId="629FA93A" w14:textId="77777777" w:rsidR="00E447D3" w:rsidRDefault="00E447D3" w:rsidP="00E447D3">
      <w:pPr>
        <w:rPr>
          <w:b/>
          <w:bCs/>
          <w:i/>
          <w:iCs/>
        </w:rPr>
      </w:pPr>
      <w:r>
        <w:rPr>
          <w:b/>
          <w:bCs/>
          <w:i/>
          <w:iCs/>
        </w:rPr>
        <w:t>Analytic decision:</w:t>
      </w:r>
    </w:p>
    <w:p w14:paraId="65DC93A9" w14:textId="5249522B" w:rsidR="00F71ADB" w:rsidRDefault="00F71ADB" w:rsidP="00F71ADB">
      <w:pPr>
        <w:pStyle w:val="ListParagraph"/>
        <w:numPr>
          <w:ilvl w:val="0"/>
          <w:numId w:val="14"/>
        </w:numPr>
      </w:pPr>
      <w:r>
        <w:t>We derive estimates on the effectiveness of viral suppression in reducing HIV transmission based on studies reporting the per-act probability of HIV transmission,</w:t>
      </w:r>
      <w:r>
        <w:fldChar w:fldCharType="begin" w:fldLock="1"/>
      </w:r>
      <w:r w:rsidR="007527CC">
        <w:instrText>ADDIN CSL_CITATION {"citationItems":[{"id":"ITEM-1","itemData":{"DOI":"10.1093/cid/ciu223","ISSN":"15376591","PMID":"24723286","abstract":"Background. Although essential for patient counseling and quality of life of human immunodeficiency virus (HIV)-infected individuals, the risk of HIV transmission during 1 unprotected sex act with an HIV-infected person under combination antiretroviral therapy (cART) remains unknown. Methods. We reviewed systematically the literature for studies on HIV transmission among heterosexual HIV-serodiscordant couples, where the infected partner was on cART, with regular virological monitoring, reporting on condom use and sexual activity. We used Bayesian statistics to combine data from selected studies, to investigate the per-act risk of HIV transmission through unprotected sex with an HIV-infected person on cART for &gt;6 months. Results. At most, 1 HIV transmission, over an estimated 113 480 sex acts, of which 17% were not condom protected, was reported within 1672 HIV-serodiscordant couples where the index partner had been treated for &gt;6 months. Data were insufficient to determine whether the reported transmission occurred before or after 6 months of cART. We estimated the upper-bound per-act risk of HIV transmission at either 8.7 or 13:100 000, depending on whether the transmission occurred before or after 6 months of cART. These estimates applied whether or not index partners were virally suppressed. Estimating an upper-bound risk &lt;1:100 000 would require observing no HIV transmission while collecting &gt;12 times the available amount of data. Conclusions. Available data do not support zero risk of HIV transmission under cART. The per-act risk of HIV transmission through unprotected sex with HIV-infected individuals on cART in comprehensive care for &gt;6 months (whether or not virally suppressed) is &lt;13:100 000. Estimating a 10-fold lower upper-bound risk may be unfeasible due to high condom use among HIV-serodiscordant couples in most research studies. © The Author 2014.","author":[{"dropping-particle":"","family":"Supervie","given":"Virginie","non-dropping-particle":"","parse-names":false,"suffix":""},{"dropping-particle":"","family":"Viard","given":"Jean Paul","non-dropping-particle":"","parse-names":false,"suffix":""},{"dropping-particle":"","family":"Costagliola","given":"Dominique","non-dropping-particle":"","parse-names":false,"suffix":""},{"dropping-particle":"","family":"Breban","given":"Romulus","non-dropping-particle":"","parse-names":false,"suffix":""}],"container-title":"Clinical Infectious Diseases","id":"ITEM-1","issued":{"date-parts":[["2014"]]},"title":"Heterosexual risk of HIV transmission per sexual act under combined antiretroviral therapy: Systematic review and bayesian modeling","type":"article-journal"},"uris":["http://www.mendeley.com/documents/?uuid=c31f4940-8e35-42ef-a69a-ab94076e3d1b"]}],"mendeley":{"formattedCitation":"&lt;sup&gt;45&lt;/sup&gt;","plainTextFormattedCitation":"45","previouslyFormattedCitation":"&lt;sup&gt;45&lt;/sup&gt;"},"properties":{"noteIndex":0},"schema":"https://github.com/citation-style-language/schema/raw/master/csl-citation.json"}</w:instrText>
      </w:r>
      <w:r>
        <w:fldChar w:fldCharType="separate"/>
      </w:r>
      <w:r w:rsidRPr="00F71ADB">
        <w:rPr>
          <w:noProof/>
          <w:vertAlign w:val="superscript"/>
        </w:rPr>
        <w:t>45</w:t>
      </w:r>
      <w:r>
        <w:fldChar w:fldCharType="end"/>
      </w:r>
      <w:r>
        <w:t xml:space="preserve"> as </w:t>
      </w:r>
      <w:r w:rsidR="00437D0E">
        <w:t>the following equation.</w:t>
      </w:r>
    </w:p>
    <w:p w14:paraId="61E223FF" w14:textId="77777777" w:rsidR="00437D0E" w:rsidRPr="00497512" w:rsidRDefault="00437D0E" w:rsidP="00497512">
      <w:pPr>
        <w:pStyle w:val="ListParagraph"/>
        <w:ind w:left="360"/>
      </w:pPr>
    </w:p>
    <w:p w14:paraId="5A19B08E" w14:textId="77777777" w:rsidR="00F71ADB" w:rsidRPr="00D80675" w:rsidRDefault="00F71ADB" w:rsidP="00497512">
      <w:pPr>
        <w:pStyle w:val="ListParagraph"/>
        <w:ind w:left="360"/>
        <w:jc w:val="center"/>
      </w:pPr>
      <m:oMath>
        <m:r>
          <m:rPr>
            <m:nor/>
          </m:rPr>
          <w:rPr>
            <w:rFonts w:ascii="Cambria Math" w:hAnsi="Cambria Math"/>
            <w:i/>
          </w:rPr>
          <m:t>effectiveness</m:t>
        </m:r>
        <m:r>
          <w:rPr>
            <w:rFonts w:ascii="Cambria Math" w:hAnsi="Cambria Math"/>
          </w:rPr>
          <m:t>=</m:t>
        </m:r>
        <m:f>
          <m:fPr>
            <m:ctrlPr>
              <w:rPr>
                <w:rFonts w:ascii="Cambria Math" w:hAnsi="Cambria Math"/>
                <w:i/>
              </w:rPr>
            </m:ctrlPr>
          </m:fPr>
          <m:num>
            <m:sSub>
              <m:sSubPr>
                <m:ctrlPr>
                  <w:rPr>
                    <w:rFonts w:ascii="Cambria Math" w:hAnsi="Cambria Math"/>
                    <w:i/>
                  </w:rPr>
                </m:ctrlPr>
              </m:sSubPr>
              <m:e>
                <m:r>
                  <m:rPr>
                    <m:nor/>
                  </m:rPr>
                  <w:rPr>
                    <w:rFonts w:ascii="Cambria Math" w:hAnsi="Cambria Math"/>
                    <w:i/>
                  </w:rPr>
                  <m:t>trans</m:t>
                </m:r>
              </m:e>
              <m:sub>
                <m:r>
                  <w:rPr>
                    <w:rFonts w:ascii="Cambria Math" w:hAnsi="Cambria Math"/>
                  </w:rPr>
                  <m:t>all</m:t>
                </m:r>
              </m:sub>
            </m:sSub>
            <m:r>
              <w:rPr>
                <w:rFonts w:ascii="Cambria Math" w:hAnsi="Cambria Math"/>
              </w:rPr>
              <m:t>-</m:t>
            </m:r>
            <m:sSub>
              <m:sSubPr>
                <m:ctrlPr>
                  <w:rPr>
                    <w:rFonts w:ascii="Cambria Math" w:hAnsi="Cambria Math"/>
                    <w:i/>
                  </w:rPr>
                </m:ctrlPr>
              </m:sSubPr>
              <m:e>
                <m:r>
                  <m:rPr>
                    <m:nor/>
                  </m:rPr>
                  <w:rPr>
                    <w:rFonts w:ascii="Cambria Math" w:hAnsi="Cambria Math"/>
                    <w:i/>
                  </w:rPr>
                  <m:t>trans</m:t>
                </m:r>
              </m:e>
              <m:sub>
                <m:r>
                  <w:rPr>
                    <w:rFonts w:ascii="Cambria Math" w:hAnsi="Cambria Math"/>
                  </w:rPr>
                  <m:t>vs</m:t>
                </m:r>
              </m:sub>
            </m:sSub>
          </m:num>
          <m:den>
            <m:sSub>
              <m:sSubPr>
                <m:ctrlPr>
                  <w:rPr>
                    <w:rFonts w:ascii="Cambria Math" w:hAnsi="Cambria Math"/>
                    <w:i/>
                  </w:rPr>
                </m:ctrlPr>
              </m:sSubPr>
              <m:e>
                <m:r>
                  <m:rPr>
                    <m:nor/>
                  </m:rPr>
                  <w:rPr>
                    <w:rFonts w:ascii="Cambria Math" w:hAnsi="Cambria Math"/>
                    <w:i/>
                  </w:rPr>
                  <m:t>trans</m:t>
                </m:r>
              </m:e>
              <m:sub>
                <m:r>
                  <w:rPr>
                    <w:rFonts w:ascii="Cambria Math" w:hAnsi="Cambria Math"/>
                  </w:rPr>
                  <m:t>all</m:t>
                </m:r>
              </m:sub>
            </m:sSub>
          </m:den>
        </m:f>
      </m:oMath>
      <w:r>
        <w:tab/>
        <w:t>(2)</w:t>
      </w:r>
    </w:p>
    <w:p w14:paraId="38927699" w14:textId="5F355B53" w:rsidR="00F71ADB" w:rsidRDefault="00F71ADB" w:rsidP="00497512">
      <w:pPr>
        <w:pStyle w:val="ListParagraph"/>
        <w:ind w:left="360"/>
      </w:pPr>
      <w:r>
        <w:t xml:space="preserve">Where </w:t>
      </w:r>
      <m:oMath>
        <m:sSub>
          <m:sSubPr>
            <m:ctrlPr>
              <w:rPr>
                <w:rFonts w:ascii="Cambria Math" w:hAnsi="Cambria Math"/>
                <w:i/>
              </w:rPr>
            </m:ctrlPr>
          </m:sSubPr>
          <m:e>
            <m:r>
              <m:rPr>
                <m:nor/>
              </m:rPr>
              <w:rPr>
                <w:rFonts w:ascii="Cambria Math" w:hAnsi="Cambria Math"/>
                <w:i/>
              </w:rPr>
              <m:t>trans</m:t>
            </m:r>
          </m:e>
          <m:sub>
            <m:r>
              <w:rPr>
                <w:rFonts w:ascii="Cambria Math" w:hAnsi="Cambria Math"/>
              </w:rPr>
              <m:t>all</m:t>
            </m:r>
          </m:sub>
        </m:sSub>
      </m:oMath>
      <w:r>
        <w:t xml:space="preserve"> denotes overall per-act transmission probability off ART and </w:t>
      </w:r>
      <m:oMath>
        <m:sSub>
          <m:sSubPr>
            <m:ctrlPr>
              <w:rPr>
                <w:rFonts w:ascii="Cambria Math" w:hAnsi="Cambria Math"/>
                <w:i/>
              </w:rPr>
            </m:ctrlPr>
          </m:sSubPr>
          <m:e>
            <m:r>
              <m:rPr>
                <m:nor/>
              </m:rPr>
              <w:rPr>
                <w:rFonts w:ascii="Cambria Math" w:hAnsi="Cambria Math"/>
                <w:i/>
              </w:rPr>
              <m:t>trans</m:t>
            </m:r>
          </m:e>
          <m:sub>
            <m:r>
              <w:rPr>
                <w:rFonts w:ascii="Cambria Math" w:hAnsi="Cambria Math"/>
              </w:rPr>
              <m:t>vs</m:t>
            </m:r>
          </m:sub>
        </m:sSub>
      </m:oMath>
      <w:r>
        <w:t xml:space="preserve"> denotes per-act transmission probability when virally suppressed. </w:t>
      </w:r>
    </w:p>
    <w:p w14:paraId="1CFD7B50" w14:textId="77777777" w:rsidR="00497512" w:rsidRDefault="00497512" w:rsidP="00497512">
      <w:pPr>
        <w:pStyle w:val="ListParagraph"/>
        <w:ind w:left="360"/>
      </w:pPr>
    </w:p>
    <w:p w14:paraId="16461E74" w14:textId="77777777" w:rsidR="00F71ADB" w:rsidRPr="008F2B5B" w:rsidRDefault="00E447D3" w:rsidP="00F71ADB">
      <w:pPr>
        <w:pStyle w:val="ListParagraph"/>
        <w:numPr>
          <w:ilvl w:val="0"/>
          <w:numId w:val="14"/>
        </w:numPr>
      </w:pPr>
      <w:r>
        <w:t>The effectiveness of viral suppression is 96.6% with the confidence interval of (92.8%, 99.4%)</w:t>
      </w:r>
      <w:r w:rsidRPr="0060621F">
        <w:t xml:space="preserve">.  </w:t>
      </w:r>
      <w:r w:rsidR="00F71ADB">
        <w:t xml:space="preserve">The upper bound and lower bound are calculated using the upper bound and lower bound of the probability of HIV transmission. </w:t>
      </w:r>
    </w:p>
    <w:p w14:paraId="222C0C29" w14:textId="1B0AF4CD" w:rsidR="00E447D3" w:rsidRPr="0060621F" w:rsidRDefault="00E447D3" w:rsidP="00497512">
      <w:pPr>
        <w:pStyle w:val="BodyText"/>
        <w:spacing w:before="0" w:after="0"/>
        <w:ind w:left="360"/>
      </w:pPr>
    </w:p>
    <w:p w14:paraId="0EDB3E90" w14:textId="77777777" w:rsidR="00E447D3" w:rsidRPr="00FE0893" w:rsidRDefault="00E447D3" w:rsidP="00E447D3">
      <w:pPr>
        <w:rPr>
          <w:b/>
        </w:rPr>
      </w:pPr>
    </w:p>
    <w:p w14:paraId="0BFBE099" w14:textId="77777777" w:rsidR="00E447D3" w:rsidRDefault="00E447D3" w:rsidP="00E447D3">
      <w:pPr>
        <w:jc w:val="both"/>
        <w:rPr>
          <w:b/>
          <w:i/>
        </w:rPr>
        <w:sectPr w:rsidR="00E447D3" w:rsidSect="00A129FF">
          <w:pgSz w:w="12240" w:h="15840"/>
          <w:pgMar w:top="1440" w:right="1440" w:bottom="1440" w:left="1440" w:header="720" w:footer="720" w:gutter="0"/>
          <w:cols w:space="720"/>
          <w:docGrid w:linePitch="326"/>
        </w:sectPr>
      </w:pPr>
    </w:p>
    <w:p w14:paraId="58E40F98" w14:textId="77777777" w:rsidR="00E447D3" w:rsidRPr="00EF17A0" w:rsidRDefault="00E447D3" w:rsidP="00E447D3">
      <w:pPr>
        <w:pStyle w:val="Heading2"/>
        <w:spacing w:before="0"/>
        <w:rPr>
          <w:rFonts w:cs="Times New Roman"/>
          <w:szCs w:val="24"/>
        </w:rPr>
      </w:pPr>
      <w:bookmarkStart w:id="82" w:name="_Toc82592650"/>
      <w:commentRangeStart w:id="83"/>
      <w:r w:rsidRPr="00EF17A0">
        <w:rPr>
          <w:rFonts w:cs="Times New Roman"/>
          <w:szCs w:val="24"/>
        </w:rPr>
        <w:lastRenderedPageBreak/>
        <w:t>Number</w:t>
      </w:r>
      <w:commentRangeEnd w:id="83"/>
      <w:r w:rsidR="008B3BC7">
        <w:rPr>
          <w:rStyle w:val="CommentReference"/>
          <w:rFonts w:eastAsia="Times New Roman" w:cs="Times New Roman"/>
          <w:b w:val="0"/>
          <w:bCs w:val="0"/>
          <w:color w:val="auto"/>
          <w:lang w:eastAsia="zh-CN"/>
        </w:rPr>
        <w:commentReference w:id="83"/>
      </w:r>
      <w:r w:rsidRPr="00EF17A0">
        <w:rPr>
          <w:rFonts w:cs="Times New Roman"/>
          <w:szCs w:val="24"/>
        </w:rPr>
        <w:t xml:space="preserve"> of sexual acts</w:t>
      </w:r>
      <w:bookmarkEnd w:id="82"/>
    </w:p>
    <w:p w14:paraId="40371508" w14:textId="77777777" w:rsidR="00E447D3" w:rsidRDefault="00E447D3" w:rsidP="00E447D3">
      <w:r>
        <w:rPr>
          <w:rFonts w:hint="eastAsia"/>
        </w:rPr>
        <w:t xml:space="preserve">The number of sex acts in the force of infection equation </w:t>
      </w:r>
      <w:r>
        <w:t>represents</w:t>
      </w:r>
      <w:r>
        <w:rPr>
          <w:rFonts w:hint="eastAsia"/>
        </w:rPr>
        <w:t xml:space="preserve"> the number of vaginal </w:t>
      </w:r>
      <w:proofErr w:type="gramStart"/>
      <w:r>
        <w:rPr>
          <w:rFonts w:hint="eastAsia"/>
        </w:rPr>
        <w:t>sex</w:t>
      </w:r>
      <w:proofErr w:type="gramEnd"/>
      <w:r>
        <w:rPr>
          <w:rFonts w:hint="eastAsia"/>
        </w:rPr>
        <w:t xml:space="preserve"> in the past 30 days for both men and women regardless of their partner</w:t>
      </w:r>
      <w:r>
        <w:t>’</w:t>
      </w:r>
      <w:r>
        <w:rPr>
          <w:rFonts w:hint="eastAsia"/>
        </w:rPr>
        <w:t xml:space="preserve">s HIV status. </w:t>
      </w:r>
    </w:p>
    <w:p w14:paraId="1C2EB371" w14:textId="77777777" w:rsidR="00E447D3" w:rsidRDefault="00E447D3" w:rsidP="00E447D3"/>
    <w:p w14:paraId="46A6C03B" w14:textId="6926FD73" w:rsidR="00E447D3" w:rsidRDefault="00E447D3" w:rsidP="00E447D3">
      <w:pPr>
        <w:rPr>
          <w:b/>
          <w:i/>
        </w:rPr>
      </w:pPr>
      <w:r>
        <w:rPr>
          <w:rFonts w:hint="eastAsia"/>
          <w:b/>
          <w:i/>
        </w:rPr>
        <w:t>Data source</w:t>
      </w:r>
      <w:r w:rsidR="00CE3F12">
        <w:rPr>
          <w:b/>
          <w:i/>
        </w:rPr>
        <w:t>(s)</w:t>
      </w:r>
      <w:r>
        <w:rPr>
          <w:rFonts w:hint="eastAsia"/>
          <w:b/>
          <w:i/>
        </w:rPr>
        <w:t>:</w:t>
      </w:r>
    </w:p>
    <w:p w14:paraId="06296A88" w14:textId="4CF46254" w:rsidR="00E447D3" w:rsidRPr="009E08B5" w:rsidRDefault="00E447D3" w:rsidP="002E50FA">
      <w:pPr>
        <w:pStyle w:val="BodyText"/>
        <w:widowControl w:val="0"/>
        <w:numPr>
          <w:ilvl w:val="0"/>
          <w:numId w:val="15"/>
        </w:numPr>
        <w:spacing w:before="0" w:after="0"/>
        <w:jc w:val="both"/>
        <w:rPr>
          <w:b/>
          <w:i/>
          <w:lang w:eastAsia="zh-TW"/>
        </w:rPr>
      </w:pPr>
      <w:r>
        <w:rPr>
          <w:rFonts w:hint="eastAsia"/>
        </w:rPr>
        <w:t xml:space="preserve">A study published in 2011 that examined risk behaviors among female sex workers (FSWs) and female who received voluntary HIV </w:t>
      </w:r>
      <w:r>
        <w:t>counseling</w:t>
      </w:r>
      <w:r>
        <w:rPr>
          <w:rFonts w:hint="eastAsia"/>
        </w:rPr>
        <w:t xml:space="preserve"> and testing in</w:t>
      </w:r>
      <w:r>
        <w:t xml:space="preserve"> Rwanda </w:t>
      </w:r>
      <w:r>
        <w:rPr>
          <w:rFonts w:hint="eastAsia"/>
        </w:rPr>
        <w:t xml:space="preserve">found that the median numbers of vaginal sex acts </w:t>
      </w:r>
      <w:r>
        <w:t xml:space="preserve">per month </w:t>
      </w:r>
      <w:r>
        <w:rPr>
          <w:rFonts w:hint="eastAsia"/>
        </w:rPr>
        <w:t>are 40 and 1 for FSWs and female clients, respectively.</w:t>
      </w:r>
      <w:r>
        <w:fldChar w:fldCharType="begin" w:fldLock="1"/>
      </w:r>
      <w:r w:rsidR="007527CC">
        <w:instrText>ADDIN CSL_CITATION {"citationItems":[{"id":"ITEM-1","itemData":{"DOI":"10.1371/journal.pone.0024321","ISSN":"19326203","PMID":"21949704","abstract":"Objectives: To estimate HIV prevalence and risk factors in population-based samples of female sex workers (FSW) and female voluntary counseling and testing (VCT) clients in Rwanda. Methods: We conducted a cross-sectional survey of 800 FSW and 1,250 female VCT clients in Rwanda, which included interviewing and testing for HIV-1/2, HSV-2 and pregnancy, and BED-CEIA and Avidity Index (AI) to identify recent infections among HIV-infected women. Results: Prevalence of HIV-1, HSV-2, and pregnancy were 24% (95% CI: 21.0-27.0), 59.8% (56.4-63.2), and 7.6% (5.8-9.5) among FSW, and 12.8% (10.9-14.6), 43.2% (40.4-46.0), and 11.4% (9.7-13.3) among VCT clients, respectively. Thirty-five percent of FSW and 25% of VCT clients had never been HIV tested. Per national guidelines, 33% of newly HIV-diagnosed FSW and 36% of VCT clients were already eligible for ART based on CD4&lt;350 cells/μl. Condom use at last sex was higher among FSW (74%) than VCT clients (12%). In age and district of residence-adjusted models, HIV-1 seropositivity was associated with HSV-2 co-infection; recent treatment for sexually transmitted infection (STI); genital symptoms; forced sex; imprisonment; widowhood; and alcohol consumption. Eleven percent of FSW and 12% of VCT clients had recently acquired HIV-1 per BED-CEIA and AI. HSV-2 infection and recent STI treatment were associated with recent HIV infection in both groups, and being married and vaginal cleansing were associated with recent infection before last sex among VCT clients. Conclusions: This population-based survey reveals a high HIV prevalence and incidence among FSW and female VCT clients in Kigali, the scale of which is masked by the low general-population HIV prevalence in Rwanda. HIV/STI and family planning services should be strengthened. © 2011 Braunstein et al.","author":[{"dropping-particle":"","family":"Braunstein","given":"Sarah L.","non-dropping-particle":"","parse-names":false,"suffix":""},{"dropping-particle":"","family":"Ingabire","given":"Chantal M.","non-dropping-particle":"","parse-names":false,"suffix":""},{"dropping-particle":"","family":"Geubbels","given":"Eveline","non-dropping-particle":"","parse-names":false,"suffix":""},{"dropping-particle":"","family":"Vyankandondera","given":"Joseph","non-dropping-particle":"","parse-names":false,"suffix":""},{"dropping-particle":"","family":"Umulisa","given":"Marie Michèle","non-dropping-particle":"","parse-names":false,"suffix":""},{"dropping-particle":"","family":"Gahiro","given":"Elysée","non-dropping-particle":"","parse-names":false,"suffix":""},{"dropping-particle":"","family":"Uwineza","given":"Mireille","non-dropping-particle":"","parse-names":false,"suffix":""},{"dropping-particle":"","family":"Tuijn","given":"Coosje J.","non-dropping-particle":"","parse-names":false,"suffix":""},{"dropping-particle":"","family":"Nash","given":"Denis","non-dropping-particle":"","parse-names":false,"suffix":""},{"dropping-particle":"","family":"Wijgert","given":"Janneke H.H.M.","non-dropping-particle":"van de","parse-names":false,"suffix":""}],"container-title":"PLoS ONE","id":"ITEM-1","issued":{"date-parts":[["2011"]]},"title":"High burden of prevalent and recently acquired HIV among female sex workers and female HIV voluntary testing center clients in Kigali, Rwanda","type":"article-journal"},"uris":["http://www.mendeley.com/documents/?uuid=6fcf3472-e335-46a6-a22b-145afc88d4c4"]}],"mendeley":{"formattedCitation":"&lt;sup&gt;46&lt;/sup&gt;","plainTextFormattedCitation":"46","previouslyFormattedCitation":"&lt;sup&gt;46&lt;/sup&gt;"},"properties":{"noteIndex":0},"schema":"https://github.com/citation-style-language/schema/raw/master/csl-citation.json"}</w:instrText>
      </w:r>
      <w:r>
        <w:fldChar w:fldCharType="separate"/>
      </w:r>
      <w:r w:rsidR="00036C3E" w:rsidRPr="00036C3E">
        <w:rPr>
          <w:noProof/>
          <w:vertAlign w:val="superscript"/>
          <w:lang w:eastAsia="zh-TW"/>
        </w:rPr>
        <w:t>46</w:t>
      </w:r>
      <w:r>
        <w:fldChar w:fldCharType="end"/>
      </w:r>
      <w:r>
        <w:rPr>
          <w:rFonts w:hint="eastAsia"/>
          <w:lang w:eastAsia="zh-TW"/>
        </w:rPr>
        <w:t xml:space="preserve"> </w:t>
      </w:r>
    </w:p>
    <w:p w14:paraId="7DE8A7BD" w14:textId="77777777" w:rsidR="00E447D3" w:rsidRPr="009E08B5" w:rsidRDefault="00E447D3" w:rsidP="00E447D3">
      <w:pPr>
        <w:pStyle w:val="BodyText"/>
        <w:spacing w:before="0" w:after="0"/>
        <w:ind w:left="420"/>
        <w:rPr>
          <w:b/>
          <w:i/>
          <w:lang w:eastAsia="zh-TW"/>
        </w:rPr>
      </w:pPr>
    </w:p>
    <w:p w14:paraId="6177F0AC" w14:textId="77777777" w:rsidR="00E447D3" w:rsidRPr="009E08B5" w:rsidRDefault="00E447D3" w:rsidP="00E447D3">
      <w:pPr>
        <w:rPr>
          <w:b/>
          <w:i/>
          <w:lang w:eastAsia="zh-TW"/>
        </w:rPr>
      </w:pPr>
      <w:r w:rsidRPr="009E08B5">
        <w:rPr>
          <w:rFonts w:hint="eastAsia"/>
          <w:b/>
          <w:i/>
          <w:lang w:eastAsia="zh-TW"/>
        </w:rPr>
        <w:t>Assumptions:</w:t>
      </w:r>
    </w:p>
    <w:p w14:paraId="5158EFCB" w14:textId="77777777" w:rsidR="00E447D3" w:rsidRDefault="00E447D3" w:rsidP="002E50FA">
      <w:pPr>
        <w:pStyle w:val="BodyText"/>
        <w:widowControl w:val="0"/>
        <w:numPr>
          <w:ilvl w:val="0"/>
          <w:numId w:val="15"/>
        </w:numPr>
        <w:spacing w:before="0" w:after="0"/>
        <w:jc w:val="both"/>
      </w:pPr>
      <w:r w:rsidRPr="00ED7058">
        <w:rPr>
          <w:rFonts w:hint="eastAsia"/>
          <w:lang w:eastAsia="zh-TW"/>
        </w:rPr>
        <w:t xml:space="preserve">Due to the lack of data, we assume that the number of sex acts per months </w:t>
      </w:r>
      <w:r w:rsidRPr="00ED7058">
        <w:rPr>
          <w:rFonts w:hint="eastAsia"/>
        </w:rPr>
        <w:t xml:space="preserve">for low-risk women </w:t>
      </w:r>
      <w:r>
        <w:rPr>
          <w:rFonts w:hint="eastAsia"/>
        </w:rPr>
        <w:t xml:space="preserve">and men are the same as female who received voluntary HIV counseling and testing regardless of age and </w:t>
      </w:r>
      <w:r>
        <w:t>urbani</w:t>
      </w:r>
      <w:r>
        <w:rPr>
          <w:rFonts w:hint="eastAsia"/>
        </w:rPr>
        <w:t>ci</w:t>
      </w:r>
      <w:r>
        <w:t>ty</w:t>
      </w:r>
      <w:r>
        <w:rPr>
          <w:rFonts w:hint="eastAsia"/>
        </w:rPr>
        <w:t>.</w:t>
      </w:r>
    </w:p>
    <w:p w14:paraId="5BF41B82" w14:textId="0E71DA0A" w:rsidR="00E447D3" w:rsidRPr="00654C19" w:rsidRDefault="00E447D3" w:rsidP="002E50FA">
      <w:pPr>
        <w:pStyle w:val="BodyText"/>
        <w:widowControl w:val="0"/>
        <w:numPr>
          <w:ilvl w:val="0"/>
          <w:numId w:val="15"/>
        </w:numPr>
        <w:spacing w:before="0" w:after="0"/>
        <w:jc w:val="both"/>
      </w:pPr>
      <w:r w:rsidRPr="00654C19">
        <w:rPr>
          <w:rFonts w:hint="eastAsia"/>
        </w:rPr>
        <w:t xml:space="preserve">We assume that no anal sex </w:t>
      </w:r>
      <w:r w:rsidRPr="00654C19">
        <w:t>occurs</w:t>
      </w:r>
      <w:r w:rsidRPr="00654C19">
        <w:rPr>
          <w:rFonts w:hint="eastAsia"/>
        </w:rPr>
        <w:t xml:space="preserve"> during heterosexual behavior since study suggested that only a small proportion of FSWs had anal sex in the past months.</w:t>
      </w:r>
      <w:r>
        <w:fldChar w:fldCharType="begin" w:fldLock="1"/>
      </w:r>
      <w:r w:rsidR="007527CC">
        <w:instrText>ADDIN CSL_CITATION {"citationItems":[{"id":"ITEM-1","itemData":{"DOI":"10.1097/QAI.0b013e3182170fd3","ISSN":"15254135","PMID":"21407083","abstract":"OBJECTIVE:: To evaluate linkage-to-care, sexual behavior change, and psychosocial experiences among newly HIV-diagnosed female sex workers (FSWs) in Rwanda. Methods: FSWs (n = 800) with unknown serostatus were screened for HIV during 2007/2008. Women testing HIV positive (n = 192) were referred to care and asked to return for interviews and laboratory testing 12-36 months postdiagnosis. One hundred fourty-one women (73%) returned for the postdiagnosis visit. Results: Median CD4 count at diagnosis was 460 cells per microliter [interquartile range (IQR): 308-628], with 32% eligible for antiretroviral therapy (ART) per national CD4 criteria (median CD4: 235, IQR: 152-303). Postdiagnosis, 92% of women reported having disclosed their HIV status to a friend or relative, 85% reported having enrolled in HIV care (median 30 days after diagnosis, IQR: 7-360), including 89% among ART-eligible women. Among ART-eligible women in care, 87% had initiated ART, with a median follow-up CD4 count of 354 cells per microliter (IQR: 213-456). Women who did not initiate ART experienced a 6-month CD4 count change of -14 cells per microliter (IQR: -41 to 13). Three-quarters of women reported reduced sexual risk behavior postdiagnosis, with only 64% continuing to identify as FSWs. However, 53% reported past month condom use only \"sometimes.\" Conclusions: Timely linkage to care and ART uptake were high in this group of Rwandan FSWs. However, risky sexual behaviors remained common after enrollment in care. HIV-positive FSWs are an important and receptive group for targeted efforts to increase HIV diagnosis and linkage to care/treatment. Once in care, intensified and sustained HIV prevention education is necessary. © 2011 by Lippincott Williams &amp; Wilkins.","author":[{"dropping-particle":"","family":"Braunstein","given":"Sarah L.","non-dropping-particle":"","parse-names":false,"suffix":""},{"dropping-particle":"","family":"Umulisa","given":"Marie Michèle","non-dropping-particle":"","parse-names":false,"suffix":""},{"dropping-particle":"","family":"Veldhuijzen","given":"Nienke J.","non-dropping-particle":"","parse-names":false,"suffix":""},{"dropping-particle":"","family":"Kestelyn","given":"Evelyne","non-dropping-particle":"","parse-names":false,"suffix":""},{"dropping-particle":"","family":"Ingabire","given":"Chantal M.","non-dropping-particle":"","parse-names":false,"suffix":""},{"dropping-particle":"","family":"Nyinawabega","given":"Jeanine","non-dropping-particle":"","parse-names":false,"suffix":""},{"dropping-particle":"","family":"Wijgert","given":"Janneke H.H.M.","non-dropping-particle":"Van De","parse-names":false,"suffix":""},{"dropping-particle":"","family":"Nash","given":"Denis","non-dropping-particle":"","parse-names":false,"suffix":""}],"container-title":"Journal of Acquired Immune Deficiency Syndromes","id":"ITEM-1","issue":"4","issued":{"date-parts":[["2011"]]},"page":"70-76","title":"HIV diagnosis, linkage to HIV Care, and HIV risk behaviors among newly diagnosed HIV-positive female sex workers in Kigali, Rwanda","type":"article-journal","volume":"57"},"uris":["http://www.mendeley.com/documents/?uuid=a2b147fc-1dd8-4cbd-8415-a41506e75d0f"]}],"mendeley":{"formattedCitation":"&lt;sup&gt;47&lt;/sup&gt;","plainTextFormattedCitation":"47","previouslyFormattedCitation":"&lt;sup&gt;47&lt;/sup&gt;"},"properties":{"noteIndex":0},"schema":"https://github.com/citation-style-language/schema/raw/master/csl-citation.json"}</w:instrText>
      </w:r>
      <w:r>
        <w:fldChar w:fldCharType="separate"/>
      </w:r>
      <w:r w:rsidR="00036C3E" w:rsidRPr="00036C3E">
        <w:rPr>
          <w:noProof/>
          <w:vertAlign w:val="superscript"/>
        </w:rPr>
        <w:t>47</w:t>
      </w:r>
      <w:r>
        <w:fldChar w:fldCharType="end"/>
      </w:r>
      <w:r w:rsidRPr="00654C19">
        <w:rPr>
          <w:rFonts w:hint="eastAsia"/>
        </w:rPr>
        <w:t xml:space="preserve"> </w:t>
      </w:r>
    </w:p>
    <w:p w14:paraId="3ED01F1F" w14:textId="77777777" w:rsidR="00E447D3" w:rsidRPr="00B05023" w:rsidRDefault="00E447D3" w:rsidP="00E447D3">
      <w:pPr>
        <w:pStyle w:val="BodyText"/>
        <w:spacing w:before="0" w:after="0"/>
        <w:ind w:left="420"/>
      </w:pPr>
    </w:p>
    <w:p w14:paraId="5146BA62" w14:textId="77777777" w:rsidR="00E447D3" w:rsidRDefault="00E447D3" w:rsidP="00E447D3">
      <w:pPr>
        <w:rPr>
          <w:b/>
          <w:i/>
        </w:rPr>
      </w:pPr>
      <w:r>
        <w:rPr>
          <w:rFonts w:hint="eastAsia"/>
          <w:b/>
          <w:i/>
        </w:rPr>
        <w:t>Analytic decision:</w:t>
      </w:r>
    </w:p>
    <w:p w14:paraId="21691E71" w14:textId="77777777" w:rsidR="00E447D3" w:rsidRDefault="00E447D3" w:rsidP="002E50FA">
      <w:pPr>
        <w:pStyle w:val="BodyText"/>
        <w:widowControl w:val="0"/>
        <w:numPr>
          <w:ilvl w:val="0"/>
          <w:numId w:val="15"/>
        </w:numPr>
        <w:spacing w:before="0" w:after="0"/>
        <w:jc w:val="both"/>
      </w:pPr>
      <w:r>
        <w:rPr>
          <w:rFonts w:hint="eastAsia"/>
        </w:rPr>
        <w:t>For low-risk men and women, the number of sex acts is 1 and the confidence interval is (0, 8).</w:t>
      </w:r>
    </w:p>
    <w:p w14:paraId="049BC932" w14:textId="7922BBE5" w:rsidR="00E447D3" w:rsidRPr="00830781" w:rsidRDefault="00E447D3" w:rsidP="002E50FA">
      <w:pPr>
        <w:pStyle w:val="BodyText"/>
        <w:widowControl w:val="0"/>
        <w:numPr>
          <w:ilvl w:val="0"/>
          <w:numId w:val="15"/>
        </w:numPr>
        <w:spacing w:before="0" w:after="0"/>
        <w:jc w:val="both"/>
        <w:sectPr w:rsidR="00E447D3" w:rsidRPr="00830781">
          <w:headerReference w:type="even" r:id="rId33"/>
          <w:headerReference w:type="default" r:id="rId34"/>
          <w:headerReference w:type="first" r:id="rId35"/>
          <w:pgSz w:w="12240" w:h="15840"/>
          <w:pgMar w:top="1440" w:right="1440" w:bottom="1440" w:left="1440" w:header="720" w:footer="720" w:gutter="0"/>
          <w:cols w:space="720"/>
        </w:sectPr>
      </w:pPr>
      <w:r>
        <w:rPr>
          <w:rFonts w:hint="eastAsia"/>
        </w:rPr>
        <w:t>For high-risk women, the number of sex acts is 40 and the confidence interval is (20, 64)</w:t>
      </w:r>
    </w:p>
    <w:p w14:paraId="636A3830" w14:textId="6320975B" w:rsidR="008C4226" w:rsidRPr="00615E45" w:rsidRDefault="008C4226" w:rsidP="00FA7C7E">
      <w:pPr>
        <w:pStyle w:val="Heading1"/>
        <w:spacing w:before="0"/>
        <w:ind w:left="540" w:hanging="540"/>
        <w:rPr>
          <w:rFonts w:cs="Times New Roman"/>
          <w:szCs w:val="24"/>
        </w:rPr>
      </w:pPr>
      <w:bookmarkStart w:id="84" w:name="_Toc82592651"/>
      <w:commentRangeStart w:id="85"/>
      <w:commentRangeStart w:id="86"/>
      <w:commentRangeStart w:id="87"/>
      <w:r w:rsidRPr="00615E45">
        <w:rPr>
          <w:rFonts w:cs="Times New Roman"/>
          <w:szCs w:val="24"/>
        </w:rPr>
        <w:lastRenderedPageBreak/>
        <w:t>Parameter</w:t>
      </w:r>
      <w:commentRangeEnd w:id="85"/>
      <w:r w:rsidR="00D92288" w:rsidRPr="00615E45">
        <w:rPr>
          <w:rFonts w:cs="Times New Roman"/>
          <w:szCs w:val="24"/>
        </w:rPr>
        <w:commentReference w:id="85"/>
      </w:r>
      <w:commentRangeEnd w:id="86"/>
      <w:r w:rsidR="00CE3F12">
        <w:rPr>
          <w:rStyle w:val="CommentReference"/>
          <w:rFonts w:eastAsia="Times New Roman" w:cs="Times New Roman"/>
          <w:b w:val="0"/>
          <w:bCs w:val="0"/>
          <w:color w:val="auto"/>
          <w:lang w:eastAsia="zh-CN"/>
        </w:rPr>
        <w:commentReference w:id="86"/>
      </w:r>
      <w:commentRangeEnd w:id="87"/>
      <w:r w:rsidR="00497512">
        <w:rPr>
          <w:rStyle w:val="CommentReference"/>
          <w:rFonts w:eastAsia="Times New Roman" w:cs="Times New Roman"/>
          <w:b w:val="0"/>
          <w:bCs w:val="0"/>
          <w:color w:val="auto"/>
          <w:lang w:eastAsia="zh-CN"/>
        </w:rPr>
        <w:commentReference w:id="87"/>
      </w:r>
      <w:r w:rsidRPr="00615E45">
        <w:rPr>
          <w:rFonts w:cs="Times New Roman"/>
          <w:szCs w:val="24"/>
        </w:rPr>
        <w:t xml:space="preserve"> inputs</w:t>
      </w:r>
      <w:bookmarkEnd w:id="84"/>
    </w:p>
    <w:p w14:paraId="6EA210D5" w14:textId="12229F6C" w:rsidR="004D63E7" w:rsidRDefault="004D63E7">
      <w:pPr>
        <w:jc w:val="both"/>
        <w:rPr>
          <w:bCs/>
        </w:rPr>
      </w:pPr>
      <w:r w:rsidRPr="004D63E7">
        <w:rPr>
          <w:bCs/>
        </w:rPr>
        <w:t>In this section, we describe the process used and analytic decisions made to parameterize the model. The data sources are summarized in</w:t>
      </w:r>
      <w:r w:rsidR="00497512">
        <w:rPr>
          <w:bCs/>
        </w:rPr>
        <w:t xml:space="preserve"> </w:t>
      </w:r>
      <w:r w:rsidR="00497512" w:rsidRPr="00497512">
        <w:rPr>
          <w:b/>
        </w:rPr>
        <w:t xml:space="preserve">Section </w:t>
      </w:r>
      <w:r w:rsidR="00497512" w:rsidRPr="00497512">
        <w:rPr>
          <w:b/>
        </w:rPr>
        <w:fldChar w:fldCharType="begin"/>
      </w:r>
      <w:r w:rsidR="00497512" w:rsidRPr="00497512">
        <w:rPr>
          <w:b/>
        </w:rPr>
        <w:instrText xml:space="preserve"> REF _Ref82420007 \r \h </w:instrText>
      </w:r>
      <w:r w:rsidR="00497512">
        <w:rPr>
          <w:b/>
        </w:rPr>
        <w:instrText xml:space="preserve"> \* MERGEFORMAT </w:instrText>
      </w:r>
      <w:r w:rsidR="00497512" w:rsidRPr="00497512">
        <w:rPr>
          <w:b/>
        </w:rPr>
      </w:r>
      <w:r w:rsidR="00497512" w:rsidRPr="00497512">
        <w:rPr>
          <w:b/>
        </w:rPr>
        <w:fldChar w:fldCharType="separate"/>
      </w:r>
      <w:r w:rsidR="001E49BE">
        <w:rPr>
          <w:b/>
        </w:rPr>
        <w:t>11.1</w:t>
      </w:r>
      <w:r w:rsidR="00497512" w:rsidRPr="00497512">
        <w:rPr>
          <w:b/>
        </w:rPr>
        <w:fldChar w:fldCharType="end"/>
      </w:r>
      <w:r w:rsidRPr="004D63E7">
        <w:rPr>
          <w:b/>
        </w:rPr>
        <w:t xml:space="preserve">. </w:t>
      </w:r>
      <w:r w:rsidRPr="004D63E7">
        <w:rPr>
          <w:bCs/>
        </w:rPr>
        <w:t xml:space="preserve"> </w:t>
      </w:r>
    </w:p>
    <w:p w14:paraId="39ABB2E4" w14:textId="77777777" w:rsidR="004D63E7" w:rsidRPr="004D63E7" w:rsidRDefault="004D63E7">
      <w:pPr>
        <w:jc w:val="both"/>
        <w:rPr>
          <w:bCs/>
        </w:rPr>
      </w:pPr>
    </w:p>
    <w:p w14:paraId="2667F115" w14:textId="7C2D0818" w:rsidR="004D63E7" w:rsidRDefault="004D63E7">
      <w:pPr>
        <w:pStyle w:val="Heading2"/>
        <w:spacing w:before="0"/>
        <w:rPr>
          <w:rFonts w:cs="Times New Roman"/>
          <w:szCs w:val="24"/>
        </w:rPr>
      </w:pPr>
      <w:bookmarkStart w:id="88" w:name="_Ref82431832"/>
      <w:bookmarkStart w:id="89" w:name="_Toc82592652"/>
      <w:commentRangeStart w:id="90"/>
      <w:commentRangeStart w:id="91"/>
      <w:r w:rsidRPr="00615E45">
        <w:rPr>
          <w:rFonts w:cs="Times New Roman"/>
          <w:szCs w:val="24"/>
        </w:rPr>
        <w:t>Initial</w:t>
      </w:r>
      <w:commentRangeEnd w:id="90"/>
      <w:r w:rsidR="006839EF">
        <w:rPr>
          <w:rStyle w:val="CommentReference"/>
          <w:rFonts w:eastAsia="Times New Roman" w:cs="Times New Roman"/>
          <w:b w:val="0"/>
          <w:bCs w:val="0"/>
          <w:color w:val="auto"/>
          <w:lang w:eastAsia="zh-CN"/>
        </w:rPr>
        <w:commentReference w:id="90"/>
      </w:r>
      <w:commentRangeEnd w:id="91"/>
      <w:r w:rsidR="002A1882">
        <w:rPr>
          <w:rStyle w:val="CommentReference"/>
          <w:rFonts w:eastAsia="Times New Roman" w:cs="Times New Roman"/>
          <w:b w:val="0"/>
          <w:bCs w:val="0"/>
          <w:color w:val="auto"/>
          <w:lang w:eastAsia="zh-CN"/>
        </w:rPr>
        <w:commentReference w:id="91"/>
      </w:r>
      <w:r w:rsidRPr="00615E45">
        <w:rPr>
          <w:rFonts w:cs="Times New Roman"/>
          <w:szCs w:val="24"/>
        </w:rPr>
        <w:t xml:space="preserve"> population</w:t>
      </w:r>
      <w:bookmarkEnd w:id="88"/>
      <w:bookmarkEnd w:id="89"/>
    </w:p>
    <w:p w14:paraId="034BD4DD" w14:textId="5F4E5F5E" w:rsidR="00036C3E" w:rsidRPr="007F72CA" w:rsidRDefault="00036C3E" w:rsidP="00036C3E">
      <w:pPr>
        <w:pStyle w:val="BodyText"/>
      </w:pPr>
      <w:r>
        <w:t xml:space="preserve">To instantiate the model, we use the data from multiple sources to estimate the population size for each sub-population across compartments. We first describe all data source used to estimate the </w:t>
      </w:r>
      <w:r>
        <w:rPr>
          <w:lang w:eastAsia="zh-CN"/>
        </w:rPr>
        <w:t xml:space="preserve">population size. In section </w:t>
      </w:r>
      <w:r w:rsidR="00497512">
        <w:rPr>
          <w:lang w:eastAsia="zh-CN"/>
        </w:rPr>
        <w:fldChar w:fldCharType="begin"/>
      </w:r>
      <w:r w:rsidR="00497512">
        <w:rPr>
          <w:lang w:eastAsia="zh-CN"/>
        </w:rPr>
        <w:instrText xml:space="preserve"> REF _Ref82420055 \r \h </w:instrText>
      </w:r>
      <w:r w:rsidR="00497512">
        <w:rPr>
          <w:lang w:eastAsia="zh-CN"/>
        </w:rPr>
      </w:r>
      <w:r w:rsidR="00497512">
        <w:rPr>
          <w:lang w:eastAsia="zh-CN"/>
        </w:rPr>
        <w:fldChar w:fldCharType="separate"/>
      </w:r>
      <w:r w:rsidR="001E49BE">
        <w:rPr>
          <w:lang w:eastAsia="zh-CN"/>
        </w:rPr>
        <w:t>7.1.1</w:t>
      </w:r>
      <w:r w:rsidR="00497512">
        <w:rPr>
          <w:lang w:eastAsia="zh-CN"/>
        </w:rPr>
        <w:fldChar w:fldCharType="end"/>
      </w:r>
      <w:r>
        <w:rPr>
          <w:lang w:eastAsia="zh-CN"/>
        </w:rPr>
        <w:t>, we estimate the size of each sub-population that stratified by age, sex, risk, and urbanicity by HIV infected status. In section</w:t>
      </w:r>
      <w:r w:rsidR="00497512">
        <w:rPr>
          <w:lang w:eastAsia="zh-CN"/>
        </w:rPr>
        <w:t xml:space="preserve"> </w:t>
      </w:r>
      <w:r w:rsidR="00497512">
        <w:rPr>
          <w:lang w:eastAsia="zh-CN"/>
        </w:rPr>
        <w:fldChar w:fldCharType="begin"/>
      </w:r>
      <w:r w:rsidR="00497512">
        <w:rPr>
          <w:lang w:eastAsia="zh-CN"/>
        </w:rPr>
        <w:instrText xml:space="preserve"> REF _Ref82420070 \r \h </w:instrText>
      </w:r>
      <w:r w:rsidR="00497512">
        <w:rPr>
          <w:lang w:eastAsia="zh-CN"/>
        </w:rPr>
      </w:r>
      <w:r w:rsidR="00497512">
        <w:rPr>
          <w:lang w:eastAsia="zh-CN"/>
        </w:rPr>
        <w:fldChar w:fldCharType="separate"/>
      </w:r>
      <w:r w:rsidR="001E49BE">
        <w:rPr>
          <w:lang w:eastAsia="zh-CN"/>
        </w:rPr>
        <w:t>7.1.2</w:t>
      </w:r>
      <w:r w:rsidR="00497512">
        <w:rPr>
          <w:lang w:eastAsia="zh-CN"/>
        </w:rPr>
        <w:fldChar w:fldCharType="end"/>
      </w:r>
      <w:r>
        <w:rPr>
          <w:lang w:eastAsia="zh-CN"/>
        </w:rPr>
        <w:t xml:space="preserve">, we estimate the distribution of population living with HIV across Infected compartments to further divide the population living with HIV within each sub-population by compartments. </w:t>
      </w:r>
    </w:p>
    <w:p w14:paraId="56BC363C" w14:textId="77777777" w:rsidR="004D63E7" w:rsidRDefault="004D63E7">
      <w:pPr>
        <w:jc w:val="both"/>
        <w:rPr>
          <w:b/>
          <w:i/>
        </w:rPr>
      </w:pPr>
      <w:r>
        <w:rPr>
          <w:b/>
          <w:i/>
        </w:rPr>
        <w:t xml:space="preserve">Data sources: </w:t>
      </w:r>
    </w:p>
    <w:p w14:paraId="0D7988D2" w14:textId="116A2B45" w:rsidR="004D63E7" w:rsidRPr="00526D45" w:rsidRDefault="000F1C47" w:rsidP="002E50FA">
      <w:pPr>
        <w:pStyle w:val="BodyText"/>
        <w:numPr>
          <w:ilvl w:val="0"/>
          <w:numId w:val="23"/>
        </w:numPr>
        <w:spacing w:before="0" w:after="0"/>
        <w:jc w:val="both"/>
        <w:rPr>
          <w:b/>
          <w:i/>
        </w:rPr>
      </w:pPr>
      <w:r>
        <w:rPr>
          <w:b/>
          <w:i/>
        </w:rPr>
        <w:t>L</w:t>
      </w:r>
      <w:r w:rsidR="004D63E7">
        <w:rPr>
          <w:b/>
          <w:i/>
        </w:rPr>
        <w:t xml:space="preserve">ow-risk </w:t>
      </w:r>
      <w:commentRangeStart w:id="92"/>
      <w:r w:rsidR="004D63E7">
        <w:rPr>
          <w:b/>
          <w:i/>
        </w:rPr>
        <w:t>population</w:t>
      </w:r>
      <w:r w:rsidR="00CE3F12">
        <w:rPr>
          <w:b/>
          <w:i/>
        </w:rPr>
        <w:t>s</w:t>
      </w:r>
      <w:r>
        <w:rPr>
          <w:b/>
          <w:i/>
        </w:rPr>
        <w:t xml:space="preserve"> (with and without HIV)</w:t>
      </w:r>
      <w:r w:rsidR="004D63E7">
        <w:rPr>
          <w:b/>
          <w:i/>
        </w:rPr>
        <w:t xml:space="preserve">. </w:t>
      </w:r>
      <w:r w:rsidR="004D63E7" w:rsidRPr="00526D45">
        <w:rPr>
          <w:bCs/>
          <w:iCs/>
        </w:rPr>
        <w:t>We</w:t>
      </w:r>
      <w:r w:rsidR="004D63E7">
        <w:rPr>
          <w:b/>
          <w:i/>
        </w:rPr>
        <w:t xml:space="preserve"> </w:t>
      </w:r>
      <w:r w:rsidR="004D63E7" w:rsidRPr="00883173">
        <w:t>use World Bank population estimates from 2003 for individuals aged 15-64 years old</w:t>
      </w:r>
      <w:r w:rsidR="004D63E7" w:rsidRPr="00526D45">
        <w:t>.</w:t>
      </w:r>
      <w:r w:rsidR="004D63E7" w:rsidRPr="00526D45">
        <w:fldChar w:fldCharType="begin" w:fldLock="1"/>
      </w:r>
      <w:r w:rsidR="007527CC">
        <w:instrText>ADDIN CSL_CITATION {"citationItems":[{"id":"ITEM-1","itemData":{"URL":"https://datacatalog.worldbank.org/dataset/population-estimates-and-projections.","accessed":{"date-parts":[["2020","6","8"]]},"author":[{"dropping-particle":"","family":"World Bank","given":"","non-dropping-particle":"","parse-names":false,"suffix":""}],"id":"ITEM-1","issued":{"date-parts":[["2020"]]},"title":"Population Estimates And Projections","type":"webpage"},"uris":["http://www.mendeley.com/documents/?uuid=6e39321f-03bd-4307-b12b-eb56fdafa411"]}],"mendeley":{"formattedCitation":"&lt;sup&gt;48&lt;/sup&gt;","plainTextFormattedCitation":"48","previouslyFormattedCitation":"&lt;sup&gt;48&lt;/sup&gt;"},"properties":{"noteIndex":0},"schema":"https://github.com/citation-style-language/schema/raw/master/csl-citation.json"}</w:instrText>
      </w:r>
      <w:r w:rsidR="004D63E7" w:rsidRPr="00526D45">
        <w:fldChar w:fldCharType="separate"/>
      </w:r>
      <w:r w:rsidR="00036C3E" w:rsidRPr="00036C3E">
        <w:rPr>
          <w:noProof/>
          <w:vertAlign w:val="superscript"/>
        </w:rPr>
        <w:t>48</w:t>
      </w:r>
      <w:r w:rsidR="004D63E7" w:rsidRPr="00526D45">
        <w:fldChar w:fldCharType="end"/>
      </w:r>
      <w:r w:rsidR="004D63E7" w:rsidRPr="00526D45">
        <w:t xml:space="preserve"> The population estimates data are reported by age group and sex, with percent of population living in urban and rural areas. </w:t>
      </w:r>
    </w:p>
    <w:p w14:paraId="0A829EC8" w14:textId="7A487BA1" w:rsidR="004D63E7" w:rsidRPr="00526D45" w:rsidRDefault="000F1C47" w:rsidP="002E50FA">
      <w:pPr>
        <w:pStyle w:val="BodyText"/>
        <w:numPr>
          <w:ilvl w:val="0"/>
          <w:numId w:val="23"/>
        </w:numPr>
        <w:spacing w:before="0" w:after="0"/>
        <w:jc w:val="both"/>
        <w:rPr>
          <w:b/>
          <w:i/>
        </w:rPr>
      </w:pPr>
      <w:r>
        <w:rPr>
          <w:b/>
          <w:i/>
        </w:rPr>
        <w:t>H</w:t>
      </w:r>
      <w:r w:rsidR="004D63E7">
        <w:rPr>
          <w:b/>
          <w:i/>
        </w:rPr>
        <w:t>igh-risk populations</w:t>
      </w:r>
      <w:r>
        <w:rPr>
          <w:b/>
          <w:i/>
        </w:rPr>
        <w:t xml:space="preserve"> (with and without HIV)</w:t>
      </w:r>
      <w:r w:rsidR="004D63E7">
        <w:rPr>
          <w:b/>
          <w:i/>
        </w:rPr>
        <w:t xml:space="preserve">. </w:t>
      </w:r>
      <w:r w:rsidR="004D63E7">
        <w:t>We use the population estimate of female sex workers</w:t>
      </w:r>
      <w:r w:rsidR="004D63E7" w:rsidRPr="00830781">
        <w:t xml:space="preserve"> from </w:t>
      </w:r>
      <w:commentRangeEnd w:id="92"/>
      <w:r>
        <w:rPr>
          <w:rStyle w:val="CommentReference"/>
          <w:rFonts w:eastAsia="Times New Roman"/>
          <w:lang w:eastAsia="zh-CN"/>
        </w:rPr>
        <w:commentReference w:id="92"/>
      </w:r>
      <w:r w:rsidR="004D63E7">
        <w:t xml:space="preserve">the </w:t>
      </w:r>
      <w:r w:rsidR="004D63E7" w:rsidRPr="00830781">
        <w:rPr>
          <w:rFonts w:eastAsia="Times New Roman"/>
          <w:shd w:val="clear" w:color="auto" w:fill="FFFFFF"/>
        </w:rPr>
        <w:t xml:space="preserve">Joint United Nations </w:t>
      </w:r>
      <w:proofErr w:type="spellStart"/>
      <w:r w:rsidR="004D63E7" w:rsidRPr="00830781">
        <w:rPr>
          <w:rFonts w:eastAsia="Times New Roman"/>
          <w:shd w:val="clear" w:color="auto" w:fill="FFFFFF"/>
        </w:rPr>
        <w:t>Programme</w:t>
      </w:r>
      <w:proofErr w:type="spellEnd"/>
      <w:r w:rsidR="004D63E7" w:rsidRPr="00830781">
        <w:rPr>
          <w:rFonts w:eastAsia="Times New Roman"/>
          <w:shd w:val="clear" w:color="auto" w:fill="FFFFFF"/>
        </w:rPr>
        <w:t xml:space="preserve"> on HIV/AIDS (UNAIDS)</w:t>
      </w:r>
      <w:r w:rsidR="004D63E7" w:rsidRPr="00830781">
        <w:rPr>
          <w:rFonts w:eastAsia="Times New Roman"/>
        </w:rPr>
        <w:t xml:space="preserve"> </w:t>
      </w:r>
      <w:r w:rsidR="004D63E7" w:rsidRPr="00830781">
        <w:t>and age-distribution estimates from 2010 Behavioral and Biological Surveillance</w:t>
      </w:r>
      <w:r w:rsidR="004D63E7">
        <w:t xml:space="preserve"> (BSS)</w:t>
      </w:r>
      <w:r w:rsidR="004D63E7" w:rsidRPr="00830781">
        <w:t xml:space="preserve"> Survey </w:t>
      </w:r>
      <w:r w:rsidR="004D63E7">
        <w:t>i</w:t>
      </w:r>
      <w:r w:rsidR="004D63E7" w:rsidRPr="00830781">
        <w:t>n Rwanda</w:t>
      </w:r>
      <w:r w:rsidR="004D63E7">
        <w:t>.</w:t>
      </w:r>
      <w:r w:rsidR="004D63E7">
        <w:fldChar w:fldCharType="begin" w:fldLock="1"/>
      </w:r>
      <w:r w:rsidR="007527CC">
        <w:instrText>ADDIN CSL_CITATION {"citationItems":[{"id":"ITEM-1","itemData":{"DOI":"10.1016/B978-0-12-420118-7.00008-1.Dopamine","ISBN":"9780124201187","ISSN":"0036-8075","PMID":"25792328","author":[{"dropping-particle":"","family":"Rwanda Ministry of Health","given":"","non-dropping-particle":"","parse-names":false,"suffix":""}],"container-title":"Center for Treatment and Research on AIDS, Malaria, Tuberculosis and Other Epidemics","id":"ITEM-1","issue":"December","issued":{"date-parts":[["2010"]]},"title":"Behavioral and Biological Surveillance Survey among Female Sex Workers, Rwanda – 2010","type":"report"},"uris":["http://www.mendeley.com/documents/?uuid=c3b9fbfb-d893-4cee-aa49-4ba2d2fc2bf1"]},{"id":"ITEM-2","itemData":{"URL":"https://www.unaids.org/en/regionscountries/countries/rwanda","accessed":{"date-parts":[["2021","5","1"]]},"author":[{"dropping-particle":"","family":"Joint United Nations Programme on HIV/AIDS","given":"","non-dropping-particle":"","parse-names":false,"suffix":""}],"id":"ITEM-2","issued":{"date-parts":[["2021"]]},"title":"Country factsheets: Rwanda 2019","type":"webpage"},"uris":["http://www.mendeley.com/documents/?uuid=9b320724-d2b5-4f09-a42a-26b670655120"]}],"mendeley":{"formattedCitation":"&lt;sup&gt;44,49&lt;/sup&gt;","plainTextFormattedCitation":"44,49","previouslyFormattedCitation":"&lt;sup&gt;44,49&lt;/sup&gt;"},"properties":{"noteIndex":0},"schema":"https://github.com/citation-style-language/schema/raw/master/csl-citation.json"}</w:instrText>
      </w:r>
      <w:r w:rsidR="004D63E7">
        <w:fldChar w:fldCharType="separate"/>
      </w:r>
      <w:r w:rsidR="00036C3E" w:rsidRPr="00036C3E">
        <w:rPr>
          <w:noProof/>
          <w:vertAlign w:val="superscript"/>
        </w:rPr>
        <w:t>44,49</w:t>
      </w:r>
      <w:r w:rsidR="004D63E7">
        <w:fldChar w:fldCharType="end"/>
      </w:r>
      <w:r w:rsidR="004D63E7" w:rsidRPr="003F165C">
        <w:t xml:space="preserve"> </w:t>
      </w:r>
      <w:r w:rsidR="004D63E7" w:rsidRPr="00830781">
        <w:t>Th</w:t>
      </w:r>
      <w:r w:rsidR="004D63E7">
        <w:t>e</w:t>
      </w:r>
      <w:r w:rsidR="004D63E7" w:rsidRPr="00830781">
        <w:t xml:space="preserve"> population estimate </w:t>
      </w:r>
      <w:r w:rsidR="004D63E7">
        <w:t xml:space="preserve">for female sex workers comes </w:t>
      </w:r>
      <w:r w:rsidR="004D63E7" w:rsidRPr="00830781">
        <w:t>from the 2</w:t>
      </w:r>
      <w:r w:rsidR="004D63E7" w:rsidRPr="00830781">
        <w:rPr>
          <w:color w:val="000000"/>
        </w:rPr>
        <w:t xml:space="preserve">012 Sex Worker Size Estimation Survey conducted by </w:t>
      </w:r>
      <w:r w:rsidR="004D63E7">
        <w:rPr>
          <w:color w:val="000000"/>
        </w:rPr>
        <w:t>Rwanda Biomedical Center/Institute of HIV/AIDS Disease Prevention and Control</w:t>
      </w:r>
      <w:r w:rsidR="004D63E7" w:rsidRPr="00830781">
        <w:rPr>
          <w:color w:val="000000"/>
        </w:rPr>
        <w:t>.</w:t>
      </w:r>
      <w:r w:rsidR="004D63E7">
        <w:rPr>
          <w:color w:val="000000"/>
        </w:rPr>
        <w:fldChar w:fldCharType="begin" w:fldLock="1"/>
      </w:r>
      <w:r w:rsidR="007527CC">
        <w:rPr>
          <w:color w:val="000000"/>
        </w:rPr>
        <w:instrText>ADDIN CSL_CITATION {"citationItems":[{"id":"ITEM-1","itemData":{"URL":"http://data.un.org/Data.aspx?d=UNAIDS&amp;f=inID%3A111","author":[{"dropping-particle":"","family":"Joint United Nations Programme on HIV/AIDS","given":"","non-dropping-particle":"","parse-names":false,"suffix":""}],"id":"ITEM-1","issued":{"date-parts":[["2015"]]},"title":"Sex workers: Population size estimate","type":"webpage"},"uris":["http://www.mendeley.com/documents/?uuid=fbdc36ec-5293-4651-9cba-351350b92b03"]}],"mendeley":{"formattedCitation":"&lt;sup&gt;50&lt;/sup&gt;","plainTextFormattedCitation":"50","previouslyFormattedCitation":"&lt;sup&gt;50&lt;/sup&gt;"},"properties":{"noteIndex":0},"schema":"https://github.com/citation-style-language/schema/raw/master/csl-citation.json"}</w:instrText>
      </w:r>
      <w:r w:rsidR="004D63E7">
        <w:rPr>
          <w:color w:val="000000"/>
        </w:rPr>
        <w:fldChar w:fldCharType="separate"/>
      </w:r>
      <w:r w:rsidR="00036C3E" w:rsidRPr="00036C3E">
        <w:rPr>
          <w:noProof/>
          <w:color w:val="000000"/>
          <w:vertAlign w:val="superscript"/>
        </w:rPr>
        <w:t>50</w:t>
      </w:r>
      <w:r w:rsidR="004D63E7">
        <w:rPr>
          <w:color w:val="000000"/>
        </w:rPr>
        <w:fldChar w:fldCharType="end"/>
      </w:r>
      <w:r w:rsidR="004D63E7" w:rsidRPr="00830781">
        <w:rPr>
          <w:color w:val="000000"/>
        </w:rPr>
        <w:t xml:space="preserve"> It defines female sex workers as women who have sex for money</w:t>
      </w:r>
      <w:r w:rsidR="004D63E7">
        <w:rPr>
          <w:color w:val="000000"/>
        </w:rPr>
        <w:t xml:space="preserve"> regardless of the place where they sell sex (e.g. </w:t>
      </w:r>
      <w:r w:rsidR="004D63E7" w:rsidRPr="00830781">
        <w:rPr>
          <w:color w:val="000000"/>
        </w:rPr>
        <w:t xml:space="preserve">home based, street based, </w:t>
      </w:r>
      <w:r w:rsidR="004D63E7">
        <w:rPr>
          <w:color w:val="000000"/>
        </w:rPr>
        <w:t>or</w:t>
      </w:r>
      <w:r w:rsidR="004D63E7" w:rsidRPr="00830781">
        <w:rPr>
          <w:color w:val="000000"/>
        </w:rPr>
        <w:t xml:space="preserve"> venue based</w:t>
      </w:r>
      <w:r w:rsidR="004D63E7">
        <w:rPr>
          <w:color w:val="000000"/>
        </w:rPr>
        <w:t>)</w:t>
      </w:r>
      <w:r w:rsidR="004D63E7" w:rsidRPr="00830781">
        <w:rPr>
          <w:color w:val="000000"/>
        </w:rPr>
        <w:t>. The age-distribution estimates come from BSS 2010 for female sex workers.</w:t>
      </w:r>
      <w:r w:rsidR="004D63E7">
        <w:rPr>
          <w:color w:val="000000"/>
        </w:rPr>
        <w:fldChar w:fldCharType="begin" w:fldLock="1"/>
      </w:r>
      <w:r w:rsidR="007527CC">
        <w:rPr>
          <w:color w:val="000000"/>
        </w:rPr>
        <w:instrText>ADDIN CSL_CITATION {"citationItems":[{"id":"ITEM-1","itemData":{"DOI":"10.1016/B978-0-12-420118-7.00008-1.Dopamine","ISBN":"9780124201187","ISSN":"0036-8075","PMID":"25792328","author":[{"dropping-particle":"","family":"Rwanda Ministry of Health","given":"","non-dropping-particle":"","parse-names":false,"suffix":""}],"container-title":"Center for Treatment and Research on AIDS, Malaria, Tuberculosis and Other Epidemics","id":"ITEM-1","issue":"December","issued":{"date-parts":[["2010"]]},"title":"Behavioral and Biological Surveillance Survey among Female Sex Workers, Rwanda – 2010","type":"report"},"uris":["http://www.mendeley.com/documents/?uuid=c3b9fbfb-d893-4cee-aa49-4ba2d2fc2bf1"]}],"mendeley":{"formattedCitation":"&lt;sup&gt;44&lt;/sup&gt;","plainTextFormattedCitation":"44","previouslyFormattedCitation":"&lt;sup&gt;44&lt;/sup&gt;"},"properties":{"noteIndex":0},"schema":"https://github.com/citation-style-language/schema/raw/master/csl-citation.json"}</w:instrText>
      </w:r>
      <w:r w:rsidR="004D63E7">
        <w:rPr>
          <w:color w:val="000000"/>
        </w:rPr>
        <w:fldChar w:fldCharType="separate"/>
      </w:r>
      <w:r w:rsidR="00036C3E" w:rsidRPr="00036C3E">
        <w:rPr>
          <w:noProof/>
          <w:color w:val="000000"/>
          <w:vertAlign w:val="superscript"/>
        </w:rPr>
        <w:t>44</w:t>
      </w:r>
      <w:r w:rsidR="004D63E7">
        <w:rPr>
          <w:color w:val="000000"/>
        </w:rPr>
        <w:fldChar w:fldCharType="end"/>
      </w:r>
      <w:r w:rsidR="004D63E7" w:rsidRPr="00830781">
        <w:rPr>
          <w:color w:val="000000"/>
        </w:rPr>
        <w:t xml:space="preserve"> </w:t>
      </w:r>
    </w:p>
    <w:p w14:paraId="4DF1AD1C" w14:textId="41D1712D" w:rsidR="000F1C47" w:rsidRPr="00526D45" w:rsidRDefault="000F1C47" w:rsidP="002E50FA">
      <w:pPr>
        <w:pStyle w:val="BodyText"/>
        <w:numPr>
          <w:ilvl w:val="0"/>
          <w:numId w:val="23"/>
        </w:numPr>
        <w:spacing w:before="0" w:after="0"/>
        <w:jc w:val="both"/>
        <w:rPr>
          <w:b/>
          <w:i/>
        </w:rPr>
      </w:pPr>
      <w:r>
        <w:rPr>
          <w:b/>
          <w:i/>
        </w:rPr>
        <w:t>HIV prevalence</w:t>
      </w:r>
      <w:r w:rsidR="004D63E7" w:rsidRPr="00526D45">
        <w:rPr>
          <w:b/>
          <w:i/>
        </w:rPr>
        <w:t xml:space="preserve">. </w:t>
      </w:r>
      <w:r w:rsidR="004D63E7">
        <w:rPr>
          <w:rFonts w:eastAsiaTheme="minorEastAsia"/>
        </w:rPr>
        <w:t xml:space="preserve">We use </w:t>
      </w:r>
      <w:r w:rsidR="004D63E7" w:rsidRPr="00526D45">
        <w:rPr>
          <w:rFonts w:eastAsiaTheme="minorEastAsia"/>
        </w:rPr>
        <w:t xml:space="preserve">HIV prevalence estimates from the 2005 Demographic and Health Survey and estimates of HIV prevalence from BSS 2010 </w:t>
      </w:r>
      <w:r w:rsidR="004D63E7">
        <w:rPr>
          <w:rFonts w:eastAsiaTheme="minorEastAsia"/>
        </w:rPr>
        <w:t xml:space="preserve">to </w:t>
      </w:r>
      <w:r w:rsidR="0090659D">
        <w:rPr>
          <w:rFonts w:eastAsiaTheme="minorEastAsia"/>
        </w:rPr>
        <w:t xml:space="preserve">calculate </w:t>
      </w:r>
      <w:r w:rsidR="004D63E7">
        <w:rPr>
          <w:rFonts w:eastAsiaTheme="minorEastAsia"/>
        </w:rPr>
        <w:t xml:space="preserve">the size of </w:t>
      </w:r>
      <w:r w:rsidR="0090659D">
        <w:rPr>
          <w:rFonts w:eastAsiaTheme="minorEastAsia"/>
        </w:rPr>
        <w:t>low- and high-risk sub-</w:t>
      </w:r>
      <w:r w:rsidR="004D63E7">
        <w:rPr>
          <w:rFonts w:eastAsiaTheme="minorEastAsia"/>
        </w:rPr>
        <w:t>population</w:t>
      </w:r>
      <w:r w:rsidR="0090659D">
        <w:rPr>
          <w:rFonts w:eastAsiaTheme="minorEastAsia"/>
        </w:rPr>
        <w:t>s</w:t>
      </w:r>
      <w:r w:rsidR="004D63E7">
        <w:rPr>
          <w:rFonts w:eastAsiaTheme="minorEastAsia"/>
        </w:rPr>
        <w:t xml:space="preserve"> living with HIV</w:t>
      </w:r>
      <w:r w:rsidR="0090659D">
        <w:rPr>
          <w:rFonts w:eastAsiaTheme="minorEastAsia"/>
        </w:rPr>
        <w:t>, respectively</w:t>
      </w:r>
      <w:r w:rsidR="004D63E7" w:rsidRPr="00526D45">
        <w:rPr>
          <w:rFonts w:eastAsiaTheme="minorEastAsia"/>
        </w:rPr>
        <w:t>.</w:t>
      </w:r>
      <w:r w:rsidR="004D63E7">
        <w:rPr>
          <w:rFonts w:eastAsiaTheme="minorEastAsia"/>
        </w:rPr>
        <w:t xml:space="preserve"> </w:t>
      </w:r>
    </w:p>
    <w:p w14:paraId="631D13B1" w14:textId="2D59568E" w:rsidR="004D63E7" w:rsidRPr="000F1C47" w:rsidRDefault="004D63E7" w:rsidP="00610A49">
      <w:pPr>
        <w:pStyle w:val="BodyText"/>
        <w:numPr>
          <w:ilvl w:val="1"/>
          <w:numId w:val="23"/>
        </w:numPr>
        <w:spacing w:before="0" w:after="0"/>
        <w:jc w:val="both"/>
        <w:rPr>
          <w:rFonts w:ascii="Roboto" w:hAnsi="Roboto"/>
          <w:color w:val="1A0DAB"/>
          <w:shd w:val="clear" w:color="auto" w:fill="FFFFFF"/>
        </w:rPr>
      </w:pPr>
      <w:r w:rsidRPr="000F1C47">
        <w:rPr>
          <w:b/>
          <w:i/>
        </w:rPr>
        <w:t xml:space="preserve">Distribution of </w:t>
      </w:r>
      <w:r w:rsidR="000F1C47">
        <w:rPr>
          <w:b/>
          <w:i/>
        </w:rPr>
        <w:t>population</w:t>
      </w:r>
      <w:r w:rsidRPr="000F1C47">
        <w:rPr>
          <w:b/>
          <w:i/>
        </w:rPr>
        <w:t xml:space="preserve"> living with HIV across compartments</w:t>
      </w:r>
      <w:r w:rsidR="000F1C47">
        <w:rPr>
          <w:b/>
          <w:i/>
        </w:rPr>
        <w:t>.</w:t>
      </w:r>
      <w:r w:rsidR="00E446B8" w:rsidRPr="000F1C47">
        <w:rPr>
          <w:b/>
          <w:i/>
        </w:rPr>
        <w:t xml:space="preserve"> </w:t>
      </w:r>
      <w:r w:rsidRPr="000F1C47">
        <w:rPr>
          <w:bCs/>
          <w:iCs/>
        </w:rPr>
        <w:t xml:space="preserve">We estimate the size of populations </w:t>
      </w:r>
      <w:r w:rsidR="000F1C47">
        <w:rPr>
          <w:bCs/>
          <w:iCs/>
        </w:rPr>
        <w:t>in each</w:t>
      </w:r>
      <w:r w:rsidR="000F1C47" w:rsidRPr="000F1C47">
        <w:rPr>
          <w:bCs/>
          <w:iCs/>
        </w:rPr>
        <w:t xml:space="preserve"> </w:t>
      </w:r>
      <w:r w:rsidRPr="000F1C47">
        <w:rPr>
          <w:bCs/>
          <w:iCs/>
        </w:rPr>
        <w:t>infected compartment</w:t>
      </w:r>
      <w:r w:rsidR="000F1C47">
        <w:rPr>
          <w:bCs/>
          <w:iCs/>
        </w:rPr>
        <w:t xml:space="preserve"> by sub-population</w:t>
      </w:r>
      <w:r w:rsidRPr="000F1C47">
        <w:rPr>
          <w:bCs/>
          <w:iCs/>
        </w:rPr>
        <w:t xml:space="preserve"> using multiple sources, including DHS 2005,</w:t>
      </w:r>
      <w:r w:rsidRPr="000F1C47">
        <w:rPr>
          <w:bCs/>
          <w:iCs/>
        </w:rPr>
        <w:fldChar w:fldCharType="begin" w:fldLock="1"/>
      </w:r>
      <w:r w:rsidR="007527CC">
        <w:rPr>
          <w:bCs/>
          <w:iCs/>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Health","id":"ITEM-1","issued":{"date-parts":[["2005"]]},"title":"Demographic and Health Survey, 2005","type":"webpage"},"uris":["http://www.mendeley.com/documents/?uuid=6f21bb5a-4b85-490b-a1b4-bfcffbde8423"]}],"mendeley":{"formattedCitation":"&lt;sup&gt;22&lt;/sup&gt;","plainTextFormattedCitation":"22","previouslyFormattedCitation":"&lt;sup&gt;23&lt;/sup&gt;"},"properties":{"noteIndex":0},"schema":"https://github.com/citation-style-language/schema/raw/master/csl-citation.json"}</w:instrText>
      </w:r>
      <w:r w:rsidRPr="000F1C47">
        <w:rPr>
          <w:bCs/>
          <w:iCs/>
        </w:rPr>
        <w:fldChar w:fldCharType="separate"/>
      </w:r>
      <w:r w:rsidR="007527CC" w:rsidRPr="007527CC">
        <w:rPr>
          <w:bCs/>
          <w:iCs/>
          <w:noProof/>
          <w:vertAlign w:val="superscript"/>
        </w:rPr>
        <w:t>22</w:t>
      </w:r>
      <w:r w:rsidRPr="000F1C47">
        <w:rPr>
          <w:bCs/>
          <w:iCs/>
        </w:rPr>
        <w:fldChar w:fldCharType="end"/>
      </w:r>
      <w:r w:rsidR="00CE7340" w:rsidRPr="000F1C47">
        <w:rPr>
          <w:bCs/>
          <w:iCs/>
        </w:rPr>
        <w:t xml:space="preserve"> International epidemiology Databases to Evaluate AIDS (</w:t>
      </w:r>
      <w:proofErr w:type="spellStart"/>
      <w:r w:rsidRPr="000F1C47">
        <w:rPr>
          <w:bCs/>
          <w:iCs/>
        </w:rPr>
        <w:t>IeDEA</w:t>
      </w:r>
      <w:proofErr w:type="spellEnd"/>
      <w:r w:rsidR="00CE7340" w:rsidRPr="000F1C47">
        <w:rPr>
          <w:bCs/>
          <w:iCs/>
        </w:rPr>
        <w:t>)</w:t>
      </w:r>
      <w:r w:rsidRPr="000F1C47">
        <w:rPr>
          <w:bCs/>
          <w:iCs/>
        </w:rPr>
        <w:t>,</w:t>
      </w:r>
      <w:r w:rsidRPr="000F1C47">
        <w:rPr>
          <w:bCs/>
          <w:iCs/>
        </w:rPr>
        <w:fldChar w:fldCharType="begin" w:fldLock="1"/>
      </w:r>
      <w:r w:rsidR="007527CC">
        <w:rPr>
          <w:bCs/>
          <w:iCs/>
        </w:rPr>
        <w:instrText>ADDIN CSL_CITATION {"citationItems":[{"id":"ITEM-1","itemData":{"author":[{"dropping-particle":"","family":"National Institute of Allergy and Infectious Diseases","given":"","non-dropping-particle":"","parse-names":false,"suffix":""}],"id":"ITEM-1","issued":{"date-parts":[["0"]]},"title":"International Epidemiological Databases to Evaluate AIDS","type":"article"},"uris":["http://www.mendeley.com/documents/?uuid=666acb78-cec1-4b66-b410-933fc01451ce"]}],"mendeley":{"formattedCitation":"&lt;sup&gt;51&lt;/sup&gt;","plainTextFormattedCitation":"51","previouslyFormattedCitation":"&lt;sup&gt;51&lt;/sup&gt;"},"properties":{"noteIndex":0},"schema":"https://github.com/citation-style-language/schema/raw/master/csl-citation.json"}</w:instrText>
      </w:r>
      <w:r w:rsidRPr="000F1C47">
        <w:rPr>
          <w:bCs/>
          <w:iCs/>
        </w:rPr>
        <w:fldChar w:fldCharType="separate"/>
      </w:r>
      <w:r w:rsidR="00036C3E" w:rsidRPr="00036C3E">
        <w:rPr>
          <w:bCs/>
          <w:iCs/>
          <w:noProof/>
          <w:vertAlign w:val="superscript"/>
        </w:rPr>
        <w:t>51</w:t>
      </w:r>
      <w:r w:rsidRPr="000F1C47">
        <w:rPr>
          <w:bCs/>
          <w:iCs/>
        </w:rPr>
        <w:fldChar w:fldCharType="end"/>
      </w:r>
      <w:r w:rsidRPr="000F1C47">
        <w:rPr>
          <w:bCs/>
          <w:iCs/>
        </w:rPr>
        <w:t xml:space="preserve"> and published literature. The process for </w:t>
      </w:r>
      <w:r w:rsidR="00610A49" w:rsidRPr="000F1C47">
        <w:rPr>
          <w:bCs/>
          <w:iCs/>
        </w:rPr>
        <w:t>deriv</w:t>
      </w:r>
      <w:r w:rsidR="00610A49">
        <w:rPr>
          <w:bCs/>
          <w:iCs/>
        </w:rPr>
        <w:t>i</w:t>
      </w:r>
      <w:r w:rsidR="00610A49" w:rsidRPr="000F1C47">
        <w:rPr>
          <w:bCs/>
          <w:iCs/>
        </w:rPr>
        <w:t>ng</w:t>
      </w:r>
      <w:r w:rsidR="00B064BF" w:rsidRPr="000F1C47">
        <w:rPr>
          <w:bCs/>
          <w:iCs/>
        </w:rPr>
        <w:t xml:space="preserve"> </w:t>
      </w:r>
      <w:r w:rsidRPr="000F1C47">
        <w:rPr>
          <w:bCs/>
          <w:iCs/>
        </w:rPr>
        <w:t xml:space="preserve">the distribution across compartments is described later in this document.  </w:t>
      </w:r>
    </w:p>
    <w:p w14:paraId="473E78F5" w14:textId="10BCECCD" w:rsidR="004D63E7" w:rsidRPr="00580BE8" w:rsidRDefault="005D3666" w:rsidP="005D3666">
      <w:pPr>
        <w:pStyle w:val="Heading3"/>
        <w:rPr>
          <w:rFonts w:ascii="Times New Roman" w:hAnsi="Times New Roman" w:cs="Times New Roman"/>
        </w:rPr>
      </w:pPr>
      <w:bookmarkStart w:id="93" w:name="_Toc81775593"/>
      <w:bookmarkStart w:id="94" w:name="_Toc81777515"/>
      <w:bookmarkStart w:id="95" w:name="_Toc81777671"/>
      <w:bookmarkStart w:id="96" w:name="_Toc81777835"/>
      <w:bookmarkStart w:id="97" w:name="_Toc81778108"/>
      <w:bookmarkStart w:id="98" w:name="_Toc81778379"/>
      <w:bookmarkStart w:id="99" w:name="_Toc82440223"/>
      <w:bookmarkStart w:id="100" w:name="_Toc82447945"/>
      <w:bookmarkStart w:id="101" w:name="_Toc82592653"/>
      <w:bookmarkStart w:id="102" w:name="_Ref82420055"/>
      <w:bookmarkStart w:id="103" w:name="_Toc82592654"/>
      <w:bookmarkEnd w:id="93"/>
      <w:bookmarkEnd w:id="94"/>
      <w:bookmarkEnd w:id="95"/>
      <w:bookmarkEnd w:id="96"/>
      <w:bookmarkEnd w:id="97"/>
      <w:bookmarkEnd w:id="98"/>
      <w:bookmarkEnd w:id="99"/>
      <w:bookmarkEnd w:id="100"/>
      <w:bookmarkEnd w:id="101"/>
      <w:r>
        <w:rPr>
          <w:rFonts w:ascii="Times New Roman" w:hAnsi="Times New Roman" w:cs="Times New Roman"/>
        </w:rPr>
        <w:t>The</w:t>
      </w:r>
      <w:r w:rsidR="00105842" w:rsidRPr="00580BE8">
        <w:rPr>
          <w:rFonts w:ascii="Times New Roman" w:hAnsi="Times New Roman" w:cs="Times New Roman"/>
        </w:rPr>
        <w:t xml:space="preserve"> </w:t>
      </w:r>
      <w:r w:rsidR="00280096" w:rsidRPr="00580BE8">
        <w:rPr>
          <w:rFonts w:ascii="Times New Roman" w:hAnsi="Times New Roman" w:cs="Times New Roman"/>
        </w:rPr>
        <w:t>s</w:t>
      </w:r>
      <w:r w:rsidR="004D63E7" w:rsidRPr="00580BE8">
        <w:rPr>
          <w:rFonts w:ascii="Times New Roman" w:hAnsi="Times New Roman" w:cs="Times New Roman"/>
        </w:rPr>
        <w:t>ize of sub-population</w:t>
      </w:r>
      <w:r w:rsidR="00105842" w:rsidRPr="00580BE8">
        <w:rPr>
          <w:rFonts w:ascii="Times New Roman" w:hAnsi="Times New Roman" w:cs="Times New Roman"/>
        </w:rPr>
        <w:t>s</w:t>
      </w:r>
      <w:r w:rsidR="004D63E7" w:rsidRPr="00580BE8">
        <w:rPr>
          <w:rFonts w:ascii="Times New Roman" w:hAnsi="Times New Roman" w:cs="Times New Roman"/>
        </w:rPr>
        <w:t>, by HIV status</w:t>
      </w:r>
      <w:r w:rsidR="00373553" w:rsidRPr="00580BE8">
        <w:rPr>
          <w:rFonts w:ascii="Times New Roman" w:hAnsi="Times New Roman" w:cs="Times New Roman"/>
        </w:rPr>
        <w:t xml:space="preserve"> </w:t>
      </w:r>
      <w:r w:rsidR="00497512" w:rsidRPr="00497512">
        <w:rPr>
          <w:rFonts w:ascii="Times New Roman" w:hAnsi="Times New Roman" w:cs="Times New Roman"/>
          <w:lang w:eastAsia="zh-CN"/>
        </w:rPr>
        <w:t>(</w:t>
      </w:r>
      <w:r w:rsidR="00497512" w:rsidRPr="00497512">
        <w:rPr>
          <w:rFonts w:ascii="Times New Roman" w:hAnsi="Times New Roman" w:cs="Times New Roman"/>
          <w:lang w:eastAsia="zh-CN"/>
        </w:rPr>
        <w:fldChar w:fldCharType="begin"/>
      </w:r>
      <w:r w:rsidR="00497512" w:rsidRPr="00497512">
        <w:rPr>
          <w:rFonts w:ascii="Times New Roman" w:hAnsi="Times New Roman" w:cs="Times New Roman"/>
          <w:lang w:eastAsia="zh-CN"/>
        </w:rPr>
        <w:instrText xml:space="preserve"> REF _Ref82420864 \h </w:instrText>
      </w:r>
      <w:r w:rsidR="00497512">
        <w:rPr>
          <w:rFonts w:ascii="Times New Roman" w:hAnsi="Times New Roman" w:cs="Times New Roman"/>
          <w:lang w:eastAsia="zh-CN"/>
        </w:rPr>
        <w:instrText xml:space="preserve"> \* MERGEFORMAT </w:instrText>
      </w:r>
      <w:r w:rsidR="00497512" w:rsidRPr="00497512">
        <w:rPr>
          <w:rFonts w:ascii="Times New Roman" w:hAnsi="Times New Roman" w:cs="Times New Roman"/>
          <w:lang w:eastAsia="zh-CN"/>
        </w:rPr>
      </w:r>
      <w:r w:rsidR="00497512" w:rsidRPr="00497512">
        <w:rPr>
          <w:rFonts w:ascii="Times New Roman" w:hAnsi="Times New Roman" w:cs="Times New Roman"/>
          <w:lang w:eastAsia="zh-CN"/>
        </w:rPr>
        <w:fldChar w:fldCharType="separate"/>
      </w:r>
      <w:r w:rsidR="001E49BE" w:rsidRPr="00610A49">
        <w:rPr>
          <w:rFonts w:ascii="Times New Roman" w:hAnsi="Times New Roman" w:cs="Times New Roman"/>
        </w:rPr>
        <w:t xml:space="preserve">Table </w:t>
      </w:r>
      <w:r w:rsidR="001E49BE" w:rsidRPr="00610A49">
        <w:rPr>
          <w:rFonts w:ascii="Times New Roman" w:hAnsi="Times New Roman" w:cs="Times New Roman"/>
          <w:noProof/>
        </w:rPr>
        <w:t>6</w:t>
      </w:r>
      <w:r w:rsidR="00497512" w:rsidRPr="00497512">
        <w:rPr>
          <w:rFonts w:ascii="Times New Roman" w:hAnsi="Times New Roman" w:cs="Times New Roman"/>
          <w:lang w:eastAsia="zh-CN"/>
        </w:rPr>
        <w:fldChar w:fldCharType="end"/>
      </w:r>
      <w:r w:rsidR="00497512" w:rsidRPr="00497512" w:rsidDel="00497512">
        <w:rPr>
          <w:rFonts w:ascii="Times New Roman" w:hAnsi="Times New Roman" w:cs="Times New Roman"/>
        </w:rPr>
        <w:t xml:space="preserve"> </w:t>
      </w:r>
      <w:r w:rsidR="00373553" w:rsidRPr="00580BE8">
        <w:rPr>
          <w:rFonts w:ascii="Times New Roman" w:hAnsi="Times New Roman" w:cs="Times New Roman"/>
        </w:rPr>
        <w:t>)</w:t>
      </w:r>
      <w:r w:rsidR="004D63E7" w:rsidRPr="00580BE8">
        <w:rPr>
          <w:rFonts w:ascii="Times New Roman" w:hAnsi="Times New Roman" w:cs="Times New Roman"/>
        </w:rPr>
        <w:t>:</w:t>
      </w:r>
      <w:bookmarkEnd w:id="102"/>
      <w:bookmarkEnd w:id="103"/>
      <w:r w:rsidR="004D63E7" w:rsidRPr="00580BE8">
        <w:rPr>
          <w:rFonts w:ascii="Times New Roman" w:hAnsi="Times New Roman" w:cs="Times New Roman"/>
        </w:rPr>
        <w:t xml:space="preserve"> </w:t>
      </w:r>
    </w:p>
    <w:p w14:paraId="7E4AB272" w14:textId="0B440797" w:rsidR="000F1C47" w:rsidRDefault="000F1C47" w:rsidP="002E50FA">
      <w:pPr>
        <w:pStyle w:val="BodyText"/>
        <w:numPr>
          <w:ilvl w:val="0"/>
          <w:numId w:val="25"/>
        </w:numPr>
        <w:spacing w:before="0" w:after="0"/>
        <w:jc w:val="both"/>
        <w:rPr>
          <w:bCs/>
          <w:iCs/>
        </w:rPr>
      </w:pPr>
      <w:r>
        <w:rPr>
          <w:b/>
          <w:i/>
        </w:rPr>
        <w:t xml:space="preserve">Size of </w:t>
      </w:r>
      <w:commentRangeStart w:id="104"/>
      <w:r>
        <w:rPr>
          <w:b/>
          <w:i/>
        </w:rPr>
        <w:t>sub-population</w:t>
      </w:r>
      <w:commentRangeEnd w:id="104"/>
      <w:r w:rsidR="00CE3F12">
        <w:rPr>
          <w:rStyle w:val="CommentReference"/>
          <w:rFonts w:eastAsia="Times New Roman"/>
          <w:lang w:eastAsia="zh-CN"/>
        </w:rPr>
        <w:commentReference w:id="104"/>
      </w:r>
      <w:r>
        <w:rPr>
          <w:b/>
          <w:i/>
        </w:rPr>
        <w:t xml:space="preserve">. </w:t>
      </w:r>
      <w:r>
        <w:rPr>
          <w:bCs/>
          <w:iCs/>
        </w:rPr>
        <w:t>We estimate the size of each sub-population</w:t>
      </w:r>
      <w:r w:rsidR="00EF37F5">
        <w:rPr>
          <w:bCs/>
          <w:iCs/>
        </w:rPr>
        <w:t xml:space="preserve"> stratified by age, sex, risk, and urbanicity</w:t>
      </w:r>
      <w:r>
        <w:rPr>
          <w:bCs/>
          <w:iCs/>
        </w:rPr>
        <w:t xml:space="preserve"> by multiplying the total size of population and the distribution reported by age groups, sex, and urbanicity in low-risk population and by age groups in high-risk population.  </w:t>
      </w:r>
    </w:p>
    <w:p w14:paraId="68C6EF45" w14:textId="12D93D0F" w:rsidR="000F1C47" w:rsidRPr="000F1C47" w:rsidRDefault="000F1C47" w:rsidP="002E50FA">
      <w:pPr>
        <w:pStyle w:val="BodyText"/>
        <w:numPr>
          <w:ilvl w:val="1"/>
          <w:numId w:val="25"/>
        </w:numPr>
        <w:spacing w:before="0" w:after="0"/>
        <w:jc w:val="both"/>
        <w:rPr>
          <w:bCs/>
          <w:iCs/>
        </w:rPr>
      </w:pPr>
      <w:r>
        <w:rPr>
          <w:bCs/>
          <w:iCs/>
        </w:rPr>
        <w:t>For low-risk population</w:t>
      </w:r>
      <w:r w:rsidR="00CE3F12">
        <w:rPr>
          <w:bCs/>
          <w:iCs/>
        </w:rPr>
        <w:t>s</w:t>
      </w:r>
      <w:r>
        <w:rPr>
          <w:bCs/>
          <w:iCs/>
        </w:rPr>
        <w:t xml:space="preserve">, the World Bank reported the population data by age group and sex together with the percent of population living in urban and rural areas. </w:t>
      </w:r>
      <w:r w:rsidRPr="00526D45">
        <w:t>We assume similar age and sex distributions in urban and rural areas</w:t>
      </w:r>
      <w:r>
        <w:t xml:space="preserve"> to estimate the size of low-risk sub-populations</w:t>
      </w:r>
      <w:r w:rsidRPr="00526D45">
        <w:t>, which is applied to</w:t>
      </w:r>
      <w:r>
        <w:t xml:space="preserve"> all age-groups and sexes</w:t>
      </w:r>
      <w:r w:rsidRPr="00526D45">
        <w:t>.</w:t>
      </w:r>
    </w:p>
    <w:p w14:paraId="544703F2" w14:textId="33081BB4" w:rsidR="000F1C47" w:rsidRPr="003060F6" w:rsidRDefault="000F1C47" w:rsidP="002E50FA">
      <w:pPr>
        <w:pStyle w:val="BodyText"/>
        <w:numPr>
          <w:ilvl w:val="1"/>
          <w:numId w:val="23"/>
        </w:numPr>
        <w:spacing w:before="0" w:after="0"/>
        <w:jc w:val="both"/>
        <w:rPr>
          <w:b/>
          <w:i/>
        </w:rPr>
      </w:pPr>
      <w:r>
        <w:rPr>
          <w:bCs/>
          <w:iCs/>
        </w:rPr>
        <w:t>For high-risk population</w:t>
      </w:r>
      <w:r w:rsidR="00CE3F12">
        <w:rPr>
          <w:bCs/>
          <w:iCs/>
        </w:rPr>
        <w:t>s</w:t>
      </w:r>
      <w:r>
        <w:rPr>
          <w:bCs/>
          <w:iCs/>
        </w:rPr>
        <w:t>, the BSS 2011 data reported the population size by age-groups.</w:t>
      </w:r>
      <w:r w:rsidRPr="000F1C47">
        <w:rPr>
          <w:color w:val="000000"/>
        </w:rPr>
        <w:t xml:space="preserve"> </w:t>
      </w:r>
      <w:r w:rsidRPr="00830781">
        <w:rPr>
          <w:color w:val="000000"/>
        </w:rPr>
        <w:t>While the a</w:t>
      </w:r>
      <w:r>
        <w:rPr>
          <w:color w:val="000000"/>
        </w:rPr>
        <w:t>ge-group stratification</w:t>
      </w:r>
      <w:r w:rsidRPr="00830781">
        <w:rPr>
          <w:color w:val="000000"/>
        </w:rPr>
        <w:t xml:space="preserve"> differs between BSS 2010 and</w:t>
      </w:r>
      <w:r>
        <w:rPr>
          <w:color w:val="000000"/>
        </w:rPr>
        <w:t xml:space="preserve"> our</w:t>
      </w:r>
      <w:r w:rsidRPr="00830781">
        <w:rPr>
          <w:color w:val="000000"/>
        </w:rPr>
        <w:t xml:space="preserve"> </w:t>
      </w:r>
      <w:r>
        <w:rPr>
          <w:color w:val="000000"/>
        </w:rPr>
        <w:t>model, we</w:t>
      </w:r>
      <w:r w:rsidRPr="00830781">
        <w:rPr>
          <w:color w:val="000000"/>
        </w:rPr>
        <w:t xml:space="preserve"> assume uniform distribution</w:t>
      </w:r>
      <w:r>
        <w:rPr>
          <w:color w:val="000000"/>
        </w:rPr>
        <w:t>s</w:t>
      </w:r>
      <w:r w:rsidRPr="00830781">
        <w:rPr>
          <w:color w:val="000000"/>
        </w:rPr>
        <w:t xml:space="preserve"> within each age-group in BSS 2010 to derive our own estimates.</w:t>
      </w:r>
    </w:p>
    <w:p w14:paraId="29F4082A" w14:textId="5FF72EF2" w:rsidR="000F1C47" w:rsidRPr="00493DE0" w:rsidRDefault="000F1C47" w:rsidP="002E50FA">
      <w:pPr>
        <w:pStyle w:val="BodyText"/>
        <w:numPr>
          <w:ilvl w:val="0"/>
          <w:numId w:val="23"/>
        </w:numPr>
        <w:spacing w:before="0" w:after="0"/>
        <w:jc w:val="both"/>
        <w:rPr>
          <w:color w:val="000000"/>
        </w:rPr>
      </w:pPr>
      <w:r w:rsidRPr="00493DE0">
        <w:rPr>
          <w:rFonts w:eastAsiaTheme="minorEastAsia"/>
          <w:b/>
          <w:bCs/>
          <w:i/>
          <w:iCs/>
        </w:rPr>
        <w:lastRenderedPageBreak/>
        <w:t xml:space="preserve">Size of </w:t>
      </w:r>
      <w:r>
        <w:rPr>
          <w:rFonts w:eastAsiaTheme="minorEastAsia"/>
          <w:b/>
          <w:bCs/>
          <w:i/>
          <w:iCs/>
        </w:rPr>
        <w:t>people</w:t>
      </w:r>
      <w:r w:rsidRPr="00493DE0">
        <w:rPr>
          <w:rFonts w:eastAsiaTheme="minorEastAsia"/>
          <w:b/>
          <w:bCs/>
          <w:i/>
          <w:iCs/>
        </w:rPr>
        <w:t xml:space="preserve"> living with HIV</w:t>
      </w:r>
      <w:r>
        <w:rPr>
          <w:rFonts w:eastAsiaTheme="minorEastAsia"/>
          <w:b/>
          <w:bCs/>
          <w:i/>
          <w:iCs/>
        </w:rPr>
        <w:t xml:space="preserve"> in each sub-population.</w:t>
      </w:r>
      <w:r w:rsidRPr="00493DE0">
        <w:rPr>
          <w:rFonts w:eastAsiaTheme="minorEastAsia"/>
          <w:b/>
          <w:bCs/>
        </w:rPr>
        <w:t xml:space="preserve"> </w:t>
      </w:r>
      <w:r w:rsidRPr="00493DE0">
        <w:rPr>
          <w:rFonts w:eastAsiaTheme="minorEastAsia"/>
        </w:rPr>
        <w:t xml:space="preserve">We estimate the size of </w:t>
      </w:r>
      <w:r>
        <w:rPr>
          <w:rFonts w:eastAsiaTheme="minorEastAsia"/>
        </w:rPr>
        <w:t>each sub-</w:t>
      </w:r>
      <w:r w:rsidRPr="00493DE0">
        <w:rPr>
          <w:rFonts w:eastAsiaTheme="minorEastAsia"/>
        </w:rPr>
        <w:t xml:space="preserve">population living with HIV by multiplying the size of </w:t>
      </w:r>
      <w:r>
        <w:rPr>
          <w:rFonts w:eastAsiaTheme="minorEastAsia"/>
        </w:rPr>
        <w:t xml:space="preserve">each </w:t>
      </w:r>
      <w:r w:rsidRPr="00493DE0">
        <w:rPr>
          <w:rFonts w:eastAsiaTheme="minorEastAsia"/>
        </w:rPr>
        <w:t xml:space="preserve">sub-population and </w:t>
      </w:r>
      <w:r>
        <w:rPr>
          <w:rFonts w:eastAsiaTheme="minorEastAsia"/>
        </w:rPr>
        <w:t xml:space="preserve">the </w:t>
      </w:r>
      <w:r w:rsidRPr="00493DE0">
        <w:rPr>
          <w:rFonts w:eastAsiaTheme="minorEastAsia"/>
        </w:rPr>
        <w:t>HIV prevalence.</w:t>
      </w:r>
    </w:p>
    <w:p w14:paraId="42B31CDB" w14:textId="20844845" w:rsidR="004D63E7" w:rsidRPr="00493DE0" w:rsidRDefault="004D63E7" w:rsidP="002E50FA">
      <w:pPr>
        <w:pStyle w:val="BodyText"/>
        <w:numPr>
          <w:ilvl w:val="0"/>
          <w:numId w:val="25"/>
        </w:numPr>
        <w:spacing w:before="0" w:after="0"/>
        <w:jc w:val="both"/>
        <w:rPr>
          <w:bCs/>
          <w:iCs/>
        </w:rPr>
      </w:pPr>
      <w:r w:rsidRPr="00493DE0">
        <w:rPr>
          <w:b/>
          <w:i/>
        </w:rPr>
        <w:t>Size of susceptible population in each sub-populatio</w:t>
      </w:r>
      <w:r w:rsidR="00373553">
        <w:rPr>
          <w:b/>
          <w:i/>
        </w:rPr>
        <w:t>n</w:t>
      </w:r>
      <w:r w:rsidR="00FC79F9">
        <w:rPr>
          <w:b/>
          <w:i/>
        </w:rPr>
        <w:t>.</w:t>
      </w:r>
      <w:r w:rsidRPr="00493DE0">
        <w:rPr>
          <w:b/>
          <w:i/>
        </w:rPr>
        <w:t xml:space="preserve"> </w:t>
      </w:r>
      <w:r w:rsidRPr="00493DE0">
        <w:rPr>
          <w:bCs/>
          <w:iCs/>
        </w:rPr>
        <w:t xml:space="preserve">We estimate the size of </w:t>
      </w:r>
      <w:r>
        <w:rPr>
          <w:bCs/>
          <w:iCs/>
        </w:rPr>
        <w:t xml:space="preserve">each </w:t>
      </w:r>
      <w:r w:rsidRPr="00493DE0">
        <w:rPr>
          <w:bCs/>
          <w:iCs/>
        </w:rPr>
        <w:t>susceptible population by subtracting the people living with HI</w:t>
      </w:r>
      <w:r w:rsidR="000F1C47">
        <w:rPr>
          <w:bCs/>
          <w:iCs/>
        </w:rPr>
        <w:t>V from the size of total population in each sub-population</w:t>
      </w:r>
      <w:r w:rsidRPr="00493DE0">
        <w:rPr>
          <w:bCs/>
          <w:iCs/>
        </w:rPr>
        <w:t xml:space="preserve">. </w:t>
      </w:r>
    </w:p>
    <w:p w14:paraId="4FBD365A" w14:textId="77777777" w:rsidR="000938D7" w:rsidRDefault="000938D7">
      <w:pPr>
        <w:ind w:left="720"/>
        <w:jc w:val="both"/>
        <w:rPr>
          <w:color w:val="000000"/>
        </w:rPr>
      </w:pPr>
    </w:p>
    <w:p w14:paraId="2F0DBCD5" w14:textId="7417A828" w:rsidR="004D63E7" w:rsidRPr="00710211" w:rsidRDefault="004D63E7" w:rsidP="00E71320">
      <w:pPr>
        <w:keepNext/>
        <w:rPr>
          <w:b/>
          <w:bCs/>
          <w:color w:val="000000" w:themeColor="text1"/>
        </w:rPr>
      </w:pPr>
      <w:bookmarkStart w:id="105" w:name="_Ref82420864"/>
      <w:bookmarkStart w:id="106" w:name="_Ref82420853"/>
      <w:bookmarkStart w:id="107" w:name="_Toc82448069"/>
      <w:bookmarkStart w:id="108" w:name="_Toc82592500"/>
      <w:bookmarkStart w:id="109" w:name="_Toc82599265"/>
      <w:r w:rsidRPr="00710211">
        <w:rPr>
          <w:b/>
          <w:bCs/>
          <w:color w:val="000000" w:themeColor="text1"/>
        </w:rPr>
        <w:t xml:space="preserve">Table </w:t>
      </w:r>
      <w:r w:rsidRPr="00710211">
        <w:rPr>
          <w:b/>
          <w:bCs/>
          <w:color w:val="000000" w:themeColor="text1"/>
        </w:rPr>
        <w:fldChar w:fldCharType="begin"/>
      </w:r>
      <w:r w:rsidRPr="00710211">
        <w:rPr>
          <w:b/>
          <w:bCs/>
          <w:color w:val="000000" w:themeColor="text1"/>
        </w:rPr>
        <w:instrText xml:space="preserve"> SEQ Table \* ARABIC </w:instrText>
      </w:r>
      <w:r w:rsidRPr="00710211">
        <w:rPr>
          <w:b/>
          <w:bCs/>
          <w:color w:val="000000" w:themeColor="text1"/>
        </w:rPr>
        <w:fldChar w:fldCharType="separate"/>
      </w:r>
      <w:r w:rsidR="001E49BE">
        <w:rPr>
          <w:b/>
          <w:bCs/>
          <w:noProof/>
          <w:color w:val="000000" w:themeColor="text1"/>
        </w:rPr>
        <w:t>6</w:t>
      </w:r>
      <w:r w:rsidRPr="00710211">
        <w:rPr>
          <w:b/>
          <w:bCs/>
          <w:color w:val="000000" w:themeColor="text1"/>
        </w:rPr>
        <w:fldChar w:fldCharType="end"/>
      </w:r>
      <w:bookmarkEnd w:id="105"/>
      <w:r w:rsidR="00DF0965">
        <w:rPr>
          <w:b/>
          <w:bCs/>
          <w:color w:val="000000" w:themeColor="text1"/>
        </w:rPr>
        <w:t>.</w:t>
      </w:r>
      <w:r w:rsidR="00DF0965" w:rsidRPr="00710211">
        <w:rPr>
          <w:b/>
          <w:bCs/>
          <w:color w:val="000000" w:themeColor="text1"/>
        </w:rPr>
        <w:t xml:space="preserve"> </w:t>
      </w:r>
      <w:bookmarkStart w:id="110" w:name="_Hlk74741261"/>
      <w:r w:rsidRPr="00710211">
        <w:rPr>
          <w:b/>
          <w:bCs/>
          <w:color w:val="000000" w:themeColor="text1"/>
        </w:rPr>
        <w:t>Initial population size by sub-population and HIV status</w:t>
      </w:r>
      <w:bookmarkEnd w:id="106"/>
      <w:bookmarkEnd w:id="107"/>
      <w:bookmarkEnd w:id="108"/>
      <w:bookmarkEnd w:id="109"/>
      <w:bookmarkEnd w:id="1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0"/>
        <w:gridCol w:w="1795"/>
        <w:gridCol w:w="1528"/>
        <w:gridCol w:w="1528"/>
        <w:gridCol w:w="1528"/>
        <w:gridCol w:w="11"/>
      </w:tblGrid>
      <w:tr w:rsidR="004D63E7" w:rsidRPr="008018B6" w14:paraId="44AFD989" w14:textId="77777777" w:rsidTr="00CE3F12">
        <w:trPr>
          <w:gridAfter w:val="1"/>
          <w:wAfter w:w="6" w:type="pct"/>
          <w:trHeight w:val="620"/>
        </w:trPr>
        <w:tc>
          <w:tcPr>
            <w:tcW w:w="1583" w:type="pct"/>
            <w:shd w:val="clear" w:color="auto" w:fill="auto"/>
            <w:noWrap/>
            <w:vAlign w:val="bottom"/>
            <w:hideMark/>
          </w:tcPr>
          <w:p w14:paraId="3D11F2F3" w14:textId="77777777" w:rsidR="004D63E7" w:rsidRPr="00CE3F12" w:rsidRDefault="004D63E7" w:rsidP="00E71320">
            <w:pPr>
              <w:jc w:val="both"/>
              <w:rPr>
                <w:b/>
                <w:color w:val="000000"/>
                <w:sz w:val="20"/>
                <w:szCs w:val="20"/>
              </w:rPr>
            </w:pPr>
            <w:r w:rsidRPr="00CE3F12">
              <w:rPr>
                <w:b/>
                <w:color w:val="000000"/>
                <w:sz w:val="20"/>
                <w:szCs w:val="20"/>
              </w:rPr>
              <w:t>Sub-population</w:t>
            </w:r>
          </w:p>
        </w:tc>
        <w:tc>
          <w:tcPr>
            <w:tcW w:w="960" w:type="pct"/>
            <w:shd w:val="clear" w:color="auto" w:fill="auto"/>
            <w:noWrap/>
            <w:vAlign w:val="bottom"/>
            <w:hideMark/>
          </w:tcPr>
          <w:p w14:paraId="74A21743" w14:textId="3C5C02B7" w:rsidR="004D63E7" w:rsidRPr="00CE3F12" w:rsidRDefault="004D63E7" w:rsidP="00E71320">
            <w:pPr>
              <w:jc w:val="both"/>
              <w:rPr>
                <w:b/>
                <w:color w:val="000000"/>
                <w:sz w:val="20"/>
                <w:szCs w:val="20"/>
              </w:rPr>
            </w:pPr>
            <w:r w:rsidRPr="00CE3F12">
              <w:rPr>
                <w:b/>
                <w:color w:val="000000"/>
                <w:sz w:val="20"/>
                <w:szCs w:val="20"/>
              </w:rPr>
              <w:t>Total population (2003), n</w:t>
            </w:r>
          </w:p>
        </w:tc>
        <w:tc>
          <w:tcPr>
            <w:tcW w:w="817" w:type="pct"/>
            <w:shd w:val="clear" w:color="auto" w:fill="auto"/>
            <w:noWrap/>
            <w:vAlign w:val="bottom"/>
            <w:hideMark/>
          </w:tcPr>
          <w:p w14:paraId="09634E05" w14:textId="478E324B" w:rsidR="004D63E7" w:rsidRPr="00CE3F12" w:rsidRDefault="004D63E7" w:rsidP="00E71320">
            <w:pPr>
              <w:jc w:val="both"/>
              <w:rPr>
                <w:b/>
                <w:color w:val="000000"/>
                <w:sz w:val="20"/>
                <w:szCs w:val="20"/>
              </w:rPr>
            </w:pPr>
            <w:r w:rsidRPr="00CE3F12">
              <w:rPr>
                <w:b/>
                <w:color w:val="000000"/>
                <w:sz w:val="20"/>
                <w:szCs w:val="20"/>
              </w:rPr>
              <w:t xml:space="preserve">HIV </w:t>
            </w:r>
            <w:proofErr w:type="spellStart"/>
            <w:proofErr w:type="gramStart"/>
            <w:r w:rsidRPr="00CE3F12">
              <w:rPr>
                <w:b/>
                <w:color w:val="000000"/>
                <w:sz w:val="20"/>
                <w:szCs w:val="20"/>
              </w:rPr>
              <w:t>prevalence,</w:t>
            </w:r>
            <w:r w:rsidRPr="00CE3F12">
              <w:rPr>
                <w:b/>
                <w:color w:val="000000"/>
                <w:sz w:val="20"/>
                <w:szCs w:val="20"/>
                <w:vertAlign w:val="superscript"/>
              </w:rPr>
              <w:t>a</w:t>
            </w:r>
            <w:proofErr w:type="spellEnd"/>
            <w:proofErr w:type="gramEnd"/>
            <w:r w:rsidRPr="00CE3F12">
              <w:rPr>
                <w:b/>
                <w:color w:val="000000"/>
                <w:sz w:val="20"/>
                <w:szCs w:val="20"/>
              </w:rPr>
              <w:t xml:space="preserve"> %</w:t>
            </w:r>
          </w:p>
        </w:tc>
        <w:tc>
          <w:tcPr>
            <w:tcW w:w="817" w:type="pct"/>
            <w:vAlign w:val="bottom"/>
          </w:tcPr>
          <w:p w14:paraId="41B4BFDA" w14:textId="77777777" w:rsidR="004D63E7" w:rsidRPr="00CE3F12" w:rsidRDefault="004D63E7" w:rsidP="00E71320">
            <w:pPr>
              <w:jc w:val="both"/>
              <w:rPr>
                <w:b/>
                <w:color w:val="000000"/>
                <w:sz w:val="20"/>
                <w:szCs w:val="20"/>
              </w:rPr>
            </w:pPr>
            <w:r w:rsidRPr="00CE3F12">
              <w:rPr>
                <w:b/>
                <w:color w:val="000000"/>
                <w:sz w:val="20"/>
                <w:szCs w:val="20"/>
              </w:rPr>
              <w:t>People living with HIV, n</w:t>
            </w:r>
          </w:p>
        </w:tc>
        <w:tc>
          <w:tcPr>
            <w:tcW w:w="817" w:type="pct"/>
            <w:vAlign w:val="bottom"/>
          </w:tcPr>
          <w:p w14:paraId="4E30E436" w14:textId="77777777" w:rsidR="004D63E7" w:rsidRPr="00CE3F12" w:rsidRDefault="004D63E7" w:rsidP="002C3EFA">
            <w:pPr>
              <w:jc w:val="both"/>
              <w:rPr>
                <w:b/>
                <w:color w:val="000000"/>
                <w:sz w:val="20"/>
                <w:szCs w:val="20"/>
              </w:rPr>
            </w:pPr>
            <w:r w:rsidRPr="00CE3F12">
              <w:rPr>
                <w:b/>
                <w:color w:val="000000"/>
                <w:sz w:val="20"/>
                <w:szCs w:val="20"/>
              </w:rPr>
              <w:t>Susceptible population, n</w:t>
            </w:r>
          </w:p>
        </w:tc>
      </w:tr>
      <w:tr w:rsidR="004D63E7" w:rsidRPr="008018B6" w14:paraId="5CEE8A10" w14:textId="77777777" w:rsidTr="00CE3F12">
        <w:trPr>
          <w:gridAfter w:val="1"/>
          <w:wAfter w:w="6" w:type="pct"/>
          <w:trHeight w:val="300"/>
        </w:trPr>
        <w:tc>
          <w:tcPr>
            <w:tcW w:w="1583" w:type="pct"/>
            <w:shd w:val="clear" w:color="auto" w:fill="auto"/>
            <w:noWrap/>
            <w:vAlign w:val="bottom"/>
            <w:hideMark/>
          </w:tcPr>
          <w:p w14:paraId="29394885" w14:textId="77777777" w:rsidR="004D63E7" w:rsidRPr="00596193" w:rsidRDefault="004D63E7" w:rsidP="00122CDD">
            <w:pPr>
              <w:jc w:val="both"/>
              <w:rPr>
                <w:color w:val="000000"/>
                <w:sz w:val="20"/>
                <w:szCs w:val="20"/>
              </w:rPr>
            </w:pPr>
            <w:r w:rsidRPr="00596193">
              <w:rPr>
                <w:color w:val="000000"/>
                <w:sz w:val="20"/>
                <w:szCs w:val="20"/>
              </w:rPr>
              <w:t>Low-risk urban women (15-24)</w:t>
            </w:r>
          </w:p>
        </w:tc>
        <w:tc>
          <w:tcPr>
            <w:tcW w:w="960" w:type="pct"/>
            <w:shd w:val="clear" w:color="auto" w:fill="auto"/>
            <w:noWrap/>
            <w:vAlign w:val="bottom"/>
            <w:hideMark/>
          </w:tcPr>
          <w:p w14:paraId="159FD170" w14:textId="71AF4572" w:rsidR="004D63E7" w:rsidRPr="00596193" w:rsidRDefault="004D63E7" w:rsidP="001D10D4">
            <w:pPr>
              <w:jc w:val="both"/>
              <w:rPr>
                <w:color w:val="000000"/>
                <w:sz w:val="20"/>
                <w:szCs w:val="20"/>
              </w:rPr>
            </w:pPr>
            <w:r w:rsidRPr="00596193">
              <w:rPr>
                <w:color w:val="000000"/>
                <w:sz w:val="20"/>
                <w:szCs w:val="20"/>
              </w:rPr>
              <w:t>174</w:t>
            </w:r>
            <w:r w:rsidR="000F1C47">
              <w:rPr>
                <w:color w:val="000000"/>
                <w:sz w:val="20"/>
                <w:szCs w:val="20"/>
              </w:rPr>
              <w:t>,</w:t>
            </w:r>
            <w:r w:rsidRPr="00596193">
              <w:rPr>
                <w:color w:val="000000"/>
                <w:sz w:val="20"/>
                <w:szCs w:val="20"/>
              </w:rPr>
              <w:t>420</w:t>
            </w:r>
          </w:p>
        </w:tc>
        <w:tc>
          <w:tcPr>
            <w:tcW w:w="817" w:type="pct"/>
            <w:shd w:val="clear" w:color="auto" w:fill="auto"/>
            <w:noWrap/>
            <w:vAlign w:val="bottom"/>
            <w:hideMark/>
          </w:tcPr>
          <w:p w14:paraId="2F32753A" w14:textId="77777777" w:rsidR="004D63E7" w:rsidRPr="00596193" w:rsidRDefault="004D63E7" w:rsidP="00527179">
            <w:pPr>
              <w:jc w:val="both"/>
              <w:rPr>
                <w:color w:val="000000"/>
                <w:sz w:val="20"/>
                <w:szCs w:val="20"/>
              </w:rPr>
            </w:pPr>
            <w:r w:rsidRPr="00596193">
              <w:rPr>
                <w:color w:val="000000"/>
                <w:sz w:val="20"/>
                <w:szCs w:val="20"/>
              </w:rPr>
              <w:t>4.04</w:t>
            </w:r>
          </w:p>
        </w:tc>
        <w:tc>
          <w:tcPr>
            <w:tcW w:w="817" w:type="pct"/>
            <w:vAlign w:val="bottom"/>
          </w:tcPr>
          <w:p w14:paraId="3DC80D1C" w14:textId="727F8538" w:rsidR="004D63E7" w:rsidRPr="00596193" w:rsidRDefault="004D63E7" w:rsidP="00527179">
            <w:pPr>
              <w:jc w:val="both"/>
              <w:rPr>
                <w:color w:val="000000"/>
                <w:sz w:val="20"/>
                <w:szCs w:val="20"/>
              </w:rPr>
            </w:pPr>
            <w:r w:rsidRPr="00596193">
              <w:rPr>
                <w:color w:val="000000"/>
                <w:sz w:val="20"/>
                <w:szCs w:val="20"/>
              </w:rPr>
              <w:t>7</w:t>
            </w:r>
            <w:r w:rsidR="000F1C47">
              <w:rPr>
                <w:color w:val="000000"/>
                <w:sz w:val="20"/>
                <w:szCs w:val="20"/>
              </w:rPr>
              <w:t>,</w:t>
            </w:r>
            <w:r w:rsidRPr="00596193">
              <w:rPr>
                <w:color w:val="000000"/>
                <w:sz w:val="20"/>
                <w:szCs w:val="20"/>
              </w:rPr>
              <w:t>047</w:t>
            </w:r>
          </w:p>
        </w:tc>
        <w:tc>
          <w:tcPr>
            <w:tcW w:w="817" w:type="pct"/>
            <w:vAlign w:val="bottom"/>
          </w:tcPr>
          <w:p w14:paraId="3EABB93F" w14:textId="7056C868" w:rsidR="004D63E7" w:rsidRPr="00596193" w:rsidRDefault="004D63E7" w:rsidP="00527179">
            <w:pPr>
              <w:jc w:val="both"/>
              <w:rPr>
                <w:color w:val="000000"/>
                <w:sz w:val="20"/>
                <w:szCs w:val="20"/>
              </w:rPr>
            </w:pPr>
            <w:r w:rsidRPr="00910FD4">
              <w:rPr>
                <w:color w:val="000000"/>
                <w:sz w:val="20"/>
                <w:szCs w:val="20"/>
              </w:rPr>
              <w:t>167</w:t>
            </w:r>
            <w:r w:rsidR="000F1C47">
              <w:rPr>
                <w:color w:val="000000"/>
                <w:sz w:val="20"/>
                <w:szCs w:val="20"/>
              </w:rPr>
              <w:t>,</w:t>
            </w:r>
            <w:r w:rsidRPr="00910FD4">
              <w:rPr>
                <w:color w:val="000000"/>
                <w:sz w:val="20"/>
                <w:szCs w:val="20"/>
              </w:rPr>
              <w:t>373</w:t>
            </w:r>
          </w:p>
        </w:tc>
      </w:tr>
      <w:tr w:rsidR="004D63E7" w:rsidRPr="008018B6" w14:paraId="73B636B9" w14:textId="77777777" w:rsidTr="00CE3F12">
        <w:trPr>
          <w:gridAfter w:val="1"/>
          <w:wAfter w:w="6" w:type="pct"/>
          <w:trHeight w:val="300"/>
        </w:trPr>
        <w:tc>
          <w:tcPr>
            <w:tcW w:w="1583" w:type="pct"/>
            <w:shd w:val="clear" w:color="auto" w:fill="auto"/>
            <w:noWrap/>
            <w:vAlign w:val="bottom"/>
            <w:hideMark/>
          </w:tcPr>
          <w:p w14:paraId="46338265" w14:textId="77777777" w:rsidR="004D63E7" w:rsidRPr="00596193" w:rsidRDefault="004D63E7" w:rsidP="00122CDD">
            <w:pPr>
              <w:jc w:val="both"/>
              <w:rPr>
                <w:color w:val="000000"/>
                <w:sz w:val="20"/>
                <w:szCs w:val="20"/>
              </w:rPr>
            </w:pPr>
            <w:r w:rsidRPr="00596193">
              <w:rPr>
                <w:color w:val="000000"/>
                <w:sz w:val="20"/>
                <w:szCs w:val="20"/>
              </w:rPr>
              <w:t>Low-risk urban women (25-34)</w:t>
            </w:r>
          </w:p>
        </w:tc>
        <w:tc>
          <w:tcPr>
            <w:tcW w:w="960" w:type="pct"/>
            <w:shd w:val="clear" w:color="auto" w:fill="auto"/>
            <w:noWrap/>
            <w:vAlign w:val="bottom"/>
            <w:hideMark/>
          </w:tcPr>
          <w:p w14:paraId="411E3CD3" w14:textId="6C0807AB" w:rsidR="004D63E7" w:rsidRPr="00596193" w:rsidRDefault="004D63E7" w:rsidP="001D10D4">
            <w:pPr>
              <w:jc w:val="both"/>
              <w:rPr>
                <w:color w:val="000000"/>
                <w:sz w:val="20"/>
                <w:szCs w:val="20"/>
              </w:rPr>
            </w:pPr>
            <w:r w:rsidRPr="00596193">
              <w:rPr>
                <w:color w:val="000000"/>
                <w:sz w:val="20"/>
                <w:szCs w:val="20"/>
              </w:rPr>
              <w:t>96</w:t>
            </w:r>
            <w:r w:rsidR="000F1C47">
              <w:rPr>
                <w:color w:val="000000"/>
                <w:sz w:val="20"/>
                <w:szCs w:val="20"/>
              </w:rPr>
              <w:t>,</w:t>
            </w:r>
            <w:r w:rsidRPr="00596193">
              <w:rPr>
                <w:color w:val="000000"/>
                <w:sz w:val="20"/>
                <w:szCs w:val="20"/>
              </w:rPr>
              <w:t>551</w:t>
            </w:r>
          </w:p>
        </w:tc>
        <w:tc>
          <w:tcPr>
            <w:tcW w:w="817" w:type="pct"/>
            <w:shd w:val="clear" w:color="auto" w:fill="auto"/>
            <w:noWrap/>
            <w:vAlign w:val="bottom"/>
            <w:hideMark/>
          </w:tcPr>
          <w:p w14:paraId="40104637" w14:textId="77777777" w:rsidR="004D63E7" w:rsidRPr="00596193" w:rsidRDefault="004D63E7" w:rsidP="00527179">
            <w:pPr>
              <w:jc w:val="both"/>
              <w:rPr>
                <w:color w:val="000000"/>
                <w:sz w:val="20"/>
                <w:szCs w:val="20"/>
              </w:rPr>
            </w:pPr>
            <w:r w:rsidRPr="00596193">
              <w:rPr>
                <w:color w:val="000000"/>
                <w:sz w:val="20"/>
                <w:szCs w:val="20"/>
              </w:rPr>
              <w:t>9.43</w:t>
            </w:r>
          </w:p>
        </w:tc>
        <w:tc>
          <w:tcPr>
            <w:tcW w:w="817" w:type="pct"/>
            <w:vAlign w:val="bottom"/>
          </w:tcPr>
          <w:p w14:paraId="4B628478" w14:textId="2126B7B9" w:rsidR="004D63E7" w:rsidRPr="00596193" w:rsidRDefault="004D63E7" w:rsidP="00527179">
            <w:pPr>
              <w:jc w:val="both"/>
              <w:rPr>
                <w:color w:val="000000"/>
                <w:sz w:val="20"/>
                <w:szCs w:val="20"/>
              </w:rPr>
            </w:pPr>
            <w:r w:rsidRPr="00596193">
              <w:rPr>
                <w:color w:val="000000"/>
                <w:sz w:val="20"/>
                <w:szCs w:val="20"/>
              </w:rPr>
              <w:t>9</w:t>
            </w:r>
            <w:r w:rsidR="000F1C47">
              <w:rPr>
                <w:color w:val="000000"/>
                <w:sz w:val="20"/>
                <w:szCs w:val="20"/>
              </w:rPr>
              <w:t>,</w:t>
            </w:r>
            <w:r w:rsidRPr="00596193">
              <w:rPr>
                <w:color w:val="000000"/>
                <w:sz w:val="20"/>
                <w:szCs w:val="20"/>
              </w:rPr>
              <w:t>105</w:t>
            </w:r>
          </w:p>
        </w:tc>
        <w:tc>
          <w:tcPr>
            <w:tcW w:w="817" w:type="pct"/>
            <w:vAlign w:val="bottom"/>
          </w:tcPr>
          <w:p w14:paraId="1D80DD4B" w14:textId="4C53349E" w:rsidR="004D63E7" w:rsidRPr="00596193" w:rsidRDefault="004D63E7" w:rsidP="00527179">
            <w:pPr>
              <w:jc w:val="both"/>
              <w:rPr>
                <w:color w:val="000000"/>
                <w:sz w:val="20"/>
                <w:szCs w:val="20"/>
              </w:rPr>
            </w:pPr>
            <w:r w:rsidRPr="00910FD4">
              <w:rPr>
                <w:color w:val="000000"/>
                <w:sz w:val="20"/>
                <w:szCs w:val="20"/>
              </w:rPr>
              <w:t>87</w:t>
            </w:r>
            <w:r w:rsidR="000F1C47">
              <w:rPr>
                <w:color w:val="000000"/>
                <w:sz w:val="20"/>
                <w:szCs w:val="20"/>
              </w:rPr>
              <w:t>,</w:t>
            </w:r>
            <w:r w:rsidRPr="00910FD4">
              <w:rPr>
                <w:color w:val="000000"/>
                <w:sz w:val="20"/>
                <w:szCs w:val="20"/>
              </w:rPr>
              <w:t>446</w:t>
            </w:r>
          </w:p>
        </w:tc>
      </w:tr>
      <w:tr w:rsidR="004D63E7" w:rsidRPr="008018B6" w14:paraId="42A5A3DF" w14:textId="77777777" w:rsidTr="00CE3F12">
        <w:trPr>
          <w:gridAfter w:val="1"/>
          <w:wAfter w:w="6" w:type="pct"/>
          <w:trHeight w:val="300"/>
        </w:trPr>
        <w:tc>
          <w:tcPr>
            <w:tcW w:w="1583" w:type="pct"/>
            <w:shd w:val="clear" w:color="auto" w:fill="auto"/>
            <w:noWrap/>
            <w:vAlign w:val="bottom"/>
            <w:hideMark/>
          </w:tcPr>
          <w:p w14:paraId="305E450E" w14:textId="77777777" w:rsidR="004D63E7" w:rsidRPr="00596193" w:rsidRDefault="004D63E7" w:rsidP="00122CDD">
            <w:pPr>
              <w:jc w:val="both"/>
              <w:rPr>
                <w:color w:val="000000"/>
                <w:sz w:val="20"/>
                <w:szCs w:val="20"/>
              </w:rPr>
            </w:pPr>
            <w:r w:rsidRPr="00596193">
              <w:rPr>
                <w:color w:val="000000"/>
                <w:sz w:val="20"/>
                <w:szCs w:val="20"/>
              </w:rPr>
              <w:t>Low-risk urban women (35-44)</w:t>
            </w:r>
          </w:p>
        </w:tc>
        <w:tc>
          <w:tcPr>
            <w:tcW w:w="960" w:type="pct"/>
            <w:shd w:val="clear" w:color="auto" w:fill="auto"/>
            <w:noWrap/>
            <w:vAlign w:val="bottom"/>
            <w:hideMark/>
          </w:tcPr>
          <w:p w14:paraId="2B8BE8A7" w14:textId="0B1B22A3" w:rsidR="004D63E7" w:rsidRPr="00596193" w:rsidRDefault="004D63E7" w:rsidP="001D10D4">
            <w:pPr>
              <w:jc w:val="both"/>
              <w:rPr>
                <w:color w:val="000000"/>
                <w:sz w:val="20"/>
                <w:szCs w:val="20"/>
              </w:rPr>
            </w:pPr>
            <w:r w:rsidRPr="00596193">
              <w:rPr>
                <w:color w:val="000000"/>
                <w:sz w:val="20"/>
                <w:szCs w:val="20"/>
              </w:rPr>
              <w:t>69</w:t>
            </w:r>
            <w:r w:rsidR="000F1C47">
              <w:rPr>
                <w:color w:val="000000"/>
                <w:sz w:val="20"/>
                <w:szCs w:val="20"/>
              </w:rPr>
              <w:t>,</w:t>
            </w:r>
            <w:r w:rsidRPr="00596193">
              <w:rPr>
                <w:color w:val="000000"/>
                <w:sz w:val="20"/>
                <w:szCs w:val="20"/>
              </w:rPr>
              <w:t>640</w:t>
            </w:r>
          </w:p>
        </w:tc>
        <w:tc>
          <w:tcPr>
            <w:tcW w:w="817" w:type="pct"/>
            <w:shd w:val="clear" w:color="auto" w:fill="auto"/>
            <w:noWrap/>
            <w:vAlign w:val="bottom"/>
            <w:hideMark/>
          </w:tcPr>
          <w:p w14:paraId="31691BD8" w14:textId="77777777" w:rsidR="004D63E7" w:rsidRPr="00596193" w:rsidRDefault="004D63E7" w:rsidP="00527179">
            <w:pPr>
              <w:jc w:val="both"/>
              <w:rPr>
                <w:color w:val="000000"/>
                <w:sz w:val="20"/>
                <w:szCs w:val="20"/>
              </w:rPr>
            </w:pPr>
            <w:r w:rsidRPr="00596193">
              <w:rPr>
                <w:color w:val="000000"/>
                <w:sz w:val="20"/>
                <w:szCs w:val="20"/>
              </w:rPr>
              <w:t>19.13</w:t>
            </w:r>
          </w:p>
        </w:tc>
        <w:tc>
          <w:tcPr>
            <w:tcW w:w="817" w:type="pct"/>
            <w:vAlign w:val="bottom"/>
          </w:tcPr>
          <w:p w14:paraId="285E0AC2" w14:textId="4BCD3D37" w:rsidR="004D63E7" w:rsidRPr="00596193" w:rsidRDefault="004D63E7" w:rsidP="00527179">
            <w:pPr>
              <w:jc w:val="both"/>
              <w:rPr>
                <w:color w:val="000000"/>
                <w:sz w:val="20"/>
                <w:szCs w:val="20"/>
              </w:rPr>
            </w:pPr>
            <w:r w:rsidRPr="00596193">
              <w:rPr>
                <w:color w:val="000000"/>
                <w:sz w:val="20"/>
                <w:szCs w:val="20"/>
              </w:rPr>
              <w:t>13</w:t>
            </w:r>
            <w:r w:rsidR="000F1C47">
              <w:rPr>
                <w:color w:val="000000"/>
                <w:sz w:val="20"/>
                <w:szCs w:val="20"/>
              </w:rPr>
              <w:t>,</w:t>
            </w:r>
            <w:r w:rsidRPr="00596193">
              <w:rPr>
                <w:color w:val="000000"/>
                <w:sz w:val="20"/>
                <w:szCs w:val="20"/>
              </w:rPr>
              <w:t>322</w:t>
            </w:r>
          </w:p>
        </w:tc>
        <w:tc>
          <w:tcPr>
            <w:tcW w:w="817" w:type="pct"/>
            <w:vAlign w:val="bottom"/>
          </w:tcPr>
          <w:p w14:paraId="3ACF6D6C" w14:textId="2F166E89" w:rsidR="004D63E7" w:rsidRPr="00596193" w:rsidRDefault="004D63E7" w:rsidP="00527179">
            <w:pPr>
              <w:jc w:val="both"/>
              <w:rPr>
                <w:color w:val="000000"/>
                <w:sz w:val="20"/>
                <w:szCs w:val="20"/>
              </w:rPr>
            </w:pPr>
            <w:r w:rsidRPr="00910FD4">
              <w:rPr>
                <w:color w:val="000000"/>
                <w:sz w:val="20"/>
                <w:szCs w:val="20"/>
              </w:rPr>
              <w:t>56</w:t>
            </w:r>
            <w:r w:rsidR="000F1C47">
              <w:rPr>
                <w:color w:val="000000"/>
                <w:sz w:val="20"/>
                <w:szCs w:val="20"/>
              </w:rPr>
              <w:t>,</w:t>
            </w:r>
            <w:r w:rsidRPr="00910FD4">
              <w:rPr>
                <w:color w:val="000000"/>
                <w:sz w:val="20"/>
                <w:szCs w:val="20"/>
              </w:rPr>
              <w:t>318</w:t>
            </w:r>
          </w:p>
        </w:tc>
      </w:tr>
      <w:tr w:rsidR="004D63E7" w:rsidRPr="008018B6" w14:paraId="23804FCF" w14:textId="77777777" w:rsidTr="00CE3F12">
        <w:trPr>
          <w:gridAfter w:val="1"/>
          <w:wAfter w:w="6" w:type="pct"/>
          <w:trHeight w:val="300"/>
        </w:trPr>
        <w:tc>
          <w:tcPr>
            <w:tcW w:w="1583" w:type="pct"/>
            <w:shd w:val="clear" w:color="auto" w:fill="auto"/>
            <w:noWrap/>
            <w:vAlign w:val="bottom"/>
            <w:hideMark/>
          </w:tcPr>
          <w:p w14:paraId="678C8178" w14:textId="77777777" w:rsidR="004D63E7" w:rsidRPr="00596193" w:rsidRDefault="004D63E7" w:rsidP="00122CDD">
            <w:pPr>
              <w:jc w:val="both"/>
              <w:rPr>
                <w:color w:val="000000"/>
                <w:sz w:val="20"/>
                <w:szCs w:val="20"/>
              </w:rPr>
            </w:pPr>
            <w:r w:rsidRPr="00596193">
              <w:rPr>
                <w:color w:val="000000"/>
                <w:sz w:val="20"/>
                <w:szCs w:val="20"/>
              </w:rPr>
              <w:t>Low-risk urban women (45-54)</w:t>
            </w:r>
          </w:p>
        </w:tc>
        <w:tc>
          <w:tcPr>
            <w:tcW w:w="960" w:type="pct"/>
            <w:shd w:val="clear" w:color="auto" w:fill="auto"/>
            <w:noWrap/>
            <w:vAlign w:val="bottom"/>
            <w:hideMark/>
          </w:tcPr>
          <w:p w14:paraId="144FC22C" w14:textId="2B0C6FE7" w:rsidR="004D63E7" w:rsidRPr="00596193" w:rsidRDefault="004D63E7" w:rsidP="001D10D4">
            <w:pPr>
              <w:jc w:val="both"/>
              <w:rPr>
                <w:color w:val="000000"/>
                <w:sz w:val="20"/>
                <w:szCs w:val="20"/>
              </w:rPr>
            </w:pPr>
            <w:r w:rsidRPr="00596193">
              <w:rPr>
                <w:color w:val="000000"/>
                <w:sz w:val="20"/>
                <w:szCs w:val="20"/>
              </w:rPr>
              <w:t>45</w:t>
            </w:r>
            <w:r w:rsidR="000F1C47">
              <w:rPr>
                <w:color w:val="000000"/>
                <w:sz w:val="20"/>
                <w:szCs w:val="20"/>
              </w:rPr>
              <w:t>,</w:t>
            </w:r>
            <w:r w:rsidRPr="00596193">
              <w:rPr>
                <w:color w:val="000000"/>
                <w:sz w:val="20"/>
                <w:szCs w:val="20"/>
              </w:rPr>
              <w:t>588</w:t>
            </w:r>
          </w:p>
        </w:tc>
        <w:tc>
          <w:tcPr>
            <w:tcW w:w="817" w:type="pct"/>
            <w:shd w:val="clear" w:color="auto" w:fill="auto"/>
            <w:noWrap/>
            <w:vAlign w:val="bottom"/>
            <w:hideMark/>
          </w:tcPr>
          <w:p w14:paraId="52D8C2D6" w14:textId="77777777" w:rsidR="004D63E7" w:rsidRPr="00596193" w:rsidRDefault="004D63E7" w:rsidP="00527179">
            <w:pPr>
              <w:jc w:val="both"/>
              <w:rPr>
                <w:color w:val="000000"/>
                <w:sz w:val="20"/>
                <w:szCs w:val="20"/>
              </w:rPr>
            </w:pPr>
            <w:r w:rsidRPr="00596193">
              <w:rPr>
                <w:color w:val="000000"/>
                <w:sz w:val="20"/>
                <w:szCs w:val="20"/>
              </w:rPr>
              <w:t>7.57</w:t>
            </w:r>
          </w:p>
        </w:tc>
        <w:tc>
          <w:tcPr>
            <w:tcW w:w="817" w:type="pct"/>
            <w:vAlign w:val="bottom"/>
          </w:tcPr>
          <w:p w14:paraId="60B77610" w14:textId="1BB23FB3" w:rsidR="004D63E7" w:rsidRPr="00596193" w:rsidRDefault="004D63E7" w:rsidP="00527179">
            <w:pPr>
              <w:jc w:val="both"/>
              <w:rPr>
                <w:color w:val="000000"/>
                <w:sz w:val="20"/>
                <w:szCs w:val="20"/>
              </w:rPr>
            </w:pPr>
            <w:r w:rsidRPr="00596193">
              <w:rPr>
                <w:color w:val="000000"/>
                <w:sz w:val="20"/>
                <w:szCs w:val="20"/>
              </w:rPr>
              <w:t>3</w:t>
            </w:r>
            <w:r w:rsidR="000F1C47">
              <w:rPr>
                <w:color w:val="000000"/>
                <w:sz w:val="20"/>
                <w:szCs w:val="20"/>
              </w:rPr>
              <w:t>,</w:t>
            </w:r>
            <w:r w:rsidRPr="00596193">
              <w:rPr>
                <w:color w:val="000000"/>
                <w:sz w:val="20"/>
                <w:szCs w:val="20"/>
              </w:rPr>
              <w:t>451</w:t>
            </w:r>
          </w:p>
        </w:tc>
        <w:tc>
          <w:tcPr>
            <w:tcW w:w="817" w:type="pct"/>
            <w:vAlign w:val="bottom"/>
          </w:tcPr>
          <w:p w14:paraId="79393A59" w14:textId="0A9B4F25" w:rsidR="004D63E7" w:rsidRPr="00596193" w:rsidRDefault="004D63E7" w:rsidP="00527179">
            <w:pPr>
              <w:jc w:val="both"/>
              <w:rPr>
                <w:color w:val="000000"/>
                <w:sz w:val="20"/>
                <w:szCs w:val="20"/>
              </w:rPr>
            </w:pPr>
            <w:r w:rsidRPr="00910FD4">
              <w:rPr>
                <w:color w:val="000000"/>
                <w:sz w:val="20"/>
                <w:szCs w:val="20"/>
              </w:rPr>
              <w:t>42</w:t>
            </w:r>
            <w:r w:rsidR="000F1C47">
              <w:rPr>
                <w:color w:val="000000"/>
                <w:sz w:val="20"/>
                <w:szCs w:val="20"/>
              </w:rPr>
              <w:t>,</w:t>
            </w:r>
            <w:r w:rsidRPr="00910FD4">
              <w:rPr>
                <w:color w:val="000000"/>
                <w:sz w:val="20"/>
                <w:szCs w:val="20"/>
              </w:rPr>
              <w:t>137</w:t>
            </w:r>
          </w:p>
        </w:tc>
      </w:tr>
      <w:tr w:rsidR="004D63E7" w:rsidRPr="008018B6" w14:paraId="13201DA3" w14:textId="77777777" w:rsidTr="00CE3F12">
        <w:trPr>
          <w:gridAfter w:val="1"/>
          <w:wAfter w:w="6" w:type="pct"/>
          <w:trHeight w:val="300"/>
        </w:trPr>
        <w:tc>
          <w:tcPr>
            <w:tcW w:w="1583" w:type="pct"/>
            <w:shd w:val="clear" w:color="auto" w:fill="auto"/>
            <w:noWrap/>
            <w:vAlign w:val="bottom"/>
            <w:hideMark/>
          </w:tcPr>
          <w:p w14:paraId="0C828C33" w14:textId="77777777" w:rsidR="004D63E7" w:rsidRPr="00596193" w:rsidRDefault="004D63E7" w:rsidP="00122CDD">
            <w:pPr>
              <w:jc w:val="both"/>
              <w:rPr>
                <w:color w:val="000000"/>
                <w:sz w:val="20"/>
                <w:szCs w:val="20"/>
              </w:rPr>
            </w:pPr>
            <w:r w:rsidRPr="00596193">
              <w:rPr>
                <w:color w:val="000000"/>
                <w:sz w:val="20"/>
                <w:szCs w:val="20"/>
              </w:rPr>
              <w:t>Low-risk urban women (55-</w:t>
            </w:r>
            <w:proofErr w:type="gramStart"/>
            <w:r w:rsidRPr="00596193">
              <w:rPr>
                <w:color w:val="000000"/>
                <w:sz w:val="20"/>
                <w:szCs w:val="20"/>
              </w:rPr>
              <w:t>64)</w:t>
            </w:r>
            <w:r w:rsidRPr="00493DE0">
              <w:rPr>
                <w:color w:val="000000"/>
                <w:sz w:val="20"/>
                <w:szCs w:val="20"/>
                <w:vertAlign w:val="superscript"/>
              </w:rPr>
              <w:t>b</w:t>
            </w:r>
            <w:proofErr w:type="gramEnd"/>
          </w:p>
        </w:tc>
        <w:tc>
          <w:tcPr>
            <w:tcW w:w="960" w:type="pct"/>
            <w:shd w:val="clear" w:color="auto" w:fill="auto"/>
            <w:noWrap/>
            <w:vAlign w:val="bottom"/>
            <w:hideMark/>
          </w:tcPr>
          <w:p w14:paraId="07492565" w14:textId="172DBC99" w:rsidR="004D63E7" w:rsidRPr="00596193" w:rsidRDefault="004D63E7" w:rsidP="001D10D4">
            <w:pPr>
              <w:jc w:val="both"/>
              <w:rPr>
                <w:color w:val="000000"/>
                <w:sz w:val="20"/>
                <w:szCs w:val="20"/>
              </w:rPr>
            </w:pPr>
            <w:r w:rsidRPr="00596193">
              <w:rPr>
                <w:color w:val="000000"/>
                <w:sz w:val="20"/>
                <w:szCs w:val="20"/>
              </w:rPr>
              <w:t>25</w:t>
            </w:r>
            <w:r w:rsidR="000F1C47">
              <w:rPr>
                <w:color w:val="000000"/>
                <w:sz w:val="20"/>
                <w:szCs w:val="20"/>
              </w:rPr>
              <w:t>,</w:t>
            </w:r>
            <w:r w:rsidRPr="00596193">
              <w:rPr>
                <w:color w:val="000000"/>
                <w:sz w:val="20"/>
                <w:szCs w:val="20"/>
              </w:rPr>
              <w:t>313</w:t>
            </w:r>
          </w:p>
        </w:tc>
        <w:tc>
          <w:tcPr>
            <w:tcW w:w="817" w:type="pct"/>
            <w:shd w:val="clear" w:color="auto" w:fill="auto"/>
            <w:noWrap/>
            <w:vAlign w:val="bottom"/>
            <w:hideMark/>
          </w:tcPr>
          <w:p w14:paraId="1C2C5542" w14:textId="77777777" w:rsidR="004D63E7" w:rsidRPr="00596193" w:rsidRDefault="004D63E7" w:rsidP="00527179">
            <w:pPr>
              <w:jc w:val="both"/>
              <w:rPr>
                <w:color w:val="000000"/>
                <w:sz w:val="20"/>
                <w:szCs w:val="20"/>
              </w:rPr>
            </w:pPr>
            <w:r w:rsidRPr="00596193">
              <w:rPr>
                <w:color w:val="000000"/>
                <w:sz w:val="20"/>
                <w:szCs w:val="20"/>
              </w:rPr>
              <w:t>7.57</w:t>
            </w:r>
          </w:p>
        </w:tc>
        <w:tc>
          <w:tcPr>
            <w:tcW w:w="817" w:type="pct"/>
            <w:vAlign w:val="bottom"/>
          </w:tcPr>
          <w:p w14:paraId="6BCF75FA" w14:textId="20426BE7" w:rsidR="004D63E7" w:rsidRPr="00596193" w:rsidRDefault="004D63E7" w:rsidP="00527179">
            <w:pPr>
              <w:jc w:val="both"/>
              <w:rPr>
                <w:color w:val="000000"/>
                <w:sz w:val="20"/>
                <w:szCs w:val="20"/>
              </w:rPr>
            </w:pPr>
            <w:r w:rsidRPr="00596193">
              <w:rPr>
                <w:color w:val="000000"/>
                <w:sz w:val="20"/>
                <w:szCs w:val="20"/>
              </w:rPr>
              <w:t>1</w:t>
            </w:r>
            <w:r w:rsidR="000F1C47">
              <w:rPr>
                <w:color w:val="000000"/>
                <w:sz w:val="20"/>
                <w:szCs w:val="20"/>
              </w:rPr>
              <w:t>,</w:t>
            </w:r>
            <w:r w:rsidRPr="00596193">
              <w:rPr>
                <w:color w:val="000000"/>
                <w:sz w:val="20"/>
                <w:szCs w:val="20"/>
              </w:rPr>
              <w:t>916</w:t>
            </w:r>
          </w:p>
        </w:tc>
        <w:tc>
          <w:tcPr>
            <w:tcW w:w="817" w:type="pct"/>
            <w:vAlign w:val="bottom"/>
          </w:tcPr>
          <w:p w14:paraId="10EDF015" w14:textId="0337FBF6" w:rsidR="004D63E7" w:rsidRPr="00596193" w:rsidRDefault="004D63E7" w:rsidP="00527179">
            <w:pPr>
              <w:jc w:val="both"/>
              <w:rPr>
                <w:color w:val="000000"/>
                <w:sz w:val="20"/>
                <w:szCs w:val="20"/>
              </w:rPr>
            </w:pPr>
            <w:r w:rsidRPr="00910FD4">
              <w:rPr>
                <w:color w:val="000000"/>
                <w:sz w:val="20"/>
                <w:szCs w:val="20"/>
              </w:rPr>
              <w:t>23</w:t>
            </w:r>
            <w:r w:rsidR="000F1C47">
              <w:rPr>
                <w:color w:val="000000"/>
                <w:sz w:val="20"/>
                <w:szCs w:val="20"/>
              </w:rPr>
              <w:t>,</w:t>
            </w:r>
            <w:r w:rsidRPr="00910FD4">
              <w:rPr>
                <w:color w:val="000000"/>
                <w:sz w:val="20"/>
                <w:szCs w:val="20"/>
              </w:rPr>
              <w:t>397</w:t>
            </w:r>
          </w:p>
        </w:tc>
      </w:tr>
      <w:tr w:rsidR="004D63E7" w:rsidRPr="008018B6" w14:paraId="0C968635" w14:textId="77777777" w:rsidTr="00CE3F12">
        <w:trPr>
          <w:gridAfter w:val="1"/>
          <w:wAfter w:w="6" w:type="pct"/>
          <w:trHeight w:val="300"/>
        </w:trPr>
        <w:tc>
          <w:tcPr>
            <w:tcW w:w="1583" w:type="pct"/>
            <w:shd w:val="clear" w:color="auto" w:fill="auto"/>
            <w:noWrap/>
            <w:vAlign w:val="bottom"/>
            <w:hideMark/>
          </w:tcPr>
          <w:p w14:paraId="521DBF0B" w14:textId="77777777" w:rsidR="004D63E7" w:rsidRPr="00596193" w:rsidRDefault="004D63E7" w:rsidP="00122CDD">
            <w:pPr>
              <w:jc w:val="both"/>
              <w:rPr>
                <w:color w:val="000000"/>
                <w:sz w:val="20"/>
                <w:szCs w:val="20"/>
              </w:rPr>
            </w:pPr>
            <w:r w:rsidRPr="00596193">
              <w:rPr>
                <w:color w:val="000000"/>
                <w:sz w:val="20"/>
                <w:szCs w:val="20"/>
              </w:rPr>
              <w:t>Low-risk rural women (15-24)</w:t>
            </w:r>
          </w:p>
        </w:tc>
        <w:tc>
          <w:tcPr>
            <w:tcW w:w="960" w:type="pct"/>
            <w:shd w:val="clear" w:color="auto" w:fill="auto"/>
            <w:noWrap/>
            <w:vAlign w:val="bottom"/>
            <w:hideMark/>
          </w:tcPr>
          <w:p w14:paraId="5A36F81D" w14:textId="50A8FE97" w:rsidR="004D63E7" w:rsidRPr="00596193" w:rsidRDefault="004D63E7" w:rsidP="001D10D4">
            <w:pPr>
              <w:jc w:val="both"/>
              <w:rPr>
                <w:color w:val="000000"/>
                <w:sz w:val="20"/>
                <w:szCs w:val="20"/>
              </w:rPr>
            </w:pPr>
            <w:r w:rsidRPr="00596193">
              <w:rPr>
                <w:color w:val="000000"/>
                <w:sz w:val="20"/>
                <w:szCs w:val="20"/>
              </w:rPr>
              <w:t>857</w:t>
            </w:r>
            <w:r w:rsidR="000F1C47">
              <w:rPr>
                <w:color w:val="000000"/>
                <w:sz w:val="20"/>
                <w:szCs w:val="20"/>
              </w:rPr>
              <w:t>,</w:t>
            </w:r>
            <w:r w:rsidRPr="00596193">
              <w:rPr>
                <w:color w:val="000000"/>
                <w:sz w:val="20"/>
                <w:szCs w:val="20"/>
              </w:rPr>
              <w:t>407</w:t>
            </w:r>
          </w:p>
        </w:tc>
        <w:tc>
          <w:tcPr>
            <w:tcW w:w="817" w:type="pct"/>
            <w:shd w:val="clear" w:color="auto" w:fill="auto"/>
            <w:noWrap/>
            <w:vAlign w:val="bottom"/>
            <w:hideMark/>
          </w:tcPr>
          <w:p w14:paraId="09D958B0" w14:textId="77777777" w:rsidR="004D63E7" w:rsidRPr="00596193" w:rsidRDefault="004D63E7" w:rsidP="00527179">
            <w:pPr>
              <w:jc w:val="both"/>
              <w:rPr>
                <w:color w:val="000000"/>
                <w:sz w:val="20"/>
                <w:szCs w:val="20"/>
              </w:rPr>
            </w:pPr>
            <w:r w:rsidRPr="00596193">
              <w:rPr>
                <w:color w:val="000000"/>
                <w:sz w:val="20"/>
                <w:szCs w:val="20"/>
              </w:rPr>
              <w:t>0.99</w:t>
            </w:r>
          </w:p>
        </w:tc>
        <w:tc>
          <w:tcPr>
            <w:tcW w:w="817" w:type="pct"/>
            <w:vAlign w:val="bottom"/>
          </w:tcPr>
          <w:p w14:paraId="722C1DD8" w14:textId="2F324766" w:rsidR="004D63E7" w:rsidRPr="00596193" w:rsidRDefault="004D63E7" w:rsidP="00527179">
            <w:pPr>
              <w:jc w:val="both"/>
              <w:rPr>
                <w:color w:val="000000"/>
                <w:sz w:val="20"/>
                <w:szCs w:val="20"/>
              </w:rPr>
            </w:pPr>
            <w:r w:rsidRPr="00596193">
              <w:rPr>
                <w:color w:val="000000"/>
                <w:sz w:val="20"/>
                <w:szCs w:val="20"/>
              </w:rPr>
              <w:t>8</w:t>
            </w:r>
            <w:r w:rsidR="000F1C47">
              <w:rPr>
                <w:color w:val="000000"/>
                <w:sz w:val="20"/>
                <w:szCs w:val="20"/>
              </w:rPr>
              <w:t>,</w:t>
            </w:r>
            <w:r w:rsidRPr="00596193">
              <w:rPr>
                <w:color w:val="000000"/>
                <w:sz w:val="20"/>
                <w:szCs w:val="20"/>
              </w:rPr>
              <w:t>488</w:t>
            </w:r>
          </w:p>
        </w:tc>
        <w:tc>
          <w:tcPr>
            <w:tcW w:w="817" w:type="pct"/>
            <w:vAlign w:val="bottom"/>
          </w:tcPr>
          <w:p w14:paraId="2181D35E" w14:textId="51EE8DC6" w:rsidR="004D63E7" w:rsidRPr="00596193" w:rsidRDefault="004D63E7" w:rsidP="00527179">
            <w:pPr>
              <w:jc w:val="both"/>
              <w:rPr>
                <w:color w:val="000000"/>
                <w:sz w:val="20"/>
                <w:szCs w:val="20"/>
              </w:rPr>
            </w:pPr>
            <w:r w:rsidRPr="00910FD4">
              <w:rPr>
                <w:color w:val="000000"/>
                <w:sz w:val="20"/>
                <w:szCs w:val="20"/>
              </w:rPr>
              <w:t>848</w:t>
            </w:r>
            <w:r w:rsidR="000F1C47">
              <w:rPr>
                <w:color w:val="000000"/>
                <w:sz w:val="20"/>
                <w:szCs w:val="20"/>
              </w:rPr>
              <w:t>,</w:t>
            </w:r>
            <w:r w:rsidRPr="00910FD4">
              <w:rPr>
                <w:color w:val="000000"/>
                <w:sz w:val="20"/>
                <w:szCs w:val="20"/>
              </w:rPr>
              <w:t>919</w:t>
            </w:r>
          </w:p>
        </w:tc>
      </w:tr>
      <w:tr w:rsidR="004D63E7" w:rsidRPr="008018B6" w14:paraId="1C7E345B" w14:textId="77777777" w:rsidTr="00CE3F12">
        <w:trPr>
          <w:gridAfter w:val="1"/>
          <w:wAfter w:w="6" w:type="pct"/>
          <w:trHeight w:val="300"/>
        </w:trPr>
        <w:tc>
          <w:tcPr>
            <w:tcW w:w="1583" w:type="pct"/>
            <w:shd w:val="clear" w:color="auto" w:fill="auto"/>
            <w:noWrap/>
            <w:vAlign w:val="bottom"/>
            <w:hideMark/>
          </w:tcPr>
          <w:p w14:paraId="05A7568E" w14:textId="77777777" w:rsidR="004D63E7" w:rsidRPr="00596193" w:rsidRDefault="004D63E7" w:rsidP="00122CDD">
            <w:pPr>
              <w:jc w:val="both"/>
              <w:rPr>
                <w:color w:val="000000"/>
                <w:sz w:val="20"/>
                <w:szCs w:val="20"/>
              </w:rPr>
            </w:pPr>
            <w:r w:rsidRPr="00596193">
              <w:rPr>
                <w:color w:val="000000"/>
                <w:sz w:val="20"/>
                <w:szCs w:val="20"/>
              </w:rPr>
              <w:t>Low-risk rural women (25-34)</w:t>
            </w:r>
          </w:p>
        </w:tc>
        <w:tc>
          <w:tcPr>
            <w:tcW w:w="960" w:type="pct"/>
            <w:shd w:val="clear" w:color="auto" w:fill="auto"/>
            <w:noWrap/>
            <w:vAlign w:val="bottom"/>
            <w:hideMark/>
          </w:tcPr>
          <w:p w14:paraId="7FB03B02" w14:textId="7E3BCBDB" w:rsidR="004D63E7" w:rsidRPr="00596193" w:rsidRDefault="004D63E7" w:rsidP="001D10D4">
            <w:pPr>
              <w:jc w:val="both"/>
              <w:rPr>
                <w:color w:val="000000"/>
                <w:sz w:val="20"/>
                <w:szCs w:val="20"/>
              </w:rPr>
            </w:pPr>
            <w:r w:rsidRPr="00596193">
              <w:rPr>
                <w:color w:val="000000"/>
                <w:sz w:val="20"/>
                <w:szCs w:val="20"/>
              </w:rPr>
              <w:t>474</w:t>
            </w:r>
            <w:r w:rsidR="000F1C47">
              <w:rPr>
                <w:color w:val="000000"/>
                <w:sz w:val="20"/>
                <w:szCs w:val="20"/>
              </w:rPr>
              <w:t>,</w:t>
            </w:r>
            <w:r w:rsidRPr="00596193">
              <w:rPr>
                <w:color w:val="000000"/>
                <w:sz w:val="20"/>
                <w:szCs w:val="20"/>
              </w:rPr>
              <w:t>621</w:t>
            </w:r>
          </w:p>
        </w:tc>
        <w:tc>
          <w:tcPr>
            <w:tcW w:w="817" w:type="pct"/>
            <w:shd w:val="clear" w:color="auto" w:fill="auto"/>
            <w:noWrap/>
            <w:vAlign w:val="bottom"/>
            <w:hideMark/>
          </w:tcPr>
          <w:p w14:paraId="26D4A920" w14:textId="77777777" w:rsidR="004D63E7" w:rsidRPr="00596193" w:rsidRDefault="004D63E7" w:rsidP="00527179">
            <w:pPr>
              <w:jc w:val="both"/>
              <w:rPr>
                <w:color w:val="000000"/>
                <w:sz w:val="20"/>
                <w:szCs w:val="20"/>
              </w:rPr>
            </w:pPr>
            <w:r w:rsidRPr="00596193">
              <w:rPr>
                <w:color w:val="000000"/>
                <w:sz w:val="20"/>
                <w:szCs w:val="20"/>
              </w:rPr>
              <w:t>3.49</w:t>
            </w:r>
          </w:p>
        </w:tc>
        <w:tc>
          <w:tcPr>
            <w:tcW w:w="817" w:type="pct"/>
            <w:vAlign w:val="bottom"/>
          </w:tcPr>
          <w:p w14:paraId="4768EB98" w14:textId="36E9DCA9" w:rsidR="004D63E7" w:rsidRPr="00596193" w:rsidRDefault="004D63E7" w:rsidP="00527179">
            <w:pPr>
              <w:jc w:val="both"/>
              <w:rPr>
                <w:color w:val="000000"/>
                <w:sz w:val="20"/>
                <w:szCs w:val="20"/>
              </w:rPr>
            </w:pPr>
            <w:r w:rsidRPr="00596193">
              <w:rPr>
                <w:color w:val="000000"/>
                <w:sz w:val="20"/>
                <w:szCs w:val="20"/>
              </w:rPr>
              <w:t>16</w:t>
            </w:r>
            <w:r w:rsidR="000F1C47">
              <w:rPr>
                <w:color w:val="000000"/>
                <w:sz w:val="20"/>
                <w:szCs w:val="20"/>
              </w:rPr>
              <w:t>,</w:t>
            </w:r>
            <w:r w:rsidRPr="00596193">
              <w:rPr>
                <w:color w:val="000000"/>
                <w:sz w:val="20"/>
                <w:szCs w:val="20"/>
              </w:rPr>
              <w:t>564</w:t>
            </w:r>
          </w:p>
        </w:tc>
        <w:tc>
          <w:tcPr>
            <w:tcW w:w="817" w:type="pct"/>
            <w:vAlign w:val="bottom"/>
          </w:tcPr>
          <w:p w14:paraId="1F22FE30" w14:textId="47C1B674" w:rsidR="004D63E7" w:rsidRPr="00596193" w:rsidRDefault="004D63E7" w:rsidP="00527179">
            <w:pPr>
              <w:jc w:val="both"/>
              <w:rPr>
                <w:color w:val="000000"/>
                <w:sz w:val="20"/>
                <w:szCs w:val="20"/>
              </w:rPr>
            </w:pPr>
            <w:r w:rsidRPr="00910FD4">
              <w:rPr>
                <w:color w:val="000000"/>
                <w:sz w:val="20"/>
                <w:szCs w:val="20"/>
              </w:rPr>
              <w:t>458</w:t>
            </w:r>
            <w:r w:rsidR="000F1C47">
              <w:rPr>
                <w:color w:val="000000"/>
                <w:sz w:val="20"/>
                <w:szCs w:val="20"/>
              </w:rPr>
              <w:t>,</w:t>
            </w:r>
            <w:r w:rsidRPr="00910FD4">
              <w:rPr>
                <w:color w:val="000000"/>
                <w:sz w:val="20"/>
                <w:szCs w:val="20"/>
              </w:rPr>
              <w:t>057</w:t>
            </w:r>
          </w:p>
        </w:tc>
      </w:tr>
      <w:tr w:rsidR="004D63E7" w:rsidRPr="008018B6" w14:paraId="4ECECC6E" w14:textId="77777777" w:rsidTr="00CE3F12">
        <w:trPr>
          <w:gridAfter w:val="1"/>
          <w:wAfter w:w="6" w:type="pct"/>
          <w:trHeight w:val="300"/>
        </w:trPr>
        <w:tc>
          <w:tcPr>
            <w:tcW w:w="1583" w:type="pct"/>
            <w:shd w:val="clear" w:color="auto" w:fill="auto"/>
            <w:noWrap/>
            <w:vAlign w:val="bottom"/>
            <w:hideMark/>
          </w:tcPr>
          <w:p w14:paraId="30AB5463" w14:textId="77777777" w:rsidR="004D63E7" w:rsidRPr="00596193" w:rsidRDefault="004D63E7" w:rsidP="00122CDD">
            <w:pPr>
              <w:jc w:val="both"/>
              <w:rPr>
                <w:color w:val="000000"/>
                <w:sz w:val="20"/>
                <w:szCs w:val="20"/>
              </w:rPr>
            </w:pPr>
            <w:r w:rsidRPr="00596193">
              <w:rPr>
                <w:color w:val="000000"/>
                <w:sz w:val="20"/>
                <w:szCs w:val="20"/>
              </w:rPr>
              <w:t>Low-risk rural women (35-44)</w:t>
            </w:r>
          </w:p>
        </w:tc>
        <w:tc>
          <w:tcPr>
            <w:tcW w:w="960" w:type="pct"/>
            <w:shd w:val="clear" w:color="auto" w:fill="auto"/>
            <w:noWrap/>
            <w:vAlign w:val="bottom"/>
            <w:hideMark/>
          </w:tcPr>
          <w:p w14:paraId="37D11ED3" w14:textId="57088B11" w:rsidR="004D63E7" w:rsidRPr="00596193" w:rsidRDefault="004D63E7" w:rsidP="001D10D4">
            <w:pPr>
              <w:jc w:val="both"/>
              <w:rPr>
                <w:color w:val="000000"/>
                <w:sz w:val="20"/>
                <w:szCs w:val="20"/>
              </w:rPr>
            </w:pPr>
            <w:r w:rsidRPr="00596193">
              <w:rPr>
                <w:color w:val="000000"/>
                <w:sz w:val="20"/>
                <w:szCs w:val="20"/>
              </w:rPr>
              <w:t>342</w:t>
            </w:r>
            <w:r w:rsidR="000F1C47">
              <w:rPr>
                <w:color w:val="000000"/>
                <w:sz w:val="20"/>
                <w:szCs w:val="20"/>
              </w:rPr>
              <w:t>,</w:t>
            </w:r>
            <w:r w:rsidRPr="00596193">
              <w:rPr>
                <w:color w:val="000000"/>
                <w:sz w:val="20"/>
                <w:szCs w:val="20"/>
              </w:rPr>
              <w:t>332</w:t>
            </w:r>
          </w:p>
        </w:tc>
        <w:tc>
          <w:tcPr>
            <w:tcW w:w="817" w:type="pct"/>
            <w:shd w:val="clear" w:color="auto" w:fill="auto"/>
            <w:noWrap/>
            <w:vAlign w:val="bottom"/>
            <w:hideMark/>
          </w:tcPr>
          <w:p w14:paraId="6C985BB7" w14:textId="77777777" w:rsidR="004D63E7" w:rsidRPr="00596193" w:rsidRDefault="004D63E7" w:rsidP="00527179">
            <w:pPr>
              <w:jc w:val="both"/>
              <w:rPr>
                <w:color w:val="000000"/>
                <w:sz w:val="20"/>
                <w:szCs w:val="20"/>
              </w:rPr>
            </w:pPr>
            <w:r w:rsidRPr="00596193">
              <w:rPr>
                <w:color w:val="000000"/>
                <w:sz w:val="20"/>
                <w:szCs w:val="20"/>
              </w:rPr>
              <w:t>4.46</w:t>
            </w:r>
          </w:p>
        </w:tc>
        <w:tc>
          <w:tcPr>
            <w:tcW w:w="817" w:type="pct"/>
            <w:vAlign w:val="bottom"/>
          </w:tcPr>
          <w:p w14:paraId="2C037E3B" w14:textId="44C3199C" w:rsidR="004D63E7" w:rsidRPr="00596193" w:rsidRDefault="004D63E7" w:rsidP="00527179">
            <w:pPr>
              <w:jc w:val="both"/>
              <w:rPr>
                <w:color w:val="000000"/>
                <w:sz w:val="20"/>
                <w:szCs w:val="20"/>
              </w:rPr>
            </w:pPr>
            <w:r w:rsidRPr="00596193">
              <w:rPr>
                <w:color w:val="000000"/>
                <w:sz w:val="20"/>
                <w:szCs w:val="20"/>
              </w:rPr>
              <w:t>15</w:t>
            </w:r>
            <w:r w:rsidR="000F1C47">
              <w:rPr>
                <w:color w:val="000000"/>
                <w:sz w:val="20"/>
                <w:szCs w:val="20"/>
              </w:rPr>
              <w:t>,</w:t>
            </w:r>
            <w:r w:rsidRPr="00596193">
              <w:rPr>
                <w:color w:val="000000"/>
                <w:sz w:val="20"/>
                <w:szCs w:val="20"/>
              </w:rPr>
              <w:t>268</w:t>
            </w:r>
          </w:p>
        </w:tc>
        <w:tc>
          <w:tcPr>
            <w:tcW w:w="817" w:type="pct"/>
            <w:vAlign w:val="bottom"/>
          </w:tcPr>
          <w:p w14:paraId="1D0E75ED" w14:textId="6D814B97" w:rsidR="004D63E7" w:rsidRPr="00596193" w:rsidRDefault="004D63E7" w:rsidP="00527179">
            <w:pPr>
              <w:jc w:val="both"/>
              <w:rPr>
                <w:color w:val="000000"/>
                <w:sz w:val="20"/>
                <w:szCs w:val="20"/>
              </w:rPr>
            </w:pPr>
            <w:r w:rsidRPr="00910FD4">
              <w:rPr>
                <w:color w:val="000000"/>
                <w:sz w:val="20"/>
                <w:szCs w:val="20"/>
              </w:rPr>
              <w:t>327</w:t>
            </w:r>
            <w:r w:rsidR="000F1C47">
              <w:rPr>
                <w:color w:val="000000"/>
                <w:sz w:val="20"/>
                <w:szCs w:val="20"/>
              </w:rPr>
              <w:t>,</w:t>
            </w:r>
            <w:r w:rsidRPr="00910FD4">
              <w:rPr>
                <w:color w:val="000000"/>
                <w:sz w:val="20"/>
                <w:szCs w:val="20"/>
              </w:rPr>
              <w:t>064</w:t>
            </w:r>
          </w:p>
        </w:tc>
      </w:tr>
      <w:tr w:rsidR="004D63E7" w:rsidRPr="008018B6" w14:paraId="4B6D07F0" w14:textId="77777777" w:rsidTr="00CE3F12">
        <w:trPr>
          <w:gridAfter w:val="1"/>
          <w:wAfter w:w="6" w:type="pct"/>
          <w:trHeight w:val="300"/>
        </w:trPr>
        <w:tc>
          <w:tcPr>
            <w:tcW w:w="1583" w:type="pct"/>
            <w:shd w:val="clear" w:color="auto" w:fill="auto"/>
            <w:noWrap/>
            <w:vAlign w:val="bottom"/>
            <w:hideMark/>
          </w:tcPr>
          <w:p w14:paraId="6E856ECD" w14:textId="77777777" w:rsidR="004D63E7" w:rsidRPr="00596193" w:rsidRDefault="004D63E7" w:rsidP="00122CDD">
            <w:pPr>
              <w:jc w:val="both"/>
              <w:rPr>
                <w:color w:val="000000"/>
                <w:sz w:val="20"/>
                <w:szCs w:val="20"/>
              </w:rPr>
            </w:pPr>
            <w:r w:rsidRPr="00596193">
              <w:rPr>
                <w:color w:val="000000"/>
                <w:sz w:val="20"/>
                <w:szCs w:val="20"/>
              </w:rPr>
              <w:t>Low-risk rural women (45-54)</w:t>
            </w:r>
          </w:p>
        </w:tc>
        <w:tc>
          <w:tcPr>
            <w:tcW w:w="960" w:type="pct"/>
            <w:shd w:val="clear" w:color="auto" w:fill="auto"/>
            <w:noWrap/>
            <w:vAlign w:val="bottom"/>
            <w:hideMark/>
          </w:tcPr>
          <w:p w14:paraId="0FF89C52" w14:textId="7DCBE469" w:rsidR="004D63E7" w:rsidRPr="00596193" w:rsidRDefault="004D63E7" w:rsidP="001D10D4">
            <w:pPr>
              <w:jc w:val="both"/>
              <w:rPr>
                <w:color w:val="000000"/>
                <w:sz w:val="20"/>
                <w:szCs w:val="20"/>
              </w:rPr>
            </w:pPr>
            <w:r w:rsidRPr="00596193">
              <w:rPr>
                <w:color w:val="000000"/>
                <w:sz w:val="20"/>
                <w:szCs w:val="20"/>
              </w:rPr>
              <w:t>224</w:t>
            </w:r>
            <w:r w:rsidR="000F1C47">
              <w:rPr>
                <w:color w:val="000000"/>
                <w:sz w:val="20"/>
                <w:szCs w:val="20"/>
              </w:rPr>
              <w:t>,</w:t>
            </w:r>
            <w:r w:rsidRPr="00596193">
              <w:rPr>
                <w:color w:val="000000"/>
                <w:sz w:val="20"/>
                <w:szCs w:val="20"/>
              </w:rPr>
              <w:t>101</w:t>
            </w:r>
          </w:p>
        </w:tc>
        <w:tc>
          <w:tcPr>
            <w:tcW w:w="817" w:type="pct"/>
            <w:shd w:val="clear" w:color="auto" w:fill="auto"/>
            <w:noWrap/>
            <w:vAlign w:val="bottom"/>
            <w:hideMark/>
          </w:tcPr>
          <w:p w14:paraId="4F91B45B" w14:textId="77777777" w:rsidR="004D63E7" w:rsidRPr="00596193" w:rsidRDefault="004D63E7" w:rsidP="00527179">
            <w:pPr>
              <w:jc w:val="both"/>
              <w:rPr>
                <w:color w:val="000000"/>
                <w:sz w:val="20"/>
                <w:szCs w:val="20"/>
              </w:rPr>
            </w:pPr>
            <w:r w:rsidRPr="00596193">
              <w:rPr>
                <w:color w:val="000000"/>
                <w:sz w:val="20"/>
                <w:szCs w:val="20"/>
              </w:rPr>
              <w:t>3.58</w:t>
            </w:r>
          </w:p>
        </w:tc>
        <w:tc>
          <w:tcPr>
            <w:tcW w:w="817" w:type="pct"/>
            <w:vAlign w:val="bottom"/>
          </w:tcPr>
          <w:p w14:paraId="23C0D43D" w14:textId="0BBA43D3" w:rsidR="004D63E7" w:rsidRPr="00596193" w:rsidRDefault="004D63E7" w:rsidP="00527179">
            <w:pPr>
              <w:jc w:val="both"/>
              <w:rPr>
                <w:color w:val="000000"/>
                <w:sz w:val="20"/>
                <w:szCs w:val="20"/>
              </w:rPr>
            </w:pPr>
            <w:r w:rsidRPr="00596193">
              <w:rPr>
                <w:color w:val="000000"/>
                <w:sz w:val="20"/>
                <w:szCs w:val="20"/>
              </w:rPr>
              <w:t>8</w:t>
            </w:r>
            <w:r w:rsidR="000F1C47">
              <w:rPr>
                <w:color w:val="000000"/>
                <w:sz w:val="20"/>
                <w:szCs w:val="20"/>
              </w:rPr>
              <w:t>,</w:t>
            </w:r>
            <w:r w:rsidRPr="00596193">
              <w:rPr>
                <w:color w:val="000000"/>
                <w:sz w:val="20"/>
                <w:szCs w:val="20"/>
              </w:rPr>
              <w:t>023</w:t>
            </w:r>
          </w:p>
        </w:tc>
        <w:tc>
          <w:tcPr>
            <w:tcW w:w="817" w:type="pct"/>
            <w:vAlign w:val="bottom"/>
          </w:tcPr>
          <w:p w14:paraId="379ADF15" w14:textId="143DDCB0" w:rsidR="004D63E7" w:rsidRPr="00596193" w:rsidRDefault="004D63E7" w:rsidP="00527179">
            <w:pPr>
              <w:jc w:val="both"/>
              <w:rPr>
                <w:color w:val="000000"/>
                <w:sz w:val="20"/>
                <w:szCs w:val="20"/>
              </w:rPr>
            </w:pPr>
            <w:r w:rsidRPr="00910FD4">
              <w:rPr>
                <w:color w:val="000000"/>
                <w:sz w:val="20"/>
                <w:szCs w:val="20"/>
              </w:rPr>
              <w:t>216</w:t>
            </w:r>
            <w:r w:rsidR="000F1C47">
              <w:rPr>
                <w:color w:val="000000"/>
                <w:sz w:val="20"/>
                <w:szCs w:val="20"/>
              </w:rPr>
              <w:t>,</w:t>
            </w:r>
            <w:r w:rsidRPr="00910FD4">
              <w:rPr>
                <w:color w:val="000000"/>
                <w:sz w:val="20"/>
                <w:szCs w:val="20"/>
              </w:rPr>
              <w:t>078</w:t>
            </w:r>
          </w:p>
        </w:tc>
      </w:tr>
      <w:tr w:rsidR="004D63E7" w:rsidRPr="008018B6" w14:paraId="1CBC913E" w14:textId="77777777" w:rsidTr="00CE3F12">
        <w:trPr>
          <w:gridAfter w:val="1"/>
          <w:wAfter w:w="6" w:type="pct"/>
          <w:trHeight w:val="300"/>
        </w:trPr>
        <w:tc>
          <w:tcPr>
            <w:tcW w:w="1583" w:type="pct"/>
            <w:shd w:val="clear" w:color="auto" w:fill="auto"/>
            <w:noWrap/>
            <w:vAlign w:val="bottom"/>
            <w:hideMark/>
          </w:tcPr>
          <w:p w14:paraId="30D65DD3" w14:textId="77777777" w:rsidR="004D63E7" w:rsidRPr="00596193" w:rsidRDefault="004D63E7" w:rsidP="00122CDD">
            <w:pPr>
              <w:jc w:val="both"/>
              <w:rPr>
                <w:color w:val="000000"/>
                <w:sz w:val="20"/>
                <w:szCs w:val="20"/>
              </w:rPr>
            </w:pPr>
            <w:r w:rsidRPr="00596193">
              <w:rPr>
                <w:color w:val="000000"/>
                <w:sz w:val="20"/>
                <w:szCs w:val="20"/>
              </w:rPr>
              <w:t>Low-risk rural women (55-</w:t>
            </w:r>
            <w:proofErr w:type="gramStart"/>
            <w:r w:rsidRPr="00596193">
              <w:rPr>
                <w:color w:val="000000"/>
                <w:sz w:val="20"/>
                <w:szCs w:val="20"/>
              </w:rPr>
              <w:t>64)</w:t>
            </w:r>
            <w:r w:rsidRPr="00493DE0">
              <w:rPr>
                <w:color w:val="000000"/>
                <w:sz w:val="20"/>
                <w:szCs w:val="20"/>
                <w:vertAlign w:val="superscript"/>
              </w:rPr>
              <w:t>b</w:t>
            </w:r>
            <w:proofErr w:type="gramEnd"/>
          </w:p>
        </w:tc>
        <w:tc>
          <w:tcPr>
            <w:tcW w:w="960" w:type="pct"/>
            <w:shd w:val="clear" w:color="auto" w:fill="auto"/>
            <w:noWrap/>
            <w:vAlign w:val="bottom"/>
            <w:hideMark/>
          </w:tcPr>
          <w:p w14:paraId="2ADA471D" w14:textId="12069D2A" w:rsidR="004D63E7" w:rsidRPr="00596193" w:rsidRDefault="004D63E7" w:rsidP="001D10D4">
            <w:pPr>
              <w:jc w:val="both"/>
              <w:rPr>
                <w:color w:val="000000"/>
                <w:sz w:val="20"/>
                <w:szCs w:val="20"/>
              </w:rPr>
            </w:pPr>
            <w:r w:rsidRPr="00596193">
              <w:rPr>
                <w:color w:val="000000"/>
                <w:sz w:val="20"/>
                <w:szCs w:val="20"/>
              </w:rPr>
              <w:t>124</w:t>
            </w:r>
            <w:r w:rsidR="000F1C47">
              <w:rPr>
                <w:color w:val="000000"/>
                <w:sz w:val="20"/>
                <w:szCs w:val="20"/>
              </w:rPr>
              <w:t>,</w:t>
            </w:r>
            <w:r w:rsidRPr="00596193">
              <w:rPr>
                <w:color w:val="000000"/>
                <w:sz w:val="20"/>
                <w:szCs w:val="20"/>
              </w:rPr>
              <w:t>433</w:t>
            </w:r>
          </w:p>
        </w:tc>
        <w:tc>
          <w:tcPr>
            <w:tcW w:w="817" w:type="pct"/>
            <w:shd w:val="clear" w:color="auto" w:fill="auto"/>
            <w:noWrap/>
            <w:vAlign w:val="bottom"/>
            <w:hideMark/>
          </w:tcPr>
          <w:p w14:paraId="12E6E6C0" w14:textId="77777777" w:rsidR="004D63E7" w:rsidRPr="00596193" w:rsidRDefault="004D63E7" w:rsidP="00527179">
            <w:pPr>
              <w:jc w:val="both"/>
              <w:rPr>
                <w:color w:val="000000"/>
                <w:sz w:val="20"/>
                <w:szCs w:val="20"/>
              </w:rPr>
            </w:pPr>
            <w:r w:rsidRPr="00596193">
              <w:rPr>
                <w:color w:val="000000"/>
                <w:sz w:val="20"/>
                <w:szCs w:val="20"/>
              </w:rPr>
              <w:t>3.58</w:t>
            </w:r>
          </w:p>
        </w:tc>
        <w:tc>
          <w:tcPr>
            <w:tcW w:w="817" w:type="pct"/>
            <w:vAlign w:val="bottom"/>
          </w:tcPr>
          <w:p w14:paraId="3F2F049B" w14:textId="03C8BA71" w:rsidR="004D63E7" w:rsidRPr="00596193" w:rsidRDefault="004D63E7" w:rsidP="00527179">
            <w:pPr>
              <w:jc w:val="both"/>
              <w:rPr>
                <w:color w:val="000000"/>
                <w:sz w:val="20"/>
                <w:szCs w:val="20"/>
              </w:rPr>
            </w:pPr>
            <w:r w:rsidRPr="00596193">
              <w:rPr>
                <w:color w:val="000000"/>
                <w:sz w:val="20"/>
                <w:szCs w:val="20"/>
              </w:rPr>
              <w:t>4</w:t>
            </w:r>
            <w:r w:rsidR="000F1C47">
              <w:rPr>
                <w:color w:val="000000"/>
                <w:sz w:val="20"/>
                <w:szCs w:val="20"/>
              </w:rPr>
              <w:t>,</w:t>
            </w:r>
            <w:r w:rsidRPr="00596193">
              <w:rPr>
                <w:color w:val="000000"/>
                <w:sz w:val="20"/>
                <w:szCs w:val="20"/>
              </w:rPr>
              <w:t>455</w:t>
            </w:r>
          </w:p>
        </w:tc>
        <w:tc>
          <w:tcPr>
            <w:tcW w:w="817" w:type="pct"/>
            <w:vAlign w:val="bottom"/>
          </w:tcPr>
          <w:p w14:paraId="09D07246" w14:textId="24481718" w:rsidR="004D63E7" w:rsidRPr="00596193" w:rsidRDefault="004D63E7" w:rsidP="00527179">
            <w:pPr>
              <w:jc w:val="both"/>
              <w:rPr>
                <w:color w:val="000000"/>
                <w:sz w:val="20"/>
                <w:szCs w:val="20"/>
              </w:rPr>
            </w:pPr>
            <w:r w:rsidRPr="00910FD4">
              <w:rPr>
                <w:color w:val="000000"/>
                <w:sz w:val="20"/>
                <w:szCs w:val="20"/>
              </w:rPr>
              <w:t>119</w:t>
            </w:r>
            <w:r w:rsidR="000F1C47">
              <w:rPr>
                <w:color w:val="000000"/>
                <w:sz w:val="20"/>
                <w:szCs w:val="20"/>
              </w:rPr>
              <w:t>,</w:t>
            </w:r>
            <w:r w:rsidRPr="00910FD4">
              <w:rPr>
                <w:color w:val="000000"/>
                <w:sz w:val="20"/>
                <w:szCs w:val="20"/>
              </w:rPr>
              <w:t>978</w:t>
            </w:r>
          </w:p>
        </w:tc>
      </w:tr>
      <w:tr w:rsidR="004D63E7" w:rsidRPr="008018B6" w14:paraId="0D2DD4FB" w14:textId="77777777" w:rsidTr="00CE3F12">
        <w:trPr>
          <w:gridAfter w:val="1"/>
          <w:wAfter w:w="6" w:type="pct"/>
          <w:trHeight w:val="300"/>
        </w:trPr>
        <w:tc>
          <w:tcPr>
            <w:tcW w:w="1583" w:type="pct"/>
            <w:shd w:val="clear" w:color="auto" w:fill="auto"/>
            <w:noWrap/>
            <w:vAlign w:val="bottom"/>
            <w:hideMark/>
          </w:tcPr>
          <w:p w14:paraId="091CB8A4" w14:textId="77777777" w:rsidR="004D63E7" w:rsidRPr="00596193" w:rsidRDefault="004D63E7" w:rsidP="00122CDD">
            <w:pPr>
              <w:jc w:val="both"/>
              <w:rPr>
                <w:color w:val="000000"/>
                <w:sz w:val="20"/>
                <w:szCs w:val="20"/>
              </w:rPr>
            </w:pPr>
            <w:r w:rsidRPr="00596193">
              <w:rPr>
                <w:color w:val="000000"/>
                <w:sz w:val="20"/>
                <w:szCs w:val="20"/>
              </w:rPr>
              <w:t>Urban men (15-24)</w:t>
            </w:r>
          </w:p>
        </w:tc>
        <w:tc>
          <w:tcPr>
            <w:tcW w:w="960" w:type="pct"/>
            <w:shd w:val="clear" w:color="auto" w:fill="auto"/>
            <w:noWrap/>
            <w:vAlign w:val="bottom"/>
            <w:hideMark/>
          </w:tcPr>
          <w:p w14:paraId="2DE41923" w14:textId="22C8020B" w:rsidR="004D63E7" w:rsidRPr="00596193" w:rsidRDefault="004D63E7" w:rsidP="001D10D4">
            <w:pPr>
              <w:jc w:val="both"/>
              <w:rPr>
                <w:color w:val="000000"/>
                <w:sz w:val="20"/>
                <w:szCs w:val="20"/>
              </w:rPr>
            </w:pPr>
            <w:r w:rsidRPr="00596193">
              <w:rPr>
                <w:color w:val="000000"/>
                <w:sz w:val="20"/>
                <w:szCs w:val="20"/>
              </w:rPr>
              <w:t>163</w:t>
            </w:r>
            <w:r w:rsidR="000F1C47">
              <w:rPr>
                <w:color w:val="000000"/>
                <w:sz w:val="20"/>
                <w:szCs w:val="20"/>
              </w:rPr>
              <w:t>,</w:t>
            </w:r>
            <w:r w:rsidRPr="00596193">
              <w:rPr>
                <w:color w:val="000000"/>
                <w:sz w:val="20"/>
                <w:szCs w:val="20"/>
              </w:rPr>
              <w:t>133</w:t>
            </w:r>
          </w:p>
        </w:tc>
        <w:tc>
          <w:tcPr>
            <w:tcW w:w="817" w:type="pct"/>
            <w:shd w:val="clear" w:color="auto" w:fill="auto"/>
            <w:noWrap/>
            <w:vAlign w:val="bottom"/>
            <w:hideMark/>
          </w:tcPr>
          <w:p w14:paraId="22A517FA" w14:textId="77777777" w:rsidR="004D63E7" w:rsidRPr="00596193" w:rsidRDefault="004D63E7" w:rsidP="00527179">
            <w:pPr>
              <w:jc w:val="both"/>
              <w:rPr>
                <w:color w:val="000000"/>
                <w:sz w:val="20"/>
                <w:szCs w:val="20"/>
              </w:rPr>
            </w:pPr>
            <w:r w:rsidRPr="00596193">
              <w:rPr>
                <w:color w:val="000000"/>
                <w:sz w:val="20"/>
                <w:szCs w:val="20"/>
              </w:rPr>
              <w:t>1.1</w:t>
            </w:r>
          </w:p>
        </w:tc>
        <w:tc>
          <w:tcPr>
            <w:tcW w:w="817" w:type="pct"/>
            <w:vAlign w:val="bottom"/>
          </w:tcPr>
          <w:p w14:paraId="32959781" w14:textId="46A52AC9" w:rsidR="004D63E7" w:rsidRPr="00596193" w:rsidRDefault="004D63E7" w:rsidP="00527179">
            <w:pPr>
              <w:jc w:val="both"/>
              <w:rPr>
                <w:color w:val="000000"/>
                <w:sz w:val="20"/>
                <w:szCs w:val="20"/>
              </w:rPr>
            </w:pPr>
            <w:r w:rsidRPr="00596193">
              <w:rPr>
                <w:color w:val="000000"/>
                <w:sz w:val="20"/>
                <w:szCs w:val="20"/>
              </w:rPr>
              <w:t>1</w:t>
            </w:r>
            <w:r w:rsidR="000F1C47">
              <w:rPr>
                <w:color w:val="000000"/>
                <w:sz w:val="20"/>
                <w:szCs w:val="20"/>
              </w:rPr>
              <w:t>,</w:t>
            </w:r>
            <w:r w:rsidRPr="00596193">
              <w:rPr>
                <w:color w:val="000000"/>
                <w:sz w:val="20"/>
                <w:szCs w:val="20"/>
              </w:rPr>
              <w:t>794</w:t>
            </w:r>
          </w:p>
        </w:tc>
        <w:tc>
          <w:tcPr>
            <w:tcW w:w="817" w:type="pct"/>
            <w:vAlign w:val="bottom"/>
          </w:tcPr>
          <w:p w14:paraId="2FE206DB" w14:textId="7CAAAE4F" w:rsidR="004D63E7" w:rsidRPr="00596193" w:rsidRDefault="004D63E7" w:rsidP="00527179">
            <w:pPr>
              <w:jc w:val="both"/>
              <w:rPr>
                <w:color w:val="000000"/>
                <w:sz w:val="20"/>
                <w:szCs w:val="20"/>
              </w:rPr>
            </w:pPr>
            <w:r w:rsidRPr="00910FD4">
              <w:rPr>
                <w:color w:val="000000"/>
                <w:sz w:val="20"/>
                <w:szCs w:val="20"/>
              </w:rPr>
              <w:t>161</w:t>
            </w:r>
            <w:r w:rsidR="000F1C47">
              <w:rPr>
                <w:color w:val="000000"/>
                <w:sz w:val="20"/>
                <w:szCs w:val="20"/>
              </w:rPr>
              <w:t>,</w:t>
            </w:r>
            <w:r w:rsidRPr="00910FD4">
              <w:rPr>
                <w:color w:val="000000"/>
                <w:sz w:val="20"/>
                <w:szCs w:val="20"/>
              </w:rPr>
              <w:t>339</w:t>
            </w:r>
          </w:p>
        </w:tc>
      </w:tr>
      <w:tr w:rsidR="004D63E7" w:rsidRPr="008018B6" w14:paraId="1225DA19" w14:textId="77777777" w:rsidTr="00CE3F12">
        <w:trPr>
          <w:gridAfter w:val="1"/>
          <w:wAfter w:w="6" w:type="pct"/>
          <w:trHeight w:val="300"/>
        </w:trPr>
        <w:tc>
          <w:tcPr>
            <w:tcW w:w="1583" w:type="pct"/>
            <w:shd w:val="clear" w:color="auto" w:fill="auto"/>
            <w:noWrap/>
            <w:vAlign w:val="bottom"/>
            <w:hideMark/>
          </w:tcPr>
          <w:p w14:paraId="3250575C" w14:textId="77777777" w:rsidR="004D63E7" w:rsidRPr="00596193" w:rsidRDefault="004D63E7" w:rsidP="00122CDD">
            <w:pPr>
              <w:jc w:val="both"/>
              <w:rPr>
                <w:color w:val="000000"/>
                <w:sz w:val="20"/>
                <w:szCs w:val="20"/>
              </w:rPr>
            </w:pPr>
            <w:r w:rsidRPr="00596193">
              <w:rPr>
                <w:color w:val="000000"/>
                <w:sz w:val="20"/>
                <w:szCs w:val="20"/>
              </w:rPr>
              <w:t>Urban men (25-34)</w:t>
            </w:r>
          </w:p>
        </w:tc>
        <w:tc>
          <w:tcPr>
            <w:tcW w:w="960" w:type="pct"/>
            <w:shd w:val="clear" w:color="auto" w:fill="auto"/>
            <w:noWrap/>
            <w:vAlign w:val="bottom"/>
            <w:hideMark/>
          </w:tcPr>
          <w:p w14:paraId="4F342469" w14:textId="6E0312CC" w:rsidR="004D63E7" w:rsidRPr="00596193" w:rsidRDefault="004D63E7" w:rsidP="001D10D4">
            <w:pPr>
              <w:jc w:val="both"/>
              <w:rPr>
                <w:color w:val="000000"/>
                <w:sz w:val="20"/>
                <w:szCs w:val="20"/>
              </w:rPr>
            </w:pPr>
            <w:r w:rsidRPr="00596193">
              <w:rPr>
                <w:color w:val="000000"/>
                <w:sz w:val="20"/>
                <w:szCs w:val="20"/>
              </w:rPr>
              <w:t>89</w:t>
            </w:r>
            <w:r w:rsidR="000F1C47">
              <w:rPr>
                <w:color w:val="000000"/>
                <w:sz w:val="20"/>
                <w:szCs w:val="20"/>
              </w:rPr>
              <w:t>,</w:t>
            </w:r>
            <w:r w:rsidRPr="00596193">
              <w:rPr>
                <w:color w:val="000000"/>
                <w:sz w:val="20"/>
                <w:szCs w:val="20"/>
              </w:rPr>
              <w:t>208</w:t>
            </w:r>
          </w:p>
        </w:tc>
        <w:tc>
          <w:tcPr>
            <w:tcW w:w="817" w:type="pct"/>
            <w:shd w:val="clear" w:color="auto" w:fill="auto"/>
            <w:noWrap/>
            <w:vAlign w:val="bottom"/>
            <w:hideMark/>
          </w:tcPr>
          <w:p w14:paraId="1E65AEA2" w14:textId="77777777" w:rsidR="004D63E7" w:rsidRPr="00596193" w:rsidRDefault="004D63E7" w:rsidP="00527179">
            <w:pPr>
              <w:jc w:val="both"/>
              <w:rPr>
                <w:color w:val="000000"/>
                <w:sz w:val="20"/>
                <w:szCs w:val="20"/>
              </w:rPr>
            </w:pPr>
            <w:r w:rsidRPr="00596193">
              <w:rPr>
                <w:color w:val="000000"/>
                <w:sz w:val="20"/>
                <w:szCs w:val="20"/>
              </w:rPr>
              <w:t>7.33</w:t>
            </w:r>
          </w:p>
        </w:tc>
        <w:tc>
          <w:tcPr>
            <w:tcW w:w="817" w:type="pct"/>
            <w:vAlign w:val="bottom"/>
          </w:tcPr>
          <w:p w14:paraId="3DE93233" w14:textId="49674187" w:rsidR="004D63E7" w:rsidRPr="00596193" w:rsidRDefault="004D63E7" w:rsidP="00527179">
            <w:pPr>
              <w:jc w:val="both"/>
              <w:rPr>
                <w:color w:val="000000"/>
                <w:sz w:val="20"/>
                <w:szCs w:val="20"/>
              </w:rPr>
            </w:pPr>
            <w:r w:rsidRPr="00596193">
              <w:rPr>
                <w:color w:val="000000"/>
                <w:sz w:val="20"/>
                <w:szCs w:val="20"/>
              </w:rPr>
              <w:t>6</w:t>
            </w:r>
            <w:r w:rsidR="000F1C47">
              <w:rPr>
                <w:color w:val="000000"/>
                <w:sz w:val="20"/>
                <w:szCs w:val="20"/>
              </w:rPr>
              <w:t>,</w:t>
            </w:r>
            <w:r w:rsidRPr="00596193">
              <w:rPr>
                <w:color w:val="000000"/>
                <w:sz w:val="20"/>
                <w:szCs w:val="20"/>
              </w:rPr>
              <w:t>539</w:t>
            </w:r>
          </w:p>
        </w:tc>
        <w:tc>
          <w:tcPr>
            <w:tcW w:w="817" w:type="pct"/>
            <w:vAlign w:val="bottom"/>
          </w:tcPr>
          <w:p w14:paraId="3637B4F5" w14:textId="77AC32B5" w:rsidR="004D63E7" w:rsidRPr="00596193" w:rsidRDefault="004D63E7" w:rsidP="00527179">
            <w:pPr>
              <w:jc w:val="both"/>
              <w:rPr>
                <w:color w:val="000000"/>
                <w:sz w:val="20"/>
                <w:szCs w:val="20"/>
              </w:rPr>
            </w:pPr>
            <w:r w:rsidRPr="00910FD4">
              <w:rPr>
                <w:color w:val="000000"/>
                <w:sz w:val="20"/>
                <w:szCs w:val="20"/>
              </w:rPr>
              <w:t>82</w:t>
            </w:r>
            <w:r w:rsidR="000F1C47">
              <w:rPr>
                <w:color w:val="000000"/>
                <w:sz w:val="20"/>
                <w:szCs w:val="20"/>
              </w:rPr>
              <w:t>,</w:t>
            </w:r>
            <w:r w:rsidRPr="00910FD4">
              <w:rPr>
                <w:color w:val="000000"/>
                <w:sz w:val="20"/>
                <w:szCs w:val="20"/>
              </w:rPr>
              <w:t>669</w:t>
            </w:r>
          </w:p>
        </w:tc>
      </w:tr>
      <w:tr w:rsidR="004D63E7" w:rsidRPr="008018B6" w14:paraId="78BF7A32" w14:textId="77777777" w:rsidTr="00CE3F12">
        <w:trPr>
          <w:gridAfter w:val="1"/>
          <w:wAfter w:w="6" w:type="pct"/>
          <w:trHeight w:val="300"/>
        </w:trPr>
        <w:tc>
          <w:tcPr>
            <w:tcW w:w="1583" w:type="pct"/>
            <w:shd w:val="clear" w:color="auto" w:fill="auto"/>
            <w:noWrap/>
            <w:vAlign w:val="bottom"/>
            <w:hideMark/>
          </w:tcPr>
          <w:p w14:paraId="512CA24F" w14:textId="77777777" w:rsidR="004D63E7" w:rsidRPr="00596193" w:rsidRDefault="004D63E7" w:rsidP="00122CDD">
            <w:pPr>
              <w:jc w:val="both"/>
              <w:rPr>
                <w:color w:val="000000"/>
                <w:sz w:val="20"/>
                <w:szCs w:val="20"/>
              </w:rPr>
            </w:pPr>
            <w:r w:rsidRPr="00596193">
              <w:rPr>
                <w:color w:val="000000"/>
                <w:sz w:val="20"/>
                <w:szCs w:val="20"/>
              </w:rPr>
              <w:t>Urban men (35-44)</w:t>
            </w:r>
          </w:p>
        </w:tc>
        <w:tc>
          <w:tcPr>
            <w:tcW w:w="960" w:type="pct"/>
            <w:shd w:val="clear" w:color="auto" w:fill="auto"/>
            <w:noWrap/>
            <w:vAlign w:val="bottom"/>
            <w:hideMark/>
          </w:tcPr>
          <w:p w14:paraId="385B9780" w14:textId="06F4FBCC" w:rsidR="004D63E7" w:rsidRPr="00596193" w:rsidRDefault="004D63E7" w:rsidP="001D10D4">
            <w:pPr>
              <w:jc w:val="both"/>
              <w:rPr>
                <w:color w:val="000000"/>
                <w:sz w:val="20"/>
                <w:szCs w:val="20"/>
              </w:rPr>
            </w:pPr>
            <w:r w:rsidRPr="00596193">
              <w:rPr>
                <w:color w:val="000000"/>
                <w:sz w:val="20"/>
                <w:szCs w:val="20"/>
              </w:rPr>
              <w:t>72</w:t>
            </w:r>
            <w:r w:rsidR="000F1C47">
              <w:rPr>
                <w:color w:val="000000"/>
                <w:sz w:val="20"/>
                <w:szCs w:val="20"/>
              </w:rPr>
              <w:t>,</w:t>
            </w:r>
            <w:r w:rsidRPr="00596193">
              <w:rPr>
                <w:color w:val="000000"/>
                <w:sz w:val="20"/>
                <w:szCs w:val="20"/>
              </w:rPr>
              <w:t>332</w:t>
            </w:r>
          </w:p>
        </w:tc>
        <w:tc>
          <w:tcPr>
            <w:tcW w:w="817" w:type="pct"/>
            <w:shd w:val="clear" w:color="auto" w:fill="auto"/>
            <w:noWrap/>
            <w:vAlign w:val="bottom"/>
            <w:hideMark/>
          </w:tcPr>
          <w:p w14:paraId="2CCFEB6F" w14:textId="77777777" w:rsidR="004D63E7" w:rsidRPr="00596193" w:rsidRDefault="004D63E7" w:rsidP="00527179">
            <w:pPr>
              <w:jc w:val="both"/>
              <w:rPr>
                <w:color w:val="000000"/>
                <w:sz w:val="20"/>
                <w:szCs w:val="20"/>
              </w:rPr>
            </w:pPr>
            <w:r w:rsidRPr="00596193">
              <w:rPr>
                <w:color w:val="000000"/>
                <w:sz w:val="20"/>
                <w:szCs w:val="20"/>
              </w:rPr>
              <w:t>12.35</w:t>
            </w:r>
          </w:p>
        </w:tc>
        <w:tc>
          <w:tcPr>
            <w:tcW w:w="817" w:type="pct"/>
            <w:vAlign w:val="bottom"/>
          </w:tcPr>
          <w:p w14:paraId="3F87C44F" w14:textId="1949B016" w:rsidR="004D63E7" w:rsidRPr="00596193" w:rsidRDefault="004D63E7" w:rsidP="00527179">
            <w:pPr>
              <w:jc w:val="both"/>
              <w:rPr>
                <w:color w:val="000000"/>
                <w:sz w:val="20"/>
                <w:szCs w:val="20"/>
              </w:rPr>
            </w:pPr>
            <w:r w:rsidRPr="00596193">
              <w:rPr>
                <w:color w:val="000000"/>
                <w:sz w:val="20"/>
                <w:szCs w:val="20"/>
              </w:rPr>
              <w:t>8</w:t>
            </w:r>
            <w:r w:rsidR="000F1C47">
              <w:rPr>
                <w:color w:val="000000"/>
                <w:sz w:val="20"/>
                <w:szCs w:val="20"/>
              </w:rPr>
              <w:t>,</w:t>
            </w:r>
            <w:r w:rsidRPr="00596193">
              <w:rPr>
                <w:color w:val="000000"/>
                <w:sz w:val="20"/>
                <w:szCs w:val="20"/>
              </w:rPr>
              <w:t>933</w:t>
            </w:r>
          </w:p>
        </w:tc>
        <w:tc>
          <w:tcPr>
            <w:tcW w:w="817" w:type="pct"/>
            <w:vAlign w:val="bottom"/>
          </w:tcPr>
          <w:p w14:paraId="5682F35F" w14:textId="24224277" w:rsidR="004D63E7" w:rsidRPr="00596193" w:rsidRDefault="004D63E7" w:rsidP="00527179">
            <w:pPr>
              <w:jc w:val="both"/>
              <w:rPr>
                <w:color w:val="000000"/>
                <w:sz w:val="20"/>
                <w:szCs w:val="20"/>
              </w:rPr>
            </w:pPr>
            <w:r w:rsidRPr="00910FD4">
              <w:rPr>
                <w:color w:val="000000"/>
                <w:sz w:val="20"/>
                <w:szCs w:val="20"/>
              </w:rPr>
              <w:t>63</w:t>
            </w:r>
            <w:r w:rsidR="000F1C47">
              <w:rPr>
                <w:color w:val="000000"/>
                <w:sz w:val="20"/>
                <w:szCs w:val="20"/>
              </w:rPr>
              <w:t>,</w:t>
            </w:r>
            <w:r w:rsidRPr="00910FD4">
              <w:rPr>
                <w:color w:val="000000"/>
                <w:sz w:val="20"/>
                <w:szCs w:val="20"/>
              </w:rPr>
              <w:t>399</w:t>
            </w:r>
          </w:p>
        </w:tc>
      </w:tr>
      <w:tr w:rsidR="004D63E7" w:rsidRPr="008018B6" w14:paraId="4AF418DF" w14:textId="77777777" w:rsidTr="00CE3F12">
        <w:trPr>
          <w:gridAfter w:val="1"/>
          <w:wAfter w:w="6" w:type="pct"/>
          <w:trHeight w:val="300"/>
        </w:trPr>
        <w:tc>
          <w:tcPr>
            <w:tcW w:w="1583" w:type="pct"/>
            <w:shd w:val="clear" w:color="auto" w:fill="auto"/>
            <w:noWrap/>
            <w:vAlign w:val="bottom"/>
            <w:hideMark/>
          </w:tcPr>
          <w:p w14:paraId="64BFC593" w14:textId="77777777" w:rsidR="004D63E7" w:rsidRPr="00596193" w:rsidRDefault="004D63E7" w:rsidP="00122CDD">
            <w:pPr>
              <w:jc w:val="both"/>
              <w:rPr>
                <w:color w:val="000000"/>
                <w:sz w:val="20"/>
                <w:szCs w:val="20"/>
              </w:rPr>
            </w:pPr>
            <w:r w:rsidRPr="00596193">
              <w:rPr>
                <w:color w:val="000000"/>
                <w:sz w:val="20"/>
                <w:szCs w:val="20"/>
              </w:rPr>
              <w:t>Urban men (45-54)</w:t>
            </w:r>
          </w:p>
        </w:tc>
        <w:tc>
          <w:tcPr>
            <w:tcW w:w="960" w:type="pct"/>
            <w:shd w:val="clear" w:color="auto" w:fill="auto"/>
            <w:noWrap/>
            <w:vAlign w:val="bottom"/>
            <w:hideMark/>
          </w:tcPr>
          <w:p w14:paraId="2C0B8A85" w14:textId="7F6C72EF" w:rsidR="004D63E7" w:rsidRPr="00596193" w:rsidRDefault="004D63E7" w:rsidP="001D10D4">
            <w:pPr>
              <w:jc w:val="both"/>
              <w:rPr>
                <w:color w:val="000000"/>
                <w:sz w:val="20"/>
                <w:szCs w:val="20"/>
              </w:rPr>
            </w:pPr>
            <w:r w:rsidRPr="00596193">
              <w:rPr>
                <w:color w:val="000000"/>
                <w:sz w:val="20"/>
                <w:szCs w:val="20"/>
              </w:rPr>
              <w:t>41</w:t>
            </w:r>
            <w:r w:rsidR="000F1C47">
              <w:rPr>
                <w:color w:val="000000"/>
                <w:sz w:val="20"/>
                <w:szCs w:val="20"/>
              </w:rPr>
              <w:t>,</w:t>
            </w:r>
            <w:r w:rsidRPr="00596193">
              <w:rPr>
                <w:color w:val="000000"/>
                <w:sz w:val="20"/>
                <w:szCs w:val="20"/>
              </w:rPr>
              <w:t>887</w:t>
            </w:r>
          </w:p>
        </w:tc>
        <w:tc>
          <w:tcPr>
            <w:tcW w:w="817" w:type="pct"/>
            <w:shd w:val="clear" w:color="auto" w:fill="auto"/>
            <w:noWrap/>
            <w:vAlign w:val="bottom"/>
            <w:hideMark/>
          </w:tcPr>
          <w:p w14:paraId="51CDDC4B" w14:textId="77777777" w:rsidR="004D63E7" w:rsidRPr="00596193" w:rsidRDefault="004D63E7" w:rsidP="00527179">
            <w:pPr>
              <w:jc w:val="both"/>
              <w:rPr>
                <w:color w:val="000000"/>
                <w:sz w:val="20"/>
                <w:szCs w:val="20"/>
              </w:rPr>
            </w:pPr>
            <w:r w:rsidRPr="00596193">
              <w:rPr>
                <w:color w:val="000000"/>
                <w:sz w:val="20"/>
                <w:szCs w:val="20"/>
              </w:rPr>
              <w:t>7.98</w:t>
            </w:r>
          </w:p>
        </w:tc>
        <w:tc>
          <w:tcPr>
            <w:tcW w:w="817" w:type="pct"/>
            <w:vAlign w:val="bottom"/>
          </w:tcPr>
          <w:p w14:paraId="61890A20" w14:textId="3AF4FFE1" w:rsidR="004D63E7" w:rsidRPr="00596193" w:rsidRDefault="004D63E7" w:rsidP="00527179">
            <w:pPr>
              <w:jc w:val="both"/>
              <w:rPr>
                <w:color w:val="000000"/>
                <w:sz w:val="20"/>
                <w:szCs w:val="20"/>
              </w:rPr>
            </w:pPr>
            <w:r w:rsidRPr="00596193">
              <w:rPr>
                <w:color w:val="000000"/>
                <w:sz w:val="20"/>
                <w:szCs w:val="20"/>
              </w:rPr>
              <w:t>3</w:t>
            </w:r>
            <w:r w:rsidR="000F1C47">
              <w:rPr>
                <w:color w:val="000000"/>
                <w:sz w:val="20"/>
                <w:szCs w:val="20"/>
              </w:rPr>
              <w:t>,</w:t>
            </w:r>
            <w:r w:rsidRPr="00596193">
              <w:rPr>
                <w:color w:val="000000"/>
                <w:sz w:val="20"/>
                <w:szCs w:val="20"/>
              </w:rPr>
              <w:t>343</w:t>
            </w:r>
          </w:p>
        </w:tc>
        <w:tc>
          <w:tcPr>
            <w:tcW w:w="817" w:type="pct"/>
            <w:vAlign w:val="bottom"/>
          </w:tcPr>
          <w:p w14:paraId="61566881" w14:textId="515C9AAF" w:rsidR="004D63E7" w:rsidRPr="00596193" w:rsidRDefault="004D63E7" w:rsidP="00527179">
            <w:pPr>
              <w:jc w:val="both"/>
              <w:rPr>
                <w:color w:val="000000"/>
                <w:sz w:val="20"/>
                <w:szCs w:val="20"/>
              </w:rPr>
            </w:pPr>
            <w:r w:rsidRPr="00910FD4">
              <w:rPr>
                <w:color w:val="000000"/>
                <w:sz w:val="20"/>
                <w:szCs w:val="20"/>
              </w:rPr>
              <w:t>38</w:t>
            </w:r>
            <w:r w:rsidR="000F1C47">
              <w:rPr>
                <w:color w:val="000000"/>
                <w:sz w:val="20"/>
                <w:szCs w:val="20"/>
              </w:rPr>
              <w:t>,</w:t>
            </w:r>
            <w:r w:rsidRPr="00910FD4">
              <w:rPr>
                <w:color w:val="000000"/>
                <w:sz w:val="20"/>
                <w:szCs w:val="20"/>
              </w:rPr>
              <w:t>544</w:t>
            </w:r>
          </w:p>
        </w:tc>
      </w:tr>
      <w:tr w:rsidR="004D63E7" w:rsidRPr="008018B6" w14:paraId="0E92A642" w14:textId="77777777" w:rsidTr="00CE3F12">
        <w:trPr>
          <w:gridAfter w:val="1"/>
          <w:wAfter w:w="6" w:type="pct"/>
          <w:trHeight w:val="300"/>
        </w:trPr>
        <w:tc>
          <w:tcPr>
            <w:tcW w:w="1583" w:type="pct"/>
            <w:shd w:val="clear" w:color="auto" w:fill="auto"/>
            <w:noWrap/>
            <w:vAlign w:val="bottom"/>
            <w:hideMark/>
          </w:tcPr>
          <w:p w14:paraId="116AEE18" w14:textId="77777777" w:rsidR="004D63E7" w:rsidRPr="00596193" w:rsidRDefault="004D63E7" w:rsidP="00122CDD">
            <w:pPr>
              <w:jc w:val="both"/>
              <w:rPr>
                <w:color w:val="000000"/>
                <w:sz w:val="20"/>
                <w:szCs w:val="20"/>
              </w:rPr>
            </w:pPr>
            <w:r w:rsidRPr="00596193">
              <w:rPr>
                <w:color w:val="000000"/>
                <w:sz w:val="20"/>
                <w:szCs w:val="20"/>
              </w:rPr>
              <w:t>Urban men (55-64)</w:t>
            </w:r>
          </w:p>
        </w:tc>
        <w:tc>
          <w:tcPr>
            <w:tcW w:w="960" w:type="pct"/>
            <w:shd w:val="clear" w:color="auto" w:fill="auto"/>
            <w:noWrap/>
            <w:vAlign w:val="bottom"/>
            <w:hideMark/>
          </w:tcPr>
          <w:p w14:paraId="4E3CC258" w14:textId="7E823301" w:rsidR="004D63E7" w:rsidRPr="00596193" w:rsidRDefault="004D63E7" w:rsidP="001D10D4">
            <w:pPr>
              <w:jc w:val="both"/>
              <w:rPr>
                <w:color w:val="000000"/>
                <w:sz w:val="20"/>
                <w:szCs w:val="20"/>
              </w:rPr>
            </w:pPr>
            <w:r w:rsidRPr="00596193">
              <w:rPr>
                <w:color w:val="000000"/>
                <w:sz w:val="20"/>
                <w:szCs w:val="20"/>
              </w:rPr>
              <w:t>19</w:t>
            </w:r>
            <w:r w:rsidR="000F1C47">
              <w:rPr>
                <w:color w:val="000000"/>
                <w:sz w:val="20"/>
                <w:szCs w:val="20"/>
              </w:rPr>
              <w:t>,</w:t>
            </w:r>
            <w:r w:rsidRPr="00596193">
              <w:rPr>
                <w:color w:val="000000"/>
                <w:sz w:val="20"/>
                <w:szCs w:val="20"/>
              </w:rPr>
              <w:t>325</w:t>
            </w:r>
          </w:p>
        </w:tc>
        <w:tc>
          <w:tcPr>
            <w:tcW w:w="817" w:type="pct"/>
            <w:shd w:val="clear" w:color="auto" w:fill="auto"/>
            <w:noWrap/>
            <w:vAlign w:val="bottom"/>
            <w:hideMark/>
          </w:tcPr>
          <w:p w14:paraId="0BF88995" w14:textId="77777777" w:rsidR="004D63E7" w:rsidRPr="00596193" w:rsidRDefault="004D63E7" w:rsidP="00527179">
            <w:pPr>
              <w:jc w:val="both"/>
              <w:rPr>
                <w:color w:val="000000"/>
                <w:sz w:val="20"/>
                <w:szCs w:val="20"/>
              </w:rPr>
            </w:pPr>
            <w:r w:rsidRPr="00596193">
              <w:rPr>
                <w:color w:val="000000"/>
                <w:sz w:val="20"/>
                <w:szCs w:val="20"/>
              </w:rPr>
              <w:t>0</w:t>
            </w:r>
          </w:p>
        </w:tc>
        <w:tc>
          <w:tcPr>
            <w:tcW w:w="817" w:type="pct"/>
            <w:vAlign w:val="bottom"/>
          </w:tcPr>
          <w:p w14:paraId="58C2C3E9" w14:textId="77777777" w:rsidR="004D63E7" w:rsidRPr="00596193" w:rsidRDefault="004D63E7" w:rsidP="00527179">
            <w:pPr>
              <w:jc w:val="both"/>
              <w:rPr>
                <w:color w:val="000000"/>
                <w:sz w:val="20"/>
                <w:szCs w:val="20"/>
              </w:rPr>
            </w:pPr>
            <w:r w:rsidRPr="00596193">
              <w:rPr>
                <w:color w:val="000000"/>
                <w:sz w:val="20"/>
                <w:szCs w:val="20"/>
              </w:rPr>
              <w:t>0</w:t>
            </w:r>
          </w:p>
        </w:tc>
        <w:tc>
          <w:tcPr>
            <w:tcW w:w="817" w:type="pct"/>
            <w:vAlign w:val="bottom"/>
          </w:tcPr>
          <w:p w14:paraId="42E2B6FB" w14:textId="68A7020A" w:rsidR="004D63E7" w:rsidRPr="00596193" w:rsidRDefault="004D63E7" w:rsidP="00527179">
            <w:pPr>
              <w:jc w:val="both"/>
              <w:rPr>
                <w:color w:val="000000"/>
                <w:sz w:val="20"/>
                <w:szCs w:val="20"/>
              </w:rPr>
            </w:pPr>
            <w:r w:rsidRPr="00910FD4">
              <w:rPr>
                <w:color w:val="000000"/>
                <w:sz w:val="20"/>
                <w:szCs w:val="20"/>
              </w:rPr>
              <w:t>19</w:t>
            </w:r>
            <w:r w:rsidR="000F1C47">
              <w:rPr>
                <w:color w:val="000000"/>
                <w:sz w:val="20"/>
                <w:szCs w:val="20"/>
              </w:rPr>
              <w:t>,</w:t>
            </w:r>
            <w:r w:rsidRPr="00910FD4">
              <w:rPr>
                <w:color w:val="000000"/>
                <w:sz w:val="20"/>
                <w:szCs w:val="20"/>
              </w:rPr>
              <w:t>325</w:t>
            </w:r>
          </w:p>
        </w:tc>
      </w:tr>
      <w:tr w:rsidR="004D63E7" w:rsidRPr="008018B6" w14:paraId="79FB195A" w14:textId="77777777" w:rsidTr="00CE3F12">
        <w:trPr>
          <w:gridAfter w:val="1"/>
          <w:wAfter w:w="6" w:type="pct"/>
          <w:trHeight w:val="300"/>
        </w:trPr>
        <w:tc>
          <w:tcPr>
            <w:tcW w:w="1583" w:type="pct"/>
            <w:shd w:val="clear" w:color="auto" w:fill="auto"/>
            <w:noWrap/>
            <w:vAlign w:val="bottom"/>
            <w:hideMark/>
          </w:tcPr>
          <w:p w14:paraId="2B00FB1C" w14:textId="77777777" w:rsidR="004D63E7" w:rsidRPr="00596193" w:rsidRDefault="004D63E7" w:rsidP="00122CDD">
            <w:pPr>
              <w:jc w:val="both"/>
              <w:rPr>
                <w:color w:val="000000"/>
                <w:sz w:val="20"/>
                <w:szCs w:val="20"/>
              </w:rPr>
            </w:pPr>
            <w:r w:rsidRPr="00596193">
              <w:rPr>
                <w:color w:val="000000"/>
                <w:sz w:val="20"/>
                <w:szCs w:val="20"/>
              </w:rPr>
              <w:t>Rural men (15-24)</w:t>
            </w:r>
          </w:p>
        </w:tc>
        <w:tc>
          <w:tcPr>
            <w:tcW w:w="960" w:type="pct"/>
            <w:shd w:val="clear" w:color="auto" w:fill="auto"/>
            <w:noWrap/>
            <w:vAlign w:val="bottom"/>
            <w:hideMark/>
          </w:tcPr>
          <w:p w14:paraId="5FAE1F70" w14:textId="63EBBB0D" w:rsidR="004D63E7" w:rsidRPr="00596193" w:rsidRDefault="004D63E7" w:rsidP="001D10D4">
            <w:pPr>
              <w:jc w:val="both"/>
              <w:rPr>
                <w:color w:val="000000"/>
                <w:sz w:val="20"/>
                <w:szCs w:val="20"/>
              </w:rPr>
            </w:pPr>
            <w:r w:rsidRPr="00596193">
              <w:rPr>
                <w:color w:val="000000"/>
                <w:sz w:val="20"/>
                <w:szCs w:val="20"/>
              </w:rPr>
              <w:t>801</w:t>
            </w:r>
            <w:r w:rsidR="000F1C47">
              <w:rPr>
                <w:color w:val="000000"/>
                <w:sz w:val="20"/>
                <w:szCs w:val="20"/>
              </w:rPr>
              <w:t>,</w:t>
            </w:r>
            <w:r w:rsidRPr="00596193">
              <w:rPr>
                <w:color w:val="000000"/>
                <w:sz w:val="20"/>
                <w:szCs w:val="20"/>
              </w:rPr>
              <w:t>925</w:t>
            </w:r>
          </w:p>
        </w:tc>
        <w:tc>
          <w:tcPr>
            <w:tcW w:w="817" w:type="pct"/>
            <w:shd w:val="clear" w:color="auto" w:fill="auto"/>
            <w:noWrap/>
            <w:vAlign w:val="bottom"/>
            <w:hideMark/>
          </w:tcPr>
          <w:p w14:paraId="35F8E35B" w14:textId="77777777" w:rsidR="004D63E7" w:rsidRPr="00596193" w:rsidRDefault="004D63E7" w:rsidP="00527179">
            <w:pPr>
              <w:jc w:val="both"/>
              <w:rPr>
                <w:color w:val="000000"/>
                <w:sz w:val="20"/>
                <w:szCs w:val="20"/>
              </w:rPr>
            </w:pPr>
            <w:r w:rsidRPr="00596193">
              <w:rPr>
                <w:color w:val="000000"/>
                <w:sz w:val="20"/>
                <w:szCs w:val="20"/>
              </w:rPr>
              <w:t>0.27</w:t>
            </w:r>
          </w:p>
        </w:tc>
        <w:tc>
          <w:tcPr>
            <w:tcW w:w="817" w:type="pct"/>
            <w:vAlign w:val="bottom"/>
          </w:tcPr>
          <w:p w14:paraId="2836E178" w14:textId="640923F1" w:rsidR="004D63E7" w:rsidRPr="00596193" w:rsidRDefault="004D63E7" w:rsidP="00527179">
            <w:pPr>
              <w:jc w:val="both"/>
              <w:rPr>
                <w:color w:val="000000"/>
                <w:sz w:val="20"/>
                <w:szCs w:val="20"/>
              </w:rPr>
            </w:pPr>
            <w:r w:rsidRPr="00596193">
              <w:rPr>
                <w:color w:val="000000"/>
                <w:sz w:val="20"/>
                <w:szCs w:val="20"/>
              </w:rPr>
              <w:t>2</w:t>
            </w:r>
            <w:r w:rsidR="000F1C47">
              <w:rPr>
                <w:color w:val="000000"/>
                <w:sz w:val="20"/>
                <w:szCs w:val="20"/>
              </w:rPr>
              <w:t>,</w:t>
            </w:r>
            <w:r w:rsidRPr="00596193">
              <w:rPr>
                <w:color w:val="000000"/>
                <w:sz w:val="20"/>
                <w:szCs w:val="20"/>
              </w:rPr>
              <w:t>165</w:t>
            </w:r>
          </w:p>
        </w:tc>
        <w:tc>
          <w:tcPr>
            <w:tcW w:w="817" w:type="pct"/>
            <w:vAlign w:val="bottom"/>
          </w:tcPr>
          <w:p w14:paraId="5C74700A" w14:textId="6A062AFF" w:rsidR="004D63E7" w:rsidRPr="00596193" w:rsidRDefault="004D63E7" w:rsidP="00527179">
            <w:pPr>
              <w:jc w:val="both"/>
              <w:rPr>
                <w:color w:val="000000"/>
                <w:sz w:val="20"/>
                <w:szCs w:val="20"/>
              </w:rPr>
            </w:pPr>
            <w:r w:rsidRPr="00910FD4">
              <w:rPr>
                <w:color w:val="000000"/>
                <w:sz w:val="20"/>
                <w:szCs w:val="20"/>
              </w:rPr>
              <w:t>799</w:t>
            </w:r>
            <w:r w:rsidR="000F1C47">
              <w:rPr>
                <w:color w:val="000000"/>
                <w:sz w:val="20"/>
                <w:szCs w:val="20"/>
              </w:rPr>
              <w:t>,</w:t>
            </w:r>
            <w:r w:rsidRPr="00910FD4">
              <w:rPr>
                <w:color w:val="000000"/>
                <w:sz w:val="20"/>
                <w:szCs w:val="20"/>
              </w:rPr>
              <w:t>759</w:t>
            </w:r>
          </w:p>
        </w:tc>
      </w:tr>
      <w:tr w:rsidR="004D63E7" w:rsidRPr="008018B6" w14:paraId="5F57148B" w14:textId="77777777" w:rsidTr="00CE3F12">
        <w:trPr>
          <w:gridAfter w:val="1"/>
          <w:wAfter w:w="6" w:type="pct"/>
          <w:trHeight w:val="300"/>
        </w:trPr>
        <w:tc>
          <w:tcPr>
            <w:tcW w:w="1583" w:type="pct"/>
            <w:shd w:val="clear" w:color="auto" w:fill="auto"/>
            <w:noWrap/>
            <w:vAlign w:val="bottom"/>
            <w:hideMark/>
          </w:tcPr>
          <w:p w14:paraId="31089D37" w14:textId="77777777" w:rsidR="004D63E7" w:rsidRPr="00596193" w:rsidRDefault="004D63E7" w:rsidP="00122CDD">
            <w:pPr>
              <w:jc w:val="both"/>
              <w:rPr>
                <w:color w:val="000000"/>
                <w:sz w:val="20"/>
                <w:szCs w:val="20"/>
              </w:rPr>
            </w:pPr>
            <w:r w:rsidRPr="00596193">
              <w:rPr>
                <w:color w:val="000000"/>
                <w:sz w:val="20"/>
                <w:szCs w:val="20"/>
              </w:rPr>
              <w:t>Rural men (25-34)</w:t>
            </w:r>
          </w:p>
        </w:tc>
        <w:tc>
          <w:tcPr>
            <w:tcW w:w="960" w:type="pct"/>
            <w:shd w:val="clear" w:color="auto" w:fill="auto"/>
            <w:noWrap/>
            <w:vAlign w:val="bottom"/>
            <w:hideMark/>
          </w:tcPr>
          <w:p w14:paraId="328402D9" w14:textId="6573CE24" w:rsidR="004D63E7" w:rsidRPr="00596193" w:rsidRDefault="004D63E7" w:rsidP="001D10D4">
            <w:pPr>
              <w:jc w:val="both"/>
              <w:rPr>
                <w:color w:val="000000"/>
                <w:sz w:val="20"/>
                <w:szCs w:val="20"/>
              </w:rPr>
            </w:pPr>
            <w:r w:rsidRPr="00596193">
              <w:rPr>
                <w:color w:val="000000"/>
                <w:sz w:val="20"/>
                <w:szCs w:val="20"/>
              </w:rPr>
              <w:t>438</w:t>
            </w:r>
            <w:r w:rsidR="000F1C47">
              <w:rPr>
                <w:color w:val="000000"/>
                <w:sz w:val="20"/>
                <w:szCs w:val="20"/>
              </w:rPr>
              <w:t>,</w:t>
            </w:r>
            <w:r w:rsidRPr="00596193">
              <w:rPr>
                <w:color w:val="000000"/>
                <w:sz w:val="20"/>
                <w:szCs w:val="20"/>
              </w:rPr>
              <w:t>524</w:t>
            </w:r>
          </w:p>
        </w:tc>
        <w:tc>
          <w:tcPr>
            <w:tcW w:w="817" w:type="pct"/>
            <w:shd w:val="clear" w:color="auto" w:fill="auto"/>
            <w:noWrap/>
            <w:vAlign w:val="bottom"/>
            <w:hideMark/>
          </w:tcPr>
          <w:p w14:paraId="0D6E1DB2" w14:textId="77777777" w:rsidR="004D63E7" w:rsidRPr="00596193" w:rsidRDefault="004D63E7" w:rsidP="00527179">
            <w:pPr>
              <w:jc w:val="both"/>
              <w:rPr>
                <w:color w:val="000000"/>
                <w:sz w:val="20"/>
                <w:szCs w:val="20"/>
              </w:rPr>
            </w:pPr>
            <w:r w:rsidRPr="00596193">
              <w:rPr>
                <w:color w:val="000000"/>
                <w:sz w:val="20"/>
                <w:szCs w:val="20"/>
              </w:rPr>
              <w:t>1.62</w:t>
            </w:r>
          </w:p>
        </w:tc>
        <w:tc>
          <w:tcPr>
            <w:tcW w:w="817" w:type="pct"/>
            <w:vAlign w:val="bottom"/>
          </w:tcPr>
          <w:p w14:paraId="5475E77E" w14:textId="4DB4C026" w:rsidR="004D63E7" w:rsidRPr="00596193" w:rsidRDefault="004D63E7" w:rsidP="00527179">
            <w:pPr>
              <w:jc w:val="both"/>
              <w:rPr>
                <w:color w:val="000000"/>
                <w:sz w:val="20"/>
                <w:szCs w:val="20"/>
              </w:rPr>
            </w:pPr>
            <w:r w:rsidRPr="00596193">
              <w:rPr>
                <w:color w:val="000000"/>
                <w:sz w:val="20"/>
                <w:szCs w:val="20"/>
              </w:rPr>
              <w:t>7</w:t>
            </w:r>
            <w:r w:rsidR="000F1C47">
              <w:rPr>
                <w:color w:val="000000"/>
                <w:sz w:val="20"/>
                <w:szCs w:val="20"/>
              </w:rPr>
              <w:t>,</w:t>
            </w:r>
            <w:r w:rsidRPr="00596193">
              <w:rPr>
                <w:color w:val="000000"/>
                <w:sz w:val="20"/>
                <w:szCs w:val="20"/>
              </w:rPr>
              <w:t>104</w:t>
            </w:r>
          </w:p>
        </w:tc>
        <w:tc>
          <w:tcPr>
            <w:tcW w:w="817" w:type="pct"/>
            <w:vAlign w:val="bottom"/>
          </w:tcPr>
          <w:p w14:paraId="4A3E9E98" w14:textId="09AC7206" w:rsidR="004D63E7" w:rsidRPr="00596193" w:rsidRDefault="004D63E7" w:rsidP="00527179">
            <w:pPr>
              <w:jc w:val="both"/>
              <w:rPr>
                <w:color w:val="000000"/>
                <w:sz w:val="20"/>
                <w:szCs w:val="20"/>
              </w:rPr>
            </w:pPr>
            <w:r w:rsidRPr="00910FD4">
              <w:rPr>
                <w:color w:val="000000"/>
                <w:sz w:val="20"/>
                <w:szCs w:val="20"/>
              </w:rPr>
              <w:t>431</w:t>
            </w:r>
            <w:r w:rsidR="000F1C47">
              <w:rPr>
                <w:color w:val="000000"/>
                <w:sz w:val="20"/>
                <w:szCs w:val="20"/>
              </w:rPr>
              <w:t>,</w:t>
            </w:r>
            <w:r w:rsidRPr="00910FD4">
              <w:rPr>
                <w:color w:val="000000"/>
                <w:sz w:val="20"/>
                <w:szCs w:val="20"/>
              </w:rPr>
              <w:t>420</w:t>
            </w:r>
          </w:p>
        </w:tc>
      </w:tr>
      <w:tr w:rsidR="004D63E7" w:rsidRPr="008018B6" w14:paraId="5A7104A9" w14:textId="77777777" w:rsidTr="00CE3F12">
        <w:trPr>
          <w:gridAfter w:val="1"/>
          <w:wAfter w:w="6" w:type="pct"/>
          <w:trHeight w:val="300"/>
        </w:trPr>
        <w:tc>
          <w:tcPr>
            <w:tcW w:w="1583" w:type="pct"/>
            <w:shd w:val="clear" w:color="auto" w:fill="auto"/>
            <w:noWrap/>
            <w:vAlign w:val="bottom"/>
            <w:hideMark/>
          </w:tcPr>
          <w:p w14:paraId="2ABC04D8" w14:textId="77777777" w:rsidR="004D63E7" w:rsidRPr="00596193" w:rsidRDefault="004D63E7" w:rsidP="00122CDD">
            <w:pPr>
              <w:jc w:val="both"/>
              <w:rPr>
                <w:color w:val="000000"/>
                <w:sz w:val="20"/>
                <w:szCs w:val="20"/>
              </w:rPr>
            </w:pPr>
            <w:r w:rsidRPr="00596193">
              <w:rPr>
                <w:color w:val="000000"/>
                <w:sz w:val="20"/>
                <w:szCs w:val="20"/>
              </w:rPr>
              <w:t>Rural men (35-44)</w:t>
            </w:r>
          </w:p>
        </w:tc>
        <w:tc>
          <w:tcPr>
            <w:tcW w:w="960" w:type="pct"/>
            <w:shd w:val="clear" w:color="auto" w:fill="auto"/>
            <w:noWrap/>
            <w:vAlign w:val="bottom"/>
            <w:hideMark/>
          </w:tcPr>
          <w:p w14:paraId="0A129EF9" w14:textId="26B834EA" w:rsidR="004D63E7" w:rsidRPr="00596193" w:rsidRDefault="004D63E7" w:rsidP="001D10D4">
            <w:pPr>
              <w:jc w:val="both"/>
              <w:rPr>
                <w:color w:val="000000"/>
                <w:sz w:val="20"/>
                <w:szCs w:val="20"/>
              </w:rPr>
            </w:pPr>
            <w:r w:rsidRPr="00596193">
              <w:rPr>
                <w:color w:val="000000"/>
                <w:sz w:val="20"/>
                <w:szCs w:val="20"/>
              </w:rPr>
              <w:t>355</w:t>
            </w:r>
            <w:r w:rsidR="000F1C47">
              <w:rPr>
                <w:color w:val="000000"/>
                <w:sz w:val="20"/>
                <w:szCs w:val="20"/>
              </w:rPr>
              <w:t>,</w:t>
            </w:r>
            <w:r w:rsidRPr="00596193">
              <w:rPr>
                <w:color w:val="000000"/>
                <w:sz w:val="20"/>
                <w:szCs w:val="20"/>
              </w:rPr>
              <w:t>569</w:t>
            </w:r>
          </w:p>
        </w:tc>
        <w:tc>
          <w:tcPr>
            <w:tcW w:w="817" w:type="pct"/>
            <w:shd w:val="clear" w:color="auto" w:fill="auto"/>
            <w:noWrap/>
            <w:vAlign w:val="bottom"/>
            <w:hideMark/>
          </w:tcPr>
          <w:p w14:paraId="07697B65" w14:textId="77777777" w:rsidR="004D63E7" w:rsidRPr="00596193" w:rsidRDefault="004D63E7" w:rsidP="00527179">
            <w:pPr>
              <w:jc w:val="both"/>
              <w:rPr>
                <w:color w:val="000000"/>
                <w:sz w:val="20"/>
                <w:szCs w:val="20"/>
              </w:rPr>
            </w:pPr>
            <w:r w:rsidRPr="00596193">
              <w:rPr>
                <w:color w:val="000000"/>
                <w:sz w:val="20"/>
                <w:szCs w:val="20"/>
              </w:rPr>
              <w:t>3.61</w:t>
            </w:r>
          </w:p>
        </w:tc>
        <w:tc>
          <w:tcPr>
            <w:tcW w:w="817" w:type="pct"/>
            <w:vAlign w:val="bottom"/>
          </w:tcPr>
          <w:p w14:paraId="74AF895C" w14:textId="2A3C455A" w:rsidR="004D63E7" w:rsidRPr="00596193" w:rsidRDefault="004D63E7" w:rsidP="00527179">
            <w:pPr>
              <w:jc w:val="both"/>
              <w:rPr>
                <w:color w:val="000000"/>
                <w:sz w:val="20"/>
                <w:szCs w:val="20"/>
              </w:rPr>
            </w:pPr>
            <w:r w:rsidRPr="00596193">
              <w:rPr>
                <w:color w:val="000000"/>
                <w:sz w:val="20"/>
                <w:szCs w:val="20"/>
              </w:rPr>
              <w:t>12</w:t>
            </w:r>
            <w:r w:rsidR="000F1C47">
              <w:rPr>
                <w:color w:val="000000"/>
                <w:sz w:val="20"/>
                <w:szCs w:val="20"/>
              </w:rPr>
              <w:t>,</w:t>
            </w:r>
            <w:r w:rsidRPr="00596193">
              <w:rPr>
                <w:color w:val="000000"/>
                <w:sz w:val="20"/>
                <w:szCs w:val="20"/>
              </w:rPr>
              <w:t>836</w:t>
            </w:r>
          </w:p>
        </w:tc>
        <w:tc>
          <w:tcPr>
            <w:tcW w:w="817" w:type="pct"/>
            <w:vAlign w:val="bottom"/>
          </w:tcPr>
          <w:p w14:paraId="0D358D0E" w14:textId="379F0D8C" w:rsidR="004D63E7" w:rsidRPr="00596193" w:rsidRDefault="004D63E7" w:rsidP="00527179">
            <w:pPr>
              <w:jc w:val="both"/>
              <w:rPr>
                <w:color w:val="000000"/>
                <w:sz w:val="20"/>
                <w:szCs w:val="20"/>
              </w:rPr>
            </w:pPr>
            <w:r w:rsidRPr="00910FD4">
              <w:rPr>
                <w:color w:val="000000"/>
                <w:sz w:val="20"/>
                <w:szCs w:val="20"/>
              </w:rPr>
              <w:t>342</w:t>
            </w:r>
            <w:r w:rsidR="000F1C47">
              <w:rPr>
                <w:color w:val="000000"/>
                <w:sz w:val="20"/>
                <w:szCs w:val="20"/>
              </w:rPr>
              <w:t>,</w:t>
            </w:r>
            <w:r w:rsidRPr="00910FD4">
              <w:rPr>
                <w:color w:val="000000"/>
                <w:sz w:val="20"/>
                <w:szCs w:val="20"/>
              </w:rPr>
              <w:t>733</w:t>
            </w:r>
          </w:p>
        </w:tc>
      </w:tr>
      <w:tr w:rsidR="004D63E7" w:rsidRPr="008018B6" w14:paraId="34389175" w14:textId="77777777" w:rsidTr="00CE3F12">
        <w:trPr>
          <w:gridAfter w:val="1"/>
          <w:wAfter w:w="6" w:type="pct"/>
          <w:trHeight w:val="300"/>
        </w:trPr>
        <w:tc>
          <w:tcPr>
            <w:tcW w:w="1583" w:type="pct"/>
            <w:shd w:val="clear" w:color="auto" w:fill="auto"/>
            <w:noWrap/>
            <w:vAlign w:val="bottom"/>
            <w:hideMark/>
          </w:tcPr>
          <w:p w14:paraId="3CCCB889" w14:textId="77777777" w:rsidR="004D63E7" w:rsidRPr="00596193" w:rsidRDefault="004D63E7" w:rsidP="00122CDD">
            <w:pPr>
              <w:jc w:val="both"/>
              <w:rPr>
                <w:color w:val="000000"/>
                <w:sz w:val="20"/>
                <w:szCs w:val="20"/>
              </w:rPr>
            </w:pPr>
            <w:r w:rsidRPr="00596193">
              <w:rPr>
                <w:color w:val="000000"/>
                <w:sz w:val="20"/>
                <w:szCs w:val="20"/>
              </w:rPr>
              <w:t>Rural men (45-54)</w:t>
            </w:r>
          </w:p>
        </w:tc>
        <w:tc>
          <w:tcPr>
            <w:tcW w:w="960" w:type="pct"/>
            <w:shd w:val="clear" w:color="auto" w:fill="auto"/>
            <w:noWrap/>
            <w:vAlign w:val="bottom"/>
            <w:hideMark/>
          </w:tcPr>
          <w:p w14:paraId="14D04440" w14:textId="03D2B5D3" w:rsidR="004D63E7" w:rsidRPr="00596193" w:rsidRDefault="004D63E7" w:rsidP="001D10D4">
            <w:pPr>
              <w:jc w:val="both"/>
              <w:rPr>
                <w:color w:val="000000"/>
                <w:sz w:val="20"/>
                <w:szCs w:val="20"/>
              </w:rPr>
            </w:pPr>
            <w:r w:rsidRPr="00596193">
              <w:rPr>
                <w:color w:val="000000"/>
                <w:sz w:val="20"/>
                <w:szCs w:val="20"/>
              </w:rPr>
              <w:t>205</w:t>
            </w:r>
            <w:r w:rsidR="000F1C47">
              <w:rPr>
                <w:color w:val="000000"/>
                <w:sz w:val="20"/>
                <w:szCs w:val="20"/>
              </w:rPr>
              <w:t>,</w:t>
            </w:r>
            <w:r w:rsidRPr="00596193">
              <w:rPr>
                <w:color w:val="000000"/>
                <w:sz w:val="20"/>
                <w:szCs w:val="20"/>
              </w:rPr>
              <w:t>905</w:t>
            </w:r>
          </w:p>
        </w:tc>
        <w:tc>
          <w:tcPr>
            <w:tcW w:w="817" w:type="pct"/>
            <w:shd w:val="clear" w:color="auto" w:fill="auto"/>
            <w:noWrap/>
            <w:vAlign w:val="bottom"/>
            <w:hideMark/>
          </w:tcPr>
          <w:p w14:paraId="14D714FB" w14:textId="77777777" w:rsidR="004D63E7" w:rsidRPr="00596193" w:rsidRDefault="004D63E7" w:rsidP="00527179">
            <w:pPr>
              <w:jc w:val="both"/>
              <w:rPr>
                <w:color w:val="000000"/>
                <w:sz w:val="20"/>
                <w:szCs w:val="20"/>
              </w:rPr>
            </w:pPr>
            <w:r w:rsidRPr="00596193">
              <w:rPr>
                <w:color w:val="000000"/>
                <w:sz w:val="20"/>
                <w:szCs w:val="20"/>
              </w:rPr>
              <w:t>2.79</w:t>
            </w:r>
          </w:p>
        </w:tc>
        <w:tc>
          <w:tcPr>
            <w:tcW w:w="817" w:type="pct"/>
            <w:vAlign w:val="bottom"/>
          </w:tcPr>
          <w:p w14:paraId="1A4CB0D6" w14:textId="653D557A" w:rsidR="004D63E7" w:rsidRPr="00596193" w:rsidRDefault="004D63E7" w:rsidP="00527179">
            <w:pPr>
              <w:jc w:val="both"/>
              <w:rPr>
                <w:color w:val="000000"/>
                <w:sz w:val="20"/>
                <w:szCs w:val="20"/>
              </w:rPr>
            </w:pPr>
            <w:r w:rsidRPr="00596193">
              <w:rPr>
                <w:color w:val="000000"/>
                <w:sz w:val="20"/>
                <w:szCs w:val="20"/>
              </w:rPr>
              <w:t>5</w:t>
            </w:r>
            <w:r w:rsidR="000F1C47">
              <w:rPr>
                <w:color w:val="000000"/>
                <w:sz w:val="20"/>
                <w:szCs w:val="20"/>
              </w:rPr>
              <w:t>,</w:t>
            </w:r>
            <w:r w:rsidRPr="00596193">
              <w:rPr>
                <w:color w:val="000000"/>
                <w:sz w:val="20"/>
                <w:szCs w:val="20"/>
              </w:rPr>
              <w:t>745</w:t>
            </w:r>
          </w:p>
        </w:tc>
        <w:tc>
          <w:tcPr>
            <w:tcW w:w="817" w:type="pct"/>
            <w:vAlign w:val="bottom"/>
          </w:tcPr>
          <w:p w14:paraId="0B28B872" w14:textId="6BD784A1" w:rsidR="004D63E7" w:rsidRPr="00596193" w:rsidRDefault="004D63E7" w:rsidP="00527179">
            <w:pPr>
              <w:jc w:val="both"/>
              <w:rPr>
                <w:color w:val="000000"/>
                <w:sz w:val="20"/>
                <w:szCs w:val="20"/>
              </w:rPr>
            </w:pPr>
            <w:r w:rsidRPr="00910FD4">
              <w:rPr>
                <w:color w:val="000000"/>
                <w:sz w:val="20"/>
                <w:szCs w:val="20"/>
              </w:rPr>
              <w:t>200</w:t>
            </w:r>
            <w:r w:rsidR="000F1C47">
              <w:rPr>
                <w:color w:val="000000"/>
                <w:sz w:val="20"/>
                <w:szCs w:val="20"/>
              </w:rPr>
              <w:t>,</w:t>
            </w:r>
            <w:r w:rsidRPr="00910FD4">
              <w:rPr>
                <w:color w:val="000000"/>
                <w:sz w:val="20"/>
                <w:szCs w:val="20"/>
              </w:rPr>
              <w:t>160</w:t>
            </w:r>
          </w:p>
        </w:tc>
      </w:tr>
      <w:tr w:rsidR="004D63E7" w:rsidRPr="008018B6" w14:paraId="0721AEE6" w14:textId="77777777" w:rsidTr="00CE3F12">
        <w:trPr>
          <w:gridAfter w:val="1"/>
          <w:wAfter w:w="6" w:type="pct"/>
          <w:trHeight w:val="300"/>
        </w:trPr>
        <w:tc>
          <w:tcPr>
            <w:tcW w:w="1583" w:type="pct"/>
            <w:shd w:val="clear" w:color="auto" w:fill="auto"/>
            <w:noWrap/>
            <w:vAlign w:val="bottom"/>
            <w:hideMark/>
          </w:tcPr>
          <w:p w14:paraId="7930F723" w14:textId="77777777" w:rsidR="004D63E7" w:rsidRPr="00596193" w:rsidRDefault="004D63E7" w:rsidP="00122CDD">
            <w:pPr>
              <w:jc w:val="both"/>
              <w:rPr>
                <w:color w:val="000000"/>
                <w:sz w:val="20"/>
                <w:szCs w:val="20"/>
              </w:rPr>
            </w:pPr>
            <w:r w:rsidRPr="00596193">
              <w:rPr>
                <w:color w:val="000000"/>
                <w:sz w:val="20"/>
                <w:szCs w:val="20"/>
              </w:rPr>
              <w:t>Rural men (55-64)</w:t>
            </w:r>
          </w:p>
        </w:tc>
        <w:tc>
          <w:tcPr>
            <w:tcW w:w="960" w:type="pct"/>
            <w:shd w:val="clear" w:color="auto" w:fill="auto"/>
            <w:noWrap/>
            <w:vAlign w:val="bottom"/>
            <w:hideMark/>
          </w:tcPr>
          <w:p w14:paraId="6685FE69" w14:textId="459617B3" w:rsidR="004D63E7" w:rsidRPr="00596193" w:rsidRDefault="004D63E7" w:rsidP="001D10D4">
            <w:pPr>
              <w:jc w:val="both"/>
              <w:rPr>
                <w:color w:val="000000"/>
                <w:sz w:val="20"/>
                <w:szCs w:val="20"/>
              </w:rPr>
            </w:pPr>
            <w:r w:rsidRPr="00596193">
              <w:rPr>
                <w:color w:val="000000"/>
                <w:sz w:val="20"/>
                <w:szCs w:val="20"/>
              </w:rPr>
              <w:t>94</w:t>
            </w:r>
            <w:r w:rsidR="000F1C47">
              <w:rPr>
                <w:color w:val="000000"/>
                <w:sz w:val="20"/>
                <w:szCs w:val="20"/>
              </w:rPr>
              <w:t>,</w:t>
            </w:r>
            <w:r w:rsidRPr="00596193">
              <w:rPr>
                <w:color w:val="000000"/>
                <w:sz w:val="20"/>
                <w:szCs w:val="20"/>
              </w:rPr>
              <w:t>995</w:t>
            </w:r>
          </w:p>
        </w:tc>
        <w:tc>
          <w:tcPr>
            <w:tcW w:w="817" w:type="pct"/>
            <w:shd w:val="clear" w:color="auto" w:fill="auto"/>
            <w:noWrap/>
            <w:vAlign w:val="bottom"/>
            <w:hideMark/>
          </w:tcPr>
          <w:p w14:paraId="3D7DF65C" w14:textId="77777777" w:rsidR="004D63E7" w:rsidRPr="00596193" w:rsidRDefault="004D63E7" w:rsidP="00527179">
            <w:pPr>
              <w:jc w:val="both"/>
              <w:rPr>
                <w:color w:val="000000"/>
                <w:sz w:val="20"/>
                <w:szCs w:val="20"/>
              </w:rPr>
            </w:pPr>
            <w:r w:rsidRPr="00596193">
              <w:rPr>
                <w:color w:val="000000"/>
                <w:sz w:val="20"/>
                <w:szCs w:val="20"/>
              </w:rPr>
              <w:t>0</w:t>
            </w:r>
          </w:p>
        </w:tc>
        <w:tc>
          <w:tcPr>
            <w:tcW w:w="817" w:type="pct"/>
            <w:vAlign w:val="bottom"/>
          </w:tcPr>
          <w:p w14:paraId="2460F6B3" w14:textId="77777777" w:rsidR="004D63E7" w:rsidRPr="00596193" w:rsidRDefault="004D63E7" w:rsidP="00527179">
            <w:pPr>
              <w:jc w:val="both"/>
              <w:rPr>
                <w:color w:val="000000"/>
                <w:sz w:val="20"/>
                <w:szCs w:val="20"/>
              </w:rPr>
            </w:pPr>
            <w:r w:rsidRPr="00596193">
              <w:rPr>
                <w:color w:val="000000"/>
                <w:sz w:val="20"/>
                <w:szCs w:val="20"/>
              </w:rPr>
              <w:t>0</w:t>
            </w:r>
          </w:p>
        </w:tc>
        <w:tc>
          <w:tcPr>
            <w:tcW w:w="817" w:type="pct"/>
            <w:vAlign w:val="bottom"/>
          </w:tcPr>
          <w:p w14:paraId="36E4EB3F" w14:textId="46080D59" w:rsidR="004D63E7" w:rsidRPr="00596193" w:rsidRDefault="004D63E7" w:rsidP="00527179">
            <w:pPr>
              <w:jc w:val="both"/>
              <w:rPr>
                <w:color w:val="000000"/>
                <w:sz w:val="20"/>
                <w:szCs w:val="20"/>
              </w:rPr>
            </w:pPr>
            <w:r w:rsidRPr="00910FD4">
              <w:rPr>
                <w:color w:val="000000"/>
                <w:sz w:val="20"/>
                <w:szCs w:val="20"/>
              </w:rPr>
              <w:t>94</w:t>
            </w:r>
            <w:r w:rsidR="000F1C47">
              <w:rPr>
                <w:color w:val="000000"/>
                <w:sz w:val="20"/>
                <w:szCs w:val="20"/>
              </w:rPr>
              <w:t>,</w:t>
            </w:r>
            <w:r w:rsidRPr="00910FD4">
              <w:rPr>
                <w:color w:val="000000"/>
                <w:sz w:val="20"/>
                <w:szCs w:val="20"/>
              </w:rPr>
              <w:t>995</w:t>
            </w:r>
          </w:p>
        </w:tc>
      </w:tr>
      <w:tr w:rsidR="004D63E7" w:rsidRPr="008018B6" w14:paraId="4A3D8611" w14:textId="77777777" w:rsidTr="00CE3F12">
        <w:trPr>
          <w:gridAfter w:val="1"/>
          <w:wAfter w:w="6" w:type="pct"/>
          <w:trHeight w:val="300"/>
        </w:trPr>
        <w:tc>
          <w:tcPr>
            <w:tcW w:w="1583" w:type="pct"/>
            <w:shd w:val="clear" w:color="auto" w:fill="auto"/>
            <w:noWrap/>
            <w:vAlign w:val="bottom"/>
            <w:hideMark/>
          </w:tcPr>
          <w:p w14:paraId="323F6D52" w14:textId="14CAC74B" w:rsidR="004D63E7" w:rsidRPr="00596193" w:rsidRDefault="005A470A" w:rsidP="00122CDD">
            <w:pPr>
              <w:jc w:val="both"/>
              <w:rPr>
                <w:color w:val="000000"/>
                <w:sz w:val="20"/>
                <w:szCs w:val="20"/>
              </w:rPr>
            </w:pPr>
            <w:r w:rsidRPr="00596193">
              <w:rPr>
                <w:color w:val="000000"/>
                <w:sz w:val="20"/>
                <w:szCs w:val="20"/>
              </w:rPr>
              <w:t>High</w:t>
            </w:r>
            <w:r>
              <w:rPr>
                <w:color w:val="000000"/>
                <w:sz w:val="20"/>
                <w:szCs w:val="20"/>
              </w:rPr>
              <w:t>-</w:t>
            </w:r>
            <w:r w:rsidR="004D63E7" w:rsidRPr="00596193">
              <w:rPr>
                <w:color w:val="000000"/>
                <w:sz w:val="20"/>
                <w:szCs w:val="20"/>
              </w:rPr>
              <w:t>risk women (15-</w:t>
            </w:r>
            <w:proofErr w:type="gramStart"/>
            <w:r w:rsidR="004D63E7" w:rsidRPr="00596193">
              <w:rPr>
                <w:color w:val="000000"/>
                <w:sz w:val="20"/>
                <w:szCs w:val="20"/>
              </w:rPr>
              <w:t>24)</w:t>
            </w:r>
            <w:r w:rsidR="004D63E7" w:rsidRPr="00493DE0">
              <w:rPr>
                <w:color w:val="000000"/>
                <w:sz w:val="20"/>
                <w:szCs w:val="20"/>
                <w:vertAlign w:val="superscript"/>
              </w:rPr>
              <w:t>c</w:t>
            </w:r>
            <w:proofErr w:type="gramEnd"/>
          </w:p>
        </w:tc>
        <w:tc>
          <w:tcPr>
            <w:tcW w:w="960" w:type="pct"/>
            <w:shd w:val="clear" w:color="auto" w:fill="auto"/>
            <w:noWrap/>
            <w:vAlign w:val="bottom"/>
            <w:hideMark/>
          </w:tcPr>
          <w:p w14:paraId="4651AC5E" w14:textId="2A1802C6" w:rsidR="004D63E7" w:rsidRPr="00596193" w:rsidRDefault="004D63E7" w:rsidP="001D10D4">
            <w:pPr>
              <w:jc w:val="both"/>
              <w:rPr>
                <w:color w:val="000000"/>
                <w:sz w:val="20"/>
                <w:szCs w:val="20"/>
              </w:rPr>
            </w:pPr>
            <w:r w:rsidRPr="00596193">
              <w:rPr>
                <w:color w:val="000000"/>
                <w:sz w:val="20"/>
                <w:szCs w:val="20"/>
              </w:rPr>
              <w:t>5</w:t>
            </w:r>
            <w:r w:rsidR="000F1C47">
              <w:rPr>
                <w:color w:val="000000"/>
                <w:sz w:val="20"/>
                <w:szCs w:val="20"/>
              </w:rPr>
              <w:t>,</w:t>
            </w:r>
            <w:r w:rsidRPr="00596193">
              <w:rPr>
                <w:color w:val="000000"/>
                <w:sz w:val="20"/>
                <w:szCs w:val="20"/>
              </w:rPr>
              <w:t>648</w:t>
            </w:r>
          </w:p>
        </w:tc>
        <w:tc>
          <w:tcPr>
            <w:tcW w:w="817" w:type="pct"/>
            <w:shd w:val="clear" w:color="auto" w:fill="auto"/>
            <w:noWrap/>
            <w:vAlign w:val="bottom"/>
            <w:hideMark/>
          </w:tcPr>
          <w:p w14:paraId="464E7A39" w14:textId="77777777" w:rsidR="004D63E7" w:rsidRPr="00596193" w:rsidRDefault="004D63E7" w:rsidP="00527179">
            <w:pPr>
              <w:jc w:val="both"/>
              <w:rPr>
                <w:color w:val="000000"/>
                <w:sz w:val="20"/>
                <w:szCs w:val="20"/>
              </w:rPr>
            </w:pPr>
            <w:r w:rsidRPr="00596193">
              <w:rPr>
                <w:color w:val="000000"/>
                <w:sz w:val="20"/>
                <w:szCs w:val="20"/>
              </w:rPr>
              <w:t>39.5</w:t>
            </w:r>
          </w:p>
        </w:tc>
        <w:tc>
          <w:tcPr>
            <w:tcW w:w="817" w:type="pct"/>
            <w:vAlign w:val="bottom"/>
          </w:tcPr>
          <w:p w14:paraId="4BB3C202" w14:textId="7D05039B" w:rsidR="004D63E7" w:rsidRPr="00596193" w:rsidRDefault="004D63E7" w:rsidP="00527179">
            <w:pPr>
              <w:jc w:val="both"/>
              <w:rPr>
                <w:color w:val="000000"/>
                <w:sz w:val="20"/>
                <w:szCs w:val="20"/>
              </w:rPr>
            </w:pPr>
            <w:r w:rsidRPr="00596193">
              <w:rPr>
                <w:color w:val="000000"/>
                <w:sz w:val="20"/>
                <w:szCs w:val="20"/>
              </w:rPr>
              <w:t>2</w:t>
            </w:r>
            <w:r w:rsidR="000F1C47">
              <w:rPr>
                <w:color w:val="000000"/>
                <w:sz w:val="20"/>
                <w:szCs w:val="20"/>
              </w:rPr>
              <w:t>,</w:t>
            </w:r>
            <w:r w:rsidRPr="00596193">
              <w:rPr>
                <w:color w:val="000000"/>
                <w:sz w:val="20"/>
                <w:szCs w:val="20"/>
              </w:rPr>
              <w:t>231</w:t>
            </w:r>
          </w:p>
        </w:tc>
        <w:tc>
          <w:tcPr>
            <w:tcW w:w="817" w:type="pct"/>
            <w:vAlign w:val="bottom"/>
          </w:tcPr>
          <w:p w14:paraId="4A26B6BE" w14:textId="3DF4E8B9" w:rsidR="004D63E7" w:rsidRPr="00596193" w:rsidRDefault="004D63E7" w:rsidP="00527179">
            <w:pPr>
              <w:jc w:val="both"/>
              <w:rPr>
                <w:color w:val="000000"/>
                <w:sz w:val="20"/>
                <w:szCs w:val="20"/>
              </w:rPr>
            </w:pPr>
            <w:r w:rsidRPr="00910FD4">
              <w:rPr>
                <w:color w:val="000000"/>
                <w:sz w:val="20"/>
                <w:szCs w:val="20"/>
              </w:rPr>
              <w:t>3</w:t>
            </w:r>
            <w:r w:rsidR="000F1C47">
              <w:rPr>
                <w:color w:val="000000"/>
                <w:sz w:val="20"/>
                <w:szCs w:val="20"/>
              </w:rPr>
              <w:t>,</w:t>
            </w:r>
            <w:r w:rsidRPr="00910FD4">
              <w:rPr>
                <w:color w:val="000000"/>
                <w:sz w:val="20"/>
                <w:szCs w:val="20"/>
              </w:rPr>
              <w:t>417</w:t>
            </w:r>
          </w:p>
        </w:tc>
      </w:tr>
      <w:tr w:rsidR="004D63E7" w:rsidRPr="008018B6" w14:paraId="2648098A" w14:textId="77777777" w:rsidTr="00CE3F12">
        <w:trPr>
          <w:gridAfter w:val="1"/>
          <w:wAfter w:w="6" w:type="pct"/>
          <w:trHeight w:val="300"/>
        </w:trPr>
        <w:tc>
          <w:tcPr>
            <w:tcW w:w="1583" w:type="pct"/>
            <w:shd w:val="clear" w:color="auto" w:fill="auto"/>
            <w:noWrap/>
            <w:vAlign w:val="bottom"/>
            <w:hideMark/>
          </w:tcPr>
          <w:p w14:paraId="354D1B5C" w14:textId="424C3C9F" w:rsidR="004D63E7" w:rsidRPr="00596193" w:rsidRDefault="005A470A" w:rsidP="00122CDD">
            <w:pPr>
              <w:jc w:val="both"/>
              <w:rPr>
                <w:color w:val="000000"/>
                <w:sz w:val="20"/>
                <w:szCs w:val="20"/>
              </w:rPr>
            </w:pPr>
            <w:r w:rsidRPr="00596193">
              <w:rPr>
                <w:color w:val="000000"/>
                <w:sz w:val="20"/>
                <w:szCs w:val="20"/>
              </w:rPr>
              <w:t>High</w:t>
            </w:r>
            <w:r>
              <w:rPr>
                <w:color w:val="000000"/>
                <w:sz w:val="20"/>
                <w:szCs w:val="20"/>
              </w:rPr>
              <w:t>-</w:t>
            </w:r>
            <w:r w:rsidR="004D63E7" w:rsidRPr="00596193">
              <w:rPr>
                <w:color w:val="000000"/>
                <w:sz w:val="20"/>
                <w:szCs w:val="20"/>
              </w:rPr>
              <w:t>risk women (25-</w:t>
            </w:r>
            <w:proofErr w:type="gramStart"/>
            <w:r w:rsidR="004D63E7" w:rsidRPr="00596193">
              <w:rPr>
                <w:color w:val="000000"/>
                <w:sz w:val="20"/>
                <w:szCs w:val="20"/>
              </w:rPr>
              <w:t>34)</w:t>
            </w:r>
            <w:r w:rsidR="004D63E7" w:rsidRPr="00493DE0">
              <w:rPr>
                <w:color w:val="000000"/>
                <w:sz w:val="20"/>
                <w:szCs w:val="20"/>
                <w:vertAlign w:val="superscript"/>
              </w:rPr>
              <w:t>c</w:t>
            </w:r>
            <w:proofErr w:type="gramEnd"/>
          </w:p>
        </w:tc>
        <w:tc>
          <w:tcPr>
            <w:tcW w:w="960" w:type="pct"/>
            <w:shd w:val="clear" w:color="auto" w:fill="auto"/>
            <w:noWrap/>
            <w:vAlign w:val="bottom"/>
            <w:hideMark/>
          </w:tcPr>
          <w:p w14:paraId="6A1F6273" w14:textId="762F2A1D" w:rsidR="004D63E7" w:rsidRPr="00596193" w:rsidRDefault="004D63E7" w:rsidP="001D10D4">
            <w:pPr>
              <w:jc w:val="both"/>
              <w:rPr>
                <w:color w:val="000000"/>
                <w:sz w:val="20"/>
                <w:szCs w:val="20"/>
              </w:rPr>
            </w:pPr>
            <w:r w:rsidRPr="00596193">
              <w:rPr>
                <w:color w:val="000000"/>
                <w:sz w:val="20"/>
                <w:szCs w:val="20"/>
              </w:rPr>
              <w:t>4</w:t>
            </w:r>
            <w:r w:rsidR="000F1C47">
              <w:rPr>
                <w:color w:val="000000"/>
                <w:sz w:val="20"/>
                <w:szCs w:val="20"/>
              </w:rPr>
              <w:t>,</w:t>
            </w:r>
            <w:r w:rsidRPr="00596193">
              <w:rPr>
                <w:color w:val="000000"/>
                <w:sz w:val="20"/>
                <w:szCs w:val="20"/>
              </w:rPr>
              <w:t>543</w:t>
            </w:r>
          </w:p>
        </w:tc>
        <w:tc>
          <w:tcPr>
            <w:tcW w:w="817" w:type="pct"/>
            <w:shd w:val="clear" w:color="auto" w:fill="auto"/>
            <w:noWrap/>
            <w:vAlign w:val="bottom"/>
            <w:hideMark/>
          </w:tcPr>
          <w:p w14:paraId="5110C14C" w14:textId="77777777" w:rsidR="004D63E7" w:rsidRPr="00596193" w:rsidRDefault="004D63E7" w:rsidP="00527179">
            <w:pPr>
              <w:jc w:val="both"/>
              <w:rPr>
                <w:color w:val="000000"/>
                <w:sz w:val="20"/>
                <w:szCs w:val="20"/>
              </w:rPr>
            </w:pPr>
            <w:r w:rsidRPr="00596193">
              <w:rPr>
                <w:color w:val="000000"/>
                <w:sz w:val="20"/>
                <w:szCs w:val="20"/>
              </w:rPr>
              <w:t>53</w:t>
            </w:r>
          </w:p>
        </w:tc>
        <w:tc>
          <w:tcPr>
            <w:tcW w:w="817" w:type="pct"/>
            <w:vAlign w:val="bottom"/>
          </w:tcPr>
          <w:p w14:paraId="0AD4738E" w14:textId="44684CCA" w:rsidR="004D63E7" w:rsidRPr="00596193" w:rsidRDefault="004D63E7" w:rsidP="00527179">
            <w:pPr>
              <w:jc w:val="both"/>
              <w:rPr>
                <w:color w:val="000000"/>
                <w:sz w:val="20"/>
                <w:szCs w:val="20"/>
              </w:rPr>
            </w:pPr>
            <w:r w:rsidRPr="00596193">
              <w:rPr>
                <w:color w:val="000000"/>
                <w:sz w:val="20"/>
                <w:szCs w:val="20"/>
              </w:rPr>
              <w:t>2</w:t>
            </w:r>
            <w:r w:rsidR="000F1C47">
              <w:rPr>
                <w:color w:val="000000"/>
                <w:sz w:val="20"/>
                <w:szCs w:val="20"/>
              </w:rPr>
              <w:t>,</w:t>
            </w:r>
            <w:r w:rsidRPr="00596193">
              <w:rPr>
                <w:color w:val="000000"/>
                <w:sz w:val="20"/>
                <w:szCs w:val="20"/>
              </w:rPr>
              <w:t>408</w:t>
            </w:r>
          </w:p>
        </w:tc>
        <w:tc>
          <w:tcPr>
            <w:tcW w:w="817" w:type="pct"/>
            <w:vAlign w:val="bottom"/>
          </w:tcPr>
          <w:p w14:paraId="1361B421" w14:textId="7790CF6E" w:rsidR="004D63E7" w:rsidRPr="00596193" w:rsidRDefault="004D63E7" w:rsidP="00527179">
            <w:pPr>
              <w:jc w:val="both"/>
              <w:rPr>
                <w:color w:val="000000"/>
                <w:sz w:val="20"/>
                <w:szCs w:val="20"/>
              </w:rPr>
            </w:pPr>
            <w:r w:rsidRPr="00910FD4">
              <w:rPr>
                <w:color w:val="000000"/>
                <w:sz w:val="20"/>
                <w:szCs w:val="20"/>
              </w:rPr>
              <w:t>2</w:t>
            </w:r>
            <w:r w:rsidR="000F1C47">
              <w:rPr>
                <w:color w:val="000000"/>
                <w:sz w:val="20"/>
                <w:szCs w:val="20"/>
              </w:rPr>
              <w:t>,</w:t>
            </w:r>
            <w:r w:rsidRPr="00910FD4">
              <w:rPr>
                <w:color w:val="000000"/>
                <w:sz w:val="20"/>
                <w:szCs w:val="20"/>
              </w:rPr>
              <w:t>135</w:t>
            </w:r>
          </w:p>
        </w:tc>
      </w:tr>
      <w:tr w:rsidR="004D63E7" w:rsidRPr="008018B6" w14:paraId="2A746519" w14:textId="77777777" w:rsidTr="00CE3F12">
        <w:trPr>
          <w:gridAfter w:val="1"/>
          <w:wAfter w:w="6" w:type="pct"/>
          <w:trHeight w:val="300"/>
        </w:trPr>
        <w:tc>
          <w:tcPr>
            <w:tcW w:w="1583" w:type="pct"/>
            <w:shd w:val="clear" w:color="auto" w:fill="auto"/>
            <w:noWrap/>
            <w:vAlign w:val="bottom"/>
            <w:hideMark/>
          </w:tcPr>
          <w:p w14:paraId="34A2CBC6" w14:textId="01BE7855" w:rsidR="004D63E7" w:rsidRPr="00596193" w:rsidRDefault="005A470A" w:rsidP="00122CDD">
            <w:pPr>
              <w:jc w:val="both"/>
              <w:rPr>
                <w:color w:val="000000"/>
                <w:sz w:val="20"/>
                <w:szCs w:val="20"/>
              </w:rPr>
            </w:pPr>
            <w:r w:rsidRPr="00596193">
              <w:rPr>
                <w:color w:val="000000"/>
                <w:sz w:val="20"/>
                <w:szCs w:val="20"/>
              </w:rPr>
              <w:t>High</w:t>
            </w:r>
            <w:r>
              <w:rPr>
                <w:color w:val="000000"/>
                <w:sz w:val="20"/>
                <w:szCs w:val="20"/>
              </w:rPr>
              <w:t>-</w:t>
            </w:r>
            <w:r w:rsidR="004D63E7" w:rsidRPr="00596193">
              <w:rPr>
                <w:color w:val="000000"/>
                <w:sz w:val="20"/>
                <w:szCs w:val="20"/>
              </w:rPr>
              <w:t>risk women (35-</w:t>
            </w:r>
            <w:proofErr w:type="gramStart"/>
            <w:r w:rsidR="004D63E7" w:rsidRPr="00596193">
              <w:rPr>
                <w:color w:val="000000"/>
                <w:sz w:val="20"/>
                <w:szCs w:val="20"/>
              </w:rPr>
              <w:t>44)</w:t>
            </w:r>
            <w:r w:rsidR="004D63E7" w:rsidRPr="00493DE0">
              <w:rPr>
                <w:color w:val="000000"/>
                <w:sz w:val="20"/>
                <w:szCs w:val="20"/>
                <w:vertAlign w:val="superscript"/>
              </w:rPr>
              <w:t>c</w:t>
            </w:r>
            <w:proofErr w:type="gramEnd"/>
          </w:p>
        </w:tc>
        <w:tc>
          <w:tcPr>
            <w:tcW w:w="960" w:type="pct"/>
            <w:shd w:val="clear" w:color="auto" w:fill="auto"/>
            <w:noWrap/>
            <w:vAlign w:val="bottom"/>
            <w:hideMark/>
          </w:tcPr>
          <w:p w14:paraId="64704032" w14:textId="0A6F7F9E" w:rsidR="004D63E7" w:rsidRPr="00596193" w:rsidRDefault="004D63E7" w:rsidP="001D10D4">
            <w:pPr>
              <w:jc w:val="both"/>
              <w:rPr>
                <w:color w:val="000000"/>
                <w:sz w:val="20"/>
                <w:szCs w:val="20"/>
              </w:rPr>
            </w:pPr>
            <w:r w:rsidRPr="00596193">
              <w:rPr>
                <w:color w:val="000000"/>
                <w:sz w:val="20"/>
                <w:szCs w:val="20"/>
              </w:rPr>
              <w:t>1</w:t>
            </w:r>
            <w:r w:rsidR="000F1C47">
              <w:rPr>
                <w:color w:val="000000"/>
                <w:sz w:val="20"/>
                <w:szCs w:val="20"/>
              </w:rPr>
              <w:t>,</w:t>
            </w:r>
            <w:r w:rsidRPr="00596193">
              <w:rPr>
                <w:color w:val="000000"/>
                <w:sz w:val="20"/>
                <w:szCs w:val="20"/>
              </w:rPr>
              <w:t>498</w:t>
            </w:r>
          </w:p>
        </w:tc>
        <w:tc>
          <w:tcPr>
            <w:tcW w:w="817" w:type="pct"/>
            <w:shd w:val="clear" w:color="auto" w:fill="auto"/>
            <w:noWrap/>
            <w:vAlign w:val="bottom"/>
            <w:hideMark/>
          </w:tcPr>
          <w:p w14:paraId="415BB321" w14:textId="77777777" w:rsidR="004D63E7" w:rsidRPr="00596193" w:rsidRDefault="004D63E7" w:rsidP="00527179">
            <w:pPr>
              <w:jc w:val="both"/>
              <w:rPr>
                <w:color w:val="000000"/>
                <w:sz w:val="20"/>
                <w:szCs w:val="20"/>
              </w:rPr>
            </w:pPr>
            <w:r w:rsidRPr="00596193">
              <w:rPr>
                <w:color w:val="000000"/>
                <w:sz w:val="20"/>
                <w:szCs w:val="20"/>
              </w:rPr>
              <w:t>62</w:t>
            </w:r>
          </w:p>
        </w:tc>
        <w:tc>
          <w:tcPr>
            <w:tcW w:w="817" w:type="pct"/>
            <w:vAlign w:val="bottom"/>
          </w:tcPr>
          <w:p w14:paraId="75F3C137" w14:textId="77777777" w:rsidR="004D63E7" w:rsidRPr="00596193" w:rsidRDefault="004D63E7" w:rsidP="00527179">
            <w:pPr>
              <w:jc w:val="both"/>
              <w:rPr>
                <w:color w:val="000000"/>
                <w:sz w:val="20"/>
                <w:szCs w:val="20"/>
              </w:rPr>
            </w:pPr>
            <w:r w:rsidRPr="00596193">
              <w:rPr>
                <w:color w:val="000000"/>
                <w:sz w:val="20"/>
                <w:szCs w:val="20"/>
              </w:rPr>
              <w:t>929</w:t>
            </w:r>
          </w:p>
        </w:tc>
        <w:tc>
          <w:tcPr>
            <w:tcW w:w="817" w:type="pct"/>
            <w:vAlign w:val="bottom"/>
          </w:tcPr>
          <w:p w14:paraId="23485F15" w14:textId="77777777" w:rsidR="004D63E7" w:rsidRPr="00596193" w:rsidRDefault="004D63E7" w:rsidP="00527179">
            <w:pPr>
              <w:jc w:val="both"/>
              <w:rPr>
                <w:color w:val="000000"/>
                <w:sz w:val="20"/>
                <w:szCs w:val="20"/>
              </w:rPr>
            </w:pPr>
            <w:r w:rsidRPr="00910FD4">
              <w:rPr>
                <w:color w:val="000000"/>
                <w:sz w:val="20"/>
                <w:szCs w:val="20"/>
              </w:rPr>
              <w:t>569</w:t>
            </w:r>
          </w:p>
        </w:tc>
      </w:tr>
      <w:tr w:rsidR="004D63E7" w:rsidRPr="008018B6" w14:paraId="6BC7096A" w14:textId="77777777" w:rsidTr="00CE3F12">
        <w:trPr>
          <w:gridAfter w:val="1"/>
          <w:wAfter w:w="6" w:type="pct"/>
          <w:trHeight w:val="300"/>
        </w:trPr>
        <w:tc>
          <w:tcPr>
            <w:tcW w:w="1583" w:type="pct"/>
            <w:tcBorders>
              <w:bottom w:val="single" w:sz="4" w:space="0" w:color="auto"/>
            </w:tcBorders>
            <w:shd w:val="clear" w:color="auto" w:fill="auto"/>
            <w:noWrap/>
            <w:vAlign w:val="bottom"/>
            <w:hideMark/>
          </w:tcPr>
          <w:p w14:paraId="4E5739F6" w14:textId="031AFCD2" w:rsidR="004D63E7" w:rsidRPr="00596193" w:rsidRDefault="005A470A" w:rsidP="00122CDD">
            <w:pPr>
              <w:jc w:val="both"/>
              <w:rPr>
                <w:color w:val="000000"/>
                <w:sz w:val="20"/>
                <w:szCs w:val="20"/>
              </w:rPr>
            </w:pPr>
            <w:r w:rsidRPr="00596193">
              <w:rPr>
                <w:color w:val="000000"/>
                <w:sz w:val="20"/>
                <w:szCs w:val="20"/>
              </w:rPr>
              <w:t>High</w:t>
            </w:r>
            <w:r>
              <w:rPr>
                <w:color w:val="000000"/>
                <w:sz w:val="20"/>
                <w:szCs w:val="20"/>
              </w:rPr>
              <w:t>-</w:t>
            </w:r>
            <w:r w:rsidR="004D63E7" w:rsidRPr="00596193">
              <w:rPr>
                <w:color w:val="000000"/>
                <w:sz w:val="20"/>
                <w:szCs w:val="20"/>
              </w:rPr>
              <w:t>risk women (45-</w:t>
            </w:r>
            <w:proofErr w:type="gramStart"/>
            <w:r w:rsidR="004D63E7" w:rsidRPr="00596193">
              <w:rPr>
                <w:color w:val="000000"/>
                <w:sz w:val="20"/>
                <w:szCs w:val="20"/>
              </w:rPr>
              <w:t>54)</w:t>
            </w:r>
            <w:r w:rsidR="004D63E7" w:rsidRPr="00493DE0">
              <w:rPr>
                <w:color w:val="000000"/>
                <w:sz w:val="20"/>
                <w:szCs w:val="20"/>
                <w:vertAlign w:val="superscript"/>
              </w:rPr>
              <w:t>c</w:t>
            </w:r>
            <w:proofErr w:type="gramEnd"/>
          </w:p>
        </w:tc>
        <w:tc>
          <w:tcPr>
            <w:tcW w:w="960" w:type="pct"/>
            <w:tcBorders>
              <w:bottom w:val="single" w:sz="4" w:space="0" w:color="auto"/>
            </w:tcBorders>
            <w:shd w:val="clear" w:color="auto" w:fill="auto"/>
            <w:noWrap/>
            <w:vAlign w:val="bottom"/>
            <w:hideMark/>
          </w:tcPr>
          <w:p w14:paraId="03576FF5" w14:textId="77777777" w:rsidR="004D63E7" w:rsidRPr="00596193" w:rsidRDefault="004D63E7" w:rsidP="001D10D4">
            <w:pPr>
              <w:jc w:val="both"/>
              <w:rPr>
                <w:color w:val="000000"/>
                <w:sz w:val="20"/>
                <w:szCs w:val="20"/>
              </w:rPr>
            </w:pPr>
            <w:r w:rsidRPr="00596193">
              <w:rPr>
                <w:color w:val="000000"/>
                <w:sz w:val="20"/>
                <w:szCs w:val="20"/>
              </w:rPr>
              <w:t>295</w:t>
            </w:r>
          </w:p>
        </w:tc>
        <w:tc>
          <w:tcPr>
            <w:tcW w:w="817" w:type="pct"/>
            <w:tcBorders>
              <w:bottom w:val="single" w:sz="4" w:space="0" w:color="auto"/>
            </w:tcBorders>
            <w:shd w:val="clear" w:color="auto" w:fill="auto"/>
            <w:noWrap/>
            <w:vAlign w:val="bottom"/>
            <w:hideMark/>
          </w:tcPr>
          <w:p w14:paraId="4C6EB876" w14:textId="77777777" w:rsidR="004D63E7" w:rsidRPr="00596193" w:rsidRDefault="004D63E7" w:rsidP="00527179">
            <w:pPr>
              <w:jc w:val="both"/>
              <w:rPr>
                <w:color w:val="000000"/>
                <w:sz w:val="20"/>
                <w:szCs w:val="20"/>
              </w:rPr>
            </w:pPr>
            <w:r w:rsidRPr="00596193">
              <w:rPr>
                <w:color w:val="000000"/>
                <w:sz w:val="20"/>
                <w:szCs w:val="20"/>
              </w:rPr>
              <w:t>63</w:t>
            </w:r>
          </w:p>
        </w:tc>
        <w:tc>
          <w:tcPr>
            <w:tcW w:w="817" w:type="pct"/>
            <w:tcBorders>
              <w:bottom w:val="single" w:sz="4" w:space="0" w:color="auto"/>
            </w:tcBorders>
            <w:vAlign w:val="bottom"/>
          </w:tcPr>
          <w:p w14:paraId="4EA75205" w14:textId="77777777" w:rsidR="004D63E7" w:rsidRPr="00596193" w:rsidRDefault="004D63E7" w:rsidP="00527179">
            <w:pPr>
              <w:jc w:val="both"/>
              <w:rPr>
                <w:color w:val="000000"/>
                <w:sz w:val="20"/>
                <w:szCs w:val="20"/>
              </w:rPr>
            </w:pPr>
            <w:r w:rsidRPr="00596193">
              <w:rPr>
                <w:color w:val="000000"/>
                <w:sz w:val="20"/>
                <w:szCs w:val="20"/>
              </w:rPr>
              <w:t>186</w:t>
            </w:r>
          </w:p>
        </w:tc>
        <w:tc>
          <w:tcPr>
            <w:tcW w:w="817" w:type="pct"/>
            <w:tcBorders>
              <w:bottom w:val="single" w:sz="4" w:space="0" w:color="auto"/>
            </w:tcBorders>
            <w:vAlign w:val="bottom"/>
          </w:tcPr>
          <w:p w14:paraId="04026AC7" w14:textId="77777777" w:rsidR="004D63E7" w:rsidRPr="00596193" w:rsidRDefault="004D63E7" w:rsidP="00527179">
            <w:pPr>
              <w:jc w:val="both"/>
              <w:rPr>
                <w:color w:val="000000"/>
                <w:sz w:val="20"/>
                <w:szCs w:val="20"/>
              </w:rPr>
            </w:pPr>
            <w:r w:rsidRPr="00910FD4">
              <w:rPr>
                <w:color w:val="000000"/>
                <w:sz w:val="20"/>
                <w:szCs w:val="20"/>
              </w:rPr>
              <w:t>109</w:t>
            </w:r>
          </w:p>
        </w:tc>
      </w:tr>
      <w:tr w:rsidR="004D63E7" w:rsidRPr="008018B6" w14:paraId="01B45DE3" w14:textId="77777777" w:rsidTr="00CE3F12">
        <w:trPr>
          <w:gridAfter w:val="1"/>
          <w:wAfter w:w="6" w:type="pct"/>
          <w:trHeight w:val="300"/>
        </w:trPr>
        <w:tc>
          <w:tcPr>
            <w:tcW w:w="1583" w:type="pct"/>
            <w:tcBorders>
              <w:bottom w:val="single" w:sz="4" w:space="0" w:color="auto"/>
            </w:tcBorders>
            <w:shd w:val="clear" w:color="auto" w:fill="auto"/>
            <w:noWrap/>
            <w:vAlign w:val="bottom"/>
            <w:hideMark/>
          </w:tcPr>
          <w:p w14:paraId="4DC11F64" w14:textId="3D61B0A6" w:rsidR="004D63E7" w:rsidRPr="00596193" w:rsidRDefault="005A470A" w:rsidP="00122CDD">
            <w:pPr>
              <w:jc w:val="both"/>
              <w:rPr>
                <w:color w:val="000000"/>
                <w:sz w:val="20"/>
                <w:szCs w:val="20"/>
              </w:rPr>
            </w:pPr>
            <w:r w:rsidRPr="00596193">
              <w:rPr>
                <w:color w:val="000000"/>
                <w:sz w:val="20"/>
                <w:szCs w:val="20"/>
              </w:rPr>
              <w:t>High</w:t>
            </w:r>
            <w:r>
              <w:rPr>
                <w:color w:val="000000"/>
                <w:sz w:val="20"/>
                <w:szCs w:val="20"/>
              </w:rPr>
              <w:t>-</w:t>
            </w:r>
            <w:r w:rsidR="004D63E7" w:rsidRPr="00596193">
              <w:rPr>
                <w:color w:val="000000"/>
                <w:sz w:val="20"/>
                <w:szCs w:val="20"/>
              </w:rPr>
              <w:t>risk women (55-</w:t>
            </w:r>
            <w:proofErr w:type="gramStart"/>
            <w:r w:rsidR="004D63E7" w:rsidRPr="00596193">
              <w:rPr>
                <w:color w:val="000000"/>
                <w:sz w:val="20"/>
                <w:szCs w:val="20"/>
              </w:rPr>
              <w:t>64)</w:t>
            </w:r>
            <w:proofErr w:type="spellStart"/>
            <w:r w:rsidR="004D63E7" w:rsidRPr="00493DE0">
              <w:rPr>
                <w:color w:val="000000"/>
                <w:sz w:val="20"/>
                <w:szCs w:val="20"/>
                <w:vertAlign w:val="superscript"/>
              </w:rPr>
              <w:t>b</w:t>
            </w:r>
            <w:proofErr w:type="gramEnd"/>
            <w:r w:rsidR="004D63E7" w:rsidRPr="00493DE0">
              <w:rPr>
                <w:color w:val="000000"/>
                <w:sz w:val="20"/>
                <w:szCs w:val="20"/>
                <w:vertAlign w:val="superscript"/>
              </w:rPr>
              <w:t>,c</w:t>
            </w:r>
            <w:proofErr w:type="spellEnd"/>
          </w:p>
        </w:tc>
        <w:tc>
          <w:tcPr>
            <w:tcW w:w="960" w:type="pct"/>
            <w:tcBorders>
              <w:bottom w:val="single" w:sz="4" w:space="0" w:color="auto"/>
            </w:tcBorders>
            <w:shd w:val="clear" w:color="auto" w:fill="auto"/>
            <w:noWrap/>
            <w:vAlign w:val="bottom"/>
            <w:hideMark/>
          </w:tcPr>
          <w:p w14:paraId="04DE3126" w14:textId="77777777" w:rsidR="004D63E7" w:rsidRPr="00596193" w:rsidRDefault="004D63E7" w:rsidP="001D10D4">
            <w:pPr>
              <w:jc w:val="both"/>
              <w:rPr>
                <w:color w:val="000000"/>
                <w:sz w:val="20"/>
                <w:szCs w:val="20"/>
              </w:rPr>
            </w:pPr>
            <w:r w:rsidRPr="00596193">
              <w:rPr>
                <w:color w:val="000000"/>
                <w:sz w:val="20"/>
                <w:szCs w:val="20"/>
              </w:rPr>
              <w:t>295</w:t>
            </w:r>
          </w:p>
        </w:tc>
        <w:tc>
          <w:tcPr>
            <w:tcW w:w="817" w:type="pct"/>
            <w:tcBorders>
              <w:bottom w:val="single" w:sz="4" w:space="0" w:color="auto"/>
            </w:tcBorders>
            <w:shd w:val="clear" w:color="auto" w:fill="auto"/>
            <w:noWrap/>
            <w:vAlign w:val="bottom"/>
            <w:hideMark/>
          </w:tcPr>
          <w:p w14:paraId="5B102EE8" w14:textId="77777777" w:rsidR="004D63E7" w:rsidRPr="00596193" w:rsidRDefault="004D63E7" w:rsidP="00527179">
            <w:pPr>
              <w:jc w:val="both"/>
              <w:rPr>
                <w:color w:val="000000"/>
                <w:sz w:val="20"/>
                <w:szCs w:val="20"/>
              </w:rPr>
            </w:pPr>
            <w:r w:rsidRPr="00596193">
              <w:rPr>
                <w:color w:val="000000"/>
                <w:sz w:val="20"/>
                <w:szCs w:val="20"/>
              </w:rPr>
              <w:t>63</w:t>
            </w:r>
          </w:p>
        </w:tc>
        <w:tc>
          <w:tcPr>
            <w:tcW w:w="817" w:type="pct"/>
            <w:tcBorders>
              <w:bottom w:val="single" w:sz="4" w:space="0" w:color="auto"/>
            </w:tcBorders>
            <w:vAlign w:val="bottom"/>
          </w:tcPr>
          <w:p w14:paraId="16E46BA7" w14:textId="77777777" w:rsidR="004D63E7" w:rsidRPr="00596193" w:rsidRDefault="004D63E7" w:rsidP="00527179">
            <w:pPr>
              <w:jc w:val="both"/>
              <w:rPr>
                <w:color w:val="000000"/>
                <w:sz w:val="20"/>
                <w:szCs w:val="20"/>
              </w:rPr>
            </w:pPr>
            <w:r w:rsidRPr="00596193">
              <w:rPr>
                <w:color w:val="000000"/>
                <w:sz w:val="20"/>
                <w:szCs w:val="20"/>
              </w:rPr>
              <w:t>186</w:t>
            </w:r>
          </w:p>
        </w:tc>
        <w:tc>
          <w:tcPr>
            <w:tcW w:w="817" w:type="pct"/>
            <w:tcBorders>
              <w:bottom w:val="single" w:sz="4" w:space="0" w:color="auto"/>
            </w:tcBorders>
            <w:vAlign w:val="bottom"/>
          </w:tcPr>
          <w:p w14:paraId="54029253" w14:textId="77777777" w:rsidR="004D63E7" w:rsidRPr="00596193" w:rsidRDefault="004D63E7" w:rsidP="00527179">
            <w:pPr>
              <w:jc w:val="both"/>
              <w:rPr>
                <w:color w:val="000000"/>
                <w:sz w:val="20"/>
                <w:szCs w:val="20"/>
              </w:rPr>
            </w:pPr>
            <w:r w:rsidRPr="00910FD4">
              <w:rPr>
                <w:color w:val="000000"/>
                <w:sz w:val="20"/>
                <w:szCs w:val="20"/>
              </w:rPr>
              <w:t>109</w:t>
            </w:r>
          </w:p>
        </w:tc>
      </w:tr>
      <w:tr w:rsidR="005A470A" w:rsidRPr="008018B6" w14:paraId="1604C155" w14:textId="77777777" w:rsidTr="00CE3F12">
        <w:trPr>
          <w:trHeight w:val="422"/>
        </w:trPr>
        <w:tc>
          <w:tcPr>
            <w:tcW w:w="5000" w:type="pct"/>
            <w:gridSpan w:val="6"/>
            <w:tcBorders>
              <w:top w:val="single" w:sz="4" w:space="0" w:color="auto"/>
              <w:left w:val="nil"/>
              <w:bottom w:val="nil"/>
              <w:right w:val="nil"/>
            </w:tcBorders>
            <w:shd w:val="clear" w:color="auto" w:fill="auto"/>
            <w:hideMark/>
          </w:tcPr>
          <w:p w14:paraId="4B3D9EDF" w14:textId="6E13EAB7" w:rsidR="005A470A" w:rsidRPr="008018B6" w:rsidRDefault="005A470A" w:rsidP="005A470A">
            <w:pPr>
              <w:rPr>
                <w:color w:val="000000"/>
              </w:rPr>
            </w:pPr>
            <w:r w:rsidRPr="00493DE0">
              <w:rPr>
                <w:color w:val="000000"/>
                <w:sz w:val="20"/>
                <w:szCs w:val="20"/>
              </w:rPr>
              <w:t xml:space="preserve">a. HIV prevalence data </w:t>
            </w:r>
            <w:r>
              <w:rPr>
                <w:color w:val="000000"/>
                <w:sz w:val="20"/>
                <w:szCs w:val="20"/>
              </w:rPr>
              <w:t>are</w:t>
            </w:r>
            <w:r w:rsidRPr="00493DE0">
              <w:rPr>
                <w:color w:val="000000"/>
                <w:sz w:val="20"/>
                <w:szCs w:val="20"/>
              </w:rPr>
              <w:t xml:space="preserve"> based on </w:t>
            </w:r>
            <w:r w:rsidR="000F1C47">
              <w:rPr>
                <w:color w:val="000000"/>
                <w:sz w:val="20"/>
                <w:szCs w:val="20"/>
              </w:rPr>
              <w:t>the</w:t>
            </w:r>
            <w:r w:rsidRPr="00493DE0">
              <w:rPr>
                <w:color w:val="000000"/>
                <w:sz w:val="20"/>
                <w:szCs w:val="20"/>
              </w:rPr>
              <w:t xml:space="preserve"> DHS 2005 data for low-risk population and</w:t>
            </w:r>
            <w:r w:rsidR="000F1C47">
              <w:rPr>
                <w:color w:val="000000"/>
                <w:sz w:val="20"/>
                <w:szCs w:val="20"/>
              </w:rPr>
              <w:t xml:space="preserve"> </w:t>
            </w:r>
            <w:r w:rsidRPr="00493DE0">
              <w:rPr>
                <w:color w:val="000000"/>
                <w:sz w:val="20"/>
                <w:szCs w:val="20"/>
              </w:rPr>
              <w:t xml:space="preserve">BSS 2010 for </w:t>
            </w:r>
            <w:r w:rsidR="000F1C47" w:rsidRPr="00493DE0">
              <w:rPr>
                <w:color w:val="000000"/>
                <w:sz w:val="20"/>
                <w:szCs w:val="20"/>
              </w:rPr>
              <w:t>high-risk</w:t>
            </w:r>
            <w:r w:rsidRPr="00493DE0">
              <w:rPr>
                <w:color w:val="000000"/>
                <w:sz w:val="20"/>
                <w:szCs w:val="20"/>
              </w:rPr>
              <w:t xml:space="preserve"> women. </w:t>
            </w:r>
          </w:p>
        </w:tc>
      </w:tr>
      <w:tr w:rsidR="005A470A" w:rsidRPr="008018B6" w14:paraId="50DADEB0" w14:textId="77777777" w:rsidTr="00CE3F12">
        <w:trPr>
          <w:trHeight w:val="234"/>
        </w:trPr>
        <w:tc>
          <w:tcPr>
            <w:tcW w:w="5000" w:type="pct"/>
            <w:gridSpan w:val="6"/>
            <w:tcBorders>
              <w:top w:val="nil"/>
              <w:left w:val="nil"/>
              <w:bottom w:val="nil"/>
              <w:right w:val="nil"/>
            </w:tcBorders>
            <w:shd w:val="clear" w:color="auto" w:fill="auto"/>
            <w:noWrap/>
            <w:hideMark/>
          </w:tcPr>
          <w:p w14:paraId="06CBBB3E" w14:textId="78AB9B6C" w:rsidR="005A470A" w:rsidRPr="008018B6" w:rsidRDefault="005A470A" w:rsidP="005A470A">
            <w:pPr>
              <w:rPr>
                <w:color w:val="000000"/>
              </w:rPr>
            </w:pPr>
            <w:r w:rsidRPr="00493DE0">
              <w:rPr>
                <w:color w:val="000000"/>
                <w:sz w:val="20"/>
                <w:szCs w:val="20"/>
              </w:rPr>
              <w:t xml:space="preserve">b. </w:t>
            </w:r>
            <w:r>
              <w:rPr>
                <w:color w:val="000000"/>
                <w:sz w:val="20"/>
                <w:szCs w:val="20"/>
              </w:rPr>
              <w:t xml:space="preserve">Given limited </w:t>
            </w:r>
            <w:proofErr w:type="gramStart"/>
            <w:r>
              <w:rPr>
                <w:color w:val="000000"/>
                <w:sz w:val="20"/>
                <w:szCs w:val="20"/>
              </w:rPr>
              <w:t>data,</w:t>
            </w:r>
            <w:proofErr w:type="gramEnd"/>
            <w:r>
              <w:rPr>
                <w:color w:val="000000"/>
                <w:sz w:val="20"/>
                <w:szCs w:val="20"/>
              </w:rPr>
              <w:t xml:space="preserve"> we assume that w</w:t>
            </w:r>
            <w:r w:rsidRPr="00493DE0">
              <w:rPr>
                <w:color w:val="000000"/>
                <w:sz w:val="20"/>
                <w:szCs w:val="20"/>
              </w:rPr>
              <w:t xml:space="preserve">omen aged 55+ </w:t>
            </w:r>
            <w:r>
              <w:rPr>
                <w:color w:val="000000"/>
                <w:sz w:val="20"/>
                <w:szCs w:val="20"/>
              </w:rPr>
              <w:t xml:space="preserve">have the same HIV prevalence as women aged 45-54. </w:t>
            </w:r>
          </w:p>
        </w:tc>
      </w:tr>
      <w:tr w:rsidR="005A470A" w:rsidRPr="008018B6" w14:paraId="54AC0605" w14:textId="77777777" w:rsidTr="00CE3F12">
        <w:trPr>
          <w:trHeight w:val="600"/>
        </w:trPr>
        <w:tc>
          <w:tcPr>
            <w:tcW w:w="5000" w:type="pct"/>
            <w:gridSpan w:val="6"/>
            <w:tcBorders>
              <w:top w:val="nil"/>
              <w:left w:val="nil"/>
              <w:bottom w:val="nil"/>
              <w:right w:val="nil"/>
            </w:tcBorders>
            <w:shd w:val="clear" w:color="auto" w:fill="auto"/>
            <w:vAlign w:val="bottom"/>
            <w:hideMark/>
          </w:tcPr>
          <w:p w14:paraId="7F28A0C1" w14:textId="3AE9FE19" w:rsidR="005A470A" w:rsidRPr="008018B6" w:rsidRDefault="005A470A" w:rsidP="001D10D4">
            <w:pPr>
              <w:jc w:val="both"/>
              <w:rPr>
                <w:color w:val="000000"/>
              </w:rPr>
            </w:pPr>
            <w:r w:rsidRPr="00493DE0">
              <w:rPr>
                <w:color w:val="000000"/>
                <w:sz w:val="20"/>
                <w:szCs w:val="20"/>
              </w:rPr>
              <w:t xml:space="preserve">c. </w:t>
            </w:r>
            <w:r>
              <w:rPr>
                <w:color w:val="000000"/>
                <w:sz w:val="20"/>
                <w:szCs w:val="20"/>
              </w:rPr>
              <w:t>We a</w:t>
            </w:r>
            <w:r w:rsidRPr="00493DE0">
              <w:rPr>
                <w:color w:val="000000"/>
                <w:sz w:val="20"/>
                <w:szCs w:val="20"/>
              </w:rPr>
              <w:t xml:space="preserve">ssume the total population </w:t>
            </w:r>
            <w:r>
              <w:rPr>
                <w:color w:val="000000"/>
                <w:sz w:val="20"/>
                <w:szCs w:val="20"/>
              </w:rPr>
              <w:t xml:space="preserve">of </w:t>
            </w:r>
            <w:r w:rsidRPr="00493DE0">
              <w:rPr>
                <w:color w:val="000000"/>
                <w:sz w:val="20"/>
                <w:szCs w:val="20"/>
              </w:rPr>
              <w:t xml:space="preserve">female sex worker is </w:t>
            </w:r>
            <w:commentRangeStart w:id="111"/>
            <w:r w:rsidRPr="00493DE0">
              <w:rPr>
                <w:color w:val="000000"/>
                <w:sz w:val="20"/>
                <w:szCs w:val="20"/>
              </w:rPr>
              <w:t xml:space="preserve">12,278 </w:t>
            </w:r>
            <w:commentRangeEnd w:id="111"/>
            <w:r w:rsidR="006839EF">
              <w:rPr>
                <w:rStyle w:val="CommentReference"/>
              </w:rPr>
              <w:commentReference w:id="111"/>
            </w:r>
            <w:r w:rsidRPr="00493DE0">
              <w:rPr>
                <w:color w:val="000000"/>
                <w:sz w:val="20"/>
                <w:szCs w:val="20"/>
              </w:rPr>
              <w:t xml:space="preserve">based on </w:t>
            </w:r>
            <w:r>
              <w:rPr>
                <w:color w:val="000000"/>
                <w:sz w:val="20"/>
                <w:szCs w:val="20"/>
              </w:rPr>
              <w:t xml:space="preserve">the </w:t>
            </w:r>
            <w:r w:rsidRPr="00493DE0">
              <w:rPr>
                <w:sz w:val="20"/>
                <w:szCs w:val="20"/>
              </w:rPr>
              <w:t>2</w:t>
            </w:r>
            <w:r w:rsidRPr="00493DE0">
              <w:rPr>
                <w:color w:val="000000"/>
                <w:sz w:val="20"/>
                <w:szCs w:val="20"/>
              </w:rPr>
              <w:t xml:space="preserve">012 Sex Worker Size Estimation Survey. The distribution of FSWs by age is estimated based on </w:t>
            </w:r>
            <w:r>
              <w:rPr>
                <w:color w:val="000000"/>
                <w:sz w:val="20"/>
                <w:szCs w:val="20"/>
              </w:rPr>
              <w:t xml:space="preserve">2010 </w:t>
            </w:r>
            <w:r w:rsidRPr="00493DE0">
              <w:rPr>
                <w:color w:val="000000"/>
                <w:sz w:val="20"/>
                <w:szCs w:val="20"/>
              </w:rPr>
              <w:t xml:space="preserve">BSS data. Given </w:t>
            </w:r>
            <w:r>
              <w:rPr>
                <w:color w:val="000000"/>
                <w:sz w:val="20"/>
                <w:szCs w:val="20"/>
              </w:rPr>
              <w:t xml:space="preserve">2010 </w:t>
            </w:r>
            <w:r w:rsidRPr="00493DE0">
              <w:rPr>
                <w:color w:val="000000"/>
                <w:sz w:val="20"/>
                <w:szCs w:val="20"/>
              </w:rPr>
              <w:t xml:space="preserve">BSS data has different age groups over 30, </w:t>
            </w:r>
            <w:r>
              <w:rPr>
                <w:color w:val="000000"/>
                <w:sz w:val="20"/>
                <w:szCs w:val="20"/>
              </w:rPr>
              <w:t>we</w:t>
            </w:r>
            <w:r w:rsidRPr="00493DE0">
              <w:rPr>
                <w:color w:val="000000"/>
                <w:sz w:val="20"/>
                <w:szCs w:val="20"/>
              </w:rPr>
              <w:t xml:space="preserve"> assume </w:t>
            </w:r>
            <w:r w:rsidR="00087AD5">
              <w:rPr>
                <w:color w:val="000000"/>
                <w:sz w:val="20"/>
                <w:szCs w:val="20"/>
              </w:rPr>
              <w:t xml:space="preserve">a </w:t>
            </w:r>
            <w:r w:rsidRPr="00493DE0">
              <w:rPr>
                <w:color w:val="000000"/>
                <w:sz w:val="20"/>
                <w:szCs w:val="20"/>
              </w:rPr>
              <w:t xml:space="preserve">uniform distribution within age groups. </w:t>
            </w:r>
          </w:p>
        </w:tc>
      </w:tr>
    </w:tbl>
    <w:p w14:paraId="27142FA5" w14:textId="3CC8CE7B" w:rsidR="00280096" w:rsidRDefault="00280096" w:rsidP="00122CDD">
      <w:pPr>
        <w:jc w:val="both"/>
        <w:rPr>
          <w:b/>
          <w:bCs/>
        </w:rPr>
      </w:pPr>
    </w:p>
    <w:p w14:paraId="29F1AC10" w14:textId="1B4A3807" w:rsidR="004D63E7" w:rsidRPr="00BB226C" w:rsidRDefault="00CC0F80" w:rsidP="00580BE8">
      <w:pPr>
        <w:pStyle w:val="Heading3"/>
        <w:rPr>
          <w:sz w:val="28"/>
        </w:rPr>
      </w:pPr>
      <w:bookmarkStart w:id="112" w:name="_Toc81774624"/>
      <w:bookmarkStart w:id="113" w:name="_Toc81775227"/>
      <w:bookmarkStart w:id="114" w:name="_Toc81775351"/>
      <w:bookmarkStart w:id="115" w:name="_Toc81775473"/>
      <w:bookmarkStart w:id="116" w:name="_Toc81775595"/>
      <w:bookmarkStart w:id="117" w:name="_Toc81777517"/>
      <w:bookmarkStart w:id="118" w:name="_Toc81777673"/>
      <w:bookmarkStart w:id="119" w:name="_Toc81777837"/>
      <w:bookmarkStart w:id="120" w:name="_Toc81778110"/>
      <w:bookmarkStart w:id="121" w:name="_Toc81778381"/>
      <w:bookmarkStart w:id="122" w:name="_Toc82440225"/>
      <w:bookmarkStart w:id="123" w:name="_Toc82447947"/>
      <w:bookmarkStart w:id="124" w:name="_Toc82592655"/>
      <w:bookmarkStart w:id="125" w:name="_The_size_of"/>
      <w:bookmarkStart w:id="126" w:name="_Ref82420070"/>
      <w:bookmarkStart w:id="127" w:name="_Toc82592656"/>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Pr>
          <w:rFonts w:ascii="Times New Roman" w:hAnsi="Times New Roman" w:cs="Times New Roman"/>
          <w:szCs w:val="24"/>
        </w:rPr>
        <w:lastRenderedPageBreak/>
        <w:t>T</w:t>
      </w:r>
      <w:r w:rsidR="00200ED7" w:rsidRPr="00BB226C">
        <w:rPr>
          <w:rFonts w:ascii="Times New Roman" w:hAnsi="Times New Roman" w:cs="Times New Roman"/>
          <w:szCs w:val="24"/>
        </w:rPr>
        <w:t>he</w:t>
      </w:r>
      <w:r w:rsidR="00280096" w:rsidRPr="00BB226C">
        <w:rPr>
          <w:rFonts w:ascii="Times New Roman" w:hAnsi="Times New Roman" w:cs="Times New Roman"/>
          <w:szCs w:val="24"/>
        </w:rPr>
        <w:t xml:space="preserve"> s</w:t>
      </w:r>
      <w:r w:rsidR="004D63E7" w:rsidRPr="00BB226C">
        <w:rPr>
          <w:rFonts w:ascii="Times New Roman" w:hAnsi="Times New Roman" w:cs="Times New Roman"/>
          <w:szCs w:val="24"/>
        </w:rPr>
        <w:t>ize of sub-population</w:t>
      </w:r>
      <w:r w:rsidR="00200ED7" w:rsidRPr="00BB226C">
        <w:rPr>
          <w:rFonts w:ascii="Times New Roman" w:hAnsi="Times New Roman" w:cs="Times New Roman"/>
          <w:szCs w:val="24"/>
        </w:rPr>
        <w:t>s</w:t>
      </w:r>
      <w:r w:rsidR="004D63E7" w:rsidRPr="00BB226C">
        <w:rPr>
          <w:rFonts w:ascii="Times New Roman" w:hAnsi="Times New Roman" w:cs="Times New Roman"/>
          <w:szCs w:val="24"/>
        </w:rPr>
        <w:t xml:space="preserve"> living with HIV</w:t>
      </w:r>
      <w:r w:rsidR="000F1C47" w:rsidRPr="00BB226C">
        <w:rPr>
          <w:rFonts w:ascii="Times New Roman" w:hAnsi="Times New Roman" w:cs="Times New Roman"/>
          <w:szCs w:val="24"/>
        </w:rPr>
        <w:t xml:space="preserve"> across compartments</w:t>
      </w:r>
      <w:r>
        <w:rPr>
          <w:rFonts w:ascii="Times New Roman" w:hAnsi="Times New Roman" w:cs="Times New Roman"/>
          <w:szCs w:val="24"/>
        </w:rPr>
        <w:t xml:space="preserve"> </w:t>
      </w:r>
      <w:r w:rsidRPr="00CC0F80">
        <w:rPr>
          <w:rFonts w:ascii="Times New Roman" w:hAnsi="Times New Roman" w:cs="Times New Roman"/>
          <w:szCs w:val="24"/>
        </w:rPr>
        <w:t>(</w:t>
      </w:r>
      <w:r w:rsidRPr="00CC0F80">
        <w:rPr>
          <w:rFonts w:ascii="Times New Roman" w:hAnsi="Times New Roman" w:cs="Times New Roman"/>
          <w:szCs w:val="24"/>
        </w:rPr>
        <w:fldChar w:fldCharType="begin"/>
      </w:r>
      <w:r w:rsidRPr="00CC0F80">
        <w:rPr>
          <w:rFonts w:ascii="Times New Roman" w:hAnsi="Times New Roman" w:cs="Times New Roman"/>
          <w:szCs w:val="24"/>
        </w:rPr>
        <w:instrText xml:space="preserve"> REF _Ref80486753 \h  \* MERGEFORMAT </w:instrText>
      </w:r>
      <w:r w:rsidRPr="00CC0F80">
        <w:rPr>
          <w:rFonts w:ascii="Times New Roman" w:hAnsi="Times New Roman" w:cs="Times New Roman"/>
          <w:szCs w:val="24"/>
        </w:rPr>
      </w:r>
      <w:r w:rsidRPr="00CC0F80">
        <w:rPr>
          <w:rFonts w:ascii="Times New Roman" w:hAnsi="Times New Roman" w:cs="Times New Roman"/>
          <w:szCs w:val="24"/>
        </w:rPr>
        <w:fldChar w:fldCharType="separate"/>
      </w:r>
      <w:r w:rsidR="001E49BE" w:rsidRPr="00580BE8">
        <w:rPr>
          <w:rFonts w:ascii="Times New Roman" w:hAnsi="Times New Roman" w:cs="Times New Roman"/>
          <w:szCs w:val="24"/>
        </w:rPr>
        <w:t xml:space="preserve">Table </w:t>
      </w:r>
      <w:r w:rsidR="001E49BE" w:rsidRPr="00580BE8">
        <w:rPr>
          <w:rFonts w:ascii="Times New Roman" w:hAnsi="Times New Roman" w:cs="Times New Roman"/>
          <w:noProof/>
          <w:szCs w:val="24"/>
        </w:rPr>
        <w:t>7</w:t>
      </w:r>
      <w:r w:rsidRPr="00CC0F80">
        <w:rPr>
          <w:rFonts w:ascii="Times New Roman" w:hAnsi="Times New Roman" w:cs="Times New Roman"/>
          <w:szCs w:val="24"/>
        </w:rPr>
        <w:fldChar w:fldCharType="end"/>
      </w:r>
      <w:r w:rsidR="00A25EAD" w:rsidRPr="00BB226C">
        <w:rPr>
          <w:rFonts w:ascii="Times New Roman" w:hAnsi="Times New Roman" w:cs="Times New Roman"/>
          <w:szCs w:val="24"/>
        </w:rPr>
        <w:t>)</w:t>
      </w:r>
      <w:r w:rsidR="004D63E7" w:rsidRPr="00BB226C">
        <w:rPr>
          <w:rFonts w:ascii="Times New Roman" w:hAnsi="Times New Roman" w:cs="Times New Roman"/>
          <w:szCs w:val="24"/>
        </w:rPr>
        <w:t>:</w:t>
      </w:r>
      <w:bookmarkEnd w:id="126"/>
      <w:bookmarkEnd w:id="127"/>
      <w:r w:rsidR="004D63E7" w:rsidRPr="00BB226C">
        <w:rPr>
          <w:rFonts w:ascii="Times New Roman" w:hAnsi="Times New Roman" w:cs="Times New Roman"/>
          <w:szCs w:val="24"/>
        </w:rPr>
        <w:t xml:space="preserve"> </w:t>
      </w:r>
    </w:p>
    <w:p w14:paraId="6C592686" w14:textId="5FED66E9" w:rsidR="004D63E7" w:rsidRDefault="004D63E7" w:rsidP="00527179">
      <w:pPr>
        <w:pStyle w:val="BodyText"/>
        <w:spacing w:before="0" w:after="0"/>
      </w:pPr>
      <w:r w:rsidRPr="00F070A8">
        <w:t xml:space="preserve">The distribution of people living with HIV in each sub-population across compartments </w:t>
      </w:r>
      <w:r w:rsidR="00087AD5">
        <w:t xml:space="preserve">are </w:t>
      </w:r>
      <w:r w:rsidRPr="00F070A8">
        <w:t xml:space="preserve">estimated </w:t>
      </w:r>
      <w:r w:rsidR="00087AD5">
        <w:t xml:space="preserve">first </w:t>
      </w:r>
      <w:r w:rsidR="00BC350B">
        <w:t>along the HIV care continuum</w:t>
      </w:r>
      <w:r w:rsidRPr="00F070A8">
        <w:t xml:space="preserve"> and, then, by CD4 stratum. The number in each compartment </w:t>
      </w:r>
      <w:r w:rsidR="00BC350B">
        <w:t xml:space="preserve">(i.e., the size of each sub-population) </w:t>
      </w:r>
      <w:r w:rsidR="00087AD5">
        <w:t xml:space="preserve">are then </w:t>
      </w:r>
      <w:r w:rsidRPr="00F070A8">
        <w:t xml:space="preserve">calculated </w:t>
      </w:r>
      <w:r w:rsidR="00087AD5">
        <w:t xml:space="preserve">based on </w:t>
      </w:r>
      <w:r w:rsidRPr="00F070A8">
        <w:t xml:space="preserve">the proportions derived. </w:t>
      </w:r>
    </w:p>
    <w:p w14:paraId="3191DFAC" w14:textId="77777777" w:rsidR="00036C3E" w:rsidRDefault="00036C3E" w:rsidP="00527179">
      <w:pPr>
        <w:pStyle w:val="BodyText"/>
        <w:spacing w:before="0" w:after="0"/>
      </w:pPr>
    </w:p>
    <w:p w14:paraId="629681DD" w14:textId="7105BFA5" w:rsidR="004D63E7" w:rsidRPr="000938D7" w:rsidRDefault="000938D7" w:rsidP="002E50FA">
      <w:pPr>
        <w:pStyle w:val="BodyText"/>
        <w:numPr>
          <w:ilvl w:val="0"/>
          <w:numId w:val="24"/>
        </w:numPr>
        <w:spacing w:before="0" w:after="0"/>
      </w:pPr>
      <w:r w:rsidRPr="000938D7">
        <w:rPr>
          <w:b/>
          <w:bCs/>
          <w:i/>
          <w:iCs/>
        </w:rPr>
        <w:t xml:space="preserve">Estimating the distribution of </w:t>
      </w:r>
      <w:r w:rsidR="00AA4ED5">
        <w:rPr>
          <w:b/>
          <w:bCs/>
          <w:i/>
          <w:iCs/>
        </w:rPr>
        <w:t xml:space="preserve">at key steps </w:t>
      </w:r>
      <w:r w:rsidR="00BC350B">
        <w:rPr>
          <w:b/>
          <w:bCs/>
          <w:i/>
          <w:iCs/>
        </w:rPr>
        <w:t>along the HIV care continuum</w:t>
      </w:r>
    </w:p>
    <w:p w14:paraId="4300F8A4" w14:textId="04960E9D" w:rsidR="004D63E7" w:rsidRPr="00373553" w:rsidRDefault="004D63E7" w:rsidP="00E71320">
      <w:commentRangeStart w:id="128"/>
      <w:commentRangeStart w:id="129"/>
      <w:commentRangeStart w:id="130"/>
      <w:commentRangeStart w:id="131"/>
      <w:r w:rsidRPr="00373553">
        <w:rPr>
          <w:i/>
          <w:iCs/>
        </w:rPr>
        <w:t>Estimating</w:t>
      </w:r>
      <w:commentRangeEnd w:id="128"/>
      <w:r w:rsidR="006839EF">
        <w:rPr>
          <w:rStyle w:val="CommentReference"/>
        </w:rPr>
        <w:commentReference w:id="128"/>
      </w:r>
      <w:commentRangeEnd w:id="129"/>
      <w:r w:rsidR="00760016">
        <w:rPr>
          <w:rStyle w:val="CommentReference"/>
        </w:rPr>
        <w:commentReference w:id="129"/>
      </w:r>
      <w:commentRangeEnd w:id="130"/>
      <w:r w:rsidR="00CE3F12">
        <w:rPr>
          <w:rStyle w:val="CommentReference"/>
        </w:rPr>
        <w:commentReference w:id="130"/>
      </w:r>
      <w:commentRangeEnd w:id="131"/>
      <w:r w:rsidR="00EF37F5">
        <w:rPr>
          <w:rStyle w:val="CommentReference"/>
        </w:rPr>
        <w:commentReference w:id="131"/>
      </w:r>
      <w:r w:rsidRPr="00373553">
        <w:rPr>
          <w:i/>
          <w:iCs/>
        </w:rPr>
        <w:t xml:space="preserve"> the proportion diagnosed among all people living with HIV</w:t>
      </w:r>
      <w:r w:rsidRPr="00373553">
        <w:t>:</w:t>
      </w:r>
      <w:r w:rsidRPr="00373553">
        <w:rPr>
          <w:b/>
          <w:bCs/>
        </w:rPr>
        <w:t xml:space="preserve"> </w:t>
      </w:r>
    </w:p>
    <w:p w14:paraId="5D8979A2" w14:textId="77777777" w:rsidR="00036C3E" w:rsidRDefault="004D63E7" w:rsidP="00036C3E">
      <w:pPr>
        <w:ind w:left="450"/>
      </w:pPr>
      <w:r w:rsidRPr="000938D7">
        <w:t xml:space="preserve">Data: </w:t>
      </w:r>
    </w:p>
    <w:p w14:paraId="4DDA0839" w14:textId="6C21F1CA" w:rsidR="006D6912" w:rsidRDefault="006D6912" w:rsidP="00BB226C">
      <w:pPr>
        <w:pStyle w:val="ListParagraph"/>
        <w:numPr>
          <w:ilvl w:val="1"/>
          <w:numId w:val="23"/>
        </w:numPr>
      </w:pPr>
      <w:r w:rsidRPr="00287EEB">
        <w:rPr>
          <w:bCs/>
        </w:rPr>
        <w:t xml:space="preserve">We used </w:t>
      </w:r>
      <w:r w:rsidRPr="00183A10">
        <w:t>Demographic and Health Surveys</w:t>
      </w:r>
      <w:r>
        <w:t xml:space="preserve"> (DHS)</w:t>
      </w:r>
      <w:r w:rsidRPr="00183A10">
        <w:t xml:space="preserve"> for Rwanda in 2005</w:t>
      </w:r>
      <w:r w:rsidRPr="00183A10">
        <w:fldChar w:fldCharType="begin" w:fldLock="1"/>
      </w:r>
      <w:r w:rsidR="007527CC">
        <w:instrText>ADDIN CSL_CITATION {"citationItems":[{"id":"ITEM-1","itemData":{"ISBN":"9789820003330","abstract":"This report presents the findings of the 2005 Rwanda Demographic and Health Survey (RDHS-III), carried out from February to July 2005 by the Direction de la Statistique (renamed Institut National de la Statistique du Rwanda in September 2005). Funding for the RDHS-III was provided by USAID, the Commission Nationale de Lutte contre le SIDA (CNLS) through the World Bank's Multi-County AIDS Program (MAP), Unicef, UNFPA, DFID and GTZ. Assistance was also provided by other national organizations, such as the Treatment and Research AIDS Center (TRAC), the Laboratoire National de Référence and the Service National de Recensement (SNR). Technical assistance was provided by ORC Macro as part of the Demographic and Health Surveys project (MEASURE DHS). The objective of the MEASURE DHS project is to collect, analyze and disseminate demographic data, especially those related to fertility, family planning, maternal and child health, and HIV/AIDS. The opinions expressed herein are those of the authors and do not necessarily reflect the views of USAID or other cooperating organizations.","author":[{"dropping-particle":"","family":"Institut National de la Statistique du Rwanda (INSR) and ORC Macro","given":"","non-dropping-particle":"","parse-names":false,"suffix":""}],"id":"ITEM-1","issued":{"date-parts":[["2007"]]},"title":"Rwanda Demographic and Health Survey 2007-2008","type":"report"},"uris":["http://www.mendeley.com/documents/?uuid=44bcc3f7-9289-4efb-9dc4-ee7e2be1c0eb"]}],"mendeley":{"formattedCitation":"&lt;sup&gt;52&lt;/sup&gt;","plainTextFormattedCitation":"52","previouslyFormattedCitation":"&lt;sup&gt;52&lt;/sup&gt;"},"properties":{"noteIndex":0},"schema":"https://github.com/citation-style-language/schema/raw/master/csl-citation.json"}</w:instrText>
      </w:r>
      <w:r w:rsidRPr="00183A10">
        <w:fldChar w:fldCharType="separate"/>
      </w:r>
      <w:r w:rsidR="00036C3E" w:rsidRPr="00287EEB">
        <w:rPr>
          <w:noProof/>
          <w:vertAlign w:val="superscript"/>
        </w:rPr>
        <w:t>52</w:t>
      </w:r>
      <w:r w:rsidRPr="00183A10">
        <w:fldChar w:fldCharType="end"/>
      </w:r>
      <w:r>
        <w:t xml:space="preserve">, </w:t>
      </w:r>
      <w:bookmarkStart w:id="132" w:name="OLE_LINK11"/>
      <w:bookmarkStart w:id="133" w:name="OLE_LINK12"/>
      <w:r>
        <w:t>a national household survey,</w:t>
      </w:r>
      <w:r w:rsidRPr="00183A10">
        <w:t xml:space="preserve"> </w:t>
      </w:r>
      <w:r>
        <w:t>to estimate the proportion</w:t>
      </w:r>
      <w:r w:rsidRPr="00183A10">
        <w:t xml:space="preserve"> of </w:t>
      </w:r>
      <w:r>
        <w:t>people diagnosed with HIV</w:t>
      </w:r>
      <w:r w:rsidRPr="00183A10">
        <w:t>.</w:t>
      </w:r>
      <w:r>
        <w:t xml:space="preserve"> </w:t>
      </w:r>
      <w:r w:rsidRPr="00287EEB">
        <w:rPr>
          <w:bCs/>
        </w:rPr>
        <w:t>In DHS (2005)</w:t>
      </w:r>
      <w:r w:rsidRPr="00BE628B">
        <w:rPr>
          <w:bCs/>
        </w:rPr>
        <w:t xml:space="preserve">, </w:t>
      </w:r>
      <w:r w:rsidR="005F168D">
        <w:t xml:space="preserve">a random sub-sample of the respondents received an HIV test, regardless of prior test history, to detect their HIV status. </w:t>
      </w:r>
      <w:r w:rsidR="005F168D" w:rsidRPr="00287EEB">
        <w:rPr>
          <w:bCs/>
        </w:rPr>
        <w:t>R</w:t>
      </w:r>
      <w:r w:rsidRPr="00287EEB">
        <w:rPr>
          <w:bCs/>
        </w:rPr>
        <w:t xml:space="preserve">espondents </w:t>
      </w:r>
      <w:r>
        <w:t xml:space="preserve">were </w:t>
      </w:r>
      <w:r w:rsidR="005F168D">
        <w:t xml:space="preserve">also </w:t>
      </w:r>
      <w:r>
        <w:t>asked if they had previously received an HIV test and if so, whether they received the result of their last HIV test</w:t>
      </w:r>
      <w:r w:rsidR="005F168D">
        <w:t xml:space="preserve"> </w:t>
      </w:r>
      <w:r>
        <w:t xml:space="preserve">based on </w:t>
      </w:r>
      <w:r w:rsidRPr="00287EEB">
        <w:rPr>
          <w:bCs/>
        </w:rPr>
        <w:t>the following</w:t>
      </w:r>
      <w:r>
        <w:t xml:space="preserve"> DHS</w:t>
      </w:r>
      <w:r w:rsidR="00287EEB">
        <w:t xml:space="preserve"> (2005)</w:t>
      </w:r>
      <w:r>
        <w:t xml:space="preserve"> </w:t>
      </w:r>
      <w:r w:rsidR="00287EEB">
        <w:rPr>
          <w:bCs/>
        </w:rPr>
        <w:t>questions in i</w:t>
      </w:r>
      <w:r w:rsidR="00287EEB">
        <w:rPr>
          <w:rFonts w:hint="eastAsia"/>
          <w:bCs/>
        </w:rPr>
        <w:t>ndividual</w:t>
      </w:r>
      <w:r w:rsidR="00287EEB">
        <w:rPr>
          <w:bCs/>
        </w:rPr>
        <w:t>’s questionnaire</w:t>
      </w:r>
      <w:r>
        <w:t>:</w:t>
      </w:r>
      <w:bookmarkEnd w:id="132"/>
      <w:bookmarkEnd w:id="133"/>
    </w:p>
    <w:p w14:paraId="2D61B958" w14:textId="77777777" w:rsidR="006D6912" w:rsidRDefault="006D6912" w:rsidP="006B7B37">
      <w:pPr>
        <w:pStyle w:val="BodyText"/>
        <w:numPr>
          <w:ilvl w:val="2"/>
          <w:numId w:val="22"/>
        </w:numPr>
        <w:spacing w:before="0" w:after="0"/>
        <w:jc w:val="both"/>
        <w:rPr>
          <w:bCs/>
        </w:rPr>
      </w:pPr>
      <w:r>
        <w:rPr>
          <w:bCs/>
        </w:rPr>
        <w:t>I don’t want to know the results, but have you ever been tested to see if you have the AIDS virus</w:t>
      </w:r>
    </w:p>
    <w:p w14:paraId="1F015FFA" w14:textId="77777777" w:rsidR="006D6912" w:rsidRPr="00710211" w:rsidRDefault="006D6912" w:rsidP="006B7B37">
      <w:pPr>
        <w:pStyle w:val="BodyText"/>
        <w:numPr>
          <w:ilvl w:val="2"/>
          <w:numId w:val="22"/>
        </w:numPr>
        <w:spacing w:before="0" w:after="0"/>
        <w:jc w:val="both"/>
        <w:rPr>
          <w:bCs/>
        </w:rPr>
      </w:pPr>
      <w:r w:rsidRPr="00710211">
        <w:rPr>
          <w:bCs/>
        </w:rPr>
        <w:t>I don’t want to know the results, but did you get the results of the test? (YES/NO)</w:t>
      </w:r>
    </w:p>
    <w:p w14:paraId="603014AB" w14:textId="77777777" w:rsidR="00760016" w:rsidRPr="00F72609" w:rsidRDefault="00760016" w:rsidP="00E71320"/>
    <w:p w14:paraId="1C2CE1C1" w14:textId="4A49836F" w:rsidR="004D63E7" w:rsidRPr="000938D7" w:rsidRDefault="004D63E7" w:rsidP="00036C3E">
      <w:pPr>
        <w:ind w:left="450"/>
      </w:pPr>
      <w:r w:rsidRPr="000938D7">
        <w:t>Assumptions:</w:t>
      </w:r>
    </w:p>
    <w:p w14:paraId="00DD5CE5" w14:textId="1E558D5E" w:rsidR="004D63E7" w:rsidRPr="00F72609" w:rsidRDefault="00760016" w:rsidP="00BB226C">
      <w:pPr>
        <w:pStyle w:val="BodyText"/>
        <w:numPr>
          <w:ilvl w:val="0"/>
          <w:numId w:val="18"/>
        </w:numPr>
        <w:spacing w:before="0" w:after="0"/>
        <w:ind w:left="1080"/>
      </w:pPr>
      <w:r>
        <w:t xml:space="preserve">We assume individuals </w:t>
      </w:r>
      <w:r w:rsidR="00217AB8">
        <w:t xml:space="preserve">are diagnosed if they were found living with HIV and ever received HIV testing per DHS data. </w:t>
      </w:r>
      <w:commentRangeStart w:id="134"/>
      <w:commentRangeStart w:id="135"/>
      <w:commentRangeStart w:id="136"/>
      <w:r w:rsidR="004D63E7" w:rsidRPr="00F72609">
        <w:t xml:space="preserve">This might overestimate the proportion of individuals who are diagnosed since individuals currently living with HIV might acquire HIV after receiving the previous testing result. </w:t>
      </w:r>
      <w:commentRangeEnd w:id="134"/>
      <w:r w:rsidR="007F3C47">
        <w:rPr>
          <w:rStyle w:val="CommentReference"/>
          <w:rFonts w:eastAsia="Times New Roman"/>
          <w:lang w:eastAsia="zh-CN"/>
        </w:rPr>
        <w:commentReference w:id="134"/>
      </w:r>
      <w:commentRangeEnd w:id="135"/>
      <w:r>
        <w:rPr>
          <w:rStyle w:val="CommentReference"/>
          <w:rFonts w:eastAsia="Times New Roman"/>
          <w:lang w:eastAsia="zh-CN"/>
        </w:rPr>
        <w:commentReference w:id="135"/>
      </w:r>
      <w:commentRangeEnd w:id="136"/>
      <w:r w:rsidR="00CE3F12">
        <w:rPr>
          <w:rStyle w:val="CommentReference"/>
          <w:rFonts w:eastAsia="Times New Roman"/>
          <w:lang w:eastAsia="zh-CN"/>
        </w:rPr>
        <w:commentReference w:id="136"/>
      </w:r>
    </w:p>
    <w:p w14:paraId="47415E03" w14:textId="77777777" w:rsidR="004D63E7" w:rsidRPr="00F72609" w:rsidRDefault="004D63E7" w:rsidP="00BB226C">
      <w:pPr>
        <w:pStyle w:val="BodyText"/>
        <w:numPr>
          <w:ilvl w:val="0"/>
          <w:numId w:val="18"/>
        </w:numPr>
        <w:spacing w:before="0" w:after="0"/>
        <w:ind w:left="1080"/>
      </w:pPr>
      <w:r w:rsidRPr="00F72609">
        <w:t xml:space="preserve">We assume all individuals who are tested will know their result since approximately 92% of the individuals ever tested have received their results. </w:t>
      </w:r>
    </w:p>
    <w:p w14:paraId="31C061FF" w14:textId="35AB1BAE" w:rsidR="004D63E7" w:rsidRPr="00F72609" w:rsidRDefault="004D63E7" w:rsidP="00BB226C">
      <w:pPr>
        <w:pStyle w:val="BodyText"/>
        <w:numPr>
          <w:ilvl w:val="0"/>
          <w:numId w:val="18"/>
        </w:numPr>
        <w:spacing w:before="0" w:after="0"/>
        <w:ind w:left="1080"/>
      </w:pPr>
      <w:r w:rsidRPr="008018B6">
        <w:t xml:space="preserve">We assume that the proportion of individuals diagnosed does not differ by </w:t>
      </w:r>
      <w:r>
        <w:t>sub-population due to the small sample size</w:t>
      </w:r>
      <w:r w:rsidRPr="00F72609">
        <w:t xml:space="preserve">. </w:t>
      </w:r>
    </w:p>
    <w:p w14:paraId="3C7C4ED3" w14:textId="77777777" w:rsidR="004D63E7" w:rsidRPr="00F72609" w:rsidRDefault="004D63E7" w:rsidP="006B7B37">
      <w:pPr>
        <w:ind w:left="360"/>
      </w:pPr>
    </w:p>
    <w:p w14:paraId="00251AE1" w14:textId="77777777" w:rsidR="00036C3E" w:rsidRDefault="004D63E7" w:rsidP="00036C3E">
      <w:pPr>
        <w:ind w:left="450"/>
      </w:pPr>
      <w:r w:rsidRPr="000938D7">
        <w:t>Estimation:</w:t>
      </w:r>
      <w:r w:rsidR="00760016">
        <w:t xml:space="preserve"> </w:t>
      </w:r>
    </w:p>
    <w:p w14:paraId="07E8D0AB" w14:textId="4B225BB5" w:rsidR="004D63E7" w:rsidRPr="000938D7" w:rsidRDefault="006D6912" w:rsidP="006B7B37">
      <w:pPr>
        <w:pStyle w:val="ListParagraph"/>
        <w:numPr>
          <w:ilvl w:val="0"/>
          <w:numId w:val="43"/>
        </w:numPr>
      </w:pPr>
      <w:r>
        <w:t xml:space="preserve">The sample is restricted to individuals living with HIV since the proportion diagnosed is conditional on people living with HIV. </w:t>
      </w:r>
      <w:r w:rsidR="00760016">
        <w:t>The proportion of diagnosed among all individuals living with HIV is 44.6% (39.3%, 50.5%)</w:t>
      </w:r>
    </w:p>
    <w:p w14:paraId="588AC9F1" w14:textId="77777777" w:rsidR="004D63E7" w:rsidRPr="00F72609" w:rsidRDefault="004D63E7">
      <w:pPr>
        <w:rPr>
          <w:b/>
          <w:bCs/>
        </w:rPr>
      </w:pPr>
    </w:p>
    <w:p w14:paraId="5F71FB57" w14:textId="6316227B" w:rsidR="004D63E7" w:rsidRPr="004E2B2D" w:rsidRDefault="004D63E7">
      <w:pPr>
        <w:rPr>
          <w:i/>
          <w:iCs/>
        </w:rPr>
      </w:pPr>
      <w:r w:rsidRPr="00710211">
        <w:rPr>
          <w:i/>
          <w:iCs/>
        </w:rPr>
        <w:t xml:space="preserve">Estimating </w:t>
      </w:r>
      <w:r>
        <w:rPr>
          <w:i/>
          <w:iCs/>
        </w:rPr>
        <w:t xml:space="preserve">the proportion </w:t>
      </w:r>
      <w:r w:rsidRPr="004E2B2D">
        <w:rPr>
          <w:i/>
          <w:iCs/>
        </w:rPr>
        <w:t>linked to care among diagnosed individuals</w:t>
      </w:r>
    </w:p>
    <w:p w14:paraId="32C41BD0" w14:textId="77777777" w:rsidR="004D63E7" w:rsidRPr="000938D7" w:rsidRDefault="004D63E7" w:rsidP="00036C3E">
      <w:pPr>
        <w:ind w:left="450"/>
      </w:pPr>
      <w:r w:rsidRPr="000938D7">
        <w:t>Data:</w:t>
      </w:r>
    </w:p>
    <w:p w14:paraId="286BC0EC" w14:textId="4439B215" w:rsidR="004D63E7" w:rsidRDefault="00DD484B" w:rsidP="00CC0F80">
      <w:pPr>
        <w:pStyle w:val="ListParagraph"/>
        <w:numPr>
          <w:ilvl w:val="1"/>
          <w:numId w:val="24"/>
        </w:numPr>
      </w:pPr>
      <w:r>
        <w:t>We used a</w:t>
      </w:r>
      <w:r w:rsidR="004D63E7" w:rsidRPr="00F72609">
        <w:t xml:space="preserve"> </w:t>
      </w:r>
      <w:r w:rsidR="00760016">
        <w:t>prospective cohort</w:t>
      </w:r>
      <w:r w:rsidR="004D63E7" w:rsidRPr="00F72609">
        <w:t xml:space="preserve"> </w:t>
      </w:r>
      <w:r>
        <w:t>study</w:t>
      </w:r>
      <w:r w:rsidR="00760016">
        <w:t xml:space="preserve"> in 2007</w:t>
      </w:r>
      <w:r>
        <w:t xml:space="preserve"> </w:t>
      </w:r>
      <w:r w:rsidR="004D63E7" w:rsidRPr="00F72609">
        <w:t>among female sex workers</w:t>
      </w:r>
      <w:r>
        <w:t>,</w:t>
      </w:r>
      <w:r w:rsidR="004D63E7" w:rsidRPr="00F72609">
        <w:t xml:space="preserve"> where 85% were linked </w:t>
      </w:r>
      <w:r>
        <w:t>to care with</w:t>
      </w:r>
      <w:r w:rsidR="004D63E7" w:rsidRPr="00F72609">
        <w:t xml:space="preserve">in 3 months of diagnosis </w:t>
      </w:r>
      <w:r w:rsidR="00DE2C0A">
        <w:t>and</w:t>
      </w:r>
      <w:r w:rsidR="00DE2C0A" w:rsidRPr="00F72609">
        <w:t xml:space="preserve"> </w:t>
      </w:r>
      <w:r w:rsidR="004D63E7" w:rsidRPr="00F72609">
        <w:t>referral.</w:t>
      </w:r>
      <w:r w:rsidR="005D1EA9">
        <w:fldChar w:fldCharType="begin" w:fldLock="1"/>
      </w:r>
      <w:r w:rsidR="007527CC">
        <w:instrText>ADDIN CSL_CITATION {"citationItems":[{"id":"ITEM-1","itemData":{"DOI":"10.1097/QAI.0b013e3182170fd3","ISBN":"1077-9450(Electronic);1525-4135(Print)","ISSN":"1525-4135","PMID":"21407083","abstract":"Objective: To evaluate linkage-to-care, sexual behavior change, and psychosocial experiences among newly HIV-diagnosed female sex workers (FSWs) in Rwanda. Methods: FSWs (n = 800) with unknown serostatus were screened for HIV during 2007/2008. Women testing HIV positive (n = 192) were referred to care and asked to return for interviews and laboratory testing 12–36 months postdiagnosis. One hundred fourty-one women (73%) returned for the postdiagnosis visit. Results: Median CD4 count at diagnosis was 460 cells per microliter [interquartile range (IQR): 308–628], with 32% eligible for antiretroviral therapy (ART) per national CD4 criteria (median CD4: 235, IQR: 152–303). Postdiagnosis, 92% of women reported having disclosed their HIV status to a friend or relative, 85% reported having enrolled in HIV care (median 30 days after diagnosis, IQR: 7–360), including 89% among ART-eligible women. Among ART-eligible women in care, 87% had initiated ART, with a median follow-up CD4 count of 354 cells per microliter (IQR: 213–456). Women who did not initiate ART experienced a 6-month CD4 count change of −14 cells per microliter (IQR:241 to 13). Three-quarters of women reported reduced sexual risk behavior postdiagnosis, with only 64% continuing to identify as FSWs. However, 53% reported past month condom use only \"sometimes.\" Conclusions: Timely linkage to care and ART uptake were high in this group of Rwandan FSWs. However, risky sexual behaviors remained common after enrollment in care. HIV-positive FSWs are an important and receptive group for targeted efforts to increase HIV diagnosis and linkage to care/treatment. Once in care, intensified and sustained HIV prevention education is necessary. (PsycINFO Database Record (c) 2015 APA, all rights reserved)","author":[{"dropping-particle":"","family":"Braunstein","given":"Sarah L","non-dropping-particle":"","parse-names":false,"suffix":""},{"dropping-particle":"","family":"Umulisa","given":"Marie-Michèle","non-dropping-particle":"","parse-names":false,"suffix":""},{"dropping-particle":"","family":"Veldhuijzen","given":"Nienke J","non-dropping-particle":"","parse-names":false,"suffix":""},{"dropping-particle":"","family":"Kestelyn","given":"Evelyne","non-dropping-particle":"","parse-names":false,"suffix":""},{"dropping-particle":"","family":"Ingabire","given":"Chantal M","non-dropping-particle":"","parse-names":false,"suffix":""},{"dropping-particle":"","family":"Nyinawabega","given":"Jeanine","non-dropping-particle":"","parse-names":false,"suffix":""},{"dropping-particle":"","family":"Wijgert","given":"Janneke H H M","non-dropping-particle":"van de","parse-names":false,"suffix":""},{"dropping-particle":"","family":"Nash","given":"Denis","non-dropping-particle":"","parse-names":false,"suffix":""}],"container-title":"JAIDS Journal of Acquired Immune Deficiency Syndromes","id":"ITEM-1","issue":"4","issued":{"date-parts":[["2011"]]},"page":"e70-e76","title":"HIV Diagnosis, Linkage to HIV Care, and HIV Risk Behaviors Among Newly Diagnosed HIV-Positive Female Sex Workers in Kigali, Rwanda","type":"article-journal","volume":"57"},"uris":["http://www.mendeley.com/documents/?uuid=fd2d53e7-f4d5-4c6e-bc5e-318d1f03b76b"]}],"mendeley":{"formattedCitation":"&lt;sup&gt;53&lt;/sup&gt;","plainTextFormattedCitation":"53","previouslyFormattedCitation":"&lt;sup&gt;53&lt;/sup&gt;"},"properties":{"noteIndex":0},"schema":"https://github.com/citation-style-language/schema/raw/master/csl-citation.json"}</w:instrText>
      </w:r>
      <w:r w:rsidR="005D1EA9">
        <w:fldChar w:fldCharType="separate"/>
      </w:r>
      <w:r w:rsidR="00036C3E" w:rsidRPr="00CC0F80">
        <w:rPr>
          <w:noProof/>
          <w:vertAlign w:val="superscript"/>
        </w:rPr>
        <w:t>53</w:t>
      </w:r>
      <w:r w:rsidR="005D1EA9">
        <w:fldChar w:fldCharType="end"/>
      </w:r>
      <w:r w:rsidR="004D63E7" w:rsidRPr="00F72609">
        <w:t xml:space="preserve"> </w:t>
      </w:r>
    </w:p>
    <w:p w14:paraId="48D4E6B7" w14:textId="77777777" w:rsidR="004D63E7" w:rsidRDefault="004D63E7" w:rsidP="00036C3E">
      <w:pPr>
        <w:ind w:left="450"/>
      </w:pPr>
    </w:p>
    <w:p w14:paraId="2AA3D12D" w14:textId="6F54D6F7" w:rsidR="004D63E7" w:rsidRPr="000938D7" w:rsidRDefault="004D63E7" w:rsidP="00796F8A">
      <w:pPr>
        <w:ind w:left="450"/>
      </w:pPr>
      <w:r w:rsidRPr="000938D7">
        <w:t>Assumption</w:t>
      </w:r>
      <w:r w:rsidR="00DD484B">
        <w:t>s</w:t>
      </w:r>
      <w:r w:rsidRPr="000938D7">
        <w:t>:</w:t>
      </w:r>
    </w:p>
    <w:p w14:paraId="699C64E4" w14:textId="35D0DCDF" w:rsidR="004D63E7" w:rsidRPr="00F72609" w:rsidRDefault="004D63E7" w:rsidP="00BB226C">
      <w:pPr>
        <w:pStyle w:val="BodyText"/>
        <w:numPr>
          <w:ilvl w:val="1"/>
          <w:numId w:val="18"/>
        </w:numPr>
        <w:spacing w:before="0" w:after="0"/>
      </w:pPr>
      <w:r w:rsidRPr="008018B6">
        <w:t>We assume</w:t>
      </w:r>
      <w:r w:rsidR="00DD484B">
        <w:t>d</w:t>
      </w:r>
      <w:r w:rsidRPr="008018B6">
        <w:t xml:space="preserve"> that the proportion of individuals diagnosed d</w:t>
      </w:r>
      <w:r w:rsidR="00DD484B">
        <w:t xml:space="preserve">id </w:t>
      </w:r>
      <w:r w:rsidRPr="008018B6">
        <w:t xml:space="preserve">not differ by </w:t>
      </w:r>
      <w:r>
        <w:t>sub-population</w:t>
      </w:r>
      <w:r w:rsidRPr="00F72609">
        <w:t xml:space="preserve">. </w:t>
      </w:r>
    </w:p>
    <w:p w14:paraId="2FD76BDA" w14:textId="77777777" w:rsidR="004D63E7" w:rsidRPr="00F72609" w:rsidRDefault="004D63E7"/>
    <w:p w14:paraId="3582C11B" w14:textId="77777777" w:rsidR="00036C3E" w:rsidRDefault="004D63E7" w:rsidP="00BB226C">
      <w:pPr>
        <w:ind w:left="450"/>
        <w:rPr>
          <w:i/>
          <w:iCs/>
        </w:rPr>
      </w:pPr>
      <w:r w:rsidRPr="000938D7">
        <w:t>Estimation:</w:t>
      </w:r>
      <w:r w:rsidRPr="00F72609">
        <w:rPr>
          <w:i/>
          <w:iCs/>
        </w:rPr>
        <w:t xml:space="preserve"> </w:t>
      </w:r>
    </w:p>
    <w:p w14:paraId="765148AF" w14:textId="7E0C360E" w:rsidR="004D63E7" w:rsidRPr="00F72609" w:rsidRDefault="004D63E7" w:rsidP="00BB226C">
      <w:pPr>
        <w:pStyle w:val="ListParagraph"/>
        <w:numPr>
          <w:ilvl w:val="1"/>
          <w:numId w:val="18"/>
        </w:numPr>
      </w:pPr>
      <w:r w:rsidRPr="00F72609">
        <w:t xml:space="preserve">The proportion of individuals who are linked is 85%. </w:t>
      </w:r>
    </w:p>
    <w:p w14:paraId="251721D2" w14:textId="03793954" w:rsidR="000938D7" w:rsidRDefault="000938D7"/>
    <w:p w14:paraId="7413AC99" w14:textId="6DAB6D53" w:rsidR="000938D7" w:rsidRPr="006D15A0" w:rsidRDefault="000938D7">
      <w:pPr>
        <w:rPr>
          <w:i/>
          <w:iCs/>
        </w:rPr>
      </w:pPr>
      <w:r w:rsidRPr="00710211">
        <w:rPr>
          <w:i/>
          <w:iCs/>
        </w:rPr>
        <w:t xml:space="preserve">Estimating </w:t>
      </w:r>
      <w:r>
        <w:rPr>
          <w:i/>
          <w:iCs/>
        </w:rPr>
        <w:t>proportion</w:t>
      </w:r>
      <w:r w:rsidRPr="00710211">
        <w:rPr>
          <w:i/>
          <w:iCs/>
        </w:rPr>
        <w:t xml:space="preserve"> of individuals </w:t>
      </w:r>
      <w:r>
        <w:rPr>
          <w:i/>
          <w:iCs/>
        </w:rPr>
        <w:t>los</w:t>
      </w:r>
      <w:r w:rsidR="00DD484B">
        <w:rPr>
          <w:i/>
          <w:iCs/>
        </w:rPr>
        <w:t xml:space="preserve">t </w:t>
      </w:r>
      <w:r>
        <w:rPr>
          <w:i/>
          <w:iCs/>
        </w:rPr>
        <w:t>to</w:t>
      </w:r>
      <w:r w:rsidR="00DD484B">
        <w:rPr>
          <w:i/>
          <w:iCs/>
        </w:rPr>
        <w:t xml:space="preserve"> </w:t>
      </w:r>
      <w:r>
        <w:rPr>
          <w:i/>
          <w:iCs/>
        </w:rPr>
        <w:t>follow-up (LTFU)</w:t>
      </w:r>
    </w:p>
    <w:p w14:paraId="32090A51" w14:textId="531D0492" w:rsidR="00565009" w:rsidRPr="000938D7" w:rsidRDefault="000938D7" w:rsidP="00036C3E">
      <w:pPr>
        <w:ind w:left="450"/>
      </w:pPr>
      <w:r w:rsidRPr="000938D7">
        <w:t>Data:</w:t>
      </w:r>
      <w:r w:rsidR="00565009">
        <w:t xml:space="preserve"> </w:t>
      </w:r>
    </w:p>
    <w:p w14:paraId="24BF77D0" w14:textId="1B454270" w:rsidR="00565009" w:rsidRDefault="000938D7" w:rsidP="00BB226C">
      <w:pPr>
        <w:pStyle w:val="ListParagraph"/>
        <w:numPr>
          <w:ilvl w:val="1"/>
          <w:numId w:val="18"/>
        </w:numPr>
      </w:pPr>
      <w:commentRangeStart w:id="137"/>
      <w:commentRangeStart w:id="138"/>
      <w:commentRangeStart w:id="139"/>
      <w:commentRangeStart w:id="140"/>
      <w:r w:rsidRPr="00F72609">
        <w:t xml:space="preserve">We will use </w:t>
      </w:r>
      <w:r w:rsidR="00BC350B">
        <w:t xml:space="preserve">the 2004 </w:t>
      </w:r>
      <w:proofErr w:type="spellStart"/>
      <w:r w:rsidRPr="00F72609">
        <w:t>IeDEA</w:t>
      </w:r>
      <w:proofErr w:type="spellEnd"/>
      <w:r w:rsidR="00BC350B">
        <w:t>-Rwanda</w:t>
      </w:r>
      <w:r w:rsidRPr="00F72609">
        <w:t xml:space="preserve"> data to estimate the proportion of individuals </w:t>
      </w:r>
      <w:r>
        <w:t>LTFU among all individuals linked to care</w:t>
      </w:r>
      <w:r w:rsidRPr="00F72609">
        <w:t>.</w:t>
      </w:r>
      <w:r w:rsidR="005D1EA9">
        <w:fldChar w:fldCharType="begin" w:fldLock="1"/>
      </w:r>
      <w:r w:rsidR="007527CC">
        <w:instrText>ADDIN CSL_CITATION {"citationItems":[{"id":"ITEM-1","itemData":{"author":[{"dropping-particle":"","family":"National Institute of Allergy and Infectious Diseases","given":"","non-dropping-particle":"","parse-names":false,"suffix":""}],"id":"ITEM-1","issued":{"date-parts":[["0"]]},"title":"International Epidemiological Databases to Evaluate AIDS","type":"article"},"uris":["http://www.mendeley.com/documents/?uuid=666acb78-cec1-4b66-b410-933fc01451ce"]}],"mendeley":{"formattedCitation":"&lt;sup&gt;51&lt;/sup&gt;","plainTextFormattedCitation":"51","previouslyFormattedCitation":"&lt;sup&gt;51&lt;/sup&gt;"},"properties":{"noteIndex":0},"schema":"https://github.com/citation-style-language/schema/raw/master/csl-citation.json"}</w:instrText>
      </w:r>
      <w:r w:rsidR="005D1EA9">
        <w:fldChar w:fldCharType="separate"/>
      </w:r>
      <w:r w:rsidR="00036C3E" w:rsidRPr="008C345C">
        <w:rPr>
          <w:noProof/>
          <w:vertAlign w:val="superscript"/>
        </w:rPr>
        <w:t>51</w:t>
      </w:r>
      <w:r w:rsidR="005D1EA9">
        <w:fldChar w:fldCharType="end"/>
      </w:r>
      <w:r w:rsidRPr="00F72609">
        <w:t xml:space="preserve"> </w:t>
      </w:r>
      <w:commentRangeEnd w:id="137"/>
      <w:r w:rsidR="00E90989">
        <w:rPr>
          <w:rStyle w:val="CommentReference"/>
        </w:rPr>
        <w:commentReference w:id="137"/>
      </w:r>
      <w:commentRangeEnd w:id="138"/>
      <w:r w:rsidR="00760016">
        <w:rPr>
          <w:rStyle w:val="CommentReference"/>
        </w:rPr>
        <w:commentReference w:id="138"/>
      </w:r>
      <w:commentRangeEnd w:id="139"/>
      <w:r w:rsidR="005B353A">
        <w:rPr>
          <w:rStyle w:val="CommentReference"/>
        </w:rPr>
        <w:commentReference w:id="139"/>
      </w:r>
      <w:commentRangeEnd w:id="140"/>
      <w:r w:rsidR="00AB0EFD">
        <w:rPr>
          <w:rStyle w:val="CommentReference"/>
        </w:rPr>
        <w:commentReference w:id="140"/>
      </w:r>
      <w:r w:rsidR="00565009" w:rsidRPr="00565009">
        <w:t xml:space="preserve"> </w:t>
      </w:r>
      <w:r w:rsidR="00565009">
        <w:t>LTFU is defined as at least 365 days between last clinical visit and censor date before ART initiation or at least 6 months between last clinical visit and censor date when on ART based on Rwanda national HIV treatment guidelines and are consistent with other studies examining LTFU in sub-Saharan Africa.</w:t>
      </w:r>
      <w:r w:rsidR="00565009" w:rsidRPr="008C345C">
        <w:rPr>
          <w:noProof/>
          <w:vertAlign w:val="superscript"/>
        </w:rPr>
        <w:t>57–60</w:t>
      </w:r>
      <w:r w:rsidR="00565009" w:rsidRPr="00050905">
        <w:t xml:space="preserve"> </w:t>
      </w:r>
    </w:p>
    <w:p w14:paraId="606439F5" w14:textId="3B72B554" w:rsidR="00565009" w:rsidRDefault="00565009" w:rsidP="00BB226C">
      <w:pPr>
        <w:pStyle w:val="BodyText"/>
        <w:numPr>
          <w:ilvl w:val="1"/>
          <w:numId w:val="18"/>
        </w:numPr>
        <w:spacing w:before="0" w:after="0"/>
        <w:jc w:val="both"/>
      </w:pPr>
      <w:r>
        <w:t xml:space="preserve">The proportion of individuals LTFU will be adjusted to account the misclassification of LTFU. We will extract the multipliers from multiple literature including: </w:t>
      </w:r>
    </w:p>
    <w:p w14:paraId="00104C37" w14:textId="7DF0A00C" w:rsidR="00565009" w:rsidRPr="00675361" w:rsidRDefault="00565009" w:rsidP="00BB226C">
      <w:pPr>
        <w:pStyle w:val="BodyText"/>
        <w:numPr>
          <w:ilvl w:val="2"/>
          <w:numId w:val="24"/>
        </w:numPr>
        <w:spacing w:before="0" w:after="0"/>
        <w:jc w:val="both"/>
      </w:pPr>
      <w:r>
        <w:t>A retrospective study from Kenya (2009-2011) estimating the misclassification of loss to follow-up (LTFU) for pre-ART patients. The</w:t>
      </w:r>
      <w:r w:rsidRPr="005E7705">
        <w:rPr>
          <w:color w:val="000000"/>
        </w:rPr>
        <w:t xml:space="preserve"> proportion of </w:t>
      </w:r>
      <w:r>
        <w:rPr>
          <w:color w:val="000000"/>
        </w:rPr>
        <w:t xml:space="preserve">pre-ART </w:t>
      </w:r>
      <w:r w:rsidRPr="005E7705">
        <w:rPr>
          <w:color w:val="000000"/>
        </w:rPr>
        <w:t xml:space="preserve">patients </w:t>
      </w:r>
      <w:r>
        <w:rPr>
          <w:color w:val="000000"/>
        </w:rPr>
        <w:t>who have died but coded as LTFU is 17%</w:t>
      </w:r>
      <w:r w:rsidRPr="005E7705">
        <w:t>.</w:t>
      </w:r>
      <w:r w:rsidRPr="005E7705">
        <w:fldChar w:fldCharType="begin" w:fldLock="1"/>
      </w:r>
      <w:r w:rsidR="007527CC">
        <w:instrText>ADDIN CSL_CITATION {"citationItems":[{"id":"ITEM-1","itemData":{"DOI":"10.1097/QAI.0000000000000492","ISBN":"0000000000000","ISSN":"10779450","abstract":"© 2014 Wolters Kluwer Health, Inc. Background: Academic Model Providing Access To Healthcare (AMPATH) program provides comprehensive HIV care and treatment services. Approximately, 30% of patients have become lost to follow-up (LTFU). We sought to actively trace and identify outcomes for a sample of these patients. Methods: LTFU was defined as missing a scheduled visit by $3 months. A randomly selected sample of 17% of patients identified as LTFU between January 2009 and June 2011 was generated, with sample stratification on age, antiretroviral therapy (ART) status at last visit, and facility. Chart reviews were conducted followed by active tracing. Tracing was completed by trained HIV-positive outreach workers July 2011 to February 2012. Outcomes were compared between adults and children and by ART status. Results: Of 14,811 LTFU patients, 2540 were randomly selected for tracing (2179 adults, 1071 on ART). The chart reviews indicated that 326 (12.8%) patients were not actually LTFU. Outcomes for 71% of sampled patients were determined including 85% of those physically traced. Of those with known outcomes, 21% had died, whereas 29% had disengaged from care for various reasons. The remaining patients had moved away (n = 458, 25%) or were still receiving HIV care (n = 443 total, 25%). Conclusions: Our findings demonstrate the feasibility of a largescale sampling-based approach. A significant proportion of patients were found not to be LTFU, and further, high numbers of patients who were LTFU could not be located. Over a quarter of patients disengaged from care for various reasons including access challenges and familial influences.","author":[{"dropping-particle":"","family":"Rachlis","given":"Beth","non-dropping-particle":"","parse-names":false,"suffix":""},{"dropping-particle":"","family":"Ochieng","given":"Daniel","non-dropping-particle":"","parse-names":false,"suffix":""},{"dropping-particle":"","family":"Geng","given":"Elvin","non-dropping-particle":"","parse-names":false,"suffix":""},{"dropping-particle":"","family":"Rotich","given":"Elyne","non-dropping-particle":"","parse-names":false,"suffix":""},{"dropping-particle":"","family":"Ochieng","given":"Vincent","non-dropping-particle":"","parse-names":false,"suffix":""},{"dropping-particle":"","family":"Maritim","given":"Beryl","non-dropping-particle":"","parse-names":false,"suffix":""},{"dropping-particle":"","family":"Ndege","given":"Samson","non-dropping-particle":"","parse-names":false,"suffix":""},{"dropping-particle":"","family":"Naanyu","given":"Violet","non-dropping-particle":"","parse-names":false,"suffix":""},{"dropping-particle":"","family":"Martin","given":"Jeffrey N.","non-dropping-particle":"","parse-names":false,"suffix":""},{"dropping-particle":"","family":"Keter","given":"Alfred","non-dropping-particle":"","parse-names":false,"suffix":""},{"dropping-particle":"","family":"Ayuo","given":"Paul","non-dropping-particle":"","parse-names":false,"suffix":""},{"dropping-particle":"","family":"Diero","given":"Lameck","non-dropping-particle":"","parse-names":false,"suffix":""},{"dropping-particle":"","family":"Nyambura","given":"Monicah","non-dropping-particle":"","parse-names":false,"suffix":""},{"dropping-particle":"","family":"Braitstein","given":"Paula","non-dropping-particle":"","parse-names":false,"suffix":""}],"container-title":"Journal of Acquired Immune Deficiency Syndromes","id":"ITEM-1","issue":"4","issued":{"date-parts":[["2015"]]},"page":"e46-e55","title":"Evaluating outcomes of patients lost to follow-up in a large comprehensive care treatment program in Western Kenya","type":"article-journal","volume":"68"},"uris":["http://www.mendeley.com/documents/?uuid=46dfb1ee-def0-49a8-aeda-dbe712f30a4f"]}],"mendeley":{"formattedCitation":"&lt;sup&gt;54&lt;/sup&gt;","plainTextFormattedCitation":"54","previouslyFormattedCitation":"&lt;sup&gt;54&lt;/sup&gt;"},"properties":{"noteIndex":0},"schema":"https://github.com/citation-style-language/schema/raw/master/csl-citation.json"}</w:instrText>
      </w:r>
      <w:r w:rsidRPr="005E7705">
        <w:fldChar w:fldCharType="separate"/>
      </w:r>
      <w:r w:rsidR="00036C3E" w:rsidRPr="00036C3E">
        <w:rPr>
          <w:noProof/>
          <w:vertAlign w:val="superscript"/>
        </w:rPr>
        <w:t>54</w:t>
      </w:r>
      <w:r w:rsidRPr="005E7705">
        <w:fldChar w:fldCharType="end"/>
      </w:r>
      <w:r w:rsidRPr="005E7705">
        <w:t xml:space="preserve"> </w:t>
      </w:r>
    </w:p>
    <w:p w14:paraId="0C489627" w14:textId="1167D818" w:rsidR="00565009" w:rsidRDefault="00565009" w:rsidP="00BB226C">
      <w:pPr>
        <w:pStyle w:val="ListParagraph"/>
        <w:numPr>
          <w:ilvl w:val="2"/>
          <w:numId w:val="24"/>
        </w:numPr>
        <w:jc w:val="both"/>
      </w:pPr>
      <w:r>
        <w:t>A prospective study from Uganda (2007-2011) tracking the pre-ART LTFU patients for their HIV treatment and care status. Approximately 13% of the pre-ART patients who considered LTFU received HIV care in a clinic other than the original one.</w:t>
      </w:r>
      <w:r w:rsidRPr="00050905">
        <w:fldChar w:fldCharType="begin" w:fldLock="1"/>
      </w:r>
      <w:r w:rsidR="007527CC">
        <w:instrText>ADDIN CSL_CITATION {"citationItems":[{"id":"ITEM-1","itemData":{"DOI":"10.1097/QAI.0b013e31828af5a6","ISSN":"15254135","abstract":"Background: Delays and failures in initiation of antiretroviral therapy (ART) among treatment eligible patients may compromise the effectiveness of HIV care in Africa. An accurate understanding, however, of the pace and completeness of ART initiation and mortality during the waiting period is obscured by frequent losses to follow-up. Methods: We evaluated newly ART-eligible HIV-infected adults from 2007 to 2011 in a prototypical clinic in Mbarara, Uganda. A random sample of patients lost to follow-up was tracked in the community to determine vital status and ART initiation after leaving the original clinic. Outcomes among the tracked patients were incorporated using probability weights, and a competing risks approach was used in analyses. Results: Among 2633 ART-eligible patients, 490 were lost to follow-up, of whom a random sample of 132 was tracked and 111 (84.0%) had outcomes ascertained. After incorporating the outcomes among the lost, the cumulative incidence of ART initiation at 30, 90, and 365 days after eligibility was 16.0% [95% confidence interval (CI): 14.2 to 17.7], 64.5% (95% CI: 60.9 to 68.1), and 81.7% (95% CI: 77.7 to 85.6). Death before ART was 7.7% at 1 year. Male sex, higher CD4 count, and no education were associated with delayed ART initiation. Lower CD4 level, malnourishment, and travel time to clinic were associated with mortality. Conclusions: Using a sampling-based approach to account for losses to follow-up revealed that both the speed and the completeness of ART initiation were suboptimal in a prototypical large clinic in Uganda. Improving the kinetics of ART initiation in Africa is needed to make ART more in real-world populations. Copyright © 2013 by Lippincott Williams &amp; Wilkins.","author":[{"dropping-particle":"","family":"Geng","given":"Elvin H.","non-dropping-particle":"","parse-names":false,"suffix":""},{"dropping-particle":"","family":"Bwana","given":"Mwebesa B.","non-dropping-particle":"","parse-names":false,"suffix":""},{"dropping-particle":"","family":"Muyindike","given":"Winnie","non-dropping-particle":"","parse-names":false,"suffix":""},{"dropping-particle":"V.","family":"Glidden","given":"David","non-dropping-particle":"","parse-names":false,"suffix":""},{"dropping-particle":"","family":"Bangsberg","given":"David R.","non-dropping-particle":"","parse-names":false,"suffix":""},{"dropping-particle":"","family":"Neilands","given":"Torsten B.","non-dropping-particle":"","parse-names":false,"suffix":""},{"dropping-particle":"","family":"Bernheimer","given":"Ingrid","non-dropping-particle":"","parse-names":false,"suffix":""},{"dropping-particle":"","family":"Musinguzi","given":"Nicolas","non-dropping-particle":"","parse-names":false,"suffix":""},{"dropping-particle":"","family":"Yiannoutsos","given":"Constantin T.","non-dropping-particle":"","parse-names":false,"suffix":""},{"dropping-particle":"","family":"Martin","given":"Jeffrey N.","non-dropping-particle":"","parse-names":false,"suffix":""}],"container-title":"Journal of Acquired Immune Deficiency Syndromes","id":"ITEM-1","issue":"2","issued":{"date-parts":[["2013"]]},"page":"64-71","title":"Failure to initiate antiretroviral therapy, loss to follow-up and mortality among HIV-infected patients during the pre-ART period in Uganda","type":"article-journal","volume":"63"},"uris":["http://www.mendeley.com/documents/?uuid=7661d1ee-8652-4187-ad4a-44f484be0739"]}],"mendeley":{"formattedCitation":"&lt;sup&gt;55&lt;/sup&gt;","plainTextFormattedCitation":"55","previouslyFormattedCitation":"&lt;sup&gt;55&lt;/sup&gt;"},"properties":{"noteIndex":0},"schema":"https://github.com/citation-style-language/schema/raw/master/csl-citation.json"}</w:instrText>
      </w:r>
      <w:r w:rsidRPr="00050905">
        <w:fldChar w:fldCharType="separate"/>
      </w:r>
      <w:r w:rsidR="00036C3E" w:rsidRPr="00036C3E">
        <w:rPr>
          <w:noProof/>
          <w:vertAlign w:val="superscript"/>
        </w:rPr>
        <w:t>55</w:t>
      </w:r>
      <w:r w:rsidRPr="00050905">
        <w:fldChar w:fldCharType="end"/>
      </w:r>
      <w:r w:rsidRPr="00050905">
        <w:t xml:space="preserve"> </w:t>
      </w:r>
      <w:r>
        <w:t xml:space="preserve"> </w:t>
      </w:r>
    </w:p>
    <w:p w14:paraId="57B5042D" w14:textId="1CA03F96" w:rsidR="00565009" w:rsidRPr="00E60418" w:rsidRDefault="00565009" w:rsidP="00BB226C">
      <w:pPr>
        <w:pStyle w:val="BodyText"/>
        <w:numPr>
          <w:ilvl w:val="2"/>
          <w:numId w:val="24"/>
        </w:numPr>
        <w:spacing w:before="0" w:after="0"/>
        <w:jc w:val="both"/>
        <w:rPr>
          <w:b/>
          <w:bCs/>
        </w:rPr>
      </w:pPr>
      <w:r>
        <w:t xml:space="preserve">A meta-analysis on misclassification of LTFU for individuals on ART </w:t>
      </w:r>
      <w:r w:rsidRPr="00E60418">
        <w:rPr>
          <w:color w:val="000000"/>
          <w:lang w:eastAsia="ja-JP"/>
        </w:rPr>
        <w:t>in sub-Saharan</w:t>
      </w:r>
      <w:r>
        <w:rPr>
          <w:color w:val="000000"/>
          <w:lang w:eastAsia="ja-JP"/>
        </w:rPr>
        <w:t xml:space="preserve"> region</w:t>
      </w:r>
      <w:r w:rsidRPr="00E60418">
        <w:rPr>
          <w:color w:val="000000"/>
          <w:lang w:eastAsia="ja-JP"/>
        </w:rPr>
        <w:t>. The proportion</w:t>
      </w:r>
      <w:r>
        <w:rPr>
          <w:color w:val="000000"/>
          <w:lang w:eastAsia="ja-JP"/>
        </w:rPr>
        <w:t>s</w:t>
      </w:r>
      <w:r w:rsidRPr="00E60418">
        <w:rPr>
          <w:color w:val="000000"/>
          <w:lang w:eastAsia="ja-JP"/>
        </w:rPr>
        <w:t xml:space="preserve"> of </w:t>
      </w:r>
      <w:r>
        <w:rPr>
          <w:color w:val="000000"/>
          <w:lang w:eastAsia="ja-JP"/>
        </w:rPr>
        <w:t xml:space="preserve">patients coded as LTFU but </w:t>
      </w:r>
      <w:r w:rsidRPr="00E60418">
        <w:rPr>
          <w:color w:val="000000"/>
          <w:lang w:eastAsia="ja-JP"/>
        </w:rPr>
        <w:t>hav</w:t>
      </w:r>
      <w:r>
        <w:rPr>
          <w:color w:val="000000"/>
          <w:lang w:eastAsia="ja-JP"/>
        </w:rPr>
        <w:t>e</w:t>
      </w:r>
      <w:r w:rsidRPr="00E60418">
        <w:rPr>
          <w:color w:val="000000"/>
          <w:lang w:eastAsia="ja-JP"/>
        </w:rPr>
        <w:t xml:space="preserve"> died</w:t>
      </w:r>
      <w:r>
        <w:rPr>
          <w:color w:val="000000"/>
          <w:lang w:eastAsia="ja-JP"/>
        </w:rPr>
        <w:t xml:space="preserve"> or transferred</w:t>
      </w:r>
      <w:r w:rsidRPr="00E60418">
        <w:rPr>
          <w:color w:val="000000"/>
          <w:lang w:eastAsia="ja-JP"/>
        </w:rPr>
        <w:t xml:space="preserve"> </w:t>
      </w:r>
      <w:r>
        <w:rPr>
          <w:color w:val="000000"/>
          <w:lang w:eastAsia="ja-JP"/>
        </w:rPr>
        <w:t>are</w:t>
      </w:r>
      <w:r w:rsidRPr="00E60418">
        <w:rPr>
          <w:color w:val="000000"/>
          <w:lang w:eastAsia="ja-JP"/>
        </w:rPr>
        <w:t xml:space="preserve"> 20.8%</w:t>
      </w:r>
      <w:r>
        <w:rPr>
          <w:color w:val="000000"/>
          <w:lang w:eastAsia="ja-JP"/>
        </w:rPr>
        <w:t xml:space="preserve"> and 35.9% respectively</w:t>
      </w:r>
      <w:r w:rsidRPr="00E60418">
        <w:rPr>
          <w:color w:val="000000"/>
          <w:lang w:eastAsia="ja-JP"/>
        </w:rPr>
        <w:t>.</w:t>
      </w:r>
      <w:r w:rsidRPr="00E60418">
        <w:rPr>
          <w:color w:val="000000" w:themeColor="text1"/>
        </w:rPr>
        <w:fldChar w:fldCharType="begin" w:fldLock="1"/>
      </w:r>
      <w:r w:rsidR="007527CC">
        <w:rPr>
          <w:color w:val="000000" w:themeColor="text1"/>
          <w:lang w:eastAsia="ja-JP"/>
        </w:rPr>
        <w:instrText>ADDIN CSL_CITATION {"citationItems":[{"id":"ITEM-1","itemData":{"DOI":"10.1002/jia2.25084","ISSN":"17582652","abstract":"Introduction: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Society","id":"ITEM-1","issue":"2","issued":{"date-parts":[["2018"]]},"page":"1-7","title":"Retention and mortality on antiretroviral therapy in sub-Saharan Africa: Collaborative analyses of HIV treatment programmes: Collaborative","type":"article-journal","volume":"21"},"uris":["http://www.mendeley.com/documents/?uuid=973be433-f329-438c-a007-d6d819f544b0"]}],"mendeley":{"formattedCitation":"&lt;sup&gt;56&lt;/sup&gt;","plainTextFormattedCitation":"56","previouslyFormattedCitation":"&lt;sup&gt;56&lt;/sup&gt;"},"properties":{"noteIndex":0},"schema":"https://github.com/citation-style-language/schema/raw/master/csl-citation.json"}</w:instrText>
      </w:r>
      <w:r w:rsidRPr="00E60418">
        <w:rPr>
          <w:color w:val="000000" w:themeColor="text1"/>
        </w:rPr>
        <w:fldChar w:fldCharType="separate"/>
      </w:r>
      <w:r w:rsidR="00036C3E" w:rsidRPr="00036C3E">
        <w:rPr>
          <w:noProof/>
          <w:color w:val="000000" w:themeColor="text1"/>
          <w:vertAlign w:val="superscript"/>
        </w:rPr>
        <w:t>56</w:t>
      </w:r>
      <w:r w:rsidRPr="00E60418">
        <w:rPr>
          <w:color w:val="000000" w:themeColor="text1"/>
        </w:rPr>
        <w:fldChar w:fldCharType="end"/>
      </w:r>
    </w:p>
    <w:p w14:paraId="07F944A8" w14:textId="77777777" w:rsidR="000938D7" w:rsidRPr="00F72609" w:rsidRDefault="000938D7"/>
    <w:p w14:paraId="568697A2" w14:textId="77777777" w:rsidR="00036C3E" w:rsidRDefault="000938D7" w:rsidP="00036C3E">
      <w:pPr>
        <w:ind w:left="450"/>
      </w:pPr>
      <w:r w:rsidRPr="000938D7">
        <w:t xml:space="preserve">Estimation: </w:t>
      </w:r>
    </w:p>
    <w:p w14:paraId="04A08251" w14:textId="1BCB5253" w:rsidR="007C5425" w:rsidRPr="000938D7" w:rsidRDefault="000938D7" w:rsidP="007C5425">
      <w:pPr>
        <w:pStyle w:val="ListParagraph"/>
        <w:numPr>
          <w:ilvl w:val="0"/>
          <w:numId w:val="44"/>
        </w:numPr>
      </w:pPr>
      <w:r>
        <w:t xml:space="preserve">The estimation is done by sub-populations. </w:t>
      </w:r>
    </w:p>
    <w:p w14:paraId="3B0CDC8C" w14:textId="5E829FD7" w:rsidR="007C5425" w:rsidRPr="000938D7" w:rsidRDefault="00AB0EFD" w:rsidP="00610A49">
      <w:pPr>
        <w:pStyle w:val="ListParagraph"/>
        <w:numPr>
          <w:ilvl w:val="0"/>
          <w:numId w:val="44"/>
        </w:numPr>
      </w:pPr>
      <w:r>
        <w:t>For pre-ART patients,</w:t>
      </w:r>
    </w:p>
    <w:p w14:paraId="67E8C2EC" w14:textId="09E3BF79" w:rsidR="004D63E7" w:rsidRPr="00F72609" w:rsidRDefault="000938D7" w:rsidP="00036C3E">
      <w:pPr>
        <w:ind w:left="450"/>
        <w:jc w:val="center"/>
      </w:pPr>
      <m:oMath>
        <m:r>
          <w:rPr>
            <w:rFonts w:ascii="Cambria Math" w:hAnsi="Cambria Math"/>
          </w:rPr>
          <m:t>P</m:t>
        </m:r>
        <m:d>
          <m:dPr>
            <m:ctrlPr>
              <w:rPr>
                <w:rFonts w:ascii="Cambria Math" w:hAnsi="Cambria Math"/>
                <w:i/>
              </w:rPr>
            </m:ctrlPr>
          </m:dPr>
          <m:e>
            <m:r>
              <w:rPr>
                <w:rFonts w:ascii="Cambria Math" w:hAnsi="Cambria Math"/>
              </w:rPr>
              <m:t>LTFU</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dead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transfer</m:t>
                </m:r>
              </m:sub>
            </m:sSub>
            <m:r>
              <w:rPr>
                <w:rFonts w:ascii="Cambria Math" w:hAnsi="Cambria Math"/>
              </w:rPr>
              <m:t>)N</m:t>
            </m:r>
            <m:d>
              <m:dPr>
                <m:ctrlPr>
                  <w:rPr>
                    <w:rFonts w:ascii="Cambria Math" w:hAnsi="Cambria Math"/>
                    <w:i/>
                  </w:rPr>
                </m:ctrlPr>
              </m:dPr>
              <m:e>
                <m:r>
                  <w:rPr>
                    <w:rFonts w:ascii="Cambria Math" w:hAnsi="Cambria Math"/>
                  </w:rPr>
                  <m:t>LTFU</m:t>
                </m:r>
              </m:e>
            </m:d>
          </m:num>
          <m:den>
            <m:r>
              <w:rPr>
                <w:rFonts w:ascii="Cambria Math" w:hAnsi="Cambria Math"/>
              </w:rPr>
              <m:t>N</m:t>
            </m:r>
            <m:d>
              <m:dPr>
                <m:ctrlPr>
                  <w:rPr>
                    <w:rFonts w:ascii="Cambria Math" w:hAnsi="Cambria Math"/>
                    <w:i/>
                  </w:rPr>
                </m:ctrlPr>
              </m:dPr>
              <m:e>
                <m:r>
                  <w:rPr>
                    <w:rFonts w:ascii="Cambria Math" w:hAnsi="Cambria Math"/>
                  </w:rPr>
                  <m:t>Linked</m:t>
                </m:r>
              </m:e>
            </m:d>
          </m:den>
        </m:f>
      </m:oMath>
      <w:r w:rsidR="0089750E">
        <w:tab/>
      </w:r>
      <w:r w:rsidR="0089750E">
        <w:tab/>
        <w:t>(3)</w:t>
      </w:r>
    </w:p>
    <w:p w14:paraId="6236798A" w14:textId="0CC2133B" w:rsidR="007C5425" w:rsidRDefault="00AB0EFD" w:rsidP="00610A49">
      <w:pPr>
        <w:pStyle w:val="ListParagraph"/>
        <w:numPr>
          <w:ilvl w:val="0"/>
          <w:numId w:val="45"/>
        </w:numPr>
      </w:pPr>
      <w:r>
        <w:t>For on ART patients,</w:t>
      </w:r>
    </w:p>
    <w:p w14:paraId="24F25102" w14:textId="5E2020AB" w:rsidR="00AB0EFD" w:rsidRPr="00F72609" w:rsidRDefault="00AB0EFD" w:rsidP="00796F8A">
      <w:pPr>
        <w:ind w:left="450"/>
        <w:jc w:val="center"/>
      </w:pPr>
      <m:oMath>
        <m:r>
          <w:rPr>
            <w:rFonts w:ascii="Cambria Math" w:hAnsi="Cambria Math"/>
          </w:rPr>
          <m:t>P</m:t>
        </m:r>
        <m:d>
          <m:dPr>
            <m:ctrlPr>
              <w:rPr>
                <w:rFonts w:ascii="Cambria Math" w:hAnsi="Cambria Math"/>
                <w:i/>
              </w:rPr>
            </m:ctrlPr>
          </m:dPr>
          <m:e>
            <m:r>
              <w:rPr>
                <w:rFonts w:ascii="Cambria Math" w:hAnsi="Cambria Math"/>
              </w:rPr>
              <m:t>LTFU</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dead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transfer</m:t>
                </m:r>
              </m:sub>
            </m:sSub>
            <m:r>
              <w:rPr>
                <w:rFonts w:ascii="Cambria Math" w:hAnsi="Cambria Math"/>
              </w:rPr>
              <m:t>)N</m:t>
            </m:r>
            <m:d>
              <m:dPr>
                <m:ctrlPr>
                  <w:rPr>
                    <w:rFonts w:ascii="Cambria Math" w:hAnsi="Cambria Math"/>
                    <w:i/>
                  </w:rPr>
                </m:ctrlPr>
              </m:dPr>
              <m:e>
                <m:r>
                  <w:rPr>
                    <w:rFonts w:ascii="Cambria Math" w:hAnsi="Cambria Math"/>
                  </w:rPr>
                  <m:t>LTFU</m:t>
                </m:r>
              </m:e>
            </m:d>
          </m:num>
          <m:den>
            <m:r>
              <w:rPr>
                <w:rFonts w:ascii="Cambria Math" w:hAnsi="Cambria Math"/>
              </w:rPr>
              <m:t>N</m:t>
            </m:r>
            <m:d>
              <m:dPr>
                <m:ctrlPr>
                  <w:rPr>
                    <w:rFonts w:ascii="Cambria Math" w:hAnsi="Cambria Math"/>
                    <w:i/>
                  </w:rPr>
                </m:ctrlPr>
              </m:dPr>
              <m:e>
                <m:r>
                  <w:rPr>
                    <w:rFonts w:ascii="Cambria Math" w:hAnsi="Cambria Math"/>
                  </w:rPr>
                  <m:t>OnART</m:t>
                </m:r>
              </m:e>
            </m:d>
          </m:den>
        </m:f>
      </m:oMath>
      <w:r>
        <w:tab/>
      </w:r>
      <w:r>
        <w:tab/>
        <w:t>(4)</w:t>
      </w:r>
    </w:p>
    <w:p w14:paraId="721ED63B" w14:textId="77777777" w:rsidR="00AB0EFD" w:rsidRPr="007C5425" w:rsidRDefault="00AB0EFD"/>
    <w:p w14:paraId="678ABDA2" w14:textId="485C8117" w:rsidR="004D63E7" w:rsidRPr="003C2569" w:rsidRDefault="004D63E7">
      <w:pPr>
        <w:rPr>
          <w:i/>
          <w:iCs/>
        </w:rPr>
      </w:pPr>
      <w:r w:rsidRPr="004E2B2D">
        <w:rPr>
          <w:i/>
          <w:iCs/>
        </w:rPr>
        <w:t xml:space="preserve">Estimating </w:t>
      </w:r>
      <w:r>
        <w:rPr>
          <w:i/>
          <w:iCs/>
        </w:rPr>
        <w:t xml:space="preserve">the proportion </w:t>
      </w:r>
      <w:proofErr w:type="gramStart"/>
      <w:r w:rsidR="00E90989">
        <w:rPr>
          <w:i/>
          <w:iCs/>
        </w:rPr>
        <w:t>On</w:t>
      </w:r>
      <w:proofErr w:type="gramEnd"/>
      <w:r w:rsidR="00E90989">
        <w:rPr>
          <w:i/>
          <w:iCs/>
        </w:rPr>
        <w:t xml:space="preserve"> </w:t>
      </w:r>
      <w:r w:rsidRPr="003C2569">
        <w:rPr>
          <w:i/>
          <w:iCs/>
        </w:rPr>
        <w:t>ART</w:t>
      </w:r>
    </w:p>
    <w:p w14:paraId="5099F141" w14:textId="77777777" w:rsidR="004D63E7" w:rsidRPr="000938D7" w:rsidRDefault="004D63E7" w:rsidP="00796F8A">
      <w:pPr>
        <w:ind w:left="450"/>
      </w:pPr>
      <w:r w:rsidRPr="000938D7">
        <w:t>Data:</w:t>
      </w:r>
    </w:p>
    <w:p w14:paraId="3CC918B0" w14:textId="52999BD1" w:rsidR="004D63E7" w:rsidRDefault="00E90989" w:rsidP="007C5425">
      <w:pPr>
        <w:pStyle w:val="ListParagraph"/>
        <w:numPr>
          <w:ilvl w:val="0"/>
          <w:numId w:val="45"/>
        </w:numPr>
      </w:pPr>
      <w:r>
        <w:t>For each sub-population, w</w:t>
      </w:r>
      <w:r w:rsidR="004D63E7" w:rsidRPr="00F72609">
        <w:t xml:space="preserve">e will use </w:t>
      </w:r>
      <w:r>
        <w:t xml:space="preserve">2004 </w:t>
      </w:r>
      <w:proofErr w:type="spellStart"/>
      <w:r w:rsidR="004D63E7" w:rsidRPr="00F72609">
        <w:t>IeDEA</w:t>
      </w:r>
      <w:proofErr w:type="spellEnd"/>
      <w:r w:rsidR="00BC350B">
        <w:t>-Rwanda</w:t>
      </w:r>
      <w:r w:rsidR="004D63E7" w:rsidRPr="00F72609">
        <w:t xml:space="preserve"> data to estimate the proportion of individuals on ART among those who are linked to care </w:t>
      </w:r>
      <w:r w:rsidR="000938D7">
        <w:t>and not LTFU</w:t>
      </w:r>
      <w:r w:rsidR="00BC350B">
        <w:t xml:space="preserve">, </w:t>
      </w:r>
      <w:r w:rsidR="000938D7">
        <w:t xml:space="preserve"> </w:t>
      </w:r>
      <w:r w:rsidR="004D63E7" w:rsidRPr="00F72609">
        <w:t xml:space="preserve">by </w:t>
      </w:r>
      <w:r w:rsidR="004D63E7">
        <w:t>sub-population</w:t>
      </w:r>
      <w:r w:rsidR="004D63E7" w:rsidRPr="00F72609">
        <w:t>.</w:t>
      </w:r>
      <w:r w:rsidR="005D1EA9">
        <w:fldChar w:fldCharType="begin" w:fldLock="1"/>
      </w:r>
      <w:r w:rsidR="007527CC">
        <w:instrText>ADDIN CSL_CITATION {"citationItems":[{"id":"ITEM-1","itemData":{"author":[{"dropping-particle":"","family":"National Institute of Allergy and Infectious Diseases","given":"","non-dropping-particle":"","parse-names":false,"suffix":""}],"id":"ITEM-1","issued":{"date-parts":[["0"]]},"title":"International Epidemiological Databases to Evaluate AIDS","type":"article"},"uris":["http://www.mendeley.com/documents/?uuid=666acb78-cec1-4b66-b410-933fc01451ce"]}],"mendeley":{"formattedCitation":"&lt;sup&gt;51&lt;/sup&gt;","plainTextFormattedCitation":"51","previouslyFormattedCitation":"&lt;sup&gt;51&lt;/sup&gt;"},"properties":{"noteIndex":0},"schema":"https://github.com/citation-style-language/schema/raw/master/csl-citation.json"}</w:instrText>
      </w:r>
      <w:r w:rsidR="005D1EA9">
        <w:fldChar w:fldCharType="separate"/>
      </w:r>
      <w:r w:rsidR="00036C3E" w:rsidRPr="00796F8A">
        <w:rPr>
          <w:noProof/>
          <w:vertAlign w:val="superscript"/>
        </w:rPr>
        <w:t>51</w:t>
      </w:r>
      <w:r w:rsidR="005D1EA9">
        <w:fldChar w:fldCharType="end"/>
      </w:r>
      <w:r w:rsidR="004D63E7">
        <w:t xml:space="preserve"> </w:t>
      </w:r>
    </w:p>
    <w:p w14:paraId="09C4FC1F" w14:textId="77777777" w:rsidR="004D63E7" w:rsidRDefault="004D63E7" w:rsidP="00796F8A">
      <w:pPr>
        <w:ind w:left="450"/>
      </w:pPr>
    </w:p>
    <w:p w14:paraId="6508DF1E" w14:textId="77777777" w:rsidR="004D63E7" w:rsidRPr="000938D7" w:rsidRDefault="004D63E7" w:rsidP="003A1840">
      <w:pPr>
        <w:ind w:left="450"/>
      </w:pPr>
      <w:commentRangeStart w:id="141"/>
      <w:r w:rsidRPr="000938D7">
        <w:t>Assumption</w:t>
      </w:r>
      <w:commentRangeEnd w:id="141"/>
      <w:r w:rsidR="00E90989">
        <w:rPr>
          <w:rStyle w:val="CommentReference"/>
        </w:rPr>
        <w:commentReference w:id="141"/>
      </w:r>
      <w:r w:rsidRPr="000938D7">
        <w:t>:</w:t>
      </w:r>
    </w:p>
    <w:p w14:paraId="20646209" w14:textId="708FC1CA" w:rsidR="004D63E7" w:rsidRPr="003C2569" w:rsidRDefault="004D63E7" w:rsidP="00BB226C">
      <w:pPr>
        <w:pStyle w:val="BodyText"/>
        <w:numPr>
          <w:ilvl w:val="0"/>
          <w:numId w:val="45"/>
        </w:numPr>
        <w:spacing w:before="0" w:after="0"/>
        <w:rPr>
          <w:i/>
          <w:iCs/>
        </w:rPr>
      </w:pPr>
      <w:r>
        <w:t>We assume that individuals who are on ART without evidence of vir</w:t>
      </w:r>
      <w:r w:rsidR="00AB0EFD">
        <w:t xml:space="preserve">ological failure </w:t>
      </w:r>
      <w:r w:rsidR="00E90989">
        <w:t xml:space="preserve">are </w:t>
      </w:r>
      <w:r>
        <w:t xml:space="preserve">virally suppressed. </w:t>
      </w:r>
    </w:p>
    <w:p w14:paraId="4611A878" w14:textId="77777777" w:rsidR="004D63E7" w:rsidRPr="00F72609" w:rsidRDefault="004D63E7" w:rsidP="00796F8A">
      <w:pPr>
        <w:ind w:left="450"/>
      </w:pPr>
    </w:p>
    <w:p w14:paraId="7C5A9C15" w14:textId="77777777" w:rsidR="00796F8A" w:rsidRDefault="004D63E7" w:rsidP="00796F8A">
      <w:pPr>
        <w:ind w:left="450"/>
      </w:pPr>
      <w:r w:rsidRPr="000938D7">
        <w:t>Estimation:</w:t>
      </w:r>
      <w:r w:rsidR="000938D7">
        <w:t xml:space="preserve"> </w:t>
      </w:r>
    </w:p>
    <w:p w14:paraId="4BB3CCD5" w14:textId="560A6129" w:rsidR="007C5425" w:rsidRPr="000938D7" w:rsidRDefault="000938D7" w:rsidP="007C5425">
      <w:pPr>
        <w:pStyle w:val="ListParagraph"/>
        <w:numPr>
          <w:ilvl w:val="0"/>
          <w:numId w:val="45"/>
        </w:numPr>
      </w:pPr>
      <w:r>
        <w:t xml:space="preserve">The estimation is done by sub-populations. </w:t>
      </w:r>
    </w:p>
    <w:p w14:paraId="2E12E9FF" w14:textId="673E489F" w:rsidR="004D63E7" w:rsidRPr="00F72609" w:rsidRDefault="004D63E7" w:rsidP="00796F8A">
      <w:pPr>
        <w:ind w:left="450"/>
        <w:jc w:val="center"/>
      </w:pPr>
      <m:oMath>
        <m:r>
          <w:rPr>
            <w:rFonts w:ascii="Cambria Math" w:hAnsi="Cambria Math"/>
          </w:rPr>
          <m:t>P</m:t>
        </m:r>
        <m:d>
          <m:dPr>
            <m:ctrlPr>
              <w:rPr>
                <w:rFonts w:ascii="Cambria Math" w:hAnsi="Cambria Math"/>
                <w:i/>
              </w:rPr>
            </m:ctrlPr>
          </m:dPr>
          <m:e>
            <m:r>
              <w:rPr>
                <w:rFonts w:ascii="Cambria Math" w:hAnsi="Cambria Math"/>
              </w:rPr>
              <m:t>On ART</m:t>
            </m:r>
          </m:e>
        </m:d>
        <m:r>
          <w:rPr>
            <w:rFonts w:ascii="Cambria Math" w:hAnsi="Cambria Math"/>
          </w:rPr>
          <m:t>=</m:t>
        </m:r>
        <m:f>
          <m:fPr>
            <m:ctrlPr>
              <w:rPr>
                <w:rFonts w:ascii="Cambria Math" w:hAnsi="Cambria Math"/>
                <w:i/>
              </w:rPr>
            </m:ctrlPr>
          </m:fPr>
          <m:num>
            <m:r>
              <w:rPr>
                <w:rFonts w:ascii="Cambria Math" w:hAnsi="Cambria Math"/>
              </w:rPr>
              <m:t>N(OnART )</m:t>
            </m:r>
          </m:num>
          <m:den>
            <m:r>
              <w:rPr>
                <w:rFonts w:ascii="Cambria Math" w:hAnsi="Cambria Math"/>
              </w:rPr>
              <m:t>N</m:t>
            </m:r>
            <m:d>
              <m:dPr>
                <m:ctrlPr>
                  <w:rPr>
                    <w:rFonts w:ascii="Cambria Math" w:hAnsi="Cambria Math"/>
                    <w:i/>
                  </w:rPr>
                </m:ctrlPr>
              </m:dPr>
              <m:e>
                <m:r>
                  <w:rPr>
                    <w:rFonts w:ascii="Cambria Math" w:hAnsi="Cambria Math"/>
                  </w:rPr>
                  <m:t>Linked</m:t>
                </m:r>
              </m:e>
            </m:d>
          </m:den>
        </m:f>
      </m:oMath>
      <w:r w:rsidR="00FA0F83">
        <w:t xml:space="preserve">  </w:t>
      </w:r>
      <w:r w:rsidR="0089750E">
        <w:tab/>
        <w:t>(</w:t>
      </w:r>
      <w:r w:rsidR="00AB0EFD">
        <w:t>5</w:t>
      </w:r>
      <w:r w:rsidR="0089750E">
        <w:t>)</w:t>
      </w:r>
    </w:p>
    <w:p w14:paraId="26A7A332" w14:textId="77777777" w:rsidR="004D63E7" w:rsidRDefault="004D63E7">
      <w:pPr>
        <w:jc w:val="both"/>
        <w:rPr>
          <w:b/>
          <w:bCs/>
        </w:rPr>
      </w:pPr>
    </w:p>
    <w:p w14:paraId="47F10C95" w14:textId="47F9891F" w:rsidR="003A1840" w:rsidRPr="00710211" w:rsidRDefault="004D63E7">
      <w:pPr>
        <w:rPr>
          <w:i/>
          <w:iCs/>
        </w:rPr>
      </w:pPr>
      <w:r w:rsidRPr="00710211">
        <w:rPr>
          <w:i/>
          <w:iCs/>
        </w:rPr>
        <w:t xml:space="preserve">Estimating </w:t>
      </w:r>
      <w:r w:rsidR="00E90989">
        <w:rPr>
          <w:i/>
          <w:iCs/>
        </w:rPr>
        <w:t xml:space="preserve">the </w:t>
      </w:r>
      <w:r w:rsidRPr="00710211">
        <w:rPr>
          <w:i/>
          <w:iCs/>
        </w:rPr>
        <w:t>number On ART and not suppressed</w:t>
      </w:r>
    </w:p>
    <w:p w14:paraId="0EA5A10B" w14:textId="77777777" w:rsidR="003A1840" w:rsidRDefault="004D63E7" w:rsidP="003A1840">
      <w:pPr>
        <w:ind w:left="450"/>
        <w:rPr>
          <w:i/>
          <w:iCs/>
        </w:rPr>
      </w:pPr>
      <w:r w:rsidRPr="003A1840">
        <w:rPr>
          <w:i/>
          <w:iCs/>
        </w:rPr>
        <w:lastRenderedPageBreak/>
        <w:t>Data:</w:t>
      </w:r>
    </w:p>
    <w:p w14:paraId="2D795F3D" w14:textId="55364A5E" w:rsidR="00F96CC0" w:rsidRPr="00F72609" w:rsidRDefault="004D63E7" w:rsidP="00BB226C">
      <w:pPr>
        <w:pStyle w:val="ListParagraph"/>
        <w:numPr>
          <w:ilvl w:val="0"/>
          <w:numId w:val="45"/>
        </w:numPr>
      </w:pPr>
      <w:r w:rsidRPr="00F72609">
        <w:t>We will use</w:t>
      </w:r>
      <w:r w:rsidR="00BC350B">
        <w:t xml:space="preserve"> 2004</w:t>
      </w:r>
      <w:r w:rsidRPr="00F72609">
        <w:t xml:space="preserve"> </w:t>
      </w:r>
      <w:proofErr w:type="spellStart"/>
      <w:r w:rsidRPr="00F72609">
        <w:t>IeDEA</w:t>
      </w:r>
      <w:proofErr w:type="spellEnd"/>
      <w:r w:rsidR="00105842">
        <w:t>-Rwanda</w:t>
      </w:r>
      <w:r w:rsidRPr="00F72609">
        <w:t xml:space="preserve"> data to estimate the proportion of individuals on ART and not suppressed among those who are on ART</w:t>
      </w:r>
      <w:r w:rsidR="000938D7">
        <w:t xml:space="preserve"> and not LTFU</w:t>
      </w:r>
      <w:r w:rsidR="00BC350B">
        <w:t>,</w:t>
      </w:r>
      <w:r w:rsidRPr="00F72609">
        <w:t xml:space="preserve"> by </w:t>
      </w:r>
      <w:r>
        <w:t>sub-population</w:t>
      </w:r>
      <w:r w:rsidRPr="00F72609">
        <w:t>.</w:t>
      </w:r>
      <w:r w:rsidR="005D1EA9">
        <w:fldChar w:fldCharType="begin" w:fldLock="1"/>
      </w:r>
      <w:r w:rsidR="007527CC">
        <w:instrText>ADDIN CSL_CITATION {"citationItems":[{"id":"ITEM-1","itemData":{"author":[{"dropping-particle":"","family":"National Institute of Allergy and Infectious Diseases","given":"","non-dropping-particle":"","parse-names":false,"suffix":""}],"id":"ITEM-1","issued":{"date-parts":[["0"]]},"title":"International Epidemiological Databases to Evaluate AIDS","type":"article"},"uris":["http://www.mendeley.com/documents/?uuid=666acb78-cec1-4b66-b410-933fc01451ce"]}],"mendeley":{"formattedCitation":"&lt;sup&gt;51&lt;/sup&gt;","plainTextFormattedCitation":"51","previouslyFormattedCitation":"&lt;sup&gt;51&lt;/sup&gt;"},"properties":{"noteIndex":0},"schema":"https://github.com/citation-style-language/schema/raw/master/csl-citation.json"}</w:instrText>
      </w:r>
      <w:r w:rsidR="005D1EA9">
        <w:fldChar w:fldCharType="separate"/>
      </w:r>
      <w:r w:rsidR="00036C3E" w:rsidRPr="003A1840">
        <w:rPr>
          <w:noProof/>
          <w:vertAlign w:val="superscript"/>
        </w:rPr>
        <w:t>51</w:t>
      </w:r>
      <w:r w:rsidR="005D1EA9">
        <w:fldChar w:fldCharType="end"/>
      </w:r>
      <w:r w:rsidRPr="00F72609">
        <w:t xml:space="preserve"> </w:t>
      </w:r>
      <w:r w:rsidR="00F96CC0" w:rsidRPr="005142CB">
        <w:t xml:space="preserve">We define virologic failure as viral suppressed patients with at least 1 viral load tests of &gt; </w:t>
      </w:r>
      <w:r w:rsidR="00F96CC0">
        <w:t>10</w:t>
      </w:r>
      <w:r w:rsidR="00F96CC0" w:rsidRPr="005142CB">
        <w:t>00 HIV RNA copies/ml in the follow-up tests.</w:t>
      </w:r>
    </w:p>
    <w:p w14:paraId="34364744" w14:textId="77777777" w:rsidR="004D63E7" w:rsidRPr="00F72609" w:rsidRDefault="004D63E7" w:rsidP="00796F8A">
      <w:pPr>
        <w:ind w:left="450"/>
      </w:pPr>
    </w:p>
    <w:p w14:paraId="3888EB3E" w14:textId="77777777" w:rsidR="00796F8A" w:rsidRDefault="004D63E7" w:rsidP="008C345C">
      <w:pPr>
        <w:ind w:left="450"/>
      </w:pPr>
      <w:r w:rsidRPr="000938D7">
        <w:t>Estimation:</w:t>
      </w:r>
      <w:r w:rsidR="000938D7" w:rsidRPr="000938D7">
        <w:t xml:space="preserve"> </w:t>
      </w:r>
    </w:p>
    <w:p w14:paraId="59C7987B" w14:textId="5B74D6B9" w:rsidR="007C5425" w:rsidRPr="000938D7" w:rsidRDefault="000938D7" w:rsidP="005C77CC">
      <w:pPr>
        <w:pStyle w:val="ListParagraph"/>
        <w:numPr>
          <w:ilvl w:val="0"/>
          <w:numId w:val="45"/>
        </w:numPr>
      </w:pPr>
      <w:r>
        <w:t xml:space="preserve">The estimation is done by sub-populations. </w:t>
      </w:r>
    </w:p>
    <w:p w14:paraId="02C1E52E" w14:textId="2C5E64AE" w:rsidR="004D63E7" w:rsidRPr="0089750E" w:rsidRDefault="004D63E7" w:rsidP="008C345C">
      <w:pPr>
        <w:ind w:left="450"/>
        <w:jc w:val="center"/>
        <w:rPr>
          <w:iCs/>
        </w:rPr>
      </w:pPr>
      <m:oMath>
        <m:r>
          <w:rPr>
            <w:rFonts w:ascii="Cambria Math" w:hAnsi="Cambria Math"/>
          </w:rPr>
          <m:t>P</m:t>
        </m:r>
        <m:d>
          <m:dPr>
            <m:ctrlPr>
              <w:rPr>
                <w:rFonts w:ascii="Cambria Math" w:hAnsi="Cambria Math"/>
                <w:i/>
              </w:rPr>
            </m:ctrlPr>
          </m:dPr>
          <m:e>
            <m:r>
              <w:rPr>
                <w:rFonts w:ascii="Cambria Math" w:hAnsi="Cambria Math"/>
              </w:rPr>
              <m:t>On ART not suppressed</m:t>
            </m:r>
          </m:e>
        </m:d>
        <m:r>
          <w:rPr>
            <w:rFonts w:ascii="Cambria Math" w:hAnsi="Cambria Math"/>
          </w:rPr>
          <m:t>=</m:t>
        </m:r>
        <m:f>
          <m:fPr>
            <m:ctrlPr>
              <w:rPr>
                <w:rFonts w:ascii="Cambria Math" w:hAnsi="Cambria Math"/>
                <w:i/>
              </w:rPr>
            </m:ctrlPr>
          </m:fPr>
          <m:num>
            <m:r>
              <w:rPr>
                <w:rFonts w:ascii="Cambria Math" w:hAnsi="Cambria Math"/>
              </w:rPr>
              <m:t>N(On ART not suppressed )</m:t>
            </m:r>
          </m:num>
          <m:den>
            <m:r>
              <w:rPr>
                <w:rFonts w:ascii="Cambria Math" w:hAnsi="Cambria Math"/>
              </w:rPr>
              <m:t>N</m:t>
            </m:r>
            <m:d>
              <m:dPr>
                <m:ctrlPr>
                  <w:rPr>
                    <w:rFonts w:ascii="Cambria Math" w:hAnsi="Cambria Math"/>
                    <w:i/>
                  </w:rPr>
                </m:ctrlPr>
              </m:dPr>
              <m:e>
                <m:r>
                  <w:rPr>
                    <w:rFonts w:ascii="Cambria Math" w:hAnsi="Cambria Math"/>
                  </w:rPr>
                  <m:t>OnART</m:t>
                </m:r>
              </m:e>
            </m:d>
          </m:den>
        </m:f>
      </m:oMath>
      <w:r w:rsidR="0089750E">
        <w:rPr>
          <w:i/>
        </w:rPr>
        <w:tab/>
      </w:r>
      <w:r w:rsidR="0089750E">
        <w:t>(</w:t>
      </w:r>
      <w:r w:rsidR="00AB0EFD">
        <w:t>6</w:t>
      </w:r>
      <w:r w:rsidR="0089750E">
        <w:t>)</w:t>
      </w:r>
    </w:p>
    <w:p w14:paraId="760A797C" w14:textId="77777777" w:rsidR="004D63E7" w:rsidRDefault="004D63E7"/>
    <w:p w14:paraId="0AE374AC" w14:textId="177F1717" w:rsidR="004D63E7" w:rsidRPr="00135C42" w:rsidRDefault="004D63E7" w:rsidP="002E50FA">
      <w:pPr>
        <w:pStyle w:val="ListParagraph"/>
        <w:numPr>
          <w:ilvl w:val="0"/>
          <w:numId w:val="24"/>
        </w:numPr>
        <w:rPr>
          <w:b/>
          <w:bCs/>
          <w:i/>
          <w:iCs/>
        </w:rPr>
      </w:pPr>
      <w:r w:rsidRPr="006839EF">
        <w:rPr>
          <w:b/>
          <w:bCs/>
          <w:i/>
          <w:iCs/>
        </w:rPr>
        <w:t xml:space="preserve">Estimating </w:t>
      </w:r>
      <w:r w:rsidR="00BC350B" w:rsidRPr="006839EF">
        <w:rPr>
          <w:b/>
          <w:bCs/>
          <w:i/>
          <w:iCs/>
        </w:rPr>
        <w:t xml:space="preserve">the </w:t>
      </w:r>
      <w:r w:rsidRPr="006839EF">
        <w:rPr>
          <w:b/>
          <w:bCs/>
          <w:i/>
          <w:iCs/>
        </w:rPr>
        <w:t>di</w:t>
      </w:r>
      <w:r w:rsidRPr="00EC234A">
        <w:rPr>
          <w:b/>
          <w:bCs/>
          <w:i/>
          <w:iCs/>
        </w:rPr>
        <w:t>stribution of people living with HIV</w:t>
      </w:r>
      <w:r w:rsidR="00BC350B">
        <w:rPr>
          <w:b/>
          <w:bCs/>
          <w:i/>
          <w:iCs/>
        </w:rPr>
        <w:t>,</w:t>
      </w:r>
      <w:r w:rsidRPr="00EC234A">
        <w:rPr>
          <w:b/>
          <w:bCs/>
          <w:i/>
          <w:iCs/>
        </w:rPr>
        <w:t xml:space="preserve"> by CD4 stratum </w:t>
      </w:r>
    </w:p>
    <w:p w14:paraId="52FFB03E" w14:textId="77777777" w:rsidR="004D63E7" w:rsidRPr="00BC350B" w:rsidRDefault="004D63E7" w:rsidP="008C345C">
      <w:pPr>
        <w:ind w:left="450"/>
      </w:pPr>
      <w:r w:rsidRPr="00BC350B">
        <w:t xml:space="preserve">Data: </w:t>
      </w:r>
    </w:p>
    <w:p w14:paraId="3619187C" w14:textId="70D335B5" w:rsidR="004D63E7" w:rsidRPr="00F72609" w:rsidRDefault="00105842" w:rsidP="005C77CC">
      <w:pPr>
        <w:pStyle w:val="ListParagraph"/>
        <w:numPr>
          <w:ilvl w:val="0"/>
          <w:numId w:val="45"/>
        </w:numPr>
      </w:pPr>
      <w:r>
        <w:t>For each sub-population, w</w:t>
      </w:r>
      <w:r w:rsidR="004D63E7" w:rsidRPr="00F72609">
        <w:t xml:space="preserve">e will use </w:t>
      </w:r>
      <w:proofErr w:type="spellStart"/>
      <w:r w:rsidR="004D63E7" w:rsidRPr="00F72609">
        <w:t>IeDEA</w:t>
      </w:r>
      <w:proofErr w:type="spellEnd"/>
      <w:r w:rsidR="004D63E7" w:rsidRPr="00F72609">
        <w:t xml:space="preserve"> data</w:t>
      </w:r>
      <w:r w:rsidR="00760016">
        <w:t xml:space="preserve"> (Rwanda, 2004)</w:t>
      </w:r>
      <w:r w:rsidR="004D63E7" w:rsidRPr="00F72609">
        <w:t xml:space="preserve"> to estimate the distribution of people living with HIV</w:t>
      </w:r>
      <w:r>
        <w:t>,</w:t>
      </w:r>
      <w:r w:rsidR="004D63E7" w:rsidRPr="00F72609">
        <w:t xml:space="preserve"> by CD4 stratum. </w:t>
      </w:r>
    </w:p>
    <w:p w14:paraId="7BCD1E57" w14:textId="77777777" w:rsidR="004D63E7" w:rsidRPr="00F72609" w:rsidRDefault="004D63E7" w:rsidP="008C345C">
      <w:pPr>
        <w:ind w:left="450"/>
      </w:pPr>
    </w:p>
    <w:p w14:paraId="0711F2E2" w14:textId="6C5FC0A8" w:rsidR="004D63E7" w:rsidRPr="00F72609" w:rsidRDefault="004D63E7" w:rsidP="005C77CC">
      <w:pPr>
        <w:ind w:left="450"/>
      </w:pPr>
      <w:r w:rsidRPr="00F72609">
        <w:t>Assumption</w:t>
      </w:r>
      <w:r w:rsidR="00105842">
        <w:t>s</w:t>
      </w:r>
      <w:r w:rsidRPr="00F72609">
        <w:t>:</w:t>
      </w:r>
    </w:p>
    <w:p w14:paraId="63BDAFC5" w14:textId="41053200" w:rsidR="00105842" w:rsidRDefault="004D63E7" w:rsidP="005C77CC">
      <w:pPr>
        <w:pStyle w:val="BodyText"/>
        <w:numPr>
          <w:ilvl w:val="0"/>
          <w:numId w:val="45"/>
        </w:numPr>
        <w:spacing w:before="0" w:after="0"/>
      </w:pPr>
      <w:r w:rsidRPr="00F72609">
        <w:t xml:space="preserve">We assume the CD4 distribution of individuals living with HIV does not differ among individuals who are undiagnosed, diagnosed, linked, </w:t>
      </w:r>
      <w:r w:rsidR="00105842">
        <w:t xml:space="preserve">or </w:t>
      </w:r>
      <w:r w:rsidRPr="00F72609">
        <w:t>LTFU.</w:t>
      </w:r>
    </w:p>
    <w:p w14:paraId="569F8491" w14:textId="127D4F81" w:rsidR="004D63E7" w:rsidRPr="00F72609" w:rsidRDefault="00105842" w:rsidP="005C77CC">
      <w:pPr>
        <w:pStyle w:val="BodyText"/>
        <w:numPr>
          <w:ilvl w:val="0"/>
          <w:numId w:val="45"/>
        </w:numPr>
        <w:spacing w:before="0" w:after="0"/>
      </w:pPr>
      <w:r>
        <w:t xml:space="preserve">We assume </w:t>
      </w:r>
      <w:r w:rsidRPr="00F72609">
        <w:t xml:space="preserve">that </w:t>
      </w:r>
      <w:commentRangeStart w:id="142"/>
      <w:commentRangeStart w:id="143"/>
      <w:r>
        <w:t xml:space="preserve">CD4 distribution </w:t>
      </w:r>
      <w:r w:rsidRPr="00F72609">
        <w:t xml:space="preserve">at enrollment </w:t>
      </w:r>
      <w:r>
        <w:t xml:space="preserve">is </w:t>
      </w:r>
      <w:r w:rsidRPr="00F72609">
        <w:t>representative</w:t>
      </w:r>
      <w:r>
        <w:t xml:space="preserve"> of the overall CD4 distribution of those living with HIV</w:t>
      </w:r>
      <w:commentRangeEnd w:id="142"/>
      <w:r>
        <w:rPr>
          <w:rStyle w:val="CommentReference"/>
          <w:rFonts w:eastAsia="Times New Roman"/>
          <w:lang w:eastAsia="zh-CN"/>
        </w:rPr>
        <w:commentReference w:id="142"/>
      </w:r>
      <w:commentRangeEnd w:id="143"/>
      <w:r w:rsidR="00F96CC0">
        <w:rPr>
          <w:rStyle w:val="CommentReference"/>
          <w:rFonts w:eastAsia="Times New Roman"/>
          <w:lang w:eastAsia="zh-CN"/>
        </w:rPr>
        <w:commentReference w:id="143"/>
      </w:r>
      <w:r w:rsidRPr="00F72609">
        <w:t>.</w:t>
      </w:r>
      <w:r w:rsidR="004D63E7" w:rsidRPr="00F72609">
        <w:t xml:space="preserve"> </w:t>
      </w:r>
    </w:p>
    <w:p w14:paraId="40AD9EEB" w14:textId="77777777" w:rsidR="004D63E7" w:rsidRPr="00F72609" w:rsidRDefault="004D63E7" w:rsidP="003A1840">
      <w:pPr>
        <w:pStyle w:val="BodyText"/>
        <w:spacing w:before="0" w:after="0"/>
        <w:ind w:left="450"/>
      </w:pPr>
    </w:p>
    <w:p w14:paraId="5FB67AF4" w14:textId="77777777" w:rsidR="004D63E7" w:rsidRPr="00BC350B" w:rsidRDefault="004D63E7" w:rsidP="00BB226C">
      <w:pPr>
        <w:ind w:left="450"/>
      </w:pPr>
      <w:r w:rsidRPr="00BC350B">
        <w:t>Estimation:</w:t>
      </w:r>
    </w:p>
    <w:p w14:paraId="7697DDD2" w14:textId="14C202CE" w:rsidR="004D63E7" w:rsidRPr="00F72609" w:rsidRDefault="004D63E7" w:rsidP="00BB226C">
      <w:pPr>
        <w:pStyle w:val="BodyText"/>
        <w:numPr>
          <w:ilvl w:val="0"/>
          <w:numId w:val="47"/>
        </w:numPr>
        <w:spacing w:before="0" w:after="0"/>
        <w:rPr>
          <w:i/>
          <w:iCs/>
        </w:rPr>
      </w:pPr>
      <w:r w:rsidRPr="00F72609">
        <w:rPr>
          <w:i/>
          <w:iCs/>
        </w:rPr>
        <w:t>Undiagnosed, diagnosed, linked, LTFU</w:t>
      </w:r>
      <w:r w:rsidRPr="00F72609">
        <w:rPr>
          <w:b/>
          <w:bCs/>
          <w:i/>
          <w:iCs/>
        </w:rPr>
        <w:t xml:space="preserve">: </w:t>
      </w:r>
      <w:r w:rsidR="00DE2C0A">
        <w:t xml:space="preserve">The </w:t>
      </w:r>
      <w:r w:rsidRPr="00F72609">
        <w:t xml:space="preserve">CD4 </w:t>
      </w:r>
      <w:r w:rsidR="00DE2C0A">
        <w:t>cell count distribution</w:t>
      </w:r>
      <w:r w:rsidR="00760016">
        <w:t>s</w:t>
      </w:r>
      <w:r w:rsidR="00DE2C0A">
        <w:t xml:space="preserve"> </w:t>
      </w:r>
      <w:r w:rsidR="00760016">
        <w:t>for those undiagnosed, diagnosed, and linked are based on the</w:t>
      </w:r>
      <w:r w:rsidR="00DE2C0A">
        <w:t xml:space="preserve"> </w:t>
      </w:r>
      <w:r w:rsidRPr="00F72609">
        <w:t xml:space="preserve">estimated CD4 </w:t>
      </w:r>
      <w:r w:rsidR="00DE2C0A">
        <w:t xml:space="preserve">cell count </w:t>
      </w:r>
      <w:r w:rsidRPr="00F72609">
        <w:t xml:space="preserve">at enrollment date. </w:t>
      </w:r>
      <w:r w:rsidR="00760016">
        <w:t xml:space="preserve">The CD4 cell count distribution for those LTFU is based on the CD4 estimate at the date of LTFU.  </w:t>
      </w:r>
    </w:p>
    <w:p w14:paraId="29444975" w14:textId="5DBC6AA6" w:rsidR="00A25EAD" w:rsidRPr="00A25EAD" w:rsidRDefault="004D63E7" w:rsidP="00BB226C">
      <w:pPr>
        <w:pStyle w:val="BodyText"/>
        <w:numPr>
          <w:ilvl w:val="0"/>
          <w:numId w:val="47"/>
        </w:numPr>
        <w:spacing w:before="0" w:after="0"/>
        <w:rPr>
          <w:i/>
          <w:iCs/>
        </w:rPr>
        <w:sectPr w:rsidR="00A25EAD" w:rsidRPr="00A25EAD" w:rsidSect="00E14262">
          <w:headerReference w:type="even" r:id="rId36"/>
          <w:headerReference w:type="default" r:id="rId37"/>
          <w:footerReference w:type="even" r:id="rId38"/>
          <w:headerReference w:type="first" r:id="rId39"/>
          <w:pgSz w:w="12240" w:h="15840"/>
          <w:pgMar w:top="1440" w:right="1440" w:bottom="1440" w:left="1440" w:header="720" w:footer="720" w:gutter="0"/>
          <w:cols w:space="720"/>
          <w:docGrid w:linePitch="326"/>
        </w:sectPr>
      </w:pPr>
      <w:r w:rsidRPr="00F72609">
        <w:rPr>
          <w:i/>
          <w:iCs/>
        </w:rPr>
        <w:t xml:space="preserve">On ART and suppressed, On ART not suppressed: </w:t>
      </w:r>
      <w:r w:rsidR="00105842">
        <w:t>T</w:t>
      </w:r>
      <w:r w:rsidRPr="00F72609">
        <w:t xml:space="preserve">he </w:t>
      </w:r>
      <w:r>
        <w:t xml:space="preserve">CD4 </w:t>
      </w:r>
      <w:r w:rsidRPr="00F72609">
        <w:t xml:space="preserve">distribution </w:t>
      </w:r>
      <w:r w:rsidR="00105842">
        <w:t xml:space="preserve">for those On ART is based on </w:t>
      </w:r>
      <w:r w:rsidRPr="00F72609">
        <w:t xml:space="preserve">CD4 </w:t>
      </w:r>
      <w:r w:rsidR="00DE2C0A">
        <w:t xml:space="preserve">cell count </w:t>
      </w:r>
      <w:r w:rsidRPr="00F72609">
        <w:t>at ART initiation. The</w:t>
      </w:r>
      <w:r w:rsidR="00A25EAD">
        <w:t xml:space="preserve"> process for </w:t>
      </w:r>
      <w:r w:rsidRPr="00F72609">
        <w:t>estimation of CD4</w:t>
      </w:r>
      <w:r w:rsidR="00DE2C0A">
        <w:t xml:space="preserve"> cell count</w:t>
      </w:r>
      <w:r w:rsidRPr="00F72609">
        <w:t xml:space="preserve"> is in</w:t>
      </w:r>
      <w:r w:rsidR="007C5425">
        <w:t xml:space="preserve"> </w:t>
      </w:r>
      <w:r w:rsidR="007C5425" w:rsidRPr="00BB226C">
        <w:rPr>
          <w:b/>
          <w:bCs/>
        </w:rPr>
        <w:t>Section</w:t>
      </w:r>
      <w:r w:rsidRPr="00BB226C">
        <w:rPr>
          <w:b/>
          <w:bCs/>
        </w:rPr>
        <w:t xml:space="preserve"> </w:t>
      </w:r>
      <w:r w:rsidR="007C5425" w:rsidRPr="00BB226C">
        <w:rPr>
          <w:b/>
          <w:bCs/>
        </w:rPr>
        <w:fldChar w:fldCharType="begin"/>
      </w:r>
      <w:r w:rsidR="007C5425" w:rsidRPr="00BB226C">
        <w:rPr>
          <w:b/>
          <w:bCs/>
        </w:rPr>
        <w:instrText xml:space="preserve"> REF _Ref82421792 \r \h </w:instrText>
      </w:r>
      <w:r w:rsidR="007C5425">
        <w:rPr>
          <w:b/>
          <w:bCs/>
        </w:rPr>
        <w:instrText xml:space="preserve"> \* MERGEFORMAT </w:instrText>
      </w:r>
      <w:r w:rsidR="007C5425" w:rsidRPr="00BB226C">
        <w:rPr>
          <w:b/>
          <w:bCs/>
        </w:rPr>
      </w:r>
      <w:r w:rsidR="007C5425" w:rsidRPr="00BB226C">
        <w:rPr>
          <w:b/>
          <w:bCs/>
        </w:rPr>
        <w:fldChar w:fldCharType="separate"/>
      </w:r>
      <w:r w:rsidR="001E49BE">
        <w:rPr>
          <w:b/>
          <w:bCs/>
        </w:rPr>
        <w:t>11.4</w:t>
      </w:r>
      <w:r w:rsidR="007C5425" w:rsidRPr="00BB226C">
        <w:rPr>
          <w:b/>
          <w:bCs/>
        </w:rPr>
        <w:fldChar w:fldCharType="end"/>
      </w:r>
      <w:r w:rsidR="007C5425">
        <w:t>.</w:t>
      </w:r>
    </w:p>
    <w:p w14:paraId="3B1B9BB7" w14:textId="1FC14884" w:rsidR="00A25EAD" w:rsidRPr="00710211" w:rsidRDefault="00A25EAD" w:rsidP="00122CDD">
      <w:pPr>
        <w:keepNext/>
        <w:rPr>
          <w:b/>
          <w:bCs/>
          <w:color w:val="000000" w:themeColor="text1"/>
        </w:rPr>
      </w:pPr>
      <w:bookmarkStart w:id="144" w:name="_Ref80486753"/>
      <w:bookmarkStart w:id="145" w:name="_Toc82448070"/>
      <w:bookmarkStart w:id="146" w:name="_Toc82592501"/>
      <w:bookmarkStart w:id="147" w:name="_Toc82599266"/>
      <w:r w:rsidRPr="00710211">
        <w:rPr>
          <w:b/>
          <w:bCs/>
          <w:color w:val="000000" w:themeColor="text1"/>
        </w:rPr>
        <w:lastRenderedPageBreak/>
        <w:t xml:space="preserve">Table </w:t>
      </w:r>
      <w:r w:rsidRPr="00710211">
        <w:rPr>
          <w:b/>
          <w:bCs/>
          <w:color w:val="000000" w:themeColor="text1"/>
        </w:rPr>
        <w:fldChar w:fldCharType="begin"/>
      </w:r>
      <w:r w:rsidRPr="00710211">
        <w:rPr>
          <w:b/>
          <w:bCs/>
          <w:color w:val="000000" w:themeColor="text1"/>
        </w:rPr>
        <w:instrText xml:space="preserve"> SEQ Table \* ARABIC </w:instrText>
      </w:r>
      <w:r w:rsidRPr="00710211">
        <w:rPr>
          <w:b/>
          <w:bCs/>
          <w:color w:val="000000" w:themeColor="text1"/>
        </w:rPr>
        <w:fldChar w:fldCharType="separate"/>
      </w:r>
      <w:r w:rsidR="001E49BE">
        <w:rPr>
          <w:b/>
          <w:bCs/>
          <w:noProof/>
          <w:color w:val="000000" w:themeColor="text1"/>
        </w:rPr>
        <w:t>7</w:t>
      </w:r>
      <w:r w:rsidRPr="00710211">
        <w:rPr>
          <w:b/>
          <w:bCs/>
          <w:color w:val="000000" w:themeColor="text1"/>
        </w:rPr>
        <w:fldChar w:fldCharType="end"/>
      </w:r>
      <w:bookmarkEnd w:id="144"/>
      <w:r w:rsidR="00DF0965">
        <w:rPr>
          <w:b/>
          <w:bCs/>
          <w:color w:val="000000" w:themeColor="text1"/>
        </w:rPr>
        <w:t>.</w:t>
      </w:r>
      <w:r w:rsidR="000F1C47">
        <w:rPr>
          <w:b/>
          <w:bCs/>
          <w:color w:val="000000" w:themeColor="text1"/>
        </w:rPr>
        <w:t xml:space="preserve"> </w:t>
      </w:r>
      <w:bookmarkStart w:id="148" w:name="_Hlk74741283"/>
      <w:bookmarkStart w:id="149" w:name="_Hlk74741369"/>
      <w:r w:rsidR="00180D28">
        <w:rPr>
          <w:b/>
          <w:bCs/>
          <w:color w:val="000000" w:themeColor="text1"/>
        </w:rPr>
        <w:t>Size of i</w:t>
      </w:r>
      <w:r w:rsidRPr="00710211">
        <w:rPr>
          <w:b/>
          <w:bCs/>
          <w:color w:val="000000" w:themeColor="text1"/>
        </w:rPr>
        <w:t xml:space="preserve">nitial </w:t>
      </w:r>
      <w:r w:rsidR="00180D28">
        <w:rPr>
          <w:b/>
          <w:bCs/>
          <w:color w:val="000000" w:themeColor="text1"/>
        </w:rPr>
        <w:t>sub-</w:t>
      </w:r>
      <w:r w:rsidRPr="00710211">
        <w:rPr>
          <w:b/>
          <w:bCs/>
          <w:color w:val="000000" w:themeColor="text1"/>
        </w:rPr>
        <w:t>population</w:t>
      </w:r>
      <w:r w:rsidR="00180D28">
        <w:rPr>
          <w:b/>
          <w:bCs/>
          <w:color w:val="000000" w:themeColor="text1"/>
        </w:rPr>
        <w:t>s</w:t>
      </w:r>
      <w:bookmarkEnd w:id="148"/>
      <w:r w:rsidR="00180D28">
        <w:rPr>
          <w:b/>
          <w:bCs/>
          <w:color w:val="000000" w:themeColor="text1"/>
        </w:rPr>
        <w:t>, by CD4 stratum and engagement in care</w:t>
      </w:r>
      <w:bookmarkEnd w:id="145"/>
      <w:bookmarkEnd w:id="146"/>
      <w:bookmarkEnd w:id="147"/>
      <w:bookmarkEnd w:id="149"/>
      <w:r w:rsidR="00180D28">
        <w:rPr>
          <w:b/>
          <w:bCs/>
          <w:color w:val="000000" w:themeColor="text1"/>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81"/>
        <w:gridCol w:w="812"/>
        <w:gridCol w:w="722"/>
        <w:gridCol w:w="728"/>
        <w:gridCol w:w="720"/>
        <w:gridCol w:w="673"/>
        <w:gridCol w:w="768"/>
        <w:gridCol w:w="720"/>
        <w:gridCol w:w="809"/>
        <w:gridCol w:w="812"/>
        <w:gridCol w:w="722"/>
        <w:gridCol w:w="720"/>
        <w:gridCol w:w="760"/>
        <w:gridCol w:w="645"/>
        <w:gridCol w:w="645"/>
        <w:gridCol w:w="645"/>
      </w:tblGrid>
      <w:tr w:rsidR="001D38FF" w:rsidRPr="008018B6" w14:paraId="6854A43A" w14:textId="43A91FBA" w:rsidTr="00760016">
        <w:trPr>
          <w:trHeight w:val="242"/>
        </w:trPr>
        <w:tc>
          <w:tcPr>
            <w:tcW w:w="976" w:type="pct"/>
            <w:vMerge w:val="restart"/>
            <w:shd w:val="clear" w:color="auto" w:fill="auto"/>
            <w:noWrap/>
            <w:vAlign w:val="bottom"/>
            <w:hideMark/>
          </w:tcPr>
          <w:p w14:paraId="2D3198C5" w14:textId="77777777" w:rsidR="00012EEC" w:rsidRPr="00596193" w:rsidRDefault="00012EEC" w:rsidP="001D10D4">
            <w:pPr>
              <w:rPr>
                <w:color w:val="000000"/>
                <w:sz w:val="20"/>
                <w:szCs w:val="20"/>
              </w:rPr>
            </w:pPr>
            <w:r w:rsidRPr="00596193">
              <w:rPr>
                <w:color w:val="000000"/>
                <w:sz w:val="20"/>
                <w:szCs w:val="20"/>
              </w:rPr>
              <w:t>Sub-population</w:t>
            </w:r>
          </w:p>
        </w:tc>
        <w:tc>
          <w:tcPr>
            <w:tcW w:w="1023" w:type="pct"/>
            <w:gridSpan w:val="4"/>
            <w:shd w:val="clear" w:color="auto" w:fill="auto"/>
            <w:noWrap/>
            <w:vAlign w:val="center"/>
            <w:hideMark/>
          </w:tcPr>
          <w:p w14:paraId="0ECAF264" w14:textId="0E5B2606" w:rsidR="00012EEC" w:rsidDel="000F1C47" w:rsidRDefault="00012EEC" w:rsidP="000F1C47">
            <w:pPr>
              <w:jc w:val="center"/>
              <w:rPr>
                <w:color w:val="000000"/>
                <w:sz w:val="20"/>
                <w:szCs w:val="20"/>
              </w:rPr>
            </w:pPr>
            <w:r>
              <w:rPr>
                <w:color w:val="000000"/>
                <w:sz w:val="20"/>
                <w:szCs w:val="20"/>
              </w:rPr>
              <w:t xml:space="preserve">Diagnosis, n </w:t>
            </w:r>
            <w:commentRangeStart w:id="150"/>
            <w:commentRangeStart w:id="151"/>
            <w:commentRangeEnd w:id="150"/>
            <w:r>
              <w:rPr>
                <w:rStyle w:val="CommentReference"/>
              </w:rPr>
              <w:commentReference w:id="150"/>
            </w:r>
            <w:commentRangeEnd w:id="151"/>
            <w:r w:rsidR="005B353A">
              <w:rPr>
                <w:rStyle w:val="CommentReference"/>
              </w:rPr>
              <w:commentReference w:id="151"/>
            </w:r>
          </w:p>
        </w:tc>
        <w:tc>
          <w:tcPr>
            <w:tcW w:w="1001" w:type="pct"/>
            <w:gridSpan w:val="4"/>
            <w:vAlign w:val="center"/>
          </w:tcPr>
          <w:p w14:paraId="0B80EE59" w14:textId="5FCCF9CB" w:rsidR="00012EEC" w:rsidDel="000F1C47" w:rsidRDefault="00012EEC" w:rsidP="00012EEC">
            <w:pPr>
              <w:jc w:val="center"/>
              <w:rPr>
                <w:color w:val="000000"/>
                <w:sz w:val="20"/>
                <w:szCs w:val="20"/>
              </w:rPr>
            </w:pPr>
            <w:r>
              <w:rPr>
                <w:color w:val="000000"/>
                <w:sz w:val="20"/>
                <w:szCs w:val="20"/>
              </w:rPr>
              <w:t>Lost, n</w:t>
            </w:r>
          </w:p>
        </w:tc>
        <w:tc>
          <w:tcPr>
            <w:tcW w:w="1064" w:type="pct"/>
            <w:gridSpan w:val="4"/>
            <w:vAlign w:val="bottom"/>
          </w:tcPr>
          <w:p w14:paraId="2D09E79E" w14:textId="35D3013E" w:rsidR="00012EEC" w:rsidRPr="00596193" w:rsidRDefault="00012EEC" w:rsidP="00E71320">
            <w:pPr>
              <w:rPr>
                <w:color w:val="000000"/>
                <w:sz w:val="20"/>
                <w:szCs w:val="20"/>
              </w:rPr>
            </w:pPr>
            <w:r>
              <w:rPr>
                <w:color w:val="000000"/>
                <w:sz w:val="20"/>
                <w:szCs w:val="20"/>
              </w:rPr>
              <w:t>On ART &amp; suppressed, n</w:t>
            </w:r>
          </w:p>
        </w:tc>
        <w:tc>
          <w:tcPr>
            <w:tcW w:w="936" w:type="pct"/>
            <w:gridSpan w:val="4"/>
            <w:vAlign w:val="bottom"/>
          </w:tcPr>
          <w:p w14:paraId="70076FB0" w14:textId="36639BBB" w:rsidR="00012EEC" w:rsidRDefault="00012EEC" w:rsidP="00E71320">
            <w:pPr>
              <w:rPr>
                <w:color w:val="000000"/>
                <w:sz w:val="20"/>
                <w:szCs w:val="20"/>
              </w:rPr>
            </w:pPr>
            <w:r>
              <w:rPr>
                <w:color w:val="000000"/>
                <w:sz w:val="20"/>
                <w:szCs w:val="20"/>
              </w:rPr>
              <w:t>On ART &amp; not suppressed, n</w:t>
            </w:r>
          </w:p>
        </w:tc>
      </w:tr>
      <w:tr w:rsidR="00760016" w:rsidRPr="008018B6" w14:paraId="3D4C0599" w14:textId="77777777" w:rsidTr="00760016">
        <w:trPr>
          <w:trHeight w:val="440"/>
        </w:trPr>
        <w:tc>
          <w:tcPr>
            <w:tcW w:w="976" w:type="pct"/>
            <w:vMerge/>
            <w:shd w:val="clear" w:color="auto" w:fill="auto"/>
            <w:noWrap/>
            <w:vAlign w:val="bottom"/>
          </w:tcPr>
          <w:p w14:paraId="684E9A67" w14:textId="77777777" w:rsidR="001D38FF" w:rsidRPr="00596193" w:rsidRDefault="001D38FF" w:rsidP="001D38FF">
            <w:pPr>
              <w:rPr>
                <w:color w:val="000000"/>
                <w:sz w:val="20"/>
                <w:szCs w:val="20"/>
              </w:rPr>
            </w:pPr>
          </w:p>
        </w:tc>
        <w:tc>
          <w:tcPr>
            <w:tcW w:w="237" w:type="pct"/>
            <w:shd w:val="clear" w:color="auto" w:fill="auto"/>
            <w:noWrap/>
            <w:vAlign w:val="bottom"/>
          </w:tcPr>
          <w:p w14:paraId="21CBB7F8" w14:textId="77777777" w:rsidR="001D38FF" w:rsidRDefault="001D38FF" w:rsidP="001D38FF">
            <w:pPr>
              <w:rPr>
                <w:color w:val="000000"/>
                <w:sz w:val="20"/>
                <w:szCs w:val="20"/>
              </w:rPr>
            </w:pPr>
            <w:r>
              <w:rPr>
                <w:color w:val="000000"/>
                <w:sz w:val="20"/>
                <w:szCs w:val="20"/>
              </w:rPr>
              <w:t xml:space="preserve">CD4, </w:t>
            </w:r>
          </w:p>
          <w:p w14:paraId="2A865256" w14:textId="1BC64EDA" w:rsidR="001D38FF" w:rsidDel="000F1C47" w:rsidRDefault="001D38FF" w:rsidP="001D38FF">
            <w:pPr>
              <w:rPr>
                <w:color w:val="000000"/>
                <w:sz w:val="20"/>
                <w:szCs w:val="20"/>
              </w:rPr>
            </w:pPr>
            <w:r>
              <w:rPr>
                <w:color w:val="000000"/>
                <w:sz w:val="20"/>
                <w:szCs w:val="20"/>
              </w:rPr>
              <w:t>&gt;500</w:t>
            </w:r>
          </w:p>
        </w:tc>
        <w:tc>
          <w:tcPr>
            <w:tcW w:w="282" w:type="pct"/>
          </w:tcPr>
          <w:p w14:paraId="7E117CD0" w14:textId="621100A0" w:rsidR="001D38FF" w:rsidDel="000F1C47" w:rsidRDefault="001D38FF" w:rsidP="001D38FF">
            <w:pPr>
              <w:rPr>
                <w:color w:val="000000"/>
                <w:sz w:val="20"/>
                <w:szCs w:val="20"/>
              </w:rPr>
            </w:pPr>
            <w:r>
              <w:rPr>
                <w:color w:val="000000"/>
                <w:sz w:val="20"/>
                <w:szCs w:val="20"/>
              </w:rPr>
              <w:t>CD4, 350-500</w:t>
            </w:r>
          </w:p>
        </w:tc>
        <w:tc>
          <w:tcPr>
            <w:tcW w:w="251" w:type="pct"/>
          </w:tcPr>
          <w:p w14:paraId="7FEE3404" w14:textId="23212FFA" w:rsidR="001D38FF" w:rsidDel="000F1C47" w:rsidRDefault="001D38FF" w:rsidP="001D38FF">
            <w:pPr>
              <w:rPr>
                <w:color w:val="000000"/>
                <w:sz w:val="20"/>
                <w:szCs w:val="20"/>
              </w:rPr>
            </w:pPr>
            <w:r>
              <w:rPr>
                <w:color w:val="000000"/>
                <w:sz w:val="20"/>
                <w:szCs w:val="20"/>
              </w:rPr>
              <w:t>CD4, 200-350</w:t>
            </w:r>
          </w:p>
        </w:tc>
        <w:tc>
          <w:tcPr>
            <w:tcW w:w="253" w:type="pct"/>
          </w:tcPr>
          <w:p w14:paraId="4C52B3BE" w14:textId="77777777" w:rsidR="001D38FF" w:rsidRDefault="001D38FF" w:rsidP="001D38FF">
            <w:pPr>
              <w:rPr>
                <w:color w:val="000000"/>
                <w:sz w:val="20"/>
                <w:szCs w:val="20"/>
              </w:rPr>
            </w:pPr>
            <w:r>
              <w:rPr>
                <w:color w:val="000000"/>
                <w:sz w:val="20"/>
                <w:szCs w:val="20"/>
              </w:rPr>
              <w:t xml:space="preserve">CD4, </w:t>
            </w:r>
          </w:p>
          <w:p w14:paraId="103C0541" w14:textId="25C3319A" w:rsidR="001D38FF" w:rsidDel="000F1C47" w:rsidRDefault="001D38FF" w:rsidP="001D38FF">
            <w:pPr>
              <w:rPr>
                <w:color w:val="000000"/>
                <w:sz w:val="20"/>
                <w:szCs w:val="20"/>
              </w:rPr>
            </w:pPr>
            <w:r>
              <w:rPr>
                <w:color w:val="000000"/>
                <w:sz w:val="20"/>
                <w:szCs w:val="20"/>
              </w:rPr>
              <w:t>&lt; 200</w:t>
            </w:r>
          </w:p>
        </w:tc>
        <w:tc>
          <w:tcPr>
            <w:tcW w:w="250" w:type="pct"/>
            <w:vAlign w:val="bottom"/>
          </w:tcPr>
          <w:p w14:paraId="54D0FBAE" w14:textId="77777777" w:rsidR="001D38FF" w:rsidRDefault="001D38FF" w:rsidP="001D38FF">
            <w:pPr>
              <w:rPr>
                <w:color w:val="000000"/>
                <w:sz w:val="20"/>
                <w:szCs w:val="20"/>
              </w:rPr>
            </w:pPr>
            <w:r>
              <w:rPr>
                <w:color w:val="000000"/>
                <w:sz w:val="20"/>
                <w:szCs w:val="20"/>
              </w:rPr>
              <w:t xml:space="preserve">CD4, </w:t>
            </w:r>
          </w:p>
          <w:p w14:paraId="0C883B2E" w14:textId="7054177A" w:rsidR="001D38FF" w:rsidDel="000F1C47" w:rsidRDefault="001D38FF" w:rsidP="001D38FF">
            <w:pPr>
              <w:rPr>
                <w:color w:val="000000"/>
                <w:sz w:val="20"/>
                <w:szCs w:val="20"/>
              </w:rPr>
            </w:pPr>
            <w:r>
              <w:rPr>
                <w:color w:val="000000"/>
                <w:sz w:val="20"/>
                <w:szCs w:val="20"/>
              </w:rPr>
              <w:t>&gt;500</w:t>
            </w:r>
          </w:p>
        </w:tc>
        <w:tc>
          <w:tcPr>
            <w:tcW w:w="234" w:type="pct"/>
          </w:tcPr>
          <w:p w14:paraId="59B87822" w14:textId="65159848" w:rsidR="001D38FF" w:rsidDel="000F1C47" w:rsidRDefault="001D38FF" w:rsidP="001D38FF">
            <w:pPr>
              <w:rPr>
                <w:color w:val="000000"/>
                <w:sz w:val="20"/>
                <w:szCs w:val="20"/>
              </w:rPr>
            </w:pPr>
            <w:r>
              <w:rPr>
                <w:color w:val="000000"/>
                <w:sz w:val="20"/>
                <w:szCs w:val="20"/>
              </w:rPr>
              <w:t>CD4, 350-500</w:t>
            </w:r>
          </w:p>
        </w:tc>
        <w:tc>
          <w:tcPr>
            <w:tcW w:w="267" w:type="pct"/>
          </w:tcPr>
          <w:p w14:paraId="76CF444F" w14:textId="087FF0D4" w:rsidR="001D38FF" w:rsidDel="000F1C47" w:rsidRDefault="001D38FF" w:rsidP="001D38FF">
            <w:pPr>
              <w:rPr>
                <w:color w:val="000000"/>
                <w:sz w:val="20"/>
                <w:szCs w:val="20"/>
              </w:rPr>
            </w:pPr>
            <w:r>
              <w:rPr>
                <w:color w:val="000000"/>
                <w:sz w:val="20"/>
                <w:szCs w:val="20"/>
              </w:rPr>
              <w:t>CD4, 200-350</w:t>
            </w:r>
          </w:p>
        </w:tc>
        <w:tc>
          <w:tcPr>
            <w:tcW w:w="250" w:type="pct"/>
          </w:tcPr>
          <w:p w14:paraId="2F46B35B" w14:textId="77777777" w:rsidR="001D38FF" w:rsidRDefault="001D38FF" w:rsidP="001D38FF">
            <w:pPr>
              <w:rPr>
                <w:color w:val="000000"/>
                <w:sz w:val="20"/>
                <w:szCs w:val="20"/>
              </w:rPr>
            </w:pPr>
            <w:r>
              <w:rPr>
                <w:color w:val="000000"/>
                <w:sz w:val="20"/>
                <w:szCs w:val="20"/>
              </w:rPr>
              <w:t xml:space="preserve">CD4, </w:t>
            </w:r>
          </w:p>
          <w:p w14:paraId="19302DA9" w14:textId="465B88B1" w:rsidR="001D38FF" w:rsidDel="000F1C47" w:rsidRDefault="001D38FF" w:rsidP="001D38FF">
            <w:pPr>
              <w:rPr>
                <w:color w:val="000000"/>
                <w:sz w:val="20"/>
                <w:szCs w:val="20"/>
              </w:rPr>
            </w:pPr>
            <w:r>
              <w:rPr>
                <w:color w:val="000000"/>
                <w:sz w:val="20"/>
                <w:szCs w:val="20"/>
              </w:rPr>
              <w:t>&lt; 200</w:t>
            </w:r>
          </w:p>
        </w:tc>
        <w:tc>
          <w:tcPr>
            <w:tcW w:w="281" w:type="pct"/>
            <w:vAlign w:val="bottom"/>
          </w:tcPr>
          <w:p w14:paraId="0FCBCFE5" w14:textId="77777777" w:rsidR="001D38FF" w:rsidRDefault="001D38FF" w:rsidP="001D38FF">
            <w:pPr>
              <w:rPr>
                <w:color w:val="000000"/>
                <w:sz w:val="20"/>
                <w:szCs w:val="20"/>
              </w:rPr>
            </w:pPr>
            <w:r>
              <w:rPr>
                <w:color w:val="000000"/>
                <w:sz w:val="20"/>
                <w:szCs w:val="20"/>
              </w:rPr>
              <w:t xml:space="preserve">CD4, </w:t>
            </w:r>
          </w:p>
          <w:p w14:paraId="57EABECC" w14:textId="18F3381F" w:rsidR="001D38FF" w:rsidDel="000F1C47" w:rsidRDefault="001D38FF" w:rsidP="001D38FF">
            <w:pPr>
              <w:rPr>
                <w:color w:val="000000"/>
                <w:sz w:val="20"/>
                <w:szCs w:val="20"/>
              </w:rPr>
            </w:pPr>
            <w:r>
              <w:rPr>
                <w:color w:val="000000"/>
                <w:sz w:val="20"/>
                <w:szCs w:val="20"/>
              </w:rPr>
              <w:t>&gt;500</w:t>
            </w:r>
          </w:p>
        </w:tc>
        <w:tc>
          <w:tcPr>
            <w:tcW w:w="282" w:type="pct"/>
          </w:tcPr>
          <w:p w14:paraId="63A68FD8" w14:textId="45BCAC04" w:rsidR="001D38FF" w:rsidDel="000F1C47" w:rsidRDefault="001D38FF" w:rsidP="001D38FF">
            <w:pPr>
              <w:rPr>
                <w:color w:val="000000"/>
                <w:sz w:val="20"/>
                <w:szCs w:val="20"/>
              </w:rPr>
            </w:pPr>
            <w:r>
              <w:rPr>
                <w:color w:val="000000"/>
                <w:sz w:val="20"/>
                <w:szCs w:val="20"/>
              </w:rPr>
              <w:t>CD4, 350-500</w:t>
            </w:r>
          </w:p>
        </w:tc>
        <w:tc>
          <w:tcPr>
            <w:tcW w:w="251" w:type="pct"/>
          </w:tcPr>
          <w:p w14:paraId="07E9355A" w14:textId="721FFC7A" w:rsidR="001D38FF" w:rsidDel="000F1C47" w:rsidRDefault="001D38FF" w:rsidP="001D38FF">
            <w:pPr>
              <w:rPr>
                <w:color w:val="000000"/>
                <w:sz w:val="20"/>
                <w:szCs w:val="20"/>
              </w:rPr>
            </w:pPr>
            <w:r>
              <w:rPr>
                <w:color w:val="000000"/>
                <w:sz w:val="20"/>
                <w:szCs w:val="20"/>
              </w:rPr>
              <w:t>CD4, 200-350</w:t>
            </w:r>
          </w:p>
        </w:tc>
        <w:tc>
          <w:tcPr>
            <w:tcW w:w="250" w:type="pct"/>
          </w:tcPr>
          <w:p w14:paraId="5025CB28" w14:textId="77777777" w:rsidR="001D38FF" w:rsidRDefault="001D38FF" w:rsidP="001D38FF">
            <w:pPr>
              <w:rPr>
                <w:color w:val="000000"/>
                <w:sz w:val="20"/>
                <w:szCs w:val="20"/>
              </w:rPr>
            </w:pPr>
            <w:r>
              <w:rPr>
                <w:color w:val="000000"/>
                <w:sz w:val="20"/>
                <w:szCs w:val="20"/>
              </w:rPr>
              <w:t xml:space="preserve">CD4, </w:t>
            </w:r>
          </w:p>
          <w:p w14:paraId="61531220" w14:textId="54EF9AAB" w:rsidR="001D38FF" w:rsidDel="000F1C47" w:rsidRDefault="001D38FF" w:rsidP="001D38FF">
            <w:pPr>
              <w:rPr>
                <w:color w:val="000000"/>
                <w:sz w:val="20"/>
                <w:szCs w:val="20"/>
              </w:rPr>
            </w:pPr>
            <w:r>
              <w:rPr>
                <w:color w:val="000000"/>
                <w:sz w:val="20"/>
                <w:szCs w:val="20"/>
              </w:rPr>
              <w:t>&lt; 200</w:t>
            </w:r>
          </w:p>
        </w:tc>
        <w:tc>
          <w:tcPr>
            <w:tcW w:w="264" w:type="pct"/>
            <w:vAlign w:val="bottom"/>
          </w:tcPr>
          <w:p w14:paraId="29163246" w14:textId="77777777" w:rsidR="001D38FF" w:rsidRDefault="001D38FF" w:rsidP="001D38FF">
            <w:pPr>
              <w:rPr>
                <w:color w:val="000000"/>
                <w:sz w:val="20"/>
                <w:szCs w:val="20"/>
              </w:rPr>
            </w:pPr>
            <w:r>
              <w:rPr>
                <w:color w:val="000000"/>
                <w:sz w:val="20"/>
                <w:szCs w:val="20"/>
              </w:rPr>
              <w:t xml:space="preserve">CD4, </w:t>
            </w:r>
          </w:p>
          <w:p w14:paraId="51DA692B" w14:textId="5393635F" w:rsidR="001D38FF" w:rsidDel="000F1C47" w:rsidRDefault="001D38FF" w:rsidP="001D38FF">
            <w:pPr>
              <w:rPr>
                <w:color w:val="000000"/>
                <w:sz w:val="20"/>
                <w:szCs w:val="20"/>
              </w:rPr>
            </w:pPr>
            <w:r>
              <w:rPr>
                <w:color w:val="000000"/>
                <w:sz w:val="20"/>
                <w:szCs w:val="20"/>
              </w:rPr>
              <w:t>&gt;500</w:t>
            </w:r>
          </w:p>
        </w:tc>
        <w:tc>
          <w:tcPr>
            <w:tcW w:w="224" w:type="pct"/>
          </w:tcPr>
          <w:p w14:paraId="43017D93" w14:textId="58581957" w:rsidR="001D38FF" w:rsidDel="000F1C47" w:rsidRDefault="001D38FF" w:rsidP="001D38FF">
            <w:pPr>
              <w:rPr>
                <w:color w:val="000000"/>
                <w:sz w:val="20"/>
                <w:szCs w:val="20"/>
              </w:rPr>
            </w:pPr>
            <w:r>
              <w:rPr>
                <w:color w:val="000000"/>
                <w:sz w:val="20"/>
                <w:szCs w:val="20"/>
              </w:rPr>
              <w:t>CD4, 350-500</w:t>
            </w:r>
          </w:p>
        </w:tc>
        <w:tc>
          <w:tcPr>
            <w:tcW w:w="224" w:type="pct"/>
          </w:tcPr>
          <w:p w14:paraId="2B3B39E9" w14:textId="46D0F2AD" w:rsidR="001D38FF" w:rsidDel="000F1C47" w:rsidRDefault="001D38FF" w:rsidP="001D38FF">
            <w:pPr>
              <w:rPr>
                <w:color w:val="000000"/>
                <w:sz w:val="20"/>
                <w:szCs w:val="20"/>
              </w:rPr>
            </w:pPr>
            <w:r>
              <w:rPr>
                <w:color w:val="000000"/>
                <w:sz w:val="20"/>
                <w:szCs w:val="20"/>
              </w:rPr>
              <w:t>CD4, 200-350</w:t>
            </w:r>
          </w:p>
        </w:tc>
        <w:tc>
          <w:tcPr>
            <w:tcW w:w="224" w:type="pct"/>
          </w:tcPr>
          <w:p w14:paraId="58FAA90B" w14:textId="77777777" w:rsidR="001D38FF" w:rsidRDefault="001D38FF" w:rsidP="001D38FF">
            <w:pPr>
              <w:rPr>
                <w:color w:val="000000"/>
                <w:sz w:val="20"/>
                <w:szCs w:val="20"/>
              </w:rPr>
            </w:pPr>
            <w:r>
              <w:rPr>
                <w:color w:val="000000"/>
                <w:sz w:val="20"/>
                <w:szCs w:val="20"/>
              </w:rPr>
              <w:t xml:space="preserve">CD4, </w:t>
            </w:r>
          </w:p>
          <w:p w14:paraId="4AEB3B3A" w14:textId="2333EECD" w:rsidR="001D38FF" w:rsidDel="000F1C47" w:rsidRDefault="001D38FF" w:rsidP="001D38FF">
            <w:pPr>
              <w:rPr>
                <w:color w:val="000000"/>
                <w:sz w:val="20"/>
                <w:szCs w:val="20"/>
              </w:rPr>
            </w:pPr>
            <w:r>
              <w:rPr>
                <w:color w:val="000000"/>
                <w:sz w:val="20"/>
                <w:szCs w:val="20"/>
              </w:rPr>
              <w:t>&lt; 200</w:t>
            </w:r>
          </w:p>
        </w:tc>
      </w:tr>
      <w:tr w:rsidR="00760016" w:rsidRPr="008018B6" w14:paraId="0C47DFDE" w14:textId="2001A5B7" w:rsidTr="00760016">
        <w:trPr>
          <w:trHeight w:val="300"/>
        </w:trPr>
        <w:tc>
          <w:tcPr>
            <w:tcW w:w="976" w:type="pct"/>
            <w:shd w:val="clear" w:color="auto" w:fill="auto"/>
            <w:noWrap/>
            <w:vAlign w:val="bottom"/>
            <w:hideMark/>
          </w:tcPr>
          <w:p w14:paraId="122D377D" w14:textId="77777777" w:rsidR="001D38FF" w:rsidRPr="00596193" w:rsidRDefault="001D38FF" w:rsidP="001D38FF">
            <w:pPr>
              <w:jc w:val="both"/>
              <w:rPr>
                <w:color w:val="000000"/>
                <w:sz w:val="20"/>
                <w:szCs w:val="20"/>
              </w:rPr>
            </w:pPr>
            <w:r w:rsidRPr="00596193">
              <w:rPr>
                <w:color w:val="000000"/>
                <w:sz w:val="20"/>
                <w:szCs w:val="20"/>
              </w:rPr>
              <w:t>Low-risk urban women (15-24)</w:t>
            </w:r>
          </w:p>
        </w:tc>
        <w:tc>
          <w:tcPr>
            <w:tcW w:w="237" w:type="pct"/>
            <w:shd w:val="clear" w:color="auto" w:fill="auto"/>
            <w:noWrap/>
            <w:vAlign w:val="center"/>
            <w:hideMark/>
          </w:tcPr>
          <w:p w14:paraId="6BB677E5" w14:textId="265A1E38" w:rsidR="001D38FF" w:rsidRPr="00596193" w:rsidRDefault="001D38FF" w:rsidP="001D38FF">
            <w:pPr>
              <w:rPr>
                <w:color w:val="000000"/>
                <w:sz w:val="20"/>
                <w:szCs w:val="20"/>
              </w:rPr>
            </w:pPr>
          </w:p>
        </w:tc>
        <w:tc>
          <w:tcPr>
            <w:tcW w:w="282" w:type="pct"/>
          </w:tcPr>
          <w:p w14:paraId="40A94A46" w14:textId="77777777" w:rsidR="001D38FF" w:rsidDel="000F1C47" w:rsidRDefault="001D38FF" w:rsidP="001D38FF">
            <w:pPr>
              <w:rPr>
                <w:color w:val="000000"/>
                <w:sz w:val="20"/>
                <w:szCs w:val="20"/>
              </w:rPr>
            </w:pPr>
          </w:p>
        </w:tc>
        <w:tc>
          <w:tcPr>
            <w:tcW w:w="251" w:type="pct"/>
          </w:tcPr>
          <w:p w14:paraId="762CAEB8" w14:textId="77777777" w:rsidR="001D38FF" w:rsidDel="000F1C47" w:rsidRDefault="001D38FF" w:rsidP="001D38FF">
            <w:pPr>
              <w:rPr>
                <w:color w:val="000000"/>
                <w:sz w:val="20"/>
                <w:szCs w:val="20"/>
              </w:rPr>
            </w:pPr>
          </w:p>
        </w:tc>
        <w:tc>
          <w:tcPr>
            <w:tcW w:w="253" w:type="pct"/>
          </w:tcPr>
          <w:p w14:paraId="0F80CD08" w14:textId="77777777" w:rsidR="001D38FF" w:rsidDel="000F1C47" w:rsidRDefault="001D38FF" w:rsidP="001D38FF">
            <w:pPr>
              <w:rPr>
                <w:color w:val="000000"/>
                <w:sz w:val="20"/>
                <w:szCs w:val="20"/>
              </w:rPr>
            </w:pPr>
          </w:p>
        </w:tc>
        <w:tc>
          <w:tcPr>
            <w:tcW w:w="250" w:type="pct"/>
            <w:vAlign w:val="bottom"/>
          </w:tcPr>
          <w:p w14:paraId="1106A0BD" w14:textId="77777777" w:rsidR="001D38FF" w:rsidRPr="00596193" w:rsidRDefault="001D38FF" w:rsidP="001D38FF">
            <w:pPr>
              <w:jc w:val="both"/>
              <w:rPr>
                <w:color w:val="000000"/>
                <w:sz w:val="20"/>
                <w:szCs w:val="20"/>
              </w:rPr>
            </w:pPr>
          </w:p>
        </w:tc>
        <w:tc>
          <w:tcPr>
            <w:tcW w:w="234" w:type="pct"/>
          </w:tcPr>
          <w:p w14:paraId="4626DDA2" w14:textId="77777777" w:rsidR="001D38FF" w:rsidRPr="00596193" w:rsidRDefault="001D38FF" w:rsidP="001D38FF">
            <w:pPr>
              <w:jc w:val="both"/>
              <w:rPr>
                <w:color w:val="000000"/>
                <w:sz w:val="20"/>
                <w:szCs w:val="20"/>
              </w:rPr>
            </w:pPr>
          </w:p>
        </w:tc>
        <w:tc>
          <w:tcPr>
            <w:tcW w:w="267" w:type="pct"/>
          </w:tcPr>
          <w:p w14:paraId="2AC1AA7F" w14:textId="14E59236" w:rsidR="001D38FF" w:rsidRPr="00596193" w:rsidRDefault="001D38FF" w:rsidP="001D38FF">
            <w:pPr>
              <w:jc w:val="both"/>
              <w:rPr>
                <w:color w:val="000000"/>
                <w:sz w:val="20"/>
                <w:szCs w:val="20"/>
              </w:rPr>
            </w:pPr>
          </w:p>
        </w:tc>
        <w:tc>
          <w:tcPr>
            <w:tcW w:w="250" w:type="pct"/>
          </w:tcPr>
          <w:p w14:paraId="0A61637E" w14:textId="77777777" w:rsidR="001D38FF" w:rsidRPr="00596193" w:rsidRDefault="001D38FF" w:rsidP="001D38FF">
            <w:pPr>
              <w:jc w:val="both"/>
              <w:rPr>
                <w:color w:val="000000"/>
                <w:sz w:val="20"/>
                <w:szCs w:val="20"/>
              </w:rPr>
            </w:pPr>
          </w:p>
        </w:tc>
        <w:tc>
          <w:tcPr>
            <w:tcW w:w="281" w:type="pct"/>
            <w:vAlign w:val="bottom"/>
          </w:tcPr>
          <w:p w14:paraId="2BB62665" w14:textId="77777777" w:rsidR="001D38FF" w:rsidRPr="00596193" w:rsidRDefault="001D38FF" w:rsidP="001D38FF">
            <w:pPr>
              <w:jc w:val="both"/>
              <w:rPr>
                <w:color w:val="000000"/>
                <w:sz w:val="20"/>
                <w:szCs w:val="20"/>
              </w:rPr>
            </w:pPr>
          </w:p>
        </w:tc>
        <w:tc>
          <w:tcPr>
            <w:tcW w:w="282" w:type="pct"/>
            <w:vAlign w:val="bottom"/>
          </w:tcPr>
          <w:p w14:paraId="05EBBE2C" w14:textId="77777777" w:rsidR="001D38FF" w:rsidRPr="00596193" w:rsidRDefault="001D38FF" w:rsidP="001D38FF">
            <w:pPr>
              <w:jc w:val="both"/>
              <w:rPr>
                <w:color w:val="000000"/>
                <w:sz w:val="20"/>
                <w:szCs w:val="20"/>
              </w:rPr>
            </w:pPr>
          </w:p>
        </w:tc>
        <w:tc>
          <w:tcPr>
            <w:tcW w:w="251" w:type="pct"/>
            <w:vAlign w:val="bottom"/>
          </w:tcPr>
          <w:p w14:paraId="3FEB4A6B" w14:textId="77777777" w:rsidR="001D38FF" w:rsidRPr="00596193" w:rsidRDefault="001D38FF" w:rsidP="001D38FF">
            <w:pPr>
              <w:jc w:val="both"/>
              <w:rPr>
                <w:color w:val="000000"/>
                <w:sz w:val="20"/>
                <w:szCs w:val="20"/>
              </w:rPr>
            </w:pPr>
          </w:p>
        </w:tc>
        <w:tc>
          <w:tcPr>
            <w:tcW w:w="250" w:type="pct"/>
            <w:vAlign w:val="bottom"/>
          </w:tcPr>
          <w:p w14:paraId="46511AD2" w14:textId="3ABE259F" w:rsidR="001D38FF" w:rsidRPr="00596193" w:rsidRDefault="001D38FF" w:rsidP="001D38FF">
            <w:pPr>
              <w:jc w:val="both"/>
              <w:rPr>
                <w:color w:val="000000"/>
                <w:sz w:val="20"/>
                <w:szCs w:val="20"/>
              </w:rPr>
            </w:pPr>
          </w:p>
        </w:tc>
        <w:tc>
          <w:tcPr>
            <w:tcW w:w="264" w:type="pct"/>
          </w:tcPr>
          <w:p w14:paraId="473B3D2C" w14:textId="77777777" w:rsidR="001D38FF" w:rsidRPr="00910FD4" w:rsidRDefault="001D38FF" w:rsidP="001D38FF">
            <w:pPr>
              <w:jc w:val="both"/>
              <w:rPr>
                <w:color w:val="000000"/>
                <w:sz w:val="20"/>
                <w:szCs w:val="20"/>
              </w:rPr>
            </w:pPr>
          </w:p>
        </w:tc>
        <w:tc>
          <w:tcPr>
            <w:tcW w:w="224" w:type="pct"/>
          </w:tcPr>
          <w:p w14:paraId="46A694AE" w14:textId="77777777" w:rsidR="001D38FF" w:rsidRPr="00910FD4" w:rsidRDefault="001D38FF" w:rsidP="001D38FF">
            <w:pPr>
              <w:jc w:val="both"/>
              <w:rPr>
                <w:color w:val="000000"/>
                <w:sz w:val="20"/>
                <w:szCs w:val="20"/>
              </w:rPr>
            </w:pPr>
          </w:p>
        </w:tc>
        <w:tc>
          <w:tcPr>
            <w:tcW w:w="224" w:type="pct"/>
          </w:tcPr>
          <w:p w14:paraId="7FA2ACED" w14:textId="77777777" w:rsidR="001D38FF" w:rsidRPr="00910FD4" w:rsidRDefault="001D38FF" w:rsidP="001D38FF">
            <w:pPr>
              <w:jc w:val="both"/>
              <w:rPr>
                <w:color w:val="000000"/>
                <w:sz w:val="20"/>
                <w:szCs w:val="20"/>
              </w:rPr>
            </w:pPr>
          </w:p>
        </w:tc>
        <w:tc>
          <w:tcPr>
            <w:tcW w:w="224" w:type="pct"/>
          </w:tcPr>
          <w:p w14:paraId="307ED1EB" w14:textId="6646DA8D" w:rsidR="001D38FF" w:rsidRPr="00910FD4" w:rsidRDefault="001D38FF" w:rsidP="001D38FF">
            <w:pPr>
              <w:jc w:val="both"/>
              <w:rPr>
                <w:color w:val="000000"/>
                <w:sz w:val="20"/>
                <w:szCs w:val="20"/>
              </w:rPr>
            </w:pPr>
          </w:p>
        </w:tc>
      </w:tr>
      <w:tr w:rsidR="00760016" w:rsidRPr="008018B6" w14:paraId="147E1FFB" w14:textId="657C5EFF" w:rsidTr="00760016">
        <w:trPr>
          <w:trHeight w:val="300"/>
        </w:trPr>
        <w:tc>
          <w:tcPr>
            <w:tcW w:w="976" w:type="pct"/>
            <w:shd w:val="clear" w:color="auto" w:fill="auto"/>
            <w:noWrap/>
            <w:vAlign w:val="bottom"/>
            <w:hideMark/>
          </w:tcPr>
          <w:p w14:paraId="3C6403AB" w14:textId="77777777" w:rsidR="001D38FF" w:rsidRPr="00596193" w:rsidRDefault="001D38FF" w:rsidP="001D38FF">
            <w:pPr>
              <w:jc w:val="both"/>
              <w:rPr>
                <w:color w:val="000000"/>
                <w:sz w:val="20"/>
                <w:szCs w:val="20"/>
              </w:rPr>
            </w:pPr>
            <w:r w:rsidRPr="00596193">
              <w:rPr>
                <w:color w:val="000000"/>
                <w:sz w:val="20"/>
                <w:szCs w:val="20"/>
              </w:rPr>
              <w:t>Low-risk urban women (25-34)</w:t>
            </w:r>
          </w:p>
        </w:tc>
        <w:tc>
          <w:tcPr>
            <w:tcW w:w="237" w:type="pct"/>
            <w:shd w:val="clear" w:color="auto" w:fill="auto"/>
            <w:noWrap/>
            <w:vAlign w:val="bottom"/>
            <w:hideMark/>
          </w:tcPr>
          <w:p w14:paraId="63ED7D8D" w14:textId="30753EAC" w:rsidR="001D38FF" w:rsidRPr="00596193" w:rsidRDefault="001D38FF" w:rsidP="001D38FF">
            <w:pPr>
              <w:jc w:val="both"/>
              <w:rPr>
                <w:color w:val="000000"/>
                <w:sz w:val="20"/>
                <w:szCs w:val="20"/>
              </w:rPr>
            </w:pPr>
          </w:p>
        </w:tc>
        <w:tc>
          <w:tcPr>
            <w:tcW w:w="282" w:type="pct"/>
          </w:tcPr>
          <w:p w14:paraId="5EC12C7B" w14:textId="77777777" w:rsidR="001D38FF" w:rsidRPr="00596193" w:rsidRDefault="001D38FF" w:rsidP="001D38FF">
            <w:pPr>
              <w:jc w:val="both"/>
              <w:rPr>
                <w:color w:val="000000"/>
                <w:sz w:val="20"/>
                <w:szCs w:val="20"/>
              </w:rPr>
            </w:pPr>
          </w:p>
        </w:tc>
        <w:tc>
          <w:tcPr>
            <w:tcW w:w="251" w:type="pct"/>
          </w:tcPr>
          <w:p w14:paraId="175C3559" w14:textId="77777777" w:rsidR="001D38FF" w:rsidRPr="00596193" w:rsidRDefault="001D38FF" w:rsidP="001D38FF">
            <w:pPr>
              <w:jc w:val="both"/>
              <w:rPr>
                <w:color w:val="000000"/>
                <w:sz w:val="20"/>
                <w:szCs w:val="20"/>
              </w:rPr>
            </w:pPr>
          </w:p>
        </w:tc>
        <w:tc>
          <w:tcPr>
            <w:tcW w:w="253" w:type="pct"/>
          </w:tcPr>
          <w:p w14:paraId="385B2687" w14:textId="77777777" w:rsidR="001D38FF" w:rsidRPr="00596193" w:rsidRDefault="001D38FF" w:rsidP="001D38FF">
            <w:pPr>
              <w:jc w:val="both"/>
              <w:rPr>
                <w:color w:val="000000"/>
                <w:sz w:val="20"/>
                <w:szCs w:val="20"/>
              </w:rPr>
            </w:pPr>
          </w:p>
        </w:tc>
        <w:tc>
          <w:tcPr>
            <w:tcW w:w="250" w:type="pct"/>
            <w:vAlign w:val="bottom"/>
          </w:tcPr>
          <w:p w14:paraId="13ADDA58" w14:textId="77777777" w:rsidR="001D38FF" w:rsidRPr="00596193" w:rsidRDefault="001D38FF" w:rsidP="001D38FF">
            <w:pPr>
              <w:jc w:val="both"/>
              <w:rPr>
                <w:color w:val="000000"/>
                <w:sz w:val="20"/>
                <w:szCs w:val="20"/>
              </w:rPr>
            </w:pPr>
          </w:p>
        </w:tc>
        <w:tc>
          <w:tcPr>
            <w:tcW w:w="234" w:type="pct"/>
          </w:tcPr>
          <w:p w14:paraId="25E7BC41" w14:textId="77777777" w:rsidR="001D38FF" w:rsidRPr="00596193" w:rsidRDefault="001D38FF" w:rsidP="001D38FF">
            <w:pPr>
              <w:jc w:val="both"/>
              <w:rPr>
                <w:color w:val="000000"/>
                <w:sz w:val="20"/>
                <w:szCs w:val="20"/>
              </w:rPr>
            </w:pPr>
          </w:p>
        </w:tc>
        <w:tc>
          <w:tcPr>
            <w:tcW w:w="267" w:type="pct"/>
          </w:tcPr>
          <w:p w14:paraId="128FAD13" w14:textId="5C117CA5" w:rsidR="001D38FF" w:rsidRPr="00596193" w:rsidRDefault="001D38FF" w:rsidP="001D38FF">
            <w:pPr>
              <w:jc w:val="both"/>
              <w:rPr>
                <w:color w:val="000000"/>
                <w:sz w:val="20"/>
                <w:szCs w:val="20"/>
              </w:rPr>
            </w:pPr>
          </w:p>
        </w:tc>
        <w:tc>
          <w:tcPr>
            <w:tcW w:w="250" w:type="pct"/>
          </w:tcPr>
          <w:p w14:paraId="12829F29" w14:textId="77777777" w:rsidR="001D38FF" w:rsidRPr="00596193" w:rsidRDefault="001D38FF" w:rsidP="001D38FF">
            <w:pPr>
              <w:jc w:val="both"/>
              <w:rPr>
                <w:color w:val="000000"/>
                <w:sz w:val="20"/>
                <w:szCs w:val="20"/>
              </w:rPr>
            </w:pPr>
          </w:p>
        </w:tc>
        <w:tc>
          <w:tcPr>
            <w:tcW w:w="281" w:type="pct"/>
            <w:vAlign w:val="bottom"/>
          </w:tcPr>
          <w:p w14:paraId="582B9B5B" w14:textId="77777777" w:rsidR="001D38FF" w:rsidRPr="00596193" w:rsidRDefault="001D38FF" w:rsidP="001D38FF">
            <w:pPr>
              <w:jc w:val="both"/>
              <w:rPr>
                <w:color w:val="000000"/>
                <w:sz w:val="20"/>
                <w:szCs w:val="20"/>
              </w:rPr>
            </w:pPr>
          </w:p>
        </w:tc>
        <w:tc>
          <w:tcPr>
            <w:tcW w:w="282" w:type="pct"/>
            <w:vAlign w:val="bottom"/>
          </w:tcPr>
          <w:p w14:paraId="1BF3D770" w14:textId="77777777" w:rsidR="001D38FF" w:rsidRPr="00596193" w:rsidRDefault="001D38FF" w:rsidP="001D38FF">
            <w:pPr>
              <w:jc w:val="both"/>
              <w:rPr>
                <w:color w:val="000000"/>
                <w:sz w:val="20"/>
                <w:szCs w:val="20"/>
              </w:rPr>
            </w:pPr>
          </w:p>
        </w:tc>
        <w:tc>
          <w:tcPr>
            <w:tcW w:w="251" w:type="pct"/>
            <w:vAlign w:val="bottom"/>
          </w:tcPr>
          <w:p w14:paraId="749CB44F" w14:textId="77777777" w:rsidR="001D38FF" w:rsidRPr="00596193" w:rsidRDefault="001D38FF" w:rsidP="001D38FF">
            <w:pPr>
              <w:jc w:val="both"/>
              <w:rPr>
                <w:color w:val="000000"/>
                <w:sz w:val="20"/>
                <w:szCs w:val="20"/>
              </w:rPr>
            </w:pPr>
          </w:p>
        </w:tc>
        <w:tc>
          <w:tcPr>
            <w:tcW w:w="250" w:type="pct"/>
            <w:vAlign w:val="bottom"/>
          </w:tcPr>
          <w:p w14:paraId="0F9E1BE4" w14:textId="0C98ACD8" w:rsidR="001D38FF" w:rsidRPr="00596193" w:rsidRDefault="001D38FF" w:rsidP="001D38FF">
            <w:pPr>
              <w:jc w:val="both"/>
              <w:rPr>
                <w:color w:val="000000"/>
                <w:sz w:val="20"/>
                <w:szCs w:val="20"/>
              </w:rPr>
            </w:pPr>
          </w:p>
        </w:tc>
        <w:tc>
          <w:tcPr>
            <w:tcW w:w="264" w:type="pct"/>
          </w:tcPr>
          <w:p w14:paraId="3EFFFE12" w14:textId="77777777" w:rsidR="001D38FF" w:rsidRPr="00910FD4" w:rsidRDefault="001D38FF" w:rsidP="001D38FF">
            <w:pPr>
              <w:jc w:val="both"/>
              <w:rPr>
                <w:color w:val="000000"/>
                <w:sz w:val="20"/>
                <w:szCs w:val="20"/>
              </w:rPr>
            </w:pPr>
          </w:p>
        </w:tc>
        <w:tc>
          <w:tcPr>
            <w:tcW w:w="224" w:type="pct"/>
          </w:tcPr>
          <w:p w14:paraId="7DC2C5C9" w14:textId="77777777" w:rsidR="001D38FF" w:rsidRPr="00910FD4" w:rsidRDefault="001D38FF" w:rsidP="001D38FF">
            <w:pPr>
              <w:jc w:val="both"/>
              <w:rPr>
                <w:color w:val="000000"/>
                <w:sz w:val="20"/>
                <w:szCs w:val="20"/>
              </w:rPr>
            </w:pPr>
          </w:p>
        </w:tc>
        <w:tc>
          <w:tcPr>
            <w:tcW w:w="224" w:type="pct"/>
          </w:tcPr>
          <w:p w14:paraId="342ABAA3" w14:textId="77777777" w:rsidR="001D38FF" w:rsidRPr="00910FD4" w:rsidRDefault="001D38FF" w:rsidP="001D38FF">
            <w:pPr>
              <w:jc w:val="both"/>
              <w:rPr>
                <w:color w:val="000000"/>
                <w:sz w:val="20"/>
                <w:szCs w:val="20"/>
              </w:rPr>
            </w:pPr>
          </w:p>
        </w:tc>
        <w:tc>
          <w:tcPr>
            <w:tcW w:w="224" w:type="pct"/>
          </w:tcPr>
          <w:p w14:paraId="3FA0BCF7" w14:textId="2C291464" w:rsidR="001D38FF" w:rsidRPr="00910FD4" w:rsidRDefault="001D38FF" w:rsidP="001D38FF">
            <w:pPr>
              <w:jc w:val="both"/>
              <w:rPr>
                <w:color w:val="000000"/>
                <w:sz w:val="20"/>
                <w:szCs w:val="20"/>
              </w:rPr>
            </w:pPr>
          </w:p>
        </w:tc>
      </w:tr>
      <w:tr w:rsidR="00760016" w:rsidRPr="008018B6" w14:paraId="1A4CEDF8" w14:textId="338AB2D2" w:rsidTr="00760016">
        <w:trPr>
          <w:trHeight w:val="300"/>
        </w:trPr>
        <w:tc>
          <w:tcPr>
            <w:tcW w:w="976" w:type="pct"/>
            <w:shd w:val="clear" w:color="auto" w:fill="auto"/>
            <w:noWrap/>
            <w:vAlign w:val="bottom"/>
            <w:hideMark/>
          </w:tcPr>
          <w:p w14:paraId="459DA844" w14:textId="77777777" w:rsidR="001D38FF" w:rsidRPr="00596193" w:rsidRDefault="001D38FF" w:rsidP="001D38FF">
            <w:pPr>
              <w:jc w:val="both"/>
              <w:rPr>
                <w:color w:val="000000"/>
                <w:sz w:val="20"/>
                <w:szCs w:val="20"/>
              </w:rPr>
            </w:pPr>
            <w:r w:rsidRPr="00596193">
              <w:rPr>
                <w:color w:val="000000"/>
                <w:sz w:val="20"/>
                <w:szCs w:val="20"/>
              </w:rPr>
              <w:t>Low-risk urban women (35-44)</w:t>
            </w:r>
          </w:p>
        </w:tc>
        <w:tc>
          <w:tcPr>
            <w:tcW w:w="237" w:type="pct"/>
            <w:shd w:val="clear" w:color="auto" w:fill="auto"/>
            <w:noWrap/>
            <w:vAlign w:val="bottom"/>
            <w:hideMark/>
          </w:tcPr>
          <w:p w14:paraId="4C4D0880" w14:textId="77777777" w:rsidR="001D38FF" w:rsidRPr="00596193" w:rsidRDefault="001D38FF" w:rsidP="001D38FF">
            <w:pPr>
              <w:jc w:val="both"/>
              <w:rPr>
                <w:color w:val="000000"/>
                <w:sz w:val="20"/>
                <w:szCs w:val="20"/>
              </w:rPr>
            </w:pPr>
          </w:p>
        </w:tc>
        <w:tc>
          <w:tcPr>
            <w:tcW w:w="282" w:type="pct"/>
          </w:tcPr>
          <w:p w14:paraId="72AE8AD4" w14:textId="77777777" w:rsidR="001D38FF" w:rsidRPr="00596193" w:rsidRDefault="001D38FF" w:rsidP="001D38FF">
            <w:pPr>
              <w:jc w:val="both"/>
              <w:rPr>
                <w:color w:val="000000"/>
                <w:sz w:val="20"/>
                <w:szCs w:val="20"/>
              </w:rPr>
            </w:pPr>
          </w:p>
        </w:tc>
        <w:tc>
          <w:tcPr>
            <w:tcW w:w="251" w:type="pct"/>
          </w:tcPr>
          <w:p w14:paraId="45ABE250" w14:textId="77777777" w:rsidR="001D38FF" w:rsidRPr="00596193" w:rsidRDefault="001D38FF" w:rsidP="001D38FF">
            <w:pPr>
              <w:jc w:val="both"/>
              <w:rPr>
                <w:color w:val="000000"/>
                <w:sz w:val="20"/>
                <w:szCs w:val="20"/>
              </w:rPr>
            </w:pPr>
          </w:p>
        </w:tc>
        <w:tc>
          <w:tcPr>
            <w:tcW w:w="253" w:type="pct"/>
          </w:tcPr>
          <w:p w14:paraId="4567B727" w14:textId="77777777" w:rsidR="001D38FF" w:rsidRPr="00596193" w:rsidRDefault="001D38FF" w:rsidP="001D38FF">
            <w:pPr>
              <w:jc w:val="both"/>
              <w:rPr>
                <w:color w:val="000000"/>
                <w:sz w:val="20"/>
                <w:szCs w:val="20"/>
              </w:rPr>
            </w:pPr>
          </w:p>
        </w:tc>
        <w:tc>
          <w:tcPr>
            <w:tcW w:w="250" w:type="pct"/>
            <w:vAlign w:val="bottom"/>
          </w:tcPr>
          <w:p w14:paraId="78E24DA9" w14:textId="77777777" w:rsidR="001D38FF" w:rsidRPr="00596193" w:rsidRDefault="001D38FF" w:rsidP="001D38FF">
            <w:pPr>
              <w:jc w:val="both"/>
              <w:rPr>
                <w:color w:val="000000"/>
                <w:sz w:val="20"/>
                <w:szCs w:val="20"/>
              </w:rPr>
            </w:pPr>
          </w:p>
        </w:tc>
        <w:tc>
          <w:tcPr>
            <w:tcW w:w="234" w:type="pct"/>
          </w:tcPr>
          <w:p w14:paraId="6864D75B" w14:textId="77777777" w:rsidR="001D38FF" w:rsidRPr="00596193" w:rsidRDefault="001D38FF" w:rsidP="001D38FF">
            <w:pPr>
              <w:jc w:val="both"/>
              <w:rPr>
                <w:color w:val="000000"/>
                <w:sz w:val="20"/>
                <w:szCs w:val="20"/>
              </w:rPr>
            </w:pPr>
          </w:p>
        </w:tc>
        <w:tc>
          <w:tcPr>
            <w:tcW w:w="267" w:type="pct"/>
          </w:tcPr>
          <w:p w14:paraId="789ADA30" w14:textId="462DDC2F" w:rsidR="001D38FF" w:rsidRPr="00596193" w:rsidRDefault="001D38FF" w:rsidP="001D38FF">
            <w:pPr>
              <w:jc w:val="both"/>
              <w:rPr>
                <w:color w:val="000000"/>
                <w:sz w:val="20"/>
                <w:szCs w:val="20"/>
              </w:rPr>
            </w:pPr>
          </w:p>
        </w:tc>
        <w:tc>
          <w:tcPr>
            <w:tcW w:w="250" w:type="pct"/>
          </w:tcPr>
          <w:p w14:paraId="5987740F" w14:textId="77777777" w:rsidR="001D38FF" w:rsidRPr="00596193" w:rsidRDefault="001D38FF" w:rsidP="001D38FF">
            <w:pPr>
              <w:jc w:val="both"/>
              <w:rPr>
                <w:color w:val="000000"/>
                <w:sz w:val="20"/>
                <w:szCs w:val="20"/>
              </w:rPr>
            </w:pPr>
          </w:p>
        </w:tc>
        <w:tc>
          <w:tcPr>
            <w:tcW w:w="281" w:type="pct"/>
            <w:vAlign w:val="bottom"/>
          </w:tcPr>
          <w:p w14:paraId="5BBD2852" w14:textId="77777777" w:rsidR="001D38FF" w:rsidRPr="00596193" w:rsidRDefault="001D38FF" w:rsidP="001D38FF">
            <w:pPr>
              <w:jc w:val="both"/>
              <w:rPr>
                <w:color w:val="000000"/>
                <w:sz w:val="20"/>
                <w:szCs w:val="20"/>
              </w:rPr>
            </w:pPr>
          </w:p>
        </w:tc>
        <w:tc>
          <w:tcPr>
            <w:tcW w:w="282" w:type="pct"/>
            <w:vAlign w:val="bottom"/>
          </w:tcPr>
          <w:p w14:paraId="02C0BB38" w14:textId="77777777" w:rsidR="001D38FF" w:rsidRPr="00596193" w:rsidRDefault="001D38FF" w:rsidP="001D38FF">
            <w:pPr>
              <w:jc w:val="both"/>
              <w:rPr>
                <w:color w:val="000000"/>
                <w:sz w:val="20"/>
                <w:szCs w:val="20"/>
              </w:rPr>
            </w:pPr>
          </w:p>
        </w:tc>
        <w:tc>
          <w:tcPr>
            <w:tcW w:w="251" w:type="pct"/>
            <w:vAlign w:val="bottom"/>
          </w:tcPr>
          <w:p w14:paraId="36DB0D44" w14:textId="77777777" w:rsidR="001D38FF" w:rsidRPr="00596193" w:rsidRDefault="001D38FF" w:rsidP="001D38FF">
            <w:pPr>
              <w:jc w:val="both"/>
              <w:rPr>
                <w:color w:val="000000"/>
                <w:sz w:val="20"/>
                <w:szCs w:val="20"/>
              </w:rPr>
            </w:pPr>
          </w:p>
        </w:tc>
        <w:tc>
          <w:tcPr>
            <w:tcW w:w="250" w:type="pct"/>
            <w:vAlign w:val="bottom"/>
          </w:tcPr>
          <w:p w14:paraId="1CCA3526" w14:textId="0285A2A4" w:rsidR="001D38FF" w:rsidRPr="00596193" w:rsidRDefault="001D38FF" w:rsidP="001D38FF">
            <w:pPr>
              <w:jc w:val="both"/>
              <w:rPr>
                <w:color w:val="000000"/>
                <w:sz w:val="20"/>
                <w:szCs w:val="20"/>
              </w:rPr>
            </w:pPr>
          </w:p>
        </w:tc>
        <w:tc>
          <w:tcPr>
            <w:tcW w:w="264" w:type="pct"/>
          </w:tcPr>
          <w:p w14:paraId="52FF3C61" w14:textId="77777777" w:rsidR="001D38FF" w:rsidRPr="00910FD4" w:rsidRDefault="001D38FF" w:rsidP="001D38FF">
            <w:pPr>
              <w:jc w:val="both"/>
              <w:rPr>
                <w:color w:val="000000"/>
                <w:sz w:val="20"/>
                <w:szCs w:val="20"/>
              </w:rPr>
            </w:pPr>
          </w:p>
        </w:tc>
        <w:tc>
          <w:tcPr>
            <w:tcW w:w="224" w:type="pct"/>
          </w:tcPr>
          <w:p w14:paraId="24BC2BC8" w14:textId="77777777" w:rsidR="001D38FF" w:rsidRPr="00910FD4" w:rsidRDefault="001D38FF" w:rsidP="001D38FF">
            <w:pPr>
              <w:jc w:val="both"/>
              <w:rPr>
                <w:color w:val="000000"/>
                <w:sz w:val="20"/>
                <w:szCs w:val="20"/>
              </w:rPr>
            </w:pPr>
          </w:p>
        </w:tc>
        <w:tc>
          <w:tcPr>
            <w:tcW w:w="224" w:type="pct"/>
          </w:tcPr>
          <w:p w14:paraId="61E869A0" w14:textId="77777777" w:rsidR="001D38FF" w:rsidRPr="00910FD4" w:rsidRDefault="001D38FF" w:rsidP="001D38FF">
            <w:pPr>
              <w:jc w:val="both"/>
              <w:rPr>
                <w:color w:val="000000"/>
                <w:sz w:val="20"/>
                <w:szCs w:val="20"/>
              </w:rPr>
            </w:pPr>
          </w:p>
        </w:tc>
        <w:tc>
          <w:tcPr>
            <w:tcW w:w="224" w:type="pct"/>
          </w:tcPr>
          <w:p w14:paraId="1465A3E3" w14:textId="6DCFABD0" w:rsidR="001D38FF" w:rsidRPr="00910FD4" w:rsidRDefault="001D38FF" w:rsidP="001D38FF">
            <w:pPr>
              <w:jc w:val="both"/>
              <w:rPr>
                <w:color w:val="000000"/>
                <w:sz w:val="20"/>
                <w:szCs w:val="20"/>
              </w:rPr>
            </w:pPr>
          </w:p>
        </w:tc>
      </w:tr>
      <w:tr w:rsidR="00760016" w:rsidRPr="008018B6" w14:paraId="01B05E2E" w14:textId="37E6E3D6" w:rsidTr="00760016">
        <w:trPr>
          <w:trHeight w:val="300"/>
        </w:trPr>
        <w:tc>
          <w:tcPr>
            <w:tcW w:w="976" w:type="pct"/>
            <w:shd w:val="clear" w:color="auto" w:fill="auto"/>
            <w:noWrap/>
            <w:vAlign w:val="bottom"/>
            <w:hideMark/>
          </w:tcPr>
          <w:p w14:paraId="145206E8" w14:textId="77777777" w:rsidR="001D38FF" w:rsidRPr="00596193" w:rsidRDefault="001D38FF" w:rsidP="001D38FF">
            <w:pPr>
              <w:jc w:val="both"/>
              <w:rPr>
                <w:color w:val="000000"/>
                <w:sz w:val="20"/>
                <w:szCs w:val="20"/>
              </w:rPr>
            </w:pPr>
            <w:r w:rsidRPr="00596193">
              <w:rPr>
                <w:color w:val="000000"/>
                <w:sz w:val="20"/>
                <w:szCs w:val="20"/>
              </w:rPr>
              <w:t>Low-risk urban women (45-54)</w:t>
            </w:r>
          </w:p>
        </w:tc>
        <w:tc>
          <w:tcPr>
            <w:tcW w:w="237" w:type="pct"/>
            <w:shd w:val="clear" w:color="auto" w:fill="auto"/>
            <w:noWrap/>
            <w:vAlign w:val="bottom"/>
            <w:hideMark/>
          </w:tcPr>
          <w:p w14:paraId="29DFB485" w14:textId="77777777" w:rsidR="001D38FF" w:rsidRPr="00596193" w:rsidRDefault="001D38FF" w:rsidP="001D38FF">
            <w:pPr>
              <w:jc w:val="both"/>
              <w:rPr>
                <w:color w:val="000000"/>
                <w:sz w:val="20"/>
                <w:szCs w:val="20"/>
              </w:rPr>
            </w:pPr>
          </w:p>
        </w:tc>
        <w:tc>
          <w:tcPr>
            <w:tcW w:w="282" w:type="pct"/>
          </w:tcPr>
          <w:p w14:paraId="7D12DA9F" w14:textId="77777777" w:rsidR="001D38FF" w:rsidRPr="00596193" w:rsidRDefault="001D38FF" w:rsidP="001D38FF">
            <w:pPr>
              <w:jc w:val="both"/>
              <w:rPr>
                <w:color w:val="000000"/>
                <w:sz w:val="20"/>
                <w:szCs w:val="20"/>
              </w:rPr>
            </w:pPr>
          </w:p>
        </w:tc>
        <w:tc>
          <w:tcPr>
            <w:tcW w:w="251" w:type="pct"/>
          </w:tcPr>
          <w:p w14:paraId="59CD8AD7" w14:textId="77777777" w:rsidR="001D38FF" w:rsidRPr="00596193" w:rsidRDefault="001D38FF" w:rsidP="001D38FF">
            <w:pPr>
              <w:jc w:val="both"/>
              <w:rPr>
                <w:color w:val="000000"/>
                <w:sz w:val="20"/>
                <w:szCs w:val="20"/>
              </w:rPr>
            </w:pPr>
          </w:p>
        </w:tc>
        <w:tc>
          <w:tcPr>
            <w:tcW w:w="253" w:type="pct"/>
          </w:tcPr>
          <w:p w14:paraId="4E0A5736" w14:textId="77777777" w:rsidR="001D38FF" w:rsidRPr="00596193" w:rsidRDefault="001D38FF" w:rsidP="001D38FF">
            <w:pPr>
              <w:jc w:val="both"/>
              <w:rPr>
                <w:color w:val="000000"/>
                <w:sz w:val="20"/>
                <w:szCs w:val="20"/>
              </w:rPr>
            </w:pPr>
          </w:p>
        </w:tc>
        <w:tc>
          <w:tcPr>
            <w:tcW w:w="250" w:type="pct"/>
            <w:vAlign w:val="bottom"/>
          </w:tcPr>
          <w:p w14:paraId="25BB68A8" w14:textId="77777777" w:rsidR="001D38FF" w:rsidRPr="00596193" w:rsidRDefault="001D38FF" w:rsidP="001D38FF">
            <w:pPr>
              <w:jc w:val="both"/>
              <w:rPr>
                <w:color w:val="000000"/>
                <w:sz w:val="20"/>
                <w:szCs w:val="20"/>
              </w:rPr>
            </w:pPr>
          </w:p>
        </w:tc>
        <w:tc>
          <w:tcPr>
            <w:tcW w:w="234" w:type="pct"/>
          </w:tcPr>
          <w:p w14:paraId="3776E933" w14:textId="77777777" w:rsidR="001D38FF" w:rsidRPr="00596193" w:rsidRDefault="001D38FF" w:rsidP="001D38FF">
            <w:pPr>
              <w:jc w:val="both"/>
              <w:rPr>
                <w:color w:val="000000"/>
                <w:sz w:val="20"/>
                <w:szCs w:val="20"/>
              </w:rPr>
            </w:pPr>
          </w:p>
        </w:tc>
        <w:tc>
          <w:tcPr>
            <w:tcW w:w="267" w:type="pct"/>
          </w:tcPr>
          <w:p w14:paraId="1CD7EA6D" w14:textId="7FA6A78E" w:rsidR="001D38FF" w:rsidRPr="00596193" w:rsidRDefault="001D38FF" w:rsidP="001D38FF">
            <w:pPr>
              <w:jc w:val="both"/>
              <w:rPr>
                <w:color w:val="000000"/>
                <w:sz w:val="20"/>
                <w:szCs w:val="20"/>
              </w:rPr>
            </w:pPr>
          </w:p>
        </w:tc>
        <w:tc>
          <w:tcPr>
            <w:tcW w:w="250" w:type="pct"/>
          </w:tcPr>
          <w:p w14:paraId="044B1CF0" w14:textId="77777777" w:rsidR="001D38FF" w:rsidRPr="00596193" w:rsidRDefault="001D38FF" w:rsidP="001D38FF">
            <w:pPr>
              <w:jc w:val="both"/>
              <w:rPr>
                <w:color w:val="000000"/>
                <w:sz w:val="20"/>
                <w:szCs w:val="20"/>
              </w:rPr>
            </w:pPr>
          </w:p>
        </w:tc>
        <w:tc>
          <w:tcPr>
            <w:tcW w:w="281" w:type="pct"/>
            <w:vAlign w:val="bottom"/>
          </w:tcPr>
          <w:p w14:paraId="49110241" w14:textId="77777777" w:rsidR="001D38FF" w:rsidRPr="00596193" w:rsidRDefault="001D38FF" w:rsidP="001D38FF">
            <w:pPr>
              <w:jc w:val="both"/>
              <w:rPr>
                <w:color w:val="000000"/>
                <w:sz w:val="20"/>
                <w:szCs w:val="20"/>
              </w:rPr>
            </w:pPr>
          </w:p>
        </w:tc>
        <w:tc>
          <w:tcPr>
            <w:tcW w:w="282" w:type="pct"/>
            <w:vAlign w:val="bottom"/>
          </w:tcPr>
          <w:p w14:paraId="2C904D8F" w14:textId="77777777" w:rsidR="001D38FF" w:rsidRPr="00596193" w:rsidRDefault="001D38FF" w:rsidP="001D38FF">
            <w:pPr>
              <w:jc w:val="both"/>
              <w:rPr>
                <w:color w:val="000000"/>
                <w:sz w:val="20"/>
                <w:szCs w:val="20"/>
              </w:rPr>
            </w:pPr>
          </w:p>
        </w:tc>
        <w:tc>
          <w:tcPr>
            <w:tcW w:w="251" w:type="pct"/>
            <w:vAlign w:val="bottom"/>
          </w:tcPr>
          <w:p w14:paraId="36FC278A" w14:textId="77777777" w:rsidR="001D38FF" w:rsidRPr="00596193" w:rsidRDefault="001D38FF" w:rsidP="001D38FF">
            <w:pPr>
              <w:jc w:val="both"/>
              <w:rPr>
                <w:color w:val="000000"/>
                <w:sz w:val="20"/>
                <w:szCs w:val="20"/>
              </w:rPr>
            </w:pPr>
          </w:p>
        </w:tc>
        <w:tc>
          <w:tcPr>
            <w:tcW w:w="250" w:type="pct"/>
            <w:vAlign w:val="bottom"/>
          </w:tcPr>
          <w:p w14:paraId="21AAC056" w14:textId="585ED4A7" w:rsidR="001D38FF" w:rsidRPr="00596193" w:rsidRDefault="001D38FF" w:rsidP="001D38FF">
            <w:pPr>
              <w:jc w:val="both"/>
              <w:rPr>
                <w:color w:val="000000"/>
                <w:sz w:val="20"/>
                <w:szCs w:val="20"/>
              </w:rPr>
            </w:pPr>
          </w:p>
        </w:tc>
        <w:tc>
          <w:tcPr>
            <w:tcW w:w="264" w:type="pct"/>
          </w:tcPr>
          <w:p w14:paraId="153C7482" w14:textId="77777777" w:rsidR="001D38FF" w:rsidRPr="00910FD4" w:rsidRDefault="001D38FF" w:rsidP="001D38FF">
            <w:pPr>
              <w:jc w:val="both"/>
              <w:rPr>
                <w:color w:val="000000"/>
                <w:sz w:val="20"/>
                <w:szCs w:val="20"/>
              </w:rPr>
            </w:pPr>
          </w:p>
        </w:tc>
        <w:tc>
          <w:tcPr>
            <w:tcW w:w="224" w:type="pct"/>
          </w:tcPr>
          <w:p w14:paraId="4B4E59D2" w14:textId="77777777" w:rsidR="001D38FF" w:rsidRPr="00910FD4" w:rsidRDefault="001D38FF" w:rsidP="001D38FF">
            <w:pPr>
              <w:jc w:val="both"/>
              <w:rPr>
                <w:color w:val="000000"/>
                <w:sz w:val="20"/>
                <w:szCs w:val="20"/>
              </w:rPr>
            </w:pPr>
          </w:p>
        </w:tc>
        <w:tc>
          <w:tcPr>
            <w:tcW w:w="224" w:type="pct"/>
          </w:tcPr>
          <w:p w14:paraId="17D8A8C7" w14:textId="77777777" w:rsidR="001D38FF" w:rsidRPr="00910FD4" w:rsidRDefault="001D38FF" w:rsidP="001D38FF">
            <w:pPr>
              <w:jc w:val="both"/>
              <w:rPr>
                <w:color w:val="000000"/>
                <w:sz w:val="20"/>
                <w:szCs w:val="20"/>
              </w:rPr>
            </w:pPr>
          </w:p>
        </w:tc>
        <w:tc>
          <w:tcPr>
            <w:tcW w:w="224" w:type="pct"/>
          </w:tcPr>
          <w:p w14:paraId="2EA16BC6" w14:textId="1AE9C522" w:rsidR="001D38FF" w:rsidRPr="00910FD4" w:rsidRDefault="001D38FF" w:rsidP="001D38FF">
            <w:pPr>
              <w:jc w:val="both"/>
              <w:rPr>
                <w:color w:val="000000"/>
                <w:sz w:val="20"/>
                <w:szCs w:val="20"/>
              </w:rPr>
            </w:pPr>
          </w:p>
        </w:tc>
      </w:tr>
      <w:tr w:rsidR="00760016" w:rsidRPr="008018B6" w14:paraId="0180119E" w14:textId="5AC5D05A" w:rsidTr="00760016">
        <w:trPr>
          <w:trHeight w:val="300"/>
        </w:trPr>
        <w:tc>
          <w:tcPr>
            <w:tcW w:w="976" w:type="pct"/>
            <w:shd w:val="clear" w:color="auto" w:fill="auto"/>
            <w:noWrap/>
            <w:vAlign w:val="bottom"/>
            <w:hideMark/>
          </w:tcPr>
          <w:p w14:paraId="6619B69E" w14:textId="57D6B73B" w:rsidR="001D38FF" w:rsidRPr="00596193" w:rsidRDefault="001D38FF" w:rsidP="001D38FF">
            <w:pPr>
              <w:jc w:val="both"/>
              <w:rPr>
                <w:color w:val="000000"/>
                <w:sz w:val="20"/>
                <w:szCs w:val="20"/>
              </w:rPr>
            </w:pPr>
            <w:r w:rsidRPr="00596193">
              <w:rPr>
                <w:color w:val="000000"/>
                <w:sz w:val="20"/>
                <w:szCs w:val="20"/>
              </w:rPr>
              <w:t>Low-risk urban women (55-64)</w:t>
            </w:r>
          </w:p>
        </w:tc>
        <w:tc>
          <w:tcPr>
            <w:tcW w:w="237" w:type="pct"/>
            <w:shd w:val="clear" w:color="auto" w:fill="auto"/>
            <w:noWrap/>
            <w:vAlign w:val="bottom"/>
            <w:hideMark/>
          </w:tcPr>
          <w:p w14:paraId="037FB62D" w14:textId="77777777" w:rsidR="001D38FF" w:rsidRPr="00596193" w:rsidRDefault="001D38FF" w:rsidP="001D38FF">
            <w:pPr>
              <w:jc w:val="both"/>
              <w:rPr>
                <w:color w:val="000000"/>
                <w:sz w:val="20"/>
                <w:szCs w:val="20"/>
              </w:rPr>
            </w:pPr>
          </w:p>
        </w:tc>
        <w:tc>
          <w:tcPr>
            <w:tcW w:w="282" w:type="pct"/>
          </w:tcPr>
          <w:p w14:paraId="327B93B9" w14:textId="77777777" w:rsidR="001D38FF" w:rsidRPr="00596193" w:rsidRDefault="001D38FF" w:rsidP="001D38FF">
            <w:pPr>
              <w:jc w:val="both"/>
              <w:rPr>
                <w:color w:val="000000"/>
                <w:sz w:val="20"/>
                <w:szCs w:val="20"/>
              </w:rPr>
            </w:pPr>
          </w:p>
        </w:tc>
        <w:tc>
          <w:tcPr>
            <w:tcW w:w="251" w:type="pct"/>
          </w:tcPr>
          <w:p w14:paraId="64480657" w14:textId="77777777" w:rsidR="001D38FF" w:rsidRPr="00596193" w:rsidRDefault="001D38FF" w:rsidP="001D38FF">
            <w:pPr>
              <w:jc w:val="both"/>
              <w:rPr>
                <w:color w:val="000000"/>
                <w:sz w:val="20"/>
                <w:szCs w:val="20"/>
              </w:rPr>
            </w:pPr>
          </w:p>
        </w:tc>
        <w:tc>
          <w:tcPr>
            <w:tcW w:w="253" w:type="pct"/>
          </w:tcPr>
          <w:p w14:paraId="613A9AC2" w14:textId="77777777" w:rsidR="001D38FF" w:rsidRPr="00596193" w:rsidRDefault="001D38FF" w:rsidP="001D38FF">
            <w:pPr>
              <w:jc w:val="both"/>
              <w:rPr>
                <w:color w:val="000000"/>
                <w:sz w:val="20"/>
                <w:szCs w:val="20"/>
              </w:rPr>
            </w:pPr>
          </w:p>
        </w:tc>
        <w:tc>
          <w:tcPr>
            <w:tcW w:w="250" w:type="pct"/>
            <w:vAlign w:val="bottom"/>
          </w:tcPr>
          <w:p w14:paraId="292A465B" w14:textId="77777777" w:rsidR="001D38FF" w:rsidRPr="00596193" w:rsidRDefault="001D38FF" w:rsidP="001D38FF">
            <w:pPr>
              <w:jc w:val="both"/>
              <w:rPr>
                <w:color w:val="000000"/>
                <w:sz w:val="20"/>
                <w:szCs w:val="20"/>
              </w:rPr>
            </w:pPr>
          </w:p>
        </w:tc>
        <w:tc>
          <w:tcPr>
            <w:tcW w:w="234" w:type="pct"/>
          </w:tcPr>
          <w:p w14:paraId="26FC3D58" w14:textId="77777777" w:rsidR="001D38FF" w:rsidRPr="00596193" w:rsidRDefault="001D38FF" w:rsidP="001D38FF">
            <w:pPr>
              <w:jc w:val="both"/>
              <w:rPr>
                <w:color w:val="000000"/>
                <w:sz w:val="20"/>
                <w:szCs w:val="20"/>
              </w:rPr>
            </w:pPr>
          </w:p>
        </w:tc>
        <w:tc>
          <w:tcPr>
            <w:tcW w:w="267" w:type="pct"/>
          </w:tcPr>
          <w:p w14:paraId="69A4ADC4" w14:textId="67DD11AE" w:rsidR="001D38FF" w:rsidRPr="00596193" w:rsidRDefault="001D38FF" w:rsidP="001D38FF">
            <w:pPr>
              <w:jc w:val="both"/>
              <w:rPr>
                <w:color w:val="000000"/>
                <w:sz w:val="20"/>
                <w:szCs w:val="20"/>
              </w:rPr>
            </w:pPr>
          </w:p>
        </w:tc>
        <w:tc>
          <w:tcPr>
            <w:tcW w:w="250" w:type="pct"/>
          </w:tcPr>
          <w:p w14:paraId="6E3EAC33" w14:textId="77777777" w:rsidR="001D38FF" w:rsidRPr="00596193" w:rsidRDefault="001D38FF" w:rsidP="001D38FF">
            <w:pPr>
              <w:jc w:val="both"/>
              <w:rPr>
                <w:color w:val="000000"/>
                <w:sz w:val="20"/>
                <w:szCs w:val="20"/>
              </w:rPr>
            </w:pPr>
          </w:p>
        </w:tc>
        <w:tc>
          <w:tcPr>
            <w:tcW w:w="281" w:type="pct"/>
            <w:vAlign w:val="bottom"/>
          </w:tcPr>
          <w:p w14:paraId="085BA8C6" w14:textId="77777777" w:rsidR="001D38FF" w:rsidRPr="00596193" w:rsidRDefault="001D38FF" w:rsidP="001D38FF">
            <w:pPr>
              <w:jc w:val="both"/>
              <w:rPr>
                <w:color w:val="000000"/>
                <w:sz w:val="20"/>
                <w:szCs w:val="20"/>
              </w:rPr>
            </w:pPr>
          </w:p>
        </w:tc>
        <w:tc>
          <w:tcPr>
            <w:tcW w:w="282" w:type="pct"/>
            <w:vAlign w:val="bottom"/>
          </w:tcPr>
          <w:p w14:paraId="3F666801" w14:textId="77777777" w:rsidR="001D38FF" w:rsidRPr="00596193" w:rsidRDefault="001D38FF" w:rsidP="001D38FF">
            <w:pPr>
              <w:jc w:val="both"/>
              <w:rPr>
                <w:color w:val="000000"/>
                <w:sz w:val="20"/>
                <w:szCs w:val="20"/>
              </w:rPr>
            </w:pPr>
          </w:p>
        </w:tc>
        <w:tc>
          <w:tcPr>
            <w:tcW w:w="251" w:type="pct"/>
            <w:vAlign w:val="bottom"/>
          </w:tcPr>
          <w:p w14:paraId="56B0D16B" w14:textId="77777777" w:rsidR="001D38FF" w:rsidRPr="00596193" w:rsidRDefault="001D38FF" w:rsidP="001D38FF">
            <w:pPr>
              <w:jc w:val="both"/>
              <w:rPr>
                <w:color w:val="000000"/>
                <w:sz w:val="20"/>
                <w:szCs w:val="20"/>
              </w:rPr>
            </w:pPr>
          </w:p>
        </w:tc>
        <w:tc>
          <w:tcPr>
            <w:tcW w:w="250" w:type="pct"/>
            <w:vAlign w:val="bottom"/>
          </w:tcPr>
          <w:p w14:paraId="55D9E80D" w14:textId="7A14BB20" w:rsidR="001D38FF" w:rsidRPr="00596193" w:rsidRDefault="001D38FF" w:rsidP="001D38FF">
            <w:pPr>
              <w:jc w:val="both"/>
              <w:rPr>
                <w:color w:val="000000"/>
                <w:sz w:val="20"/>
                <w:szCs w:val="20"/>
              </w:rPr>
            </w:pPr>
          </w:p>
        </w:tc>
        <w:tc>
          <w:tcPr>
            <w:tcW w:w="264" w:type="pct"/>
          </w:tcPr>
          <w:p w14:paraId="4480F910" w14:textId="77777777" w:rsidR="001D38FF" w:rsidRPr="00910FD4" w:rsidRDefault="001D38FF" w:rsidP="001D38FF">
            <w:pPr>
              <w:jc w:val="both"/>
              <w:rPr>
                <w:color w:val="000000"/>
                <w:sz w:val="20"/>
                <w:szCs w:val="20"/>
              </w:rPr>
            </w:pPr>
          </w:p>
        </w:tc>
        <w:tc>
          <w:tcPr>
            <w:tcW w:w="224" w:type="pct"/>
          </w:tcPr>
          <w:p w14:paraId="22DFAC56" w14:textId="77777777" w:rsidR="001D38FF" w:rsidRPr="00910FD4" w:rsidRDefault="001D38FF" w:rsidP="001D38FF">
            <w:pPr>
              <w:jc w:val="both"/>
              <w:rPr>
                <w:color w:val="000000"/>
                <w:sz w:val="20"/>
                <w:szCs w:val="20"/>
              </w:rPr>
            </w:pPr>
          </w:p>
        </w:tc>
        <w:tc>
          <w:tcPr>
            <w:tcW w:w="224" w:type="pct"/>
          </w:tcPr>
          <w:p w14:paraId="79E32AB1" w14:textId="77777777" w:rsidR="001D38FF" w:rsidRPr="00910FD4" w:rsidRDefault="001D38FF" w:rsidP="001D38FF">
            <w:pPr>
              <w:jc w:val="both"/>
              <w:rPr>
                <w:color w:val="000000"/>
                <w:sz w:val="20"/>
                <w:szCs w:val="20"/>
              </w:rPr>
            </w:pPr>
          </w:p>
        </w:tc>
        <w:tc>
          <w:tcPr>
            <w:tcW w:w="224" w:type="pct"/>
          </w:tcPr>
          <w:p w14:paraId="23A81025" w14:textId="10DB34B0" w:rsidR="001D38FF" w:rsidRPr="00910FD4" w:rsidRDefault="001D38FF" w:rsidP="001D38FF">
            <w:pPr>
              <w:jc w:val="both"/>
              <w:rPr>
                <w:color w:val="000000"/>
                <w:sz w:val="20"/>
                <w:szCs w:val="20"/>
              </w:rPr>
            </w:pPr>
          </w:p>
        </w:tc>
      </w:tr>
      <w:tr w:rsidR="00760016" w:rsidRPr="008018B6" w14:paraId="5C8B37F4" w14:textId="6095768E" w:rsidTr="00760016">
        <w:trPr>
          <w:trHeight w:val="300"/>
        </w:trPr>
        <w:tc>
          <w:tcPr>
            <w:tcW w:w="976" w:type="pct"/>
            <w:shd w:val="clear" w:color="auto" w:fill="auto"/>
            <w:noWrap/>
            <w:vAlign w:val="bottom"/>
            <w:hideMark/>
          </w:tcPr>
          <w:p w14:paraId="29309A64" w14:textId="77777777" w:rsidR="001D38FF" w:rsidRPr="00596193" w:rsidRDefault="001D38FF" w:rsidP="001D38FF">
            <w:pPr>
              <w:jc w:val="both"/>
              <w:rPr>
                <w:color w:val="000000"/>
                <w:sz w:val="20"/>
                <w:szCs w:val="20"/>
              </w:rPr>
            </w:pPr>
            <w:r w:rsidRPr="00596193">
              <w:rPr>
                <w:color w:val="000000"/>
                <w:sz w:val="20"/>
                <w:szCs w:val="20"/>
              </w:rPr>
              <w:t>Low-risk rural women (15-24)</w:t>
            </w:r>
          </w:p>
        </w:tc>
        <w:tc>
          <w:tcPr>
            <w:tcW w:w="237" w:type="pct"/>
            <w:shd w:val="clear" w:color="auto" w:fill="auto"/>
            <w:noWrap/>
            <w:vAlign w:val="bottom"/>
            <w:hideMark/>
          </w:tcPr>
          <w:p w14:paraId="489FA673" w14:textId="77777777" w:rsidR="001D38FF" w:rsidRPr="00596193" w:rsidRDefault="001D38FF" w:rsidP="001D38FF">
            <w:pPr>
              <w:jc w:val="both"/>
              <w:rPr>
                <w:color w:val="000000"/>
                <w:sz w:val="20"/>
                <w:szCs w:val="20"/>
              </w:rPr>
            </w:pPr>
          </w:p>
        </w:tc>
        <w:tc>
          <w:tcPr>
            <w:tcW w:w="282" w:type="pct"/>
          </w:tcPr>
          <w:p w14:paraId="0A790C8B" w14:textId="77777777" w:rsidR="001D38FF" w:rsidRPr="00596193" w:rsidRDefault="001D38FF" w:rsidP="001D38FF">
            <w:pPr>
              <w:jc w:val="both"/>
              <w:rPr>
                <w:color w:val="000000"/>
                <w:sz w:val="20"/>
                <w:szCs w:val="20"/>
              </w:rPr>
            </w:pPr>
          </w:p>
        </w:tc>
        <w:tc>
          <w:tcPr>
            <w:tcW w:w="251" w:type="pct"/>
          </w:tcPr>
          <w:p w14:paraId="31233234" w14:textId="77777777" w:rsidR="001D38FF" w:rsidRPr="00596193" w:rsidRDefault="001D38FF" w:rsidP="001D38FF">
            <w:pPr>
              <w:jc w:val="both"/>
              <w:rPr>
                <w:color w:val="000000"/>
                <w:sz w:val="20"/>
                <w:szCs w:val="20"/>
              </w:rPr>
            </w:pPr>
          </w:p>
        </w:tc>
        <w:tc>
          <w:tcPr>
            <w:tcW w:w="253" w:type="pct"/>
          </w:tcPr>
          <w:p w14:paraId="34528C9D" w14:textId="77777777" w:rsidR="001D38FF" w:rsidRPr="00596193" w:rsidRDefault="001D38FF" w:rsidP="001D38FF">
            <w:pPr>
              <w:jc w:val="both"/>
              <w:rPr>
                <w:color w:val="000000"/>
                <w:sz w:val="20"/>
                <w:szCs w:val="20"/>
              </w:rPr>
            </w:pPr>
          </w:p>
        </w:tc>
        <w:tc>
          <w:tcPr>
            <w:tcW w:w="250" w:type="pct"/>
            <w:vAlign w:val="bottom"/>
          </w:tcPr>
          <w:p w14:paraId="2B188EF3" w14:textId="77777777" w:rsidR="001D38FF" w:rsidRPr="00596193" w:rsidRDefault="001D38FF" w:rsidP="001D38FF">
            <w:pPr>
              <w:jc w:val="both"/>
              <w:rPr>
                <w:color w:val="000000"/>
                <w:sz w:val="20"/>
                <w:szCs w:val="20"/>
              </w:rPr>
            </w:pPr>
          </w:p>
        </w:tc>
        <w:tc>
          <w:tcPr>
            <w:tcW w:w="234" w:type="pct"/>
          </w:tcPr>
          <w:p w14:paraId="25406C96" w14:textId="77777777" w:rsidR="001D38FF" w:rsidRPr="00596193" w:rsidRDefault="001D38FF" w:rsidP="001D38FF">
            <w:pPr>
              <w:jc w:val="both"/>
              <w:rPr>
                <w:color w:val="000000"/>
                <w:sz w:val="20"/>
                <w:szCs w:val="20"/>
              </w:rPr>
            </w:pPr>
          </w:p>
        </w:tc>
        <w:tc>
          <w:tcPr>
            <w:tcW w:w="267" w:type="pct"/>
          </w:tcPr>
          <w:p w14:paraId="5C01A691" w14:textId="35CA197C" w:rsidR="001D38FF" w:rsidRPr="00596193" w:rsidRDefault="001D38FF" w:rsidP="001D38FF">
            <w:pPr>
              <w:jc w:val="both"/>
              <w:rPr>
                <w:color w:val="000000"/>
                <w:sz w:val="20"/>
                <w:szCs w:val="20"/>
              </w:rPr>
            </w:pPr>
          </w:p>
        </w:tc>
        <w:tc>
          <w:tcPr>
            <w:tcW w:w="250" w:type="pct"/>
          </w:tcPr>
          <w:p w14:paraId="28880AD3" w14:textId="77777777" w:rsidR="001D38FF" w:rsidRPr="00596193" w:rsidRDefault="001D38FF" w:rsidP="001D38FF">
            <w:pPr>
              <w:jc w:val="both"/>
              <w:rPr>
                <w:color w:val="000000"/>
                <w:sz w:val="20"/>
                <w:szCs w:val="20"/>
              </w:rPr>
            </w:pPr>
          </w:p>
        </w:tc>
        <w:tc>
          <w:tcPr>
            <w:tcW w:w="281" w:type="pct"/>
            <w:vAlign w:val="bottom"/>
          </w:tcPr>
          <w:p w14:paraId="50FEAC3B" w14:textId="77777777" w:rsidR="001D38FF" w:rsidRPr="00596193" w:rsidRDefault="001D38FF" w:rsidP="001D38FF">
            <w:pPr>
              <w:jc w:val="both"/>
              <w:rPr>
                <w:color w:val="000000"/>
                <w:sz w:val="20"/>
                <w:szCs w:val="20"/>
              </w:rPr>
            </w:pPr>
          </w:p>
        </w:tc>
        <w:tc>
          <w:tcPr>
            <w:tcW w:w="282" w:type="pct"/>
            <w:vAlign w:val="bottom"/>
          </w:tcPr>
          <w:p w14:paraId="55224300" w14:textId="77777777" w:rsidR="001D38FF" w:rsidRPr="00596193" w:rsidRDefault="001D38FF" w:rsidP="001D38FF">
            <w:pPr>
              <w:jc w:val="both"/>
              <w:rPr>
                <w:color w:val="000000"/>
                <w:sz w:val="20"/>
                <w:szCs w:val="20"/>
              </w:rPr>
            </w:pPr>
          </w:p>
        </w:tc>
        <w:tc>
          <w:tcPr>
            <w:tcW w:w="251" w:type="pct"/>
            <w:vAlign w:val="bottom"/>
          </w:tcPr>
          <w:p w14:paraId="1E714299" w14:textId="77777777" w:rsidR="001D38FF" w:rsidRPr="00596193" w:rsidRDefault="001D38FF" w:rsidP="001D38FF">
            <w:pPr>
              <w:jc w:val="both"/>
              <w:rPr>
                <w:color w:val="000000"/>
                <w:sz w:val="20"/>
                <w:szCs w:val="20"/>
              </w:rPr>
            </w:pPr>
          </w:p>
        </w:tc>
        <w:tc>
          <w:tcPr>
            <w:tcW w:w="250" w:type="pct"/>
            <w:vAlign w:val="bottom"/>
          </w:tcPr>
          <w:p w14:paraId="6830CF79" w14:textId="0751322D" w:rsidR="001D38FF" w:rsidRPr="00596193" w:rsidRDefault="001D38FF" w:rsidP="001D38FF">
            <w:pPr>
              <w:jc w:val="both"/>
              <w:rPr>
                <w:color w:val="000000"/>
                <w:sz w:val="20"/>
                <w:szCs w:val="20"/>
              </w:rPr>
            </w:pPr>
          </w:p>
        </w:tc>
        <w:tc>
          <w:tcPr>
            <w:tcW w:w="264" w:type="pct"/>
          </w:tcPr>
          <w:p w14:paraId="7EDD1147" w14:textId="77777777" w:rsidR="001D38FF" w:rsidRPr="00910FD4" w:rsidRDefault="001D38FF" w:rsidP="001D38FF">
            <w:pPr>
              <w:jc w:val="both"/>
              <w:rPr>
                <w:color w:val="000000"/>
                <w:sz w:val="20"/>
                <w:szCs w:val="20"/>
              </w:rPr>
            </w:pPr>
          </w:p>
        </w:tc>
        <w:tc>
          <w:tcPr>
            <w:tcW w:w="224" w:type="pct"/>
          </w:tcPr>
          <w:p w14:paraId="01ECC157" w14:textId="77777777" w:rsidR="001D38FF" w:rsidRPr="00910FD4" w:rsidRDefault="001D38FF" w:rsidP="001D38FF">
            <w:pPr>
              <w:jc w:val="both"/>
              <w:rPr>
                <w:color w:val="000000"/>
                <w:sz w:val="20"/>
                <w:szCs w:val="20"/>
              </w:rPr>
            </w:pPr>
          </w:p>
        </w:tc>
        <w:tc>
          <w:tcPr>
            <w:tcW w:w="224" w:type="pct"/>
          </w:tcPr>
          <w:p w14:paraId="72C1D37C" w14:textId="77777777" w:rsidR="001D38FF" w:rsidRPr="00910FD4" w:rsidRDefault="001D38FF" w:rsidP="001D38FF">
            <w:pPr>
              <w:jc w:val="both"/>
              <w:rPr>
                <w:color w:val="000000"/>
                <w:sz w:val="20"/>
                <w:szCs w:val="20"/>
              </w:rPr>
            </w:pPr>
          </w:p>
        </w:tc>
        <w:tc>
          <w:tcPr>
            <w:tcW w:w="224" w:type="pct"/>
          </w:tcPr>
          <w:p w14:paraId="339454F0" w14:textId="67107ECB" w:rsidR="001D38FF" w:rsidRPr="00910FD4" w:rsidRDefault="001D38FF" w:rsidP="001D38FF">
            <w:pPr>
              <w:jc w:val="both"/>
              <w:rPr>
                <w:color w:val="000000"/>
                <w:sz w:val="20"/>
                <w:szCs w:val="20"/>
              </w:rPr>
            </w:pPr>
          </w:p>
        </w:tc>
      </w:tr>
      <w:tr w:rsidR="00760016" w:rsidRPr="008018B6" w14:paraId="4F5EF98F" w14:textId="411430EC" w:rsidTr="00760016">
        <w:trPr>
          <w:trHeight w:val="300"/>
        </w:trPr>
        <w:tc>
          <w:tcPr>
            <w:tcW w:w="976" w:type="pct"/>
            <w:shd w:val="clear" w:color="auto" w:fill="auto"/>
            <w:noWrap/>
            <w:vAlign w:val="bottom"/>
            <w:hideMark/>
          </w:tcPr>
          <w:p w14:paraId="63EE7164" w14:textId="77777777" w:rsidR="001D38FF" w:rsidRPr="00596193" w:rsidRDefault="001D38FF" w:rsidP="001D38FF">
            <w:pPr>
              <w:jc w:val="both"/>
              <w:rPr>
                <w:color w:val="000000"/>
                <w:sz w:val="20"/>
                <w:szCs w:val="20"/>
              </w:rPr>
            </w:pPr>
            <w:r w:rsidRPr="00596193">
              <w:rPr>
                <w:color w:val="000000"/>
                <w:sz w:val="20"/>
                <w:szCs w:val="20"/>
              </w:rPr>
              <w:t>Low-risk rural women (25-34)</w:t>
            </w:r>
          </w:p>
        </w:tc>
        <w:tc>
          <w:tcPr>
            <w:tcW w:w="237" w:type="pct"/>
            <w:shd w:val="clear" w:color="auto" w:fill="auto"/>
            <w:noWrap/>
            <w:vAlign w:val="bottom"/>
            <w:hideMark/>
          </w:tcPr>
          <w:p w14:paraId="4D80FCCB" w14:textId="77777777" w:rsidR="001D38FF" w:rsidRPr="00596193" w:rsidRDefault="001D38FF" w:rsidP="001D38FF">
            <w:pPr>
              <w:jc w:val="both"/>
              <w:rPr>
                <w:color w:val="000000"/>
                <w:sz w:val="20"/>
                <w:szCs w:val="20"/>
              </w:rPr>
            </w:pPr>
          </w:p>
        </w:tc>
        <w:tc>
          <w:tcPr>
            <w:tcW w:w="282" w:type="pct"/>
          </w:tcPr>
          <w:p w14:paraId="7BD1F34E" w14:textId="77777777" w:rsidR="001D38FF" w:rsidRPr="00596193" w:rsidRDefault="001D38FF" w:rsidP="001D38FF">
            <w:pPr>
              <w:jc w:val="both"/>
              <w:rPr>
                <w:color w:val="000000"/>
                <w:sz w:val="20"/>
                <w:szCs w:val="20"/>
              </w:rPr>
            </w:pPr>
          </w:p>
        </w:tc>
        <w:tc>
          <w:tcPr>
            <w:tcW w:w="251" w:type="pct"/>
          </w:tcPr>
          <w:p w14:paraId="5FA6B7F3" w14:textId="77777777" w:rsidR="001D38FF" w:rsidRPr="00596193" w:rsidRDefault="001D38FF" w:rsidP="001D38FF">
            <w:pPr>
              <w:jc w:val="both"/>
              <w:rPr>
                <w:color w:val="000000"/>
                <w:sz w:val="20"/>
                <w:szCs w:val="20"/>
              </w:rPr>
            </w:pPr>
          </w:p>
        </w:tc>
        <w:tc>
          <w:tcPr>
            <w:tcW w:w="253" w:type="pct"/>
          </w:tcPr>
          <w:p w14:paraId="5791F1E4" w14:textId="77777777" w:rsidR="001D38FF" w:rsidRPr="00596193" w:rsidRDefault="001D38FF" w:rsidP="001D38FF">
            <w:pPr>
              <w:jc w:val="both"/>
              <w:rPr>
                <w:color w:val="000000"/>
                <w:sz w:val="20"/>
                <w:szCs w:val="20"/>
              </w:rPr>
            </w:pPr>
          </w:p>
        </w:tc>
        <w:tc>
          <w:tcPr>
            <w:tcW w:w="250" w:type="pct"/>
            <w:vAlign w:val="bottom"/>
          </w:tcPr>
          <w:p w14:paraId="7DE41F3D" w14:textId="77777777" w:rsidR="001D38FF" w:rsidRPr="00596193" w:rsidRDefault="001D38FF" w:rsidP="001D38FF">
            <w:pPr>
              <w:jc w:val="both"/>
              <w:rPr>
                <w:color w:val="000000"/>
                <w:sz w:val="20"/>
                <w:szCs w:val="20"/>
              </w:rPr>
            </w:pPr>
          </w:p>
        </w:tc>
        <w:tc>
          <w:tcPr>
            <w:tcW w:w="234" w:type="pct"/>
          </w:tcPr>
          <w:p w14:paraId="14AD0D1C" w14:textId="77777777" w:rsidR="001D38FF" w:rsidRPr="00596193" w:rsidRDefault="001D38FF" w:rsidP="001D38FF">
            <w:pPr>
              <w:jc w:val="both"/>
              <w:rPr>
                <w:color w:val="000000"/>
                <w:sz w:val="20"/>
                <w:szCs w:val="20"/>
              </w:rPr>
            </w:pPr>
          </w:p>
        </w:tc>
        <w:tc>
          <w:tcPr>
            <w:tcW w:w="267" w:type="pct"/>
          </w:tcPr>
          <w:p w14:paraId="66EC3A59" w14:textId="3392755C" w:rsidR="001D38FF" w:rsidRPr="00596193" w:rsidRDefault="001D38FF" w:rsidP="001D38FF">
            <w:pPr>
              <w:jc w:val="both"/>
              <w:rPr>
                <w:color w:val="000000"/>
                <w:sz w:val="20"/>
                <w:szCs w:val="20"/>
              </w:rPr>
            </w:pPr>
          </w:p>
        </w:tc>
        <w:tc>
          <w:tcPr>
            <w:tcW w:w="250" w:type="pct"/>
          </w:tcPr>
          <w:p w14:paraId="46F0E301" w14:textId="77777777" w:rsidR="001D38FF" w:rsidRPr="00596193" w:rsidRDefault="001D38FF" w:rsidP="001D38FF">
            <w:pPr>
              <w:jc w:val="both"/>
              <w:rPr>
                <w:color w:val="000000"/>
                <w:sz w:val="20"/>
                <w:szCs w:val="20"/>
              </w:rPr>
            </w:pPr>
          </w:p>
        </w:tc>
        <w:tc>
          <w:tcPr>
            <w:tcW w:w="281" w:type="pct"/>
            <w:vAlign w:val="bottom"/>
          </w:tcPr>
          <w:p w14:paraId="2B3C82DB" w14:textId="77777777" w:rsidR="001D38FF" w:rsidRPr="00596193" w:rsidRDefault="001D38FF" w:rsidP="001D38FF">
            <w:pPr>
              <w:jc w:val="both"/>
              <w:rPr>
                <w:color w:val="000000"/>
                <w:sz w:val="20"/>
                <w:szCs w:val="20"/>
              </w:rPr>
            </w:pPr>
          </w:p>
        </w:tc>
        <w:tc>
          <w:tcPr>
            <w:tcW w:w="282" w:type="pct"/>
            <w:vAlign w:val="bottom"/>
          </w:tcPr>
          <w:p w14:paraId="4B74DBA8" w14:textId="77777777" w:rsidR="001D38FF" w:rsidRPr="00596193" w:rsidRDefault="001D38FF" w:rsidP="001D38FF">
            <w:pPr>
              <w:jc w:val="both"/>
              <w:rPr>
                <w:color w:val="000000"/>
                <w:sz w:val="20"/>
                <w:szCs w:val="20"/>
              </w:rPr>
            </w:pPr>
          </w:p>
        </w:tc>
        <w:tc>
          <w:tcPr>
            <w:tcW w:w="251" w:type="pct"/>
            <w:vAlign w:val="bottom"/>
          </w:tcPr>
          <w:p w14:paraId="5D1B9C8A" w14:textId="77777777" w:rsidR="001D38FF" w:rsidRPr="00596193" w:rsidRDefault="001D38FF" w:rsidP="001D38FF">
            <w:pPr>
              <w:jc w:val="both"/>
              <w:rPr>
                <w:color w:val="000000"/>
                <w:sz w:val="20"/>
                <w:szCs w:val="20"/>
              </w:rPr>
            </w:pPr>
          </w:p>
        </w:tc>
        <w:tc>
          <w:tcPr>
            <w:tcW w:w="250" w:type="pct"/>
            <w:vAlign w:val="bottom"/>
          </w:tcPr>
          <w:p w14:paraId="338F68CA" w14:textId="756E804A" w:rsidR="001D38FF" w:rsidRPr="00596193" w:rsidRDefault="001D38FF" w:rsidP="001D38FF">
            <w:pPr>
              <w:jc w:val="both"/>
              <w:rPr>
                <w:color w:val="000000"/>
                <w:sz w:val="20"/>
                <w:szCs w:val="20"/>
              </w:rPr>
            </w:pPr>
          </w:p>
        </w:tc>
        <w:tc>
          <w:tcPr>
            <w:tcW w:w="264" w:type="pct"/>
          </w:tcPr>
          <w:p w14:paraId="0E713BB7" w14:textId="77777777" w:rsidR="001D38FF" w:rsidRPr="00910FD4" w:rsidRDefault="001D38FF" w:rsidP="001D38FF">
            <w:pPr>
              <w:jc w:val="both"/>
              <w:rPr>
                <w:color w:val="000000"/>
                <w:sz w:val="20"/>
                <w:szCs w:val="20"/>
              </w:rPr>
            </w:pPr>
          </w:p>
        </w:tc>
        <w:tc>
          <w:tcPr>
            <w:tcW w:w="224" w:type="pct"/>
          </w:tcPr>
          <w:p w14:paraId="290CA1C4" w14:textId="77777777" w:rsidR="001D38FF" w:rsidRPr="00910FD4" w:rsidRDefault="001D38FF" w:rsidP="001D38FF">
            <w:pPr>
              <w:jc w:val="both"/>
              <w:rPr>
                <w:color w:val="000000"/>
                <w:sz w:val="20"/>
                <w:szCs w:val="20"/>
              </w:rPr>
            </w:pPr>
          </w:p>
        </w:tc>
        <w:tc>
          <w:tcPr>
            <w:tcW w:w="224" w:type="pct"/>
          </w:tcPr>
          <w:p w14:paraId="64A69E37" w14:textId="77777777" w:rsidR="001D38FF" w:rsidRPr="00910FD4" w:rsidRDefault="001D38FF" w:rsidP="001D38FF">
            <w:pPr>
              <w:jc w:val="both"/>
              <w:rPr>
                <w:color w:val="000000"/>
                <w:sz w:val="20"/>
                <w:szCs w:val="20"/>
              </w:rPr>
            </w:pPr>
          </w:p>
        </w:tc>
        <w:tc>
          <w:tcPr>
            <w:tcW w:w="224" w:type="pct"/>
          </w:tcPr>
          <w:p w14:paraId="1FB3CA27" w14:textId="5C88FD7B" w:rsidR="001D38FF" w:rsidRPr="00910FD4" w:rsidRDefault="001D38FF" w:rsidP="001D38FF">
            <w:pPr>
              <w:jc w:val="both"/>
              <w:rPr>
                <w:color w:val="000000"/>
                <w:sz w:val="20"/>
                <w:szCs w:val="20"/>
              </w:rPr>
            </w:pPr>
          </w:p>
        </w:tc>
      </w:tr>
      <w:tr w:rsidR="00760016" w:rsidRPr="008018B6" w14:paraId="064BFDB8" w14:textId="73B8C878" w:rsidTr="00760016">
        <w:trPr>
          <w:trHeight w:val="300"/>
        </w:trPr>
        <w:tc>
          <w:tcPr>
            <w:tcW w:w="976" w:type="pct"/>
            <w:shd w:val="clear" w:color="auto" w:fill="auto"/>
            <w:noWrap/>
            <w:vAlign w:val="bottom"/>
            <w:hideMark/>
          </w:tcPr>
          <w:p w14:paraId="0998B00E" w14:textId="77777777" w:rsidR="001D38FF" w:rsidRPr="00596193" w:rsidRDefault="001D38FF" w:rsidP="001D38FF">
            <w:pPr>
              <w:jc w:val="both"/>
              <w:rPr>
                <w:color w:val="000000"/>
                <w:sz w:val="20"/>
                <w:szCs w:val="20"/>
              </w:rPr>
            </w:pPr>
            <w:r w:rsidRPr="00596193">
              <w:rPr>
                <w:color w:val="000000"/>
                <w:sz w:val="20"/>
                <w:szCs w:val="20"/>
              </w:rPr>
              <w:t>Low-risk rural women (35-44)</w:t>
            </w:r>
          </w:p>
        </w:tc>
        <w:tc>
          <w:tcPr>
            <w:tcW w:w="237" w:type="pct"/>
            <w:shd w:val="clear" w:color="auto" w:fill="auto"/>
            <w:noWrap/>
            <w:vAlign w:val="bottom"/>
            <w:hideMark/>
          </w:tcPr>
          <w:p w14:paraId="41A6B90A" w14:textId="77777777" w:rsidR="001D38FF" w:rsidRPr="00596193" w:rsidRDefault="001D38FF" w:rsidP="001D38FF">
            <w:pPr>
              <w:jc w:val="both"/>
              <w:rPr>
                <w:color w:val="000000"/>
                <w:sz w:val="20"/>
                <w:szCs w:val="20"/>
              </w:rPr>
            </w:pPr>
          </w:p>
        </w:tc>
        <w:tc>
          <w:tcPr>
            <w:tcW w:w="282" w:type="pct"/>
          </w:tcPr>
          <w:p w14:paraId="235B50BD" w14:textId="77777777" w:rsidR="001D38FF" w:rsidRPr="00596193" w:rsidRDefault="001D38FF" w:rsidP="001D38FF">
            <w:pPr>
              <w:jc w:val="both"/>
              <w:rPr>
                <w:color w:val="000000"/>
                <w:sz w:val="20"/>
                <w:szCs w:val="20"/>
              </w:rPr>
            </w:pPr>
          </w:p>
        </w:tc>
        <w:tc>
          <w:tcPr>
            <w:tcW w:w="251" w:type="pct"/>
          </w:tcPr>
          <w:p w14:paraId="07684D09" w14:textId="77777777" w:rsidR="001D38FF" w:rsidRPr="00596193" w:rsidRDefault="001D38FF" w:rsidP="001D38FF">
            <w:pPr>
              <w:jc w:val="both"/>
              <w:rPr>
                <w:color w:val="000000"/>
                <w:sz w:val="20"/>
                <w:szCs w:val="20"/>
              </w:rPr>
            </w:pPr>
          </w:p>
        </w:tc>
        <w:tc>
          <w:tcPr>
            <w:tcW w:w="253" w:type="pct"/>
          </w:tcPr>
          <w:p w14:paraId="475B8784" w14:textId="77777777" w:rsidR="001D38FF" w:rsidRPr="00596193" w:rsidRDefault="001D38FF" w:rsidP="001D38FF">
            <w:pPr>
              <w:jc w:val="both"/>
              <w:rPr>
                <w:color w:val="000000"/>
                <w:sz w:val="20"/>
                <w:szCs w:val="20"/>
              </w:rPr>
            </w:pPr>
          </w:p>
        </w:tc>
        <w:tc>
          <w:tcPr>
            <w:tcW w:w="250" w:type="pct"/>
            <w:vAlign w:val="bottom"/>
          </w:tcPr>
          <w:p w14:paraId="3B777913" w14:textId="77777777" w:rsidR="001D38FF" w:rsidRPr="00596193" w:rsidRDefault="001D38FF" w:rsidP="001D38FF">
            <w:pPr>
              <w:jc w:val="both"/>
              <w:rPr>
                <w:color w:val="000000"/>
                <w:sz w:val="20"/>
                <w:szCs w:val="20"/>
              </w:rPr>
            </w:pPr>
          </w:p>
        </w:tc>
        <w:tc>
          <w:tcPr>
            <w:tcW w:w="234" w:type="pct"/>
          </w:tcPr>
          <w:p w14:paraId="278AAC44" w14:textId="77777777" w:rsidR="001D38FF" w:rsidRPr="00596193" w:rsidRDefault="001D38FF" w:rsidP="001D38FF">
            <w:pPr>
              <w:jc w:val="both"/>
              <w:rPr>
                <w:color w:val="000000"/>
                <w:sz w:val="20"/>
                <w:szCs w:val="20"/>
              </w:rPr>
            </w:pPr>
          </w:p>
        </w:tc>
        <w:tc>
          <w:tcPr>
            <w:tcW w:w="267" w:type="pct"/>
          </w:tcPr>
          <w:p w14:paraId="564F7DA2" w14:textId="4DDCB7F9" w:rsidR="001D38FF" w:rsidRPr="00596193" w:rsidRDefault="001D38FF" w:rsidP="001D38FF">
            <w:pPr>
              <w:jc w:val="both"/>
              <w:rPr>
                <w:color w:val="000000"/>
                <w:sz w:val="20"/>
                <w:szCs w:val="20"/>
              </w:rPr>
            </w:pPr>
          </w:p>
        </w:tc>
        <w:tc>
          <w:tcPr>
            <w:tcW w:w="250" w:type="pct"/>
          </w:tcPr>
          <w:p w14:paraId="45390F8B" w14:textId="77777777" w:rsidR="001D38FF" w:rsidRPr="00596193" w:rsidRDefault="001D38FF" w:rsidP="001D38FF">
            <w:pPr>
              <w:jc w:val="both"/>
              <w:rPr>
                <w:color w:val="000000"/>
                <w:sz w:val="20"/>
                <w:szCs w:val="20"/>
              </w:rPr>
            </w:pPr>
          </w:p>
        </w:tc>
        <w:tc>
          <w:tcPr>
            <w:tcW w:w="281" w:type="pct"/>
            <w:vAlign w:val="bottom"/>
          </w:tcPr>
          <w:p w14:paraId="3685FD38" w14:textId="77777777" w:rsidR="001D38FF" w:rsidRPr="00596193" w:rsidRDefault="001D38FF" w:rsidP="001D38FF">
            <w:pPr>
              <w:jc w:val="both"/>
              <w:rPr>
                <w:color w:val="000000"/>
                <w:sz w:val="20"/>
                <w:szCs w:val="20"/>
              </w:rPr>
            </w:pPr>
          </w:p>
        </w:tc>
        <w:tc>
          <w:tcPr>
            <w:tcW w:w="282" w:type="pct"/>
            <w:vAlign w:val="bottom"/>
          </w:tcPr>
          <w:p w14:paraId="4D502575" w14:textId="77777777" w:rsidR="001D38FF" w:rsidRPr="00596193" w:rsidRDefault="001D38FF" w:rsidP="001D38FF">
            <w:pPr>
              <w:jc w:val="both"/>
              <w:rPr>
                <w:color w:val="000000"/>
                <w:sz w:val="20"/>
                <w:szCs w:val="20"/>
              </w:rPr>
            </w:pPr>
          </w:p>
        </w:tc>
        <w:tc>
          <w:tcPr>
            <w:tcW w:w="251" w:type="pct"/>
            <w:vAlign w:val="bottom"/>
          </w:tcPr>
          <w:p w14:paraId="16B9EAB9" w14:textId="77777777" w:rsidR="001D38FF" w:rsidRPr="00596193" w:rsidRDefault="001D38FF" w:rsidP="001D38FF">
            <w:pPr>
              <w:jc w:val="both"/>
              <w:rPr>
                <w:color w:val="000000"/>
                <w:sz w:val="20"/>
                <w:szCs w:val="20"/>
              </w:rPr>
            </w:pPr>
          </w:p>
        </w:tc>
        <w:tc>
          <w:tcPr>
            <w:tcW w:w="250" w:type="pct"/>
            <w:vAlign w:val="bottom"/>
          </w:tcPr>
          <w:p w14:paraId="716CB0E1" w14:textId="39D1891D" w:rsidR="001D38FF" w:rsidRPr="00596193" w:rsidRDefault="001D38FF" w:rsidP="001D38FF">
            <w:pPr>
              <w:jc w:val="both"/>
              <w:rPr>
                <w:color w:val="000000"/>
                <w:sz w:val="20"/>
                <w:szCs w:val="20"/>
              </w:rPr>
            </w:pPr>
          </w:p>
        </w:tc>
        <w:tc>
          <w:tcPr>
            <w:tcW w:w="264" w:type="pct"/>
          </w:tcPr>
          <w:p w14:paraId="4F6D23B6" w14:textId="77777777" w:rsidR="001D38FF" w:rsidRPr="00910FD4" w:rsidRDefault="001D38FF" w:rsidP="001D38FF">
            <w:pPr>
              <w:jc w:val="both"/>
              <w:rPr>
                <w:color w:val="000000"/>
                <w:sz w:val="20"/>
                <w:szCs w:val="20"/>
              </w:rPr>
            </w:pPr>
          </w:p>
        </w:tc>
        <w:tc>
          <w:tcPr>
            <w:tcW w:w="224" w:type="pct"/>
          </w:tcPr>
          <w:p w14:paraId="28FFEAAA" w14:textId="77777777" w:rsidR="001D38FF" w:rsidRPr="00910FD4" w:rsidRDefault="001D38FF" w:rsidP="001D38FF">
            <w:pPr>
              <w:jc w:val="both"/>
              <w:rPr>
                <w:color w:val="000000"/>
                <w:sz w:val="20"/>
                <w:szCs w:val="20"/>
              </w:rPr>
            </w:pPr>
          </w:p>
        </w:tc>
        <w:tc>
          <w:tcPr>
            <w:tcW w:w="224" w:type="pct"/>
          </w:tcPr>
          <w:p w14:paraId="7CDA44A9" w14:textId="77777777" w:rsidR="001D38FF" w:rsidRPr="00910FD4" w:rsidRDefault="001D38FF" w:rsidP="001D38FF">
            <w:pPr>
              <w:jc w:val="both"/>
              <w:rPr>
                <w:color w:val="000000"/>
                <w:sz w:val="20"/>
                <w:szCs w:val="20"/>
              </w:rPr>
            </w:pPr>
          </w:p>
        </w:tc>
        <w:tc>
          <w:tcPr>
            <w:tcW w:w="224" w:type="pct"/>
          </w:tcPr>
          <w:p w14:paraId="71CAA5EA" w14:textId="12DD50B0" w:rsidR="001D38FF" w:rsidRPr="00910FD4" w:rsidRDefault="001D38FF" w:rsidP="001D38FF">
            <w:pPr>
              <w:jc w:val="both"/>
              <w:rPr>
                <w:color w:val="000000"/>
                <w:sz w:val="20"/>
                <w:szCs w:val="20"/>
              </w:rPr>
            </w:pPr>
          </w:p>
        </w:tc>
      </w:tr>
      <w:tr w:rsidR="00760016" w:rsidRPr="008018B6" w14:paraId="77433E9A" w14:textId="0C5AB2A8" w:rsidTr="00760016">
        <w:trPr>
          <w:trHeight w:val="300"/>
        </w:trPr>
        <w:tc>
          <w:tcPr>
            <w:tcW w:w="976" w:type="pct"/>
            <w:shd w:val="clear" w:color="auto" w:fill="auto"/>
            <w:noWrap/>
            <w:vAlign w:val="bottom"/>
            <w:hideMark/>
          </w:tcPr>
          <w:p w14:paraId="2C512B20" w14:textId="77777777" w:rsidR="001D38FF" w:rsidRPr="00596193" w:rsidRDefault="001D38FF" w:rsidP="001D38FF">
            <w:pPr>
              <w:jc w:val="both"/>
              <w:rPr>
                <w:color w:val="000000"/>
                <w:sz w:val="20"/>
                <w:szCs w:val="20"/>
              </w:rPr>
            </w:pPr>
            <w:r w:rsidRPr="00596193">
              <w:rPr>
                <w:color w:val="000000"/>
                <w:sz w:val="20"/>
                <w:szCs w:val="20"/>
              </w:rPr>
              <w:t>Low-risk rural women (45-54)</w:t>
            </w:r>
          </w:p>
        </w:tc>
        <w:tc>
          <w:tcPr>
            <w:tcW w:w="237" w:type="pct"/>
            <w:shd w:val="clear" w:color="auto" w:fill="auto"/>
            <w:noWrap/>
            <w:vAlign w:val="bottom"/>
            <w:hideMark/>
          </w:tcPr>
          <w:p w14:paraId="40F035B4" w14:textId="77777777" w:rsidR="001D38FF" w:rsidRPr="00596193" w:rsidRDefault="001D38FF" w:rsidP="001D38FF">
            <w:pPr>
              <w:jc w:val="both"/>
              <w:rPr>
                <w:color w:val="000000"/>
                <w:sz w:val="20"/>
                <w:szCs w:val="20"/>
              </w:rPr>
            </w:pPr>
          </w:p>
        </w:tc>
        <w:tc>
          <w:tcPr>
            <w:tcW w:w="282" w:type="pct"/>
          </w:tcPr>
          <w:p w14:paraId="71987518" w14:textId="77777777" w:rsidR="001D38FF" w:rsidRPr="00596193" w:rsidRDefault="001D38FF" w:rsidP="001D38FF">
            <w:pPr>
              <w:jc w:val="both"/>
              <w:rPr>
                <w:color w:val="000000"/>
                <w:sz w:val="20"/>
                <w:szCs w:val="20"/>
              </w:rPr>
            </w:pPr>
          </w:p>
        </w:tc>
        <w:tc>
          <w:tcPr>
            <w:tcW w:w="251" w:type="pct"/>
          </w:tcPr>
          <w:p w14:paraId="49A6C39C" w14:textId="77777777" w:rsidR="001D38FF" w:rsidRPr="00596193" w:rsidRDefault="001D38FF" w:rsidP="001D38FF">
            <w:pPr>
              <w:jc w:val="both"/>
              <w:rPr>
                <w:color w:val="000000"/>
                <w:sz w:val="20"/>
                <w:szCs w:val="20"/>
              </w:rPr>
            </w:pPr>
          </w:p>
        </w:tc>
        <w:tc>
          <w:tcPr>
            <w:tcW w:w="253" w:type="pct"/>
          </w:tcPr>
          <w:p w14:paraId="1E741071" w14:textId="77777777" w:rsidR="001D38FF" w:rsidRPr="00596193" w:rsidRDefault="001D38FF" w:rsidP="001D38FF">
            <w:pPr>
              <w:jc w:val="both"/>
              <w:rPr>
                <w:color w:val="000000"/>
                <w:sz w:val="20"/>
                <w:szCs w:val="20"/>
              </w:rPr>
            </w:pPr>
          </w:p>
        </w:tc>
        <w:tc>
          <w:tcPr>
            <w:tcW w:w="250" w:type="pct"/>
            <w:vAlign w:val="bottom"/>
          </w:tcPr>
          <w:p w14:paraId="409FACD9" w14:textId="77777777" w:rsidR="001D38FF" w:rsidRPr="00596193" w:rsidRDefault="001D38FF" w:rsidP="001D38FF">
            <w:pPr>
              <w:jc w:val="both"/>
              <w:rPr>
                <w:color w:val="000000"/>
                <w:sz w:val="20"/>
                <w:szCs w:val="20"/>
              </w:rPr>
            </w:pPr>
          </w:p>
        </w:tc>
        <w:tc>
          <w:tcPr>
            <w:tcW w:w="234" w:type="pct"/>
          </w:tcPr>
          <w:p w14:paraId="1D01E961" w14:textId="77777777" w:rsidR="001D38FF" w:rsidRPr="00596193" w:rsidRDefault="001D38FF" w:rsidP="001D38FF">
            <w:pPr>
              <w:jc w:val="both"/>
              <w:rPr>
                <w:color w:val="000000"/>
                <w:sz w:val="20"/>
                <w:szCs w:val="20"/>
              </w:rPr>
            </w:pPr>
          </w:p>
        </w:tc>
        <w:tc>
          <w:tcPr>
            <w:tcW w:w="267" w:type="pct"/>
          </w:tcPr>
          <w:p w14:paraId="336C0213" w14:textId="0DFF7A42" w:rsidR="001D38FF" w:rsidRPr="00596193" w:rsidRDefault="001D38FF" w:rsidP="001D38FF">
            <w:pPr>
              <w:jc w:val="both"/>
              <w:rPr>
                <w:color w:val="000000"/>
                <w:sz w:val="20"/>
                <w:szCs w:val="20"/>
              </w:rPr>
            </w:pPr>
          </w:p>
        </w:tc>
        <w:tc>
          <w:tcPr>
            <w:tcW w:w="250" w:type="pct"/>
          </w:tcPr>
          <w:p w14:paraId="22EC9C30" w14:textId="77777777" w:rsidR="001D38FF" w:rsidRPr="00596193" w:rsidRDefault="001D38FF" w:rsidP="001D38FF">
            <w:pPr>
              <w:jc w:val="both"/>
              <w:rPr>
                <w:color w:val="000000"/>
                <w:sz w:val="20"/>
                <w:szCs w:val="20"/>
              </w:rPr>
            </w:pPr>
          </w:p>
        </w:tc>
        <w:tc>
          <w:tcPr>
            <w:tcW w:w="281" w:type="pct"/>
            <w:vAlign w:val="bottom"/>
          </w:tcPr>
          <w:p w14:paraId="6B47A747" w14:textId="77777777" w:rsidR="001D38FF" w:rsidRPr="00596193" w:rsidRDefault="001D38FF" w:rsidP="001D38FF">
            <w:pPr>
              <w:jc w:val="both"/>
              <w:rPr>
                <w:color w:val="000000"/>
                <w:sz w:val="20"/>
                <w:szCs w:val="20"/>
              </w:rPr>
            </w:pPr>
          </w:p>
        </w:tc>
        <w:tc>
          <w:tcPr>
            <w:tcW w:w="282" w:type="pct"/>
            <w:vAlign w:val="bottom"/>
          </w:tcPr>
          <w:p w14:paraId="36E93572" w14:textId="77777777" w:rsidR="001D38FF" w:rsidRPr="00596193" w:rsidRDefault="001D38FF" w:rsidP="001D38FF">
            <w:pPr>
              <w:jc w:val="both"/>
              <w:rPr>
                <w:color w:val="000000"/>
                <w:sz w:val="20"/>
                <w:szCs w:val="20"/>
              </w:rPr>
            </w:pPr>
          </w:p>
        </w:tc>
        <w:tc>
          <w:tcPr>
            <w:tcW w:w="251" w:type="pct"/>
            <w:vAlign w:val="bottom"/>
          </w:tcPr>
          <w:p w14:paraId="2BB42A8F" w14:textId="77777777" w:rsidR="001D38FF" w:rsidRPr="00596193" w:rsidRDefault="001D38FF" w:rsidP="001D38FF">
            <w:pPr>
              <w:jc w:val="both"/>
              <w:rPr>
                <w:color w:val="000000"/>
                <w:sz w:val="20"/>
                <w:szCs w:val="20"/>
              </w:rPr>
            </w:pPr>
          </w:p>
        </w:tc>
        <w:tc>
          <w:tcPr>
            <w:tcW w:w="250" w:type="pct"/>
            <w:vAlign w:val="bottom"/>
          </w:tcPr>
          <w:p w14:paraId="48B6D1FB" w14:textId="60EFD192" w:rsidR="001D38FF" w:rsidRPr="00596193" w:rsidRDefault="001D38FF" w:rsidP="001D38FF">
            <w:pPr>
              <w:jc w:val="both"/>
              <w:rPr>
                <w:color w:val="000000"/>
                <w:sz w:val="20"/>
                <w:szCs w:val="20"/>
              </w:rPr>
            </w:pPr>
          </w:p>
        </w:tc>
        <w:tc>
          <w:tcPr>
            <w:tcW w:w="264" w:type="pct"/>
          </w:tcPr>
          <w:p w14:paraId="42129F9E" w14:textId="77777777" w:rsidR="001D38FF" w:rsidRPr="00910FD4" w:rsidRDefault="001D38FF" w:rsidP="001D38FF">
            <w:pPr>
              <w:jc w:val="both"/>
              <w:rPr>
                <w:color w:val="000000"/>
                <w:sz w:val="20"/>
                <w:szCs w:val="20"/>
              </w:rPr>
            </w:pPr>
          </w:p>
        </w:tc>
        <w:tc>
          <w:tcPr>
            <w:tcW w:w="224" w:type="pct"/>
          </w:tcPr>
          <w:p w14:paraId="5F823D46" w14:textId="77777777" w:rsidR="001D38FF" w:rsidRPr="00910FD4" w:rsidRDefault="001D38FF" w:rsidP="001D38FF">
            <w:pPr>
              <w:jc w:val="both"/>
              <w:rPr>
                <w:color w:val="000000"/>
                <w:sz w:val="20"/>
                <w:szCs w:val="20"/>
              </w:rPr>
            </w:pPr>
          </w:p>
        </w:tc>
        <w:tc>
          <w:tcPr>
            <w:tcW w:w="224" w:type="pct"/>
          </w:tcPr>
          <w:p w14:paraId="22758E35" w14:textId="77777777" w:rsidR="001D38FF" w:rsidRPr="00910FD4" w:rsidRDefault="001D38FF" w:rsidP="001D38FF">
            <w:pPr>
              <w:jc w:val="both"/>
              <w:rPr>
                <w:color w:val="000000"/>
                <w:sz w:val="20"/>
                <w:szCs w:val="20"/>
              </w:rPr>
            </w:pPr>
          </w:p>
        </w:tc>
        <w:tc>
          <w:tcPr>
            <w:tcW w:w="224" w:type="pct"/>
          </w:tcPr>
          <w:p w14:paraId="28A25929" w14:textId="62ADD6B4" w:rsidR="001D38FF" w:rsidRPr="00910FD4" w:rsidRDefault="001D38FF" w:rsidP="001D38FF">
            <w:pPr>
              <w:jc w:val="both"/>
              <w:rPr>
                <w:color w:val="000000"/>
                <w:sz w:val="20"/>
                <w:szCs w:val="20"/>
              </w:rPr>
            </w:pPr>
          </w:p>
        </w:tc>
      </w:tr>
      <w:tr w:rsidR="00760016" w:rsidRPr="008018B6" w14:paraId="224EFD68" w14:textId="0D63932B" w:rsidTr="00760016">
        <w:trPr>
          <w:trHeight w:val="300"/>
        </w:trPr>
        <w:tc>
          <w:tcPr>
            <w:tcW w:w="976" w:type="pct"/>
            <w:shd w:val="clear" w:color="auto" w:fill="auto"/>
            <w:noWrap/>
            <w:vAlign w:val="bottom"/>
            <w:hideMark/>
          </w:tcPr>
          <w:p w14:paraId="69C58970" w14:textId="634049CB" w:rsidR="001D38FF" w:rsidRPr="00596193" w:rsidRDefault="001D38FF" w:rsidP="001D38FF">
            <w:pPr>
              <w:jc w:val="both"/>
              <w:rPr>
                <w:color w:val="000000"/>
                <w:sz w:val="20"/>
                <w:szCs w:val="20"/>
              </w:rPr>
            </w:pPr>
            <w:r w:rsidRPr="00596193">
              <w:rPr>
                <w:color w:val="000000"/>
                <w:sz w:val="20"/>
                <w:szCs w:val="20"/>
              </w:rPr>
              <w:t>Low-risk rural women (55-64)</w:t>
            </w:r>
          </w:p>
        </w:tc>
        <w:tc>
          <w:tcPr>
            <w:tcW w:w="237" w:type="pct"/>
            <w:shd w:val="clear" w:color="auto" w:fill="auto"/>
            <w:noWrap/>
            <w:vAlign w:val="bottom"/>
            <w:hideMark/>
          </w:tcPr>
          <w:p w14:paraId="5A367251" w14:textId="77777777" w:rsidR="001D38FF" w:rsidRPr="00596193" w:rsidRDefault="001D38FF" w:rsidP="001D38FF">
            <w:pPr>
              <w:jc w:val="both"/>
              <w:rPr>
                <w:color w:val="000000"/>
                <w:sz w:val="20"/>
                <w:szCs w:val="20"/>
              </w:rPr>
            </w:pPr>
          </w:p>
        </w:tc>
        <w:tc>
          <w:tcPr>
            <w:tcW w:w="282" w:type="pct"/>
          </w:tcPr>
          <w:p w14:paraId="6D69D7A5" w14:textId="77777777" w:rsidR="001D38FF" w:rsidRPr="00596193" w:rsidRDefault="001D38FF" w:rsidP="001D38FF">
            <w:pPr>
              <w:jc w:val="both"/>
              <w:rPr>
                <w:color w:val="000000"/>
                <w:sz w:val="20"/>
                <w:szCs w:val="20"/>
              </w:rPr>
            </w:pPr>
          </w:p>
        </w:tc>
        <w:tc>
          <w:tcPr>
            <w:tcW w:w="251" w:type="pct"/>
          </w:tcPr>
          <w:p w14:paraId="4863CDE6" w14:textId="77777777" w:rsidR="001D38FF" w:rsidRPr="00596193" w:rsidRDefault="001D38FF" w:rsidP="001D38FF">
            <w:pPr>
              <w:jc w:val="both"/>
              <w:rPr>
                <w:color w:val="000000"/>
                <w:sz w:val="20"/>
                <w:szCs w:val="20"/>
              </w:rPr>
            </w:pPr>
          </w:p>
        </w:tc>
        <w:tc>
          <w:tcPr>
            <w:tcW w:w="253" w:type="pct"/>
          </w:tcPr>
          <w:p w14:paraId="64826F78" w14:textId="77777777" w:rsidR="001D38FF" w:rsidRPr="00596193" w:rsidRDefault="001D38FF" w:rsidP="001D38FF">
            <w:pPr>
              <w:jc w:val="both"/>
              <w:rPr>
                <w:color w:val="000000"/>
                <w:sz w:val="20"/>
                <w:szCs w:val="20"/>
              </w:rPr>
            </w:pPr>
          </w:p>
        </w:tc>
        <w:tc>
          <w:tcPr>
            <w:tcW w:w="250" w:type="pct"/>
            <w:vAlign w:val="bottom"/>
          </w:tcPr>
          <w:p w14:paraId="3D4F1120" w14:textId="77777777" w:rsidR="001D38FF" w:rsidRPr="00596193" w:rsidRDefault="001D38FF" w:rsidP="001D38FF">
            <w:pPr>
              <w:jc w:val="both"/>
              <w:rPr>
                <w:color w:val="000000"/>
                <w:sz w:val="20"/>
                <w:szCs w:val="20"/>
              </w:rPr>
            </w:pPr>
          </w:p>
        </w:tc>
        <w:tc>
          <w:tcPr>
            <w:tcW w:w="234" w:type="pct"/>
          </w:tcPr>
          <w:p w14:paraId="08F51311" w14:textId="77777777" w:rsidR="001D38FF" w:rsidRPr="00596193" w:rsidRDefault="001D38FF" w:rsidP="001D38FF">
            <w:pPr>
              <w:jc w:val="both"/>
              <w:rPr>
                <w:color w:val="000000"/>
                <w:sz w:val="20"/>
                <w:szCs w:val="20"/>
              </w:rPr>
            </w:pPr>
          </w:p>
        </w:tc>
        <w:tc>
          <w:tcPr>
            <w:tcW w:w="267" w:type="pct"/>
          </w:tcPr>
          <w:p w14:paraId="5D855E3B" w14:textId="6D62F8F0" w:rsidR="001D38FF" w:rsidRPr="00596193" w:rsidRDefault="001D38FF" w:rsidP="001D38FF">
            <w:pPr>
              <w:jc w:val="both"/>
              <w:rPr>
                <w:color w:val="000000"/>
                <w:sz w:val="20"/>
                <w:szCs w:val="20"/>
              </w:rPr>
            </w:pPr>
          </w:p>
        </w:tc>
        <w:tc>
          <w:tcPr>
            <w:tcW w:w="250" w:type="pct"/>
          </w:tcPr>
          <w:p w14:paraId="699DB458" w14:textId="77777777" w:rsidR="001D38FF" w:rsidRPr="00596193" w:rsidRDefault="001D38FF" w:rsidP="001D38FF">
            <w:pPr>
              <w:jc w:val="both"/>
              <w:rPr>
                <w:color w:val="000000"/>
                <w:sz w:val="20"/>
                <w:szCs w:val="20"/>
              </w:rPr>
            </w:pPr>
          </w:p>
        </w:tc>
        <w:tc>
          <w:tcPr>
            <w:tcW w:w="281" w:type="pct"/>
            <w:vAlign w:val="bottom"/>
          </w:tcPr>
          <w:p w14:paraId="5A1CF5E5" w14:textId="77777777" w:rsidR="001D38FF" w:rsidRPr="00596193" w:rsidRDefault="001D38FF" w:rsidP="001D38FF">
            <w:pPr>
              <w:jc w:val="both"/>
              <w:rPr>
                <w:color w:val="000000"/>
                <w:sz w:val="20"/>
                <w:szCs w:val="20"/>
              </w:rPr>
            </w:pPr>
          </w:p>
        </w:tc>
        <w:tc>
          <w:tcPr>
            <w:tcW w:w="282" w:type="pct"/>
            <w:vAlign w:val="bottom"/>
          </w:tcPr>
          <w:p w14:paraId="24123D91" w14:textId="77777777" w:rsidR="001D38FF" w:rsidRPr="00596193" w:rsidRDefault="001D38FF" w:rsidP="001D38FF">
            <w:pPr>
              <w:jc w:val="both"/>
              <w:rPr>
                <w:color w:val="000000"/>
                <w:sz w:val="20"/>
                <w:szCs w:val="20"/>
              </w:rPr>
            </w:pPr>
          </w:p>
        </w:tc>
        <w:tc>
          <w:tcPr>
            <w:tcW w:w="251" w:type="pct"/>
            <w:vAlign w:val="bottom"/>
          </w:tcPr>
          <w:p w14:paraId="6AD0A250" w14:textId="77777777" w:rsidR="001D38FF" w:rsidRPr="00596193" w:rsidRDefault="001D38FF" w:rsidP="001D38FF">
            <w:pPr>
              <w:jc w:val="both"/>
              <w:rPr>
                <w:color w:val="000000"/>
                <w:sz w:val="20"/>
                <w:szCs w:val="20"/>
              </w:rPr>
            </w:pPr>
          </w:p>
        </w:tc>
        <w:tc>
          <w:tcPr>
            <w:tcW w:w="250" w:type="pct"/>
            <w:vAlign w:val="bottom"/>
          </w:tcPr>
          <w:p w14:paraId="1D50D683" w14:textId="1222BF98" w:rsidR="001D38FF" w:rsidRPr="00596193" w:rsidRDefault="001D38FF" w:rsidP="001D38FF">
            <w:pPr>
              <w:jc w:val="both"/>
              <w:rPr>
                <w:color w:val="000000"/>
                <w:sz w:val="20"/>
                <w:szCs w:val="20"/>
              </w:rPr>
            </w:pPr>
          </w:p>
        </w:tc>
        <w:tc>
          <w:tcPr>
            <w:tcW w:w="264" w:type="pct"/>
          </w:tcPr>
          <w:p w14:paraId="24F2AA1E" w14:textId="77777777" w:rsidR="001D38FF" w:rsidRPr="00910FD4" w:rsidRDefault="001D38FF" w:rsidP="001D38FF">
            <w:pPr>
              <w:jc w:val="both"/>
              <w:rPr>
                <w:color w:val="000000"/>
                <w:sz w:val="20"/>
                <w:szCs w:val="20"/>
              </w:rPr>
            </w:pPr>
          </w:p>
        </w:tc>
        <w:tc>
          <w:tcPr>
            <w:tcW w:w="224" w:type="pct"/>
          </w:tcPr>
          <w:p w14:paraId="0C74F98C" w14:textId="77777777" w:rsidR="001D38FF" w:rsidRPr="00910FD4" w:rsidRDefault="001D38FF" w:rsidP="001D38FF">
            <w:pPr>
              <w:jc w:val="both"/>
              <w:rPr>
                <w:color w:val="000000"/>
                <w:sz w:val="20"/>
                <w:szCs w:val="20"/>
              </w:rPr>
            </w:pPr>
          </w:p>
        </w:tc>
        <w:tc>
          <w:tcPr>
            <w:tcW w:w="224" w:type="pct"/>
          </w:tcPr>
          <w:p w14:paraId="7E962F9F" w14:textId="77777777" w:rsidR="001D38FF" w:rsidRPr="00910FD4" w:rsidRDefault="001D38FF" w:rsidP="001D38FF">
            <w:pPr>
              <w:jc w:val="both"/>
              <w:rPr>
                <w:color w:val="000000"/>
                <w:sz w:val="20"/>
                <w:szCs w:val="20"/>
              </w:rPr>
            </w:pPr>
          </w:p>
        </w:tc>
        <w:tc>
          <w:tcPr>
            <w:tcW w:w="224" w:type="pct"/>
          </w:tcPr>
          <w:p w14:paraId="414229EB" w14:textId="106C4729" w:rsidR="001D38FF" w:rsidRPr="00910FD4" w:rsidRDefault="001D38FF" w:rsidP="001D38FF">
            <w:pPr>
              <w:jc w:val="both"/>
              <w:rPr>
                <w:color w:val="000000"/>
                <w:sz w:val="20"/>
                <w:szCs w:val="20"/>
              </w:rPr>
            </w:pPr>
          </w:p>
        </w:tc>
      </w:tr>
      <w:tr w:rsidR="00760016" w:rsidRPr="008018B6" w14:paraId="6F45E273" w14:textId="7F492972" w:rsidTr="00760016">
        <w:trPr>
          <w:trHeight w:val="300"/>
        </w:trPr>
        <w:tc>
          <w:tcPr>
            <w:tcW w:w="976" w:type="pct"/>
            <w:shd w:val="clear" w:color="auto" w:fill="auto"/>
            <w:noWrap/>
            <w:vAlign w:val="bottom"/>
            <w:hideMark/>
          </w:tcPr>
          <w:p w14:paraId="4B5C3AE0" w14:textId="77777777" w:rsidR="001D38FF" w:rsidRPr="00596193" w:rsidRDefault="001D38FF" w:rsidP="001D38FF">
            <w:pPr>
              <w:jc w:val="both"/>
              <w:rPr>
                <w:color w:val="000000"/>
                <w:sz w:val="20"/>
                <w:szCs w:val="20"/>
              </w:rPr>
            </w:pPr>
            <w:r w:rsidRPr="00596193">
              <w:rPr>
                <w:color w:val="000000"/>
                <w:sz w:val="20"/>
                <w:szCs w:val="20"/>
              </w:rPr>
              <w:t>Urban men (15-24)</w:t>
            </w:r>
          </w:p>
        </w:tc>
        <w:tc>
          <w:tcPr>
            <w:tcW w:w="237" w:type="pct"/>
            <w:shd w:val="clear" w:color="auto" w:fill="auto"/>
            <w:noWrap/>
            <w:vAlign w:val="bottom"/>
            <w:hideMark/>
          </w:tcPr>
          <w:p w14:paraId="2C4B70C7" w14:textId="77777777" w:rsidR="001D38FF" w:rsidRPr="00596193" w:rsidRDefault="001D38FF" w:rsidP="001D38FF">
            <w:pPr>
              <w:jc w:val="both"/>
              <w:rPr>
                <w:color w:val="000000"/>
                <w:sz w:val="20"/>
                <w:szCs w:val="20"/>
              </w:rPr>
            </w:pPr>
          </w:p>
        </w:tc>
        <w:tc>
          <w:tcPr>
            <w:tcW w:w="282" w:type="pct"/>
          </w:tcPr>
          <w:p w14:paraId="05DEADAA" w14:textId="77777777" w:rsidR="001D38FF" w:rsidRPr="00596193" w:rsidRDefault="001D38FF" w:rsidP="001D38FF">
            <w:pPr>
              <w:jc w:val="both"/>
              <w:rPr>
                <w:color w:val="000000"/>
                <w:sz w:val="20"/>
                <w:szCs w:val="20"/>
              </w:rPr>
            </w:pPr>
          </w:p>
        </w:tc>
        <w:tc>
          <w:tcPr>
            <w:tcW w:w="251" w:type="pct"/>
          </w:tcPr>
          <w:p w14:paraId="778067F3" w14:textId="77777777" w:rsidR="001D38FF" w:rsidRPr="00596193" w:rsidRDefault="001D38FF" w:rsidP="001D38FF">
            <w:pPr>
              <w:jc w:val="both"/>
              <w:rPr>
                <w:color w:val="000000"/>
                <w:sz w:val="20"/>
                <w:szCs w:val="20"/>
              </w:rPr>
            </w:pPr>
          </w:p>
        </w:tc>
        <w:tc>
          <w:tcPr>
            <w:tcW w:w="253" w:type="pct"/>
          </w:tcPr>
          <w:p w14:paraId="15E27B98" w14:textId="77777777" w:rsidR="001D38FF" w:rsidRPr="00596193" w:rsidRDefault="001D38FF" w:rsidP="001D38FF">
            <w:pPr>
              <w:jc w:val="both"/>
              <w:rPr>
                <w:color w:val="000000"/>
                <w:sz w:val="20"/>
                <w:szCs w:val="20"/>
              </w:rPr>
            </w:pPr>
          </w:p>
        </w:tc>
        <w:tc>
          <w:tcPr>
            <w:tcW w:w="250" w:type="pct"/>
            <w:vAlign w:val="bottom"/>
          </w:tcPr>
          <w:p w14:paraId="55EBCE35" w14:textId="77777777" w:rsidR="001D38FF" w:rsidRPr="00596193" w:rsidRDefault="001D38FF" w:rsidP="001D38FF">
            <w:pPr>
              <w:jc w:val="both"/>
              <w:rPr>
                <w:color w:val="000000"/>
                <w:sz w:val="20"/>
                <w:szCs w:val="20"/>
              </w:rPr>
            </w:pPr>
          </w:p>
        </w:tc>
        <w:tc>
          <w:tcPr>
            <w:tcW w:w="234" w:type="pct"/>
          </w:tcPr>
          <w:p w14:paraId="55B0BB08" w14:textId="77777777" w:rsidR="001D38FF" w:rsidRPr="00596193" w:rsidRDefault="001D38FF" w:rsidP="001D38FF">
            <w:pPr>
              <w:jc w:val="both"/>
              <w:rPr>
                <w:color w:val="000000"/>
                <w:sz w:val="20"/>
                <w:szCs w:val="20"/>
              </w:rPr>
            </w:pPr>
          </w:p>
        </w:tc>
        <w:tc>
          <w:tcPr>
            <w:tcW w:w="267" w:type="pct"/>
          </w:tcPr>
          <w:p w14:paraId="3374C669" w14:textId="3CE91AAA" w:rsidR="001D38FF" w:rsidRPr="00596193" w:rsidRDefault="001D38FF" w:rsidP="001D38FF">
            <w:pPr>
              <w:jc w:val="both"/>
              <w:rPr>
                <w:color w:val="000000"/>
                <w:sz w:val="20"/>
                <w:szCs w:val="20"/>
              </w:rPr>
            </w:pPr>
          </w:p>
        </w:tc>
        <w:tc>
          <w:tcPr>
            <w:tcW w:w="250" w:type="pct"/>
          </w:tcPr>
          <w:p w14:paraId="78E3E1E7" w14:textId="77777777" w:rsidR="001D38FF" w:rsidRPr="00596193" w:rsidRDefault="001D38FF" w:rsidP="001D38FF">
            <w:pPr>
              <w:jc w:val="both"/>
              <w:rPr>
                <w:color w:val="000000"/>
                <w:sz w:val="20"/>
                <w:szCs w:val="20"/>
              </w:rPr>
            </w:pPr>
          </w:p>
        </w:tc>
        <w:tc>
          <w:tcPr>
            <w:tcW w:w="281" w:type="pct"/>
            <w:vAlign w:val="bottom"/>
          </w:tcPr>
          <w:p w14:paraId="4A390983" w14:textId="77777777" w:rsidR="001D38FF" w:rsidRPr="00596193" w:rsidRDefault="001D38FF" w:rsidP="001D38FF">
            <w:pPr>
              <w:jc w:val="both"/>
              <w:rPr>
                <w:color w:val="000000"/>
                <w:sz w:val="20"/>
                <w:szCs w:val="20"/>
              </w:rPr>
            </w:pPr>
          </w:p>
        </w:tc>
        <w:tc>
          <w:tcPr>
            <w:tcW w:w="282" w:type="pct"/>
            <w:vAlign w:val="bottom"/>
          </w:tcPr>
          <w:p w14:paraId="092ECF45" w14:textId="77777777" w:rsidR="001D38FF" w:rsidRPr="00596193" w:rsidRDefault="001D38FF" w:rsidP="001D38FF">
            <w:pPr>
              <w:jc w:val="both"/>
              <w:rPr>
                <w:color w:val="000000"/>
                <w:sz w:val="20"/>
                <w:szCs w:val="20"/>
              </w:rPr>
            </w:pPr>
          </w:p>
        </w:tc>
        <w:tc>
          <w:tcPr>
            <w:tcW w:w="251" w:type="pct"/>
            <w:vAlign w:val="bottom"/>
          </w:tcPr>
          <w:p w14:paraId="63D23406" w14:textId="77777777" w:rsidR="001D38FF" w:rsidRPr="00596193" w:rsidRDefault="001D38FF" w:rsidP="001D38FF">
            <w:pPr>
              <w:jc w:val="both"/>
              <w:rPr>
                <w:color w:val="000000"/>
                <w:sz w:val="20"/>
                <w:szCs w:val="20"/>
              </w:rPr>
            </w:pPr>
          </w:p>
        </w:tc>
        <w:tc>
          <w:tcPr>
            <w:tcW w:w="250" w:type="pct"/>
            <w:vAlign w:val="bottom"/>
          </w:tcPr>
          <w:p w14:paraId="5252A404" w14:textId="1FE90A33" w:rsidR="001D38FF" w:rsidRPr="00596193" w:rsidRDefault="001D38FF" w:rsidP="001D38FF">
            <w:pPr>
              <w:jc w:val="both"/>
              <w:rPr>
                <w:color w:val="000000"/>
                <w:sz w:val="20"/>
                <w:szCs w:val="20"/>
              </w:rPr>
            </w:pPr>
          </w:p>
        </w:tc>
        <w:tc>
          <w:tcPr>
            <w:tcW w:w="264" w:type="pct"/>
          </w:tcPr>
          <w:p w14:paraId="7DD0BDA1" w14:textId="77777777" w:rsidR="001D38FF" w:rsidRPr="00910FD4" w:rsidRDefault="001D38FF" w:rsidP="001D38FF">
            <w:pPr>
              <w:jc w:val="both"/>
              <w:rPr>
                <w:color w:val="000000"/>
                <w:sz w:val="20"/>
                <w:szCs w:val="20"/>
              </w:rPr>
            </w:pPr>
          </w:p>
        </w:tc>
        <w:tc>
          <w:tcPr>
            <w:tcW w:w="224" w:type="pct"/>
          </w:tcPr>
          <w:p w14:paraId="4C07CE30" w14:textId="77777777" w:rsidR="001D38FF" w:rsidRPr="00910FD4" w:rsidRDefault="001D38FF" w:rsidP="001D38FF">
            <w:pPr>
              <w:jc w:val="both"/>
              <w:rPr>
                <w:color w:val="000000"/>
                <w:sz w:val="20"/>
                <w:szCs w:val="20"/>
              </w:rPr>
            </w:pPr>
          </w:p>
        </w:tc>
        <w:tc>
          <w:tcPr>
            <w:tcW w:w="224" w:type="pct"/>
          </w:tcPr>
          <w:p w14:paraId="627DD549" w14:textId="77777777" w:rsidR="001D38FF" w:rsidRPr="00910FD4" w:rsidRDefault="001D38FF" w:rsidP="001D38FF">
            <w:pPr>
              <w:jc w:val="both"/>
              <w:rPr>
                <w:color w:val="000000"/>
                <w:sz w:val="20"/>
                <w:szCs w:val="20"/>
              </w:rPr>
            </w:pPr>
          </w:p>
        </w:tc>
        <w:tc>
          <w:tcPr>
            <w:tcW w:w="224" w:type="pct"/>
          </w:tcPr>
          <w:p w14:paraId="476B0259" w14:textId="5E3A4E0A" w:rsidR="001D38FF" w:rsidRPr="00910FD4" w:rsidRDefault="001D38FF" w:rsidP="001D38FF">
            <w:pPr>
              <w:jc w:val="both"/>
              <w:rPr>
                <w:color w:val="000000"/>
                <w:sz w:val="20"/>
                <w:szCs w:val="20"/>
              </w:rPr>
            </w:pPr>
          </w:p>
        </w:tc>
      </w:tr>
      <w:tr w:rsidR="00760016" w:rsidRPr="008018B6" w14:paraId="4507A6EB" w14:textId="74F50797" w:rsidTr="00760016">
        <w:trPr>
          <w:trHeight w:val="300"/>
        </w:trPr>
        <w:tc>
          <w:tcPr>
            <w:tcW w:w="976" w:type="pct"/>
            <w:shd w:val="clear" w:color="auto" w:fill="auto"/>
            <w:noWrap/>
            <w:vAlign w:val="bottom"/>
            <w:hideMark/>
          </w:tcPr>
          <w:p w14:paraId="670D58FA" w14:textId="77777777" w:rsidR="001D38FF" w:rsidRPr="00596193" w:rsidRDefault="001D38FF" w:rsidP="001D38FF">
            <w:pPr>
              <w:jc w:val="both"/>
              <w:rPr>
                <w:color w:val="000000"/>
                <w:sz w:val="20"/>
                <w:szCs w:val="20"/>
              </w:rPr>
            </w:pPr>
            <w:r w:rsidRPr="00596193">
              <w:rPr>
                <w:color w:val="000000"/>
                <w:sz w:val="20"/>
                <w:szCs w:val="20"/>
              </w:rPr>
              <w:t>Urban men (25-34)</w:t>
            </w:r>
          </w:p>
        </w:tc>
        <w:tc>
          <w:tcPr>
            <w:tcW w:w="237" w:type="pct"/>
            <w:shd w:val="clear" w:color="auto" w:fill="auto"/>
            <w:noWrap/>
            <w:vAlign w:val="bottom"/>
            <w:hideMark/>
          </w:tcPr>
          <w:p w14:paraId="061B4AC3" w14:textId="77777777" w:rsidR="001D38FF" w:rsidRPr="00596193" w:rsidRDefault="001D38FF" w:rsidP="001D38FF">
            <w:pPr>
              <w:jc w:val="both"/>
              <w:rPr>
                <w:color w:val="000000"/>
                <w:sz w:val="20"/>
                <w:szCs w:val="20"/>
              </w:rPr>
            </w:pPr>
          </w:p>
        </w:tc>
        <w:tc>
          <w:tcPr>
            <w:tcW w:w="282" w:type="pct"/>
          </w:tcPr>
          <w:p w14:paraId="38DD4A33" w14:textId="77777777" w:rsidR="001D38FF" w:rsidRPr="00596193" w:rsidRDefault="001D38FF" w:rsidP="001D38FF">
            <w:pPr>
              <w:jc w:val="both"/>
              <w:rPr>
                <w:color w:val="000000"/>
                <w:sz w:val="20"/>
                <w:szCs w:val="20"/>
              </w:rPr>
            </w:pPr>
          </w:p>
        </w:tc>
        <w:tc>
          <w:tcPr>
            <w:tcW w:w="251" w:type="pct"/>
          </w:tcPr>
          <w:p w14:paraId="485A7C12" w14:textId="77777777" w:rsidR="001D38FF" w:rsidRPr="00596193" w:rsidRDefault="001D38FF" w:rsidP="001D38FF">
            <w:pPr>
              <w:jc w:val="both"/>
              <w:rPr>
                <w:color w:val="000000"/>
                <w:sz w:val="20"/>
                <w:szCs w:val="20"/>
              </w:rPr>
            </w:pPr>
          </w:p>
        </w:tc>
        <w:tc>
          <w:tcPr>
            <w:tcW w:w="253" w:type="pct"/>
          </w:tcPr>
          <w:p w14:paraId="669CC2BE" w14:textId="77777777" w:rsidR="001D38FF" w:rsidRPr="00596193" w:rsidRDefault="001D38FF" w:rsidP="001D38FF">
            <w:pPr>
              <w:jc w:val="both"/>
              <w:rPr>
                <w:color w:val="000000"/>
                <w:sz w:val="20"/>
                <w:szCs w:val="20"/>
              </w:rPr>
            </w:pPr>
          </w:p>
        </w:tc>
        <w:tc>
          <w:tcPr>
            <w:tcW w:w="250" w:type="pct"/>
            <w:vAlign w:val="bottom"/>
          </w:tcPr>
          <w:p w14:paraId="58AFF381" w14:textId="77777777" w:rsidR="001D38FF" w:rsidRPr="00596193" w:rsidRDefault="001D38FF" w:rsidP="001D38FF">
            <w:pPr>
              <w:jc w:val="both"/>
              <w:rPr>
                <w:color w:val="000000"/>
                <w:sz w:val="20"/>
                <w:szCs w:val="20"/>
              </w:rPr>
            </w:pPr>
          </w:p>
        </w:tc>
        <w:tc>
          <w:tcPr>
            <w:tcW w:w="234" w:type="pct"/>
          </w:tcPr>
          <w:p w14:paraId="4CE0546B" w14:textId="77777777" w:rsidR="001D38FF" w:rsidRPr="00596193" w:rsidRDefault="001D38FF" w:rsidP="001D38FF">
            <w:pPr>
              <w:jc w:val="both"/>
              <w:rPr>
                <w:color w:val="000000"/>
                <w:sz w:val="20"/>
                <w:szCs w:val="20"/>
              </w:rPr>
            </w:pPr>
          </w:p>
        </w:tc>
        <w:tc>
          <w:tcPr>
            <w:tcW w:w="267" w:type="pct"/>
          </w:tcPr>
          <w:p w14:paraId="05C497EF" w14:textId="7804027C" w:rsidR="001D38FF" w:rsidRPr="00596193" w:rsidRDefault="001D38FF" w:rsidP="001D38FF">
            <w:pPr>
              <w:jc w:val="both"/>
              <w:rPr>
                <w:color w:val="000000"/>
                <w:sz w:val="20"/>
                <w:szCs w:val="20"/>
              </w:rPr>
            </w:pPr>
          </w:p>
        </w:tc>
        <w:tc>
          <w:tcPr>
            <w:tcW w:w="250" w:type="pct"/>
          </w:tcPr>
          <w:p w14:paraId="1053EE9F" w14:textId="77777777" w:rsidR="001D38FF" w:rsidRPr="00596193" w:rsidRDefault="001D38FF" w:rsidP="001D38FF">
            <w:pPr>
              <w:jc w:val="both"/>
              <w:rPr>
                <w:color w:val="000000"/>
                <w:sz w:val="20"/>
                <w:szCs w:val="20"/>
              </w:rPr>
            </w:pPr>
          </w:p>
        </w:tc>
        <w:tc>
          <w:tcPr>
            <w:tcW w:w="281" w:type="pct"/>
            <w:vAlign w:val="bottom"/>
          </w:tcPr>
          <w:p w14:paraId="38958D0C" w14:textId="77777777" w:rsidR="001D38FF" w:rsidRPr="00596193" w:rsidRDefault="001D38FF" w:rsidP="001D38FF">
            <w:pPr>
              <w:jc w:val="both"/>
              <w:rPr>
                <w:color w:val="000000"/>
                <w:sz w:val="20"/>
                <w:szCs w:val="20"/>
              </w:rPr>
            </w:pPr>
          </w:p>
        </w:tc>
        <w:tc>
          <w:tcPr>
            <w:tcW w:w="282" w:type="pct"/>
            <w:vAlign w:val="bottom"/>
          </w:tcPr>
          <w:p w14:paraId="5C50DCF3" w14:textId="77777777" w:rsidR="001D38FF" w:rsidRPr="00596193" w:rsidRDefault="001D38FF" w:rsidP="001D38FF">
            <w:pPr>
              <w:jc w:val="both"/>
              <w:rPr>
                <w:color w:val="000000"/>
                <w:sz w:val="20"/>
                <w:szCs w:val="20"/>
              </w:rPr>
            </w:pPr>
          </w:p>
        </w:tc>
        <w:tc>
          <w:tcPr>
            <w:tcW w:w="251" w:type="pct"/>
            <w:vAlign w:val="bottom"/>
          </w:tcPr>
          <w:p w14:paraId="25393D15" w14:textId="77777777" w:rsidR="001D38FF" w:rsidRPr="00596193" w:rsidRDefault="001D38FF" w:rsidP="001D38FF">
            <w:pPr>
              <w:jc w:val="both"/>
              <w:rPr>
                <w:color w:val="000000"/>
                <w:sz w:val="20"/>
                <w:szCs w:val="20"/>
              </w:rPr>
            </w:pPr>
          </w:p>
        </w:tc>
        <w:tc>
          <w:tcPr>
            <w:tcW w:w="250" w:type="pct"/>
            <w:vAlign w:val="bottom"/>
          </w:tcPr>
          <w:p w14:paraId="711D7493" w14:textId="510E9C78" w:rsidR="001D38FF" w:rsidRPr="00596193" w:rsidRDefault="001D38FF" w:rsidP="001D38FF">
            <w:pPr>
              <w:jc w:val="both"/>
              <w:rPr>
                <w:color w:val="000000"/>
                <w:sz w:val="20"/>
                <w:szCs w:val="20"/>
              </w:rPr>
            </w:pPr>
          </w:p>
        </w:tc>
        <w:tc>
          <w:tcPr>
            <w:tcW w:w="264" w:type="pct"/>
          </w:tcPr>
          <w:p w14:paraId="56B3F118" w14:textId="77777777" w:rsidR="001D38FF" w:rsidRPr="00910FD4" w:rsidRDefault="001D38FF" w:rsidP="001D38FF">
            <w:pPr>
              <w:jc w:val="both"/>
              <w:rPr>
                <w:color w:val="000000"/>
                <w:sz w:val="20"/>
                <w:szCs w:val="20"/>
              </w:rPr>
            </w:pPr>
          </w:p>
        </w:tc>
        <w:tc>
          <w:tcPr>
            <w:tcW w:w="224" w:type="pct"/>
          </w:tcPr>
          <w:p w14:paraId="50351BBB" w14:textId="77777777" w:rsidR="001D38FF" w:rsidRPr="00910FD4" w:rsidRDefault="001D38FF" w:rsidP="001D38FF">
            <w:pPr>
              <w:jc w:val="both"/>
              <w:rPr>
                <w:color w:val="000000"/>
                <w:sz w:val="20"/>
                <w:szCs w:val="20"/>
              </w:rPr>
            </w:pPr>
          </w:p>
        </w:tc>
        <w:tc>
          <w:tcPr>
            <w:tcW w:w="224" w:type="pct"/>
          </w:tcPr>
          <w:p w14:paraId="2075B1FF" w14:textId="77777777" w:rsidR="001D38FF" w:rsidRPr="00910FD4" w:rsidRDefault="001D38FF" w:rsidP="001D38FF">
            <w:pPr>
              <w:jc w:val="both"/>
              <w:rPr>
                <w:color w:val="000000"/>
                <w:sz w:val="20"/>
                <w:szCs w:val="20"/>
              </w:rPr>
            </w:pPr>
          </w:p>
        </w:tc>
        <w:tc>
          <w:tcPr>
            <w:tcW w:w="224" w:type="pct"/>
          </w:tcPr>
          <w:p w14:paraId="120E2E01" w14:textId="7792D2F5" w:rsidR="001D38FF" w:rsidRPr="00910FD4" w:rsidRDefault="001D38FF" w:rsidP="001D38FF">
            <w:pPr>
              <w:jc w:val="both"/>
              <w:rPr>
                <w:color w:val="000000"/>
                <w:sz w:val="20"/>
                <w:szCs w:val="20"/>
              </w:rPr>
            </w:pPr>
          </w:p>
        </w:tc>
      </w:tr>
      <w:tr w:rsidR="00760016" w:rsidRPr="008018B6" w14:paraId="024E5F5D" w14:textId="3415318A" w:rsidTr="00760016">
        <w:trPr>
          <w:trHeight w:val="300"/>
        </w:trPr>
        <w:tc>
          <w:tcPr>
            <w:tcW w:w="976" w:type="pct"/>
            <w:shd w:val="clear" w:color="auto" w:fill="auto"/>
            <w:noWrap/>
            <w:vAlign w:val="bottom"/>
            <w:hideMark/>
          </w:tcPr>
          <w:p w14:paraId="519B54F2" w14:textId="77777777" w:rsidR="001D38FF" w:rsidRPr="00596193" w:rsidRDefault="001D38FF" w:rsidP="001D38FF">
            <w:pPr>
              <w:jc w:val="both"/>
              <w:rPr>
                <w:color w:val="000000"/>
                <w:sz w:val="20"/>
                <w:szCs w:val="20"/>
              </w:rPr>
            </w:pPr>
            <w:r w:rsidRPr="00596193">
              <w:rPr>
                <w:color w:val="000000"/>
                <w:sz w:val="20"/>
                <w:szCs w:val="20"/>
              </w:rPr>
              <w:t>Urban men (35-44)</w:t>
            </w:r>
          </w:p>
        </w:tc>
        <w:tc>
          <w:tcPr>
            <w:tcW w:w="237" w:type="pct"/>
            <w:shd w:val="clear" w:color="auto" w:fill="auto"/>
            <w:noWrap/>
            <w:vAlign w:val="bottom"/>
            <w:hideMark/>
          </w:tcPr>
          <w:p w14:paraId="4F169E02" w14:textId="0D31584E" w:rsidR="001D38FF" w:rsidRPr="00596193" w:rsidRDefault="001D38FF" w:rsidP="001D38FF">
            <w:pPr>
              <w:jc w:val="both"/>
              <w:rPr>
                <w:color w:val="000000"/>
                <w:sz w:val="20"/>
                <w:szCs w:val="20"/>
              </w:rPr>
            </w:pPr>
          </w:p>
        </w:tc>
        <w:tc>
          <w:tcPr>
            <w:tcW w:w="282" w:type="pct"/>
          </w:tcPr>
          <w:p w14:paraId="3787E8FC" w14:textId="77777777" w:rsidR="001D38FF" w:rsidRPr="00596193" w:rsidRDefault="001D38FF" w:rsidP="001D38FF">
            <w:pPr>
              <w:jc w:val="both"/>
              <w:rPr>
                <w:color w:val="000000"/>
                <w:sz w:val="20"/>
                <w:szCs w:val="20"/>
              </w:rPr>
            </w:pPr>
          </w:p>
        </w:tc>
        <w:tc>
          <w:tcPr>
            <w:tcW w:w="251" w:type="pct"/>
          </w:tcPr>
          <w:p w14:paraId="60D85F1F" w14:textId="77777777" w:rsidR="001D38FF" w:rsidRPr="00596193" w:rsidRDefault="001D38FF" w:rsidP="001D38FF">
            <w:pPr>
              <w:jc w:val="both"/>
              <w:rPr>
                <w:color w:val="000000"/>
                <w:sz w:val="20"/>
                <w:szCs w:val="20"/>
              </w:rPr>
            </w:pPr>
          </w:p>
        </w:tc>
        <w:tc>
          <w:tcPr>
            <w:tcW w:w="253" w:type="pct"/>
          </w:tcPr>
          <w:p w14:paraId="2AF20F2D" w14:textId="77777777" w:rsidR="001D38FF" w:rsidRPr="00596193" w:rsidRDefault="001D38FF" w:rsidP="001D38FF">
            <w:pPr>
              <w:jc w:val="both"/>
              <w:rPr>
                <w:color w:val="000000"/>
                <w:sz w:val="20"/>
                <w:szCs w:val="20"/>
              </w:rPr>
            </w:pPr>
          </w:p>
        </w:tc>
        <w:tc>
          <w:tcPr>
            <w:tcW w:w="250" w:type="pct"/>
            <w:vAlign w:val="bottom"/>
          </w:tcPr>
          <w:p w14:paraId="0E435BE1" w14:textId="77777777" w:rsidR="001D38FF" w:rsidRPr="00596193" w:rsidRDefault="001D38FF" w:rsidP="001D38FF">
            <w:pPr>
              <w:jc w:val="both"/>
              <w:rPr>
                <w:color w:val="000000"/>
                <w:sz w:val="20"/>
                <w:szCs w:val="20"/>
              </w:rPr>
            </w:pPr>
          </w:p>
        </w:tc>
        <w:tc>
          <w:tcPr>
            <w:tcW w:w="234" w:type="pct"/>
          </w:tcPr>
          <w:p w14:paraId="662F9094" w14:textId="77777777" w:rsidR="001D38FF" w:rsidRPr="00596193" w:rsidRDefault="001D38FF" w:rsidP="001D38FF">
            <w:pPr>
              <w:jc w:val="both"/>
              <w:rPr>
                <w:color w:val="000000"/>
                <w:sz w:val="20"/>
                <w:szCs w:val="20"/>
              </w:rPr>
            </w:pPr>
          </w:p>
        </w:tc>
        <w:tc>
          <w:tcPr>
            <w:tcW w:w="267" w:type="pct"/>
          </w:tcPr>
          <w:p w14:paraId="04DACAFE" w14:textId="551372FF" w:rsidR="001D38FF" w:rsidRPr="00596193" w:rsidRDefault="001D38FF" w:rsidP="001D38FF">
            <w:pPr>
              <w:jc w:val="both"/>
              <w:rPr>
                <w:color w:val="000000"/>
                <w:sz w:val="20"/>
                <w:szCs w:val="20"/>
              </w:rPr>
            </w:pPr>
          </w:p>
        </w:tc>
        <w:tc>
          <w:tcPr>
            <w:tcW w:w="250" w:type="pct"/>
          </w:tcPr>
          <w:p w14:paraId="3D6E456E" w14:textId="77777777" w:rsidR="001D38FF" w:rsidRPr="00596193" w:rsidRDefault="001D38FF" w:rsidP="001D38FF">
            <w:pPr>
              <w:jc w:val="both"/>
              <w:rPr>
                <w:color w:val="000000"/>
                <w:sz w:val="20"/>
                <w:szCs w:val="20"/>
              </w:rPr>
            </w:pPr>
          </w:p>
        </w:tc>
        <w:tc>
          <w:tcPr>
            <w:tcW w:w="281" w:type="pct"/>
            <w:vAlign w:val="bottom"/>
          </w:tcPr>
          <w:p w14:paraId="0F10991E" w14:textId="77777777" w:rsidR="001D38FF" w:rsidRPr="00596193" w:rsidRDefault="001D38FF" w:rsidP="001D38FF">
            <w:pPr>
              <w:jc w:val="both"/>
              <w:rPr>
                <w:color w:val="000000"/>
                <w:sz w:val="20"/>
                <w:szCs w:val="20"/>
              </w:rPr>
            </w:pPr>
          </w:p>
        </w:tc>
        <w:tc>
          <w:tcPr>
            <w:tcW w:w="282" w:type="pct"/>
            <w:vAlign w:val="bottom"/>
          </w:tcPr>
          <w:p w14:paraId="0ACECC06" w14:textId="77777777" w:rsidR="001D38FF" w:rsidRPr="00596193" w:rsidRDefault="001D38FF" w:rsidP="001D38FF">
            <w:pPr>
              <w:jc w:val="both"/>
              <w:rPr>
                <w:color w:val="000000"/>
                <w:sz w:val="20"/>
                <w:szCs w:val="20"/>
              </w:rPr>
            </w:pPr>
          </w:p>
        </w:tc>
        <w:tc>
          <w:tcPr>
            <w:tcW w:w="251" w:type="pct"/>
            <w:vAlign w:val="bottom"/>
          </w:tcPr>
          <w:p w14:paraId="3A75B788" w14:textId="77777777" w:rsidR="001D38FF" w:rsidRPr="00596193" w:rsidRDefault="001D38FF" w:rsidP="001D38FF">
            <w:pPr>
              <w:jc w:val="both"/>
              <w:rPr>
                <w:color w:val="000000"/>
                <w:sz w:val="20"/>
                <w:szCs w:val="20"/>
              </w:rPr>
            </w:pPr>
          </w:p>
        </w:tc>
        <w:tc>
          <w:tcPr>
            <w:tcW w:w="250" w:type="pct"/>
            <w:vAlign w:val="bottom"/>
          </w:tcPr>
          <w:p w14:paraId="4928823B" w14:textId="0F3F6BA0" w:rsidR="001D38FF" w:rsidRPr="00596193" w:rsidRDefault="001D38FF" w:rsidP="001D38FF">
            <w:pPr>
              <w:jc w:val="both"/>
              <w:rPr>
                <w:color w:val="000000"/>
                <w:sz w:val="20"/>
                <w:szCs w:val="20"/>
              </w:rPr>
            </w:pPr>
          </w:p>
        </w:tc>
        <w:tc>
          <w:tcPr>
            <w:tcW w:w="264" w:type="pct"/>
          </w:tcPr>
          <w:p w14:paraId="3C7B2CCB" w14:textId="77777777" w:rsidR="001D38FF" w:rsidRPr="00910FD4" w:rsidRDefault="001D38FF" w:rsidP="001D38FF">
            <w:pPr>
              <w:jc w:val="both"/>
              <w:rPr>
                <w:color w:val="000000"/>
                <w:sz w:val="20"/>
                <w:szCs w:val="20"/>
              </w:rPr>
            </w:pPr>
          </w:p>
        </w:tc>
        <w:tc>
          <w:tcPr>
            <w:tcW w:w="224" w:type="pct"/>
          </w:tcPr>
          <w:p w14:paraId="5C7240AF" w14:textId="77777777" w:rsidR="001D38FF" w:rsidRPr="00910FD4" w:rsidRDefault="001D38FF" w:rsidP="001D38FF">
            <w:pPr>
              <w:jc w:val="both"/>
              <w:rPr>
                <w:color w:val="000000"/>
                <w:sz w:val="20"/>
                <w:szCs w:val="20"/>
              </w:rPr>
            </w:pPr>
          </w:p>
        </w:tc>
        <w:tc>
          <w:tcPr>
            <w:tcW w:w="224" w:type="pct"/>
          </w:tcPr>
          <w:p w14:paraId="26286AB8" w14:textId="77777777" w:rsidR="001D38FF" w:rsidRPr="00910FD4" w:rsidRDefault="001D38FF" w:rsidP="001D38FF">
            <w:pPr>
              <w:jc w:val="both"/>
              <w:rPr>
                <w:color w:val="000000"/>
                <w:sz w:val="20"/>
                <w:szCs w:val="20"/>
              </w:rPr>
            </w:pPr>
          </w:p>
        </w:tc>
        <w:tc>
          <w:tcPr>
            <w:tcW w:w="224" w:type="pct"/>
          </w:tcPr>
          <w:p w14:paraId="3218F3D1" w14:textId="138A5212" w:rsidR="001D38FF" w:rsidRPr="00910FD4" w:rsidRDefault="001D38FF" w:rsidP="001D38FF">
            <w:pPr>
              <w:jc w:val="both"/>
              <w:rPr>
                <w:color w:val="000000"/>
                <w:sz w:val="20"/>
                <w:szCs w:val="20"/>
              </w:rPr>
            </w:pPr>
          </w:p>
        </w:tc>
      </w:tr>
      <w:tr w:rsidR="00760016" w:rsidRPr="008018B6" w14:paraId="07D6266D" w14:textId="08A52CDC" w:rsidTr="00760016">
        <w:trPr>
          <w:trHeight w:val="300"/>
        </w:trPr>
        <w:tc>
          <w:tcPr>
            <w:tcW w:w="976" w:type="pct"/>
            <w:shd w:val="clear" w:color="auto" w:fill="auto"/>
            <w:noWrap/>
            <w:vAlign w:val="bottom"/>
            <w:hideMark/>
          </w:tcPr>
          <w:p w14:paraId="13AD1C60" w14:textId="77777777" w:rsidR="001D38FF" w:rsidRPr="00596193" w:rsidRDefault="001D38FF" w:rsidP="001D38FF">
            <w:pPr>
              <w:jc w:val="both"/>
              <w:rPr>
                <w:color w:val="000000"/>
                <w:sz w:val="20"/>
                <w:szCs w:val="20"/>
              </w:rPr>
            </w:pPr>
            <w:r w:rsidRPr="00596193">
              <w:rPr>
                <w:color w:val="000000"/>
                <w:sz w:val="20"/>
                <w:szCs w:val="20"/>
              </w:rPr>
              <w:t>Urban men (45-54)</w:t>
            </w:r>
          </w:p>
        </w:tc>
        <w:tc>
          <w:tcPr>
            <w:tcW w:w="237" w:type="pct"/>
            <w:shd w:val="clear" w:color="auto" w:fill="auto"/>
            <w:noWrap/>
            <w:vAlign w:val="bottom"/>
            <w:hideMark/>
          </w:tcPr>
          <w:p w14:paraId="73263B15" w14:textId="77777777" w:rsidR="001D38FF" w:rsidRPr="00596193" w:rsidRDefault="001D38FF" w:rsidP="001D38FF">
            <w:pPr>
              <w:jc w:val="both"/>
              <w:rPr>
                <w:color w:val="000000"/>
                <w:sz w:val="20"/>
                <w:szCs w:val="20"/>
              </w:rPr>
            </w:pPr>
          </w:p>
        </w:tc>
        <w:tc>
          <w:tcPr>
            <w:tcW w:w="282" w:type="pct"/>
          </w:tcPr>
          <w:p w14:paraId="0787BB9D" w14:textId="77777777" w:rsidR="001D38FF" w:rsidRPr="00596193" w:rsidRDefault="001D38FF" w:rsidP="001D38FF">
            <w:pPr>
              <w:jc w:val="both"/>
              <w:rPr>
                <w:color w:val="000000"/>
                <w:sz w:val="20"/>
                <w:szCs w:val="20"/>
              </w:rPr>
            </w:pPr>
          </w:p>
        </w:tc>
        <w:tc>
          <w:tcPr>
            <w:tcW w:w="251" w:type="pct"/>
          </w:tcPr>
          <w:p w14:paraId="3578EC85" w14:textId="77777777" w:rsidR="001D38FF" w:rsidRPr="00596193" w:rsidRDefault="001D38FF" w:rsidP="001D38FF">
            <w:pPr>
              <w:jc w:val="both"/>
              <w:rPr>
                <w:color w:val="000000"/>
                <w:sz w:val="20"/>
                <w:szCs w:val="20"/>
              </w:rPr>
            </w:pPr>
          </w:p>
        </w:tc>
        <w:tc>
          <w:tcPr>
            <w:tcW w:w="253" w:type="pct"/>
          </w:tcPr>
          <w:p w14:paraId="75032337" w14:textId="77777777" w:rsidR="001D38FF" w:rsidRPr="00596193" w:rsidRDefault="001D38FF" w:rsidP="001D38FF">
            <w:pPr>
              <w:jc w:val="both"/>
              <w:rPr>
                <w:color w:val="000000"/>
                <w:sz w:val="20"/>
                <w:szCs w:val="20"/>
              </w:rPr>
            </w:pPr>
          </w:p>
        </w:tc>
        <w:tc>
          <w:tcPr>
            <w:tcW w:w="250" w:type="pct"/>
            <w:vAlign w:val="bottom"/>
          </w:tcPr>
          <w:p w14:paraId="7BC57070" w14:textId="77777777" w:rsidR="001D38FF" w:rsidRPr="00596193" w:rsidRDefault="001D38FF" w:rsidP="001D38FF">
            <w:pPr>
              <w:jc w:val="both"/>
              <w:rPr>
                <w:color w:val="000000"/>
                <w:sz w:val="20"/>
                <w:szCs w:val="20"/>
              </w:rPr>
            </w:pPr>
          </w:p>
        </w:tc>
        <w:tc>
          <w:tcPr>
            <w:tcW w:w="234" w:type="pct"/>
          </w:tcPr>
          <w:p w14:paraId="74B1CE68" w14:textId="77777777" w:rsidR="001D38FF" w:rsidRPr="00596193" w:rsidRDefault="001D38FF" w:rsidP="001D38FF">
            <w:pPr>
              <w:jc w:val="both"/>
              <w:rPr>
                <w:color w:val="000000"/>
                <w:sz w:val="20"/>
                <w:szCs w:val="20"/>
              </w:rPr>
            </w:pPr>
          </w:p>
        </w:tc>
        <w:tc>
          <w:tcPr>
            <w:tcW w:w="267" w:type="pct"/>
          </w:tcPr>
          <w:p w14:paraId="1082DEEE" w14:textId="49CA65D7" w:rsidR="001D38FF" w:rsidRPr="00596193" w:rsidRDefault="001D38FF" w:rsidP="001D38FF">
            <w:pPr>
              <w:jc w:val="both"/>
              <w:rPr>
                <w:color w:val="000000"/>
                <w:sz w:val="20"/>
                <w:szCs w:val="20"/>
              </w:rPr>
            </w:pPr>
          </w:p>
        </w:tc>
        <w:tc>
          <w:tcPr>
            <w:tcW w:w="250" w:type="pct"/>
          </w:tcPr>
          <w:p w14:paraId="6BE8BB52" w14:textId="77777777" w:rsidR="001D38FF" w:rsidRPr="00596193" w:rsidRDefault="001D38FF" w:rsidP="001D38FF">
            <w:pPr>
              <w:jc w:val="both"/>
              <w:rPr>
                <w:color w:val="000000"/>
                <w:sz w:val="20"/>
                <w:szCs w:val="20"/>
              </w:rPr>
            </w:pPr>
          </w:p>
        </w:tc>
        <w:tc>
          <w:tcPr>
            <w:tcW w:w="281" w:type="pct"/>
            <w:vAlign w:val="bottom"/>
          </w:tcPr>
          <w:p w14:paraId="3ED0E1F5" w14:textId="77777777" w:rsidR="001D38FF" w:rsidRPr="00596193" w:rsidRDefault="001D38FF" w:rsidP="001D38FF">
            <w:pPr>
              <w:jc w:val="both"/>
              <w:rPr>
                <w:color w:val="000000"/>
                <w:sz w:val="20"/>
                <w:szCs w:val="20"/>
              </w:rPr>
            </w:pPr>
          </w:p>
        </w:tc>
        <w:tc>
          <w:tcPr>
            <w:tcW w:w="282" w:type="pct"/>
            <w:vAlign w:val="bottom"/>
          </w:tcPr>
          <w:p w14:paraId="6E794AFE" w14:textId="77777777" w:rsidR="001D38FF" w:rsidRPr="00596193" w:rsidRDefault="001D38FF" w:rsidP="001D38FF">
            <w:pPr>
              <w:jc w:val="both"/>
              <w:rPr>
                <w:color w:val="000000"/>
                <w:sz w:val="20"/>
                <w:szCs w:val="20"/>
              </w:rPr>
            </w:pPr>
          </w:p>
        </w:tc>
        <w:tc>
          <w:tcPr>
            <w:tcW w:w="251" w:type="pct"/>
            <w:vAlign w:val="bottom"/>
          </w:tcPr>
          <w:p w14:paraId="3E3EEE0E" w14:textId="77777777" w:rsidR="001D38FF" w:rsidRPr="00596193" w:rsidRDefault="001D38FF" w:rsidP="001D38FF">
            <w:pPr>
              <w:jc w:val="both"/>
              <w:rPr>
                <w:color w:val="000000"/>
                <w:sz w:val="20"/>
                <w:szCs w:val="20"/>
              </w:rPr>
            </w:pPr>
          </w:p>
        </w:tc>
        <w:tc>
          <w:tcPr>
            <w:tcW w:w="250" w:type="pct"/>
            <w:vAlign w:val="bottom"/>
          </w:tcPr>
          <w:p w14:paraId="6077701F" w14:textId="6F738C0E" w:rsidR="001D38FF" w:rsidRPr="00596193" w:rsidRDefault="001D38FF" w:rsidP="001D38FF">
            <w:pPr>
              <w:jc w:val="both"/>
              <w:rPr>
                <w:color w:val="000000"/>
                <w:sz w:val="20"/>
                <w:szCs w:val="20"/>
              </w:rPr>
            </w:pPr>
          </w:p>
        </w:tc>
        <w:tc>
          <w:tcPr>
            <w:tcW w:w="264" w:type="pct"/>
          </w:tcPr>
          <w:p w14:paraId="34D5B987" w14:textId="77777777" w:rsidR="001D38FF" w:rsidRPr="00910FD4" w:rsidRDefault="001D38FF" w:rsidP="001D38FF">
            <w:pPr>
              <w:jc w:val="both"/>
              <w:rPr>
                <w:color w:val="000000"/>
                <w:sz w:val="20"/>
                <w:szCs w:val="20"/>
              </w:rPr>
            </w:pPr>
          </w:p>
        </w:tc>
        <w:tc>
          <w:tcPr>
            <w:tcW w:w="224" w:type="pct"/>
          </w:tcPr>
          <w:p w14:paraId="063B43E4" w14:textId="77777777" w:rsidR="001D38FF" w:rsidRPr="00910FD4" w:rsidRDefault="001D38FF" w:rsidP="001D38FF">
            <w:pPr>
              <w:jc w:val="both"/>
              <w:rPr>
                <w:color w:val="000000"/>
                <w:sz w:val="20"/>
                <w:szCs w:val="20"/>
              </w:rPr>
            </w:pPr>
          </w:p>
        </w:tc>
        <w:tc>
          <w:tcPr>
            <w:tcW w:w="224" w:type="pct"/>
          </w:tcPr>
          <w:p w14:paraId="2AA83F1F" w14:textId="77777777" w:rsidR="001D38FF" w:rsidRPr="00910FD4" w:rsidRDefault="001D38FF" w:rsidP="001D38FF">
            <w:pPr>
              <w:jc w:val="both"/>
              <w:rPr>
                <w:color w:val="000000"/>
                <w:sz w:val="20"/>
                <w:szCs w:val="20"/>
              </w:rPr>
            </w:pPr>
          </w:p>
        </w:tc>
        <w:tc>
          <w:tcPr>
            <w:tcW w:w="224" w:type="pct"/>
          </w:tcPr>
          <w:p w14:paraId="611543C7" w14:textId="75756CA4" w:rsidR="001D38FF" w:rsidRPr="00910FD4" w:rsidRDefault="001D38FF" w:rsidP="001D38FF">
            <w:pPr>
              <w:jc w:val="both"/>
              <w:rPr>
                <w:color w:val="000000"/>
                <w:sz w:val="20"/>
                <w:szCs w:val="20"/>
              </w:rPr>
            </w:pPr>
          </w:p>
        </w:tc>
      </w:tr>
      <w:tr w:rsidR="00760016" w:rsidRPr="008018B6" w14:paraId="02DCC7A2" w14:textId="4ECE21EB" w:rsidTr="00760016">
        <w:trPr>
          <w:trHeight w:val="300"/>
        </w:trPr>
        <w:tc>
          <w:tcPr>
            <w:tcW w:w="976" w:type="pct"/>
            <w:shd w:val="clear" w:color="auto" w:fill="auto"/>
            <w:noWrap/>
            <w:vAlign w:val="bottom"/>
            <w:hideMark/>
          </w:tcPr>
          <w:p w14:paraId="3D8CE41D" w14:textId="77777777" w:rsidR="001D38FF" w:rsidRPr="00596193" w:rsidRDefault="001D38FF" w:rsidP="001D38FF">
            <w:pPr>
              <w:jc w:val="both"/>
              <w:rPr>
                <w:color w:val="000000"/>
                <w:sz w:val="20"/>
                <w:szCs w:val="20"/>
              </w:rPr>
            </w:pPr>
            <w:r w:rsidRPr="00596193">
              <w:rPr>
                <w:color w:val="000000"/>
                <w:sz w:val="20"/>
                <w:szCs w:val="20"/>
              </w:rPr>
              <w:t>Urban men (55-64)</w:t>
            </w:r>
          </w:p>
        </w:tc>
        <w:tc>
          <w:tcPr>
            <w:tcW w:w="237" w:type="pct"/>
            <w:shd w:val="clear" w:color="auto" w:fill="auto"/>
            <w:noWrap/>
            <w:vAlign w:val="bottom"/>
            <w:hideMark/>
          </w:tcPr>
          <w:p w14:paraId="6117EF12" w14:textId="77777777" w:rsidR="001D38FF" w:rsidRPr="00596193" w:rsidRDefault="001D38FF" w:rsidP="001D38FF">
            <w:pPr>
              <w:jc w:val="both"/>
              <w:rPr>
                <w:color w:val="000000"/>
                <w:sz w:val="20"/>
                <w:szCs w:val="20"/>
              </w:rPr>
            </w:pPr>
          </w:p>
        </w:tc>
        <w:tc>
          <w:tcPr>
            <w:tcW w:w="282" w:type="pct"/>
          </w:tcPr>
          <w:p w14:paraId="7E2CB9BD" w14:textId="77777777" w:rsidR="001D38FF" w:rsidRPr="00596193" w:rsidRDefault="001D38FF" w:rsidP="001D38FF">
            <w:pPr>
              <w:jc w:val="both"/>
              <w:rPr>
                <w:color w:val="000000"/>
                <w:sz w:val="20"/>
                <w:szCs w:val="20"/>
              </w:rPr>
            </w:pPr>
          </w:p>
        </w:tc>
        <w:tc>
          <w:tcPr>
            <w:tcW w:w="251" w:type="pct"/>
          </w:tcPr>
          <w:p w14:paraId="277A3F7E" w14:textId="77777777" w:rsidR="001D38FF" w:rsidRPr="00596193" w:rsidRDefault="001D38FF" w:rsidP="001D38FF">
            <w:pPr>
              <w:jc w:val="both"/>
              <w:rPr>
                <w:color w:val="000000"/>
                <w:sz w:val="20"/>
                <w:szCs w:val="20"/>
              </w:rPr>
            </w:pPr>
          </w:p>
        </w:tc>
        <w:tc>
          <w:tcPr>
            <w:tcW w:w="253" w:type="pct"/>
          </w:tcPr>
          <w:p w14:paraId="635BBFB4" w14:textId="77777777" w:rsidR="001D38FF" w:rsidRPr="00596193" w:rsidRDefault="001D38FF" w:rsidP="001D38FF">
            <w:pPr>
              <w:jc w:val="both"/>
              <w:rPr>
                <w:color w:val="000000"/>
                <w:sz w:val="20"/>
                <w:szCs w:val="20"/>
              </w:rPr>
            </w:pPr>
          </w:p>
        </w:tc>
        <w:tc>
          <w:tcPr>
            <w:tcW w:w="250" w:type="pct"/>
            <w:vAlign w:val="bottom"/>
          </w:tcPr>
          <w:p w14:paraId="787BCA40" w14:textId="77777777" w:rsidR="001D38FF" w:rsidRPr="00596193" w:rsidRDefault="001D38FF" w:rsidP="001D38FF">
            <w:pPr>
              <w:jc w:val="both"/>
              <w:rPr>
                <w:color w:val="000000"/>
                <w:sz w:val="20"/>
                <w:szCs w:val="20"/>
              </w:rPr>
            </w:pPr>
          </w:p>
        </w:tc>
        <w:tc>
          <w:tcPr>
            <w:tcW w:w="234" w:type="pct"/>
          </w:tcPr>
          <w:p w14:paraId="46F6903A" w14:textId="77777777" w:rsidR="001D38FF" w:rsidRPr="00596193" w:rsidRDefault="001D38FF" w:rsidP="001D38FF">
            <w:pPr>
              <w:jc w:val="both"/>
              <w:rPr>
                <w:color w:val="000000"/>
                <w:sz w:val="20"/>
                <w:szCs w:val="20"/>
              </w:rPr>
            </w:pPr>
          </w:p>
        </w:tc>
        <w:tc>
          <w:tcPr>
            <w:tcW w:w="267" w:type="pct"/>
          </w:tcPr>
          <w:p w14:paraId="5E5F7511" w14:textId="64485BCC" w:rsidR="001D38FF" w:rsidRPr="00596193" w:rsidRDefault="001D38FF" w:rsidP="001D38FF">
            <w:pPr>
              <w:jc w:val="both"/>
              <w:rPr>
                <w:color w:val="000000"/>
                <w:sz w:val="20"/>
                <w:szCs w:val="20"/>
              </w:rPr>
            </w:pPr>
          </w:p>
        </w:tc>
        <w:tc>
          <w:tcPr>
            <w:tcW w:w="250" w:type="pct"/>
          </w:tcPr>
          <w:p w14:paraId="40732E87" w14:textId="77777777" w:rsidR="001D38FF" w:rsidRPr="00596193" w:rsidRDefault="001D38FF" w:rsidP="001D38FF">
            <w:pPr>
              <w:jc w:val="both"/>
              <w:rPr>
                <w:color w:val="000000"/>
                <w:sz w:val="20"/>
                <w:szCs w:val="20"/>
              </w:rPr>
            </w:pPr>
          </w:p>
        </w:tc>
        <w:tc>
          <w:tcPr>
            <w:tcW w:w="281" w:type="pct"/>
            <w:vAlign w:val="bottom"/>
          </w:tcPr>
          <w:p w14:paraId="1D8003C9" w14:textId="77777777" w:rsidR="001D38FF" w:rsidRPr="00596193" w:rsidRDefault="001D38FF" w:rsidP="001D38FF">
            <w:pPr>
              <w:jc w:val="both"/>
              <w:rPr>
                <w:color w:val="000000"/>
                <w:sz w:val="20"/>
                <w:szCs w:val="20"/>
              </w:rPr>
            </w:pPr>
          </w:p>
        </w:tc>
        <w:tc>
          <w:tcPr>
            <w:tcW w:w="282" w:type="pct"/>
            <w:vAlign w:val="bottom"/>
          </w:tcPr>
          <w:p w14:paraId="531E06A4" w14:textId="77777777" w:rsidR="001D38FF" w:rsidRPr="00596193" w:rsidRDefault="001D38FF" w:rsidP="001D38FF">
            <w:pPr>
              <w:jc w:val="both"/>
              <w:rPr>
                <w:color w:val="000000"/>
                <w:sz w:val="20"/>
                <w:szCs w:val="20"/>
              </w:rPr>
            </w:pPr>
          </w:p>
        </w:tc>
        <w:tc>
          <w:tcPr>
            <w:tcW w:w="251" w:type="pct"/>
            <w:vAlign w:val="bottom"/>
          </w:tcPr>
          <w:p w14:paraId="41F1AC80" w14:textId="77777777" w:rsidR="001D38FF" w:rsidRPr="00596193" w:rsidRDefault="001D38FF" w:rsidP="001D38FF">
            <w:pPr>
              <w:jc w:val="both"/>
              <w:rPr>
                <w:color w:val="000000"/>
                <w:sz w:val="20"/>
                <w:szCs w:val="20"/>
              </w:rPr>
            </w:pPr>
          </w:p>
        </w:tc>
        <w:tc>
          <w:tcPr>
            <w:tcW w:w="250" w:type="pct"/>
            <w:vAlign w:val="bottom"/>
          </w:tcPr>
          <w:p w14:paraId="400AEC91" w14:textId="2AD3E189" w:rsidR="001D38FF" w:rsidRPr="00596193" w:rsidRDefault="001D38FF" w:rsidP="001D38FF">
            <w:pPr>
              <w:jc w:val="both"/>
              <w:rPr>
                <w:color w:val="000000"/>
                <w:sz w:val="20"/>
                <w:szCs w:val="20"/>
              </w:rPr>
            </w:pPr>
          </w:p>
        </w:tc>
        <w:tc>
          <w:tcPr>
            <w:tcW w:w="264" w:type="pct"/>
          </w:tcPr>
          <w:p w14:paraId="1BC2B16A" w14:textId="77777777" w:rsidR="001D38FF" w:rsidRPr="00910FD4" w:rsidRDefault="001D38FF" w:rsidP="001D38FF">
            <w:pPr>
              <w:jc w:val="both"/>
              <w:rPr>
                <w:color w:val="000000"/>
                <w:sz w:val="20"/>
                <w:szCs w:val="20"/>
              </w:rPr>
            </w:pPr>
          </w:p>
        </w:tc>
        <w:tc>
          <w:tcPr>
            <w:tcW w:w="224" w:type="pct"/>
          </w:tcPr>
          <w:p w14:paraId="171CE888" w14:textId="77777777" w:rsidR="001D38FF" w:rsidRPr="00910FD4" w:rsidRDefault="001D38FF" w:rsidP="001D38FF">
            <w:pPr>
              <w:jc w:val="both"/>
              <w:rPr>
                <w:color w:val="000000"/>
                <w:sz w:val="20"/>
                <w:szCs w:val="20"/>
              </w:rPr>
            </w:pPr>
          </w:p>
        </w:tc>
        <w:tc>
          <w:tcPr>
            <w:tcW w:w="224" w:type="pct"/>
          </w:tcPr>
          <w:p w14:paraId="4B1165A6" w14:textId="77777777" w:rsidR="001D38FF" w:rsidRPr="00910FD4" w:rsidRDefault="001D38FF" w:rsidP="001D38FF">
            <w:pPr>
              <w:jc w:val="both"/>
              <w:rPr>
                <w:color w:val="000000"/>
                <w:sz w:val="20"/>
                <w:szCs w:val="20"/>
              </w:rPr>
            </w:pPr>
          </w:p>
        </w:tc>
        <w:tc>
          <w:tcPr>
            <w:tcW w:w="224" w:type="pct"/>
          </w:tcPr>
          <w:p w14:paraId="7E223F21" w14:textId="7643A29F" w:rsidR="001D38FF" w:rsidRPr="00910FD4" w:rsidRDefault="001D38FF" w:rsidP="001D38FF">
            <w:pPr>
              <w:jc w:val="both"/>
              <w:rPr>
                <w:color w:val="000000"/>
                <w:sz w:val="20"/>
                <w:szCs w:val="20"/>
              </w:rPr>
            </w:pPr>
          </w:p>
        </w:tc>
      </w:tr>
      <w:tr w:rsidR="00760016" w:rsidRPr="008018B6" w14:paraId="0AEF2FCF" w14:textId="4D9BE464" w:rsidTr="00760016">
        <w:trPr>
          <w:trHeight w:val="300"/>
        </w:trPr>
        <w:tc>
          <w:tcPr>
            <w:tcW w:w="976" w:type="pct"/>
            <w:shd w:val="clear" w:color="auto" w:fill="auto"/>
            <w:noWrap/>
            <w:vAlign w:val="bottom"/>
            <w:hideMark/>
          </w:tcPr>
          <w:p w14:paraId="6AE34207" w14:textId="77777777" w:rsidR="001D38FF" w:rsidRPr="00596193" w:rsidRDefault="001D38FF" w:rsidP="001D38FF">
            <w:pPr>
              <w:jc w:val="both"/>
              <w:rPr>
                <w:color w:val="000000"/>
                <w:sz w:val="20"/>
                <w:szCs w:val="20"/>
              </w:rPr>
            </w:pPr>
            <w:r w:rsidRPr="00596193">
              <w:rPr>
                <w:color w:val="000000"/>
                <w:sz w:val="20"/>
                <w:szCs w:val="20"/>
              </w:rPr>
              <w:t>Rural men (15-24)</w:t>
            </w:r>
          </w:p>
        </w:tc>
        <w:tc>
          <w:tcPr>
            <w:tcW w:w="237" w:type="pct"/>
            <w:shd w:val="clear" w:color="auto" w:fill="auto"/>
            <w:noWrap/>
            <w:vAlign w:val="bottom"/>
            <w:hideMark/>
          </w:tcPr>
          <w:p w14:paraId="2B68FEE2" w14:textId="77777777" w:rsidR="001D38FF" w:rsidRPr="00596193" w:rsidRDefault="001D38FF" w:rsidP="001D38FF">
            <w:pPr>
              <w:jc w:val="both"/>
              <w:rPr>
                <w:color w:val="000000"/>
                <w:sz w:val="20"/>
                <w:szCs w:val="20"/>
              </w:rPr>
            </w:pPr>
          </w:p>
        </w:tc>
        <w:tc>
          <w:tcPr>
            <w:tcW w:w="282" w:type="pct"/>
          </w:tcPr>
          <w:p w14:paraId="35FE12D4" w14:textId="77777777" w:rsidR="001D38FF" w:rsidRPr="00596193" w:rsidRDefault="001D38FF" w:rsidP="001D38FF">
            <w:pPr>
              <w:jc w:val="both"/>
              <w:rPr>
                <w:color w:val="000000"/>
                <w:sz w:val="20"/>
                <w:szCs w:val="20"/>
              </w:rPr>
            </w:pPr>
          </w:p>
        </w:tc>
        <w:tc>
          <w:tcPr>
            <w:tcW w:w="251" w:type="pct"/>
          </w:tcPr>
          <w:p w14:paraId="69F1D577" w14:textId="77777777" w:rsidR="001D38FF" w:rsidRPr="00596193" w:rsidRDefault="001D38FF" w:rsidP="001D38FF">
            <w:pPr>
              <w:jc w:val="both"/>
              <w:rPr>
                <w:color w:val="000000"/>
                <w:sz w:val="20"/>
                <w:szCs w:val="20"/>
              </w:rPr>
            </w:pPr>
          </w:p>
        </w:tc>
        <w:tc>
          <w:tcPr>
            <w:tcW w:w="253" w:type="pct"/>
          </w:tcPr>
          <w:p w14:paraId="23BA1249" w14:textId="77777777" w:rsidR="001D38FF" w:rsidRPr="00596193" w:rsidRDefault="001D38FF" w:rsidP="001D38FF">
            <w:pPr>
              <w:jc w:val="both"/>
              <w:rPr>
                <w:color w:val="000000"/>
                <w:sz w:val="20"/>
                <w:szCs w:val="20"/>
              </w:rPr>
            </w:pPr>
          </w:p>
        </w:tc>
        <w:tc>
          <w:tcPr>
            <w:tcW w:w="250" w:type="pct"/>
            <w:vAlign w:val="bottom"/>
          </w:tcPr>
          <w:p w14:paraId="015AC57E" w14:textId="77777777" w:rsidR="001D38FF" w:rsidRPr="00596193" w:rsidRDefault="001D38FF" w:rsidP="001D38FF">
            <w:pPr>
              <w:jc w:val="both"/>
              <w:rPr>
                <w:color w:val="000000"/>
                <w:sz w:val="20"/>
                <w:szCs w:val="20"/>
              </w:rPr>
            </w:pPr>
          </w:p>
        </w:tc>
        <w:tc>
          <w:tcPr>
            <w:tcW w:w="234" w:type="pct"/>
          </w:tcPr>
          <w:p w14:paraId="568AF59D" w14:textId="77777777" w:rsidR="001D38FF" w:rsidRPr="00596193" w:rsidRDefault="001D38FF" w:rsidP="001D38FF">
            <w:pPr>
              <w:jc w:val="both"/>
              <w:rPr>
                <w:color w:val="000000"/>
                <w:sz w:val="20"/>
                <w:szCs w:val="20"/>
              </w:rPr>
            </w:pPr>
          </w:p>
        </w:tc>
        <w:tc>
          <w:tcPr>
            <w:tcW w:w="267" w:type="pct"/>
          </w:tcPr>
          <w:p w14:paraId="19986E09" w14:textId="7C07E938" w:rsidR="001D38FF" w:rsidRPr="00596193" w:rsidRDefault="001D38FF" w:rsidP="001D38FF">
            <w:pPr>
              <w:jc w:val="both"/>
              <w:rPr>
                <w:color w:val="000000"/>
                <w:sz w:val="20"/>
                <w:szCs w:val="20"/>
              </w:rPr>
            </w:pPr>
          </w:p>
        </w:tc>
        <w:tc>
          <w:tcPr>
            <w:tcW w:w="250" w:type="pct"/>
          </w:tcPr>
          <w:p w14:paraId="53510021" w14:textId="77777777" w:rsidR="001D38FF" w:rsidRPr="00596193" w:rsidRDefault="001D38FF" w:rsidP="001D38FF">
            <w:pPr>
              <w:jc w:val="both"/>
              <w:rPr>
                <w:color w:val="000000"/>
                <w:sz w:val="20"/>
                <w:szCs w:val="20"/>
              </w:rPr>
            </w:pPr>
          </w:p>
        </w:tc>
        <w:tc>
          <w:tcPr>
            <w:tcW w:w="281" w:type="pct"/>
            <w:vAlign w:val="bottom"/>
          </w:tcPr>
          <w:p w14:paraId="7FB7242C" w14:textId="77777777" w:rsidR="001D38FF" w:rsidRPr="00596193" w:rsidRDefault="001D38FF" w:rsidP="001D38FF">
            <w:pPr>
              <w:jc w:val="both"/>
              <w:rPr>
                <w:color w:val="000000"/>
                <w:sz w:val="20"/>
                <w:szCs w:val="20"/>
              </w:rPr>
            </w:pPr>
          </w:p>
        </w:tc>
        <w:tc>
          <w:tcPr>
            <w:tcW w:w="282" w:type="pct"/>
            <w:vAlign w:val="bottom"/>
          </w:tcPr>
          <w:p w14:paraId="2FF3A31F" w14:textId="77777777" w:rsidR="001D38FF" w:rsidRPr="00596193" w:rsidRDefault="001D38FF" w:rsidP="001D38FF">
            <w:pPr>
              <w:jc w:val="both"/>
              <w:rPr>
                <w:color w:val="000000"/>
                <w:sz w:val="20"/>
                <w:szCs w:val="20"/>
              </w:rPr>
            </w:pPr>
          </w:p>
        </w:tc>
        <w:tc>
          <w:tcPr>
            <w:tcW w:w="251" w:type="pct"/>
            <w:vAlign w:val="bottom"/>
          </w:tcPr>
          <w:p w14:paraId="30C5AEE9" w14:textId="77777777" w:rsidR="001D38FF" w:rsidRPr="00596193" w:rsidRDefault="001D38FF" w:rsidP="001D38FF">
            <w:pPr>
              <w:jc w:val="both"/>
              <w:rPr>
                <w:color w:val="000000"/>
                <w:sz w:val="20"/>
                <w:szCs w:val="20"/>
              </w:rPr>
            </w:pPr>
          </w:p>
        </w:tc>
        <w:tc>
          <w:tcPr>
            <w:tcW w:w="250" w:type="pct"/>
            <w:vAlign w:val="bottom"/>
          </w:tcPr>
          <w:p w14:paraId="1257165E" w14:textId="6AC4171A" w:rsidR="001D38FF" w:rsidRPr="00596193" w:rsidRDefault="001D38FF" w:rsidP="001D38FF">
            <w:pPr>
              <w:jc w:val="both"/>
              <w:rPr>
                <w:color w:val="000000"/>
                <w:sz w:val="20"/>
                <w:szCs w:val="20"/>
              </w:rPr>
            </w:pPr>
          </w:p>
        </w:tc>
        <w:tc>
          <w:tcPr>
            <w:tcW w:w="264" w:type="pct"/>
          </w:tcPr>
          <w:p w14:paraId="7EAD44E1" w14:textId="77777777" w:rsidR="001D38FF" w:rsidRPr="00910FD4" w:rsidRDefault="001D38FF" w:rsidP="001D38FF">
            <w:pPr>
              <w:jc w:val="both"/>
              <w:rPr>
                <w:color w:val="000000"/>
                <w:sz w:val="20"/>
                <w:szCs w:val="20"/>
              </w:rPr>
            </w:pPr>
          </w:p>
        </w:tc>
        <w:tc>
          <w:tcPr>
            <w:tcW w:w="224" w:type="pct"/>
          </w:tcPr>
          <w:p w14:paraId="58385995" w14:textId="77777777" w:rsidR="001D38FF" w:rsidRPr="00910FD4" w:rsidRDefault="001D38FF" w:rsidP="001D38FF">
            <w:pPr>
              <w:jc w:val="both"/>
              <w:rPr>
                <w:color w:val="000000"/>
                <w:sz w:val="20"/>
                <w:szCs w:val="20"/>
              </w:rPr>
            </w:pPr>
          </w:p>
        </w:tc>
        <w:tc>
          <w:tcPr>
            <w:tcW w:w="224" w:type="pct"/>
          </w:tcPr>
          <w:p w14:paraId="04D18E10" w14:textId="77777777" w:rsidR="001D38FF" w:rsidRPr="00910FD4" w:rsidRDefault="001D38FF" w:rsidP="001D38FF">
            <w:pPr>
              <w:jc w:val="both"/>
              <w:rPr>
                <w:color w:val="000000"/>
                <w:sz w:val="20"/>
                <w:szCs w:val="20"/>
              </w:rPr>
            </w:pPr>
          </w:p>
        </w:tc>
        <w:tc>
          <w:tcPr>
            <w:tcW w:w="224" w:type="pct"/>
          </w:tcPr>
          <w:p w14:paraId="3201D257" w14:textId="4C51F192" w:rsidR="001D38FF" w:rsidRPr="00910FD4" w:rsidRDefault="001D38FF" w:rsidP="001D38FF">
            <w:pPr>
              <w:jc w:val="both"/>
              <w:rPr>
                <w:color w:val="000000"/>
                <w:sz w:val="20"/>
                <w:szCs w:val="20"/>
              </w:rPr>
            </w:pPr>
          </w:p>
        </w:tc>
      </w:tr>
      <w:tr w:rsidR="00760016" w:rsidRPr="008018B6" w14:paraId="3D2611C8" w14:textId="36A2DCD5" w:rsidTr="00760016">
        <w:trPr>
          <w:trHeight w:val="300"/>
        </w:trPr>
        <w:tc>
          <w:tcPr>
            <w:tcW w:w="976" w:type="pct"/>
            <w:shd w:val="clear" w:color="auto" w:fill="auto"/>
            <w:noWrap/>
            <w:vAlign w:val="bottom"/>
            <w:hideMark/>
          </w:tcPr>
          <w:p w14:paraId="1509CC04" w14:textId="77777777" w:rsidR="001D38FF" w:rsidRPr="00596193" w:rsidRDefault="001D38FF" w:rsidP="001D38FF">
            <w:pPr>
              <w:jc w:val="both"/>
              <w:rPr>
                <w:color w:val="000000"/>
                <w:sz w:val="20"/>
                <w:szCs w:val="20"/>
              </w:rPr>
            </w:pPr>
            <w:r w:rsidRPr="00596193">
              <w:rPr>
                <w:color w:val="000000"/>
                <w:sz w:val="20"/>
                <w:szCs w:val="20"/>
              </w:rPr>
              <w:t>Rural men (25-34)</w:t>
            </w:r>
          </w:p>
        </w:tc>
        <w:tc>
          <w:tcPr>
            <w:tcW w:w="237" w:type="pct"/>
            <w:shd w:val="clear" w:color="auto" w:fill="auto"/>
            <w:noWrap/>
            <w:vAlign w:val="bottom"/>
            <w:hideMark/>
          </w:tcPr>
          <w:p w14:paraId="33E46CF0" w14:textId="77777777" w:rsidR="001D38FF" w:rsidRPr="00596193" w:rsidRDefault="001D38FF" w:rsidP="001D38FF">
            <w:pPr>
              <w:jc w:val="both"/>
              <w:rPr>
                <w:color w:val="000000"/>
                <w:sz w:val="20"/>
                <w:szCs w:val="20"/>
              </w:rPr>
            </w:pPr>
          </w:p>
        </w:tc>
        <w:tc>
          <w:tcPr>
            <w:tcW w:w="282" w:type="pct"/>
          </w:tcPr>
          <w:p w14:paraId="7F3E4F7F" w14:textId="77777777" w:rsidR="001D38FF" w:rsidRPr="00596193" w:rsidRDefault="001D38FF" w:rsidP="001D38FF">
            <w:pPr>
              <w:jc w:val="both"/>
              <w:rPr>
                <w:color w:val="000000"/>
                <w:sz w:val="20"/>
                <w:szCs w:val="20"/>
              </w:rPr>
            </w:pPr>
          </w:p>
        </w:tc>
        <w:tc>
          <w:tcPr>
            <w:tcW w:w="251" w:type="pct"/>
          </w:tcPr>
          <w:p w14:paraId="2C74D8FB" w14:textId="77777777" w:rsidR="001D38FF" w:rsidRPr="00596193" w:rsidRDefault="001D38FF" w:rsidP="001D38FF">
            <w:pPr>
              <w:jc w:val="both"/>
              <w:rPr>
                <w:color w:val="000000"/>
                <w:sz w:val="20"/>
                <w:szCs w:val="20"/>
              </w:rPr>
            </w:pPr>
          </w:p>
        </w:tc>
        <w:tc>
          <w:tcPr>
            <w:tcW w:w="253" w:type="pct"/>
          </w:tcPr>
          <w:p w14:paraId="5359D366" w14:textId="77777777" w:rsidR="001D38FF" w:rsidRPr="00596193" w:rsidRDefault="001D38FF" w:rsidP="001D38FF">
            <w:pPr>
              <w:jc w:val="both"/>
              <w:rPr>
                <w:color w:val="000000"/>
                <w:sz w:val="20"/>
                <w:szCs w:val="20"/>
              </w:rPr>
            </w:pPr>
          </w:p>
        </w:tc>
        <w:tc>
          <w:tcPr>
            <w:tcW w:w="250" w:type="pct"/>
            <w:vAlign w:val="bottom"/>
          </w:tcPr>
          <w:p w14:paraId="30EBC6E5" w14:textId="77777777" w:rsidR="001D38FF" w:rsidRPr="00596193" w:rsidRDefault="001D38FF" w:rsidP="001D38FF">
            <w:pPr>
              <w:jc w:val="both"/>
              <w:rPr>
                <w:color w:val="000000"/>
                <w:sz w:val="20"/>
                <w:szCs w:val="20"/>
              </w:rPr>
            </w:pPr>
          </w:p>
        </w:tc>
        <w:tc>
          <w:tcPr>
            <w:tcW w:w="234" w:type="pct"/>
          </w:tcPr>
          <w:p w14:paraId="355840C0" w14:textId="77777777" w:rsidR="001D38FF" w:rsidRPr="00596193" w:rsidRDefault="001D38FF" w:rsidP="001D38FF">
            <w:pPr>
              <w:jc w:val="both"/>
              <w:rPr>
                <w:color w:val="000000"/>
                <w:sz w:val="20"/>
                <w:szCs w:val="20"/>
              </w:rPr>
            </w:pPr>
          </w:p>
        </w:tc>
        <w:tc>
          <w:tcPr>
            <w:tcW w:w="267" w:type="pct"/>
          </w:tcPr>
          <w:p w14:paraId="3CE3FD89" w14:textId="2BFD7402" w:rsidR="001D38FF" w:rsidRPr="00596193" w:rsidRDefault="001D38FF" w:rsidP="001D38FF">
            <w:pPr>
              <w:jc w:val="both"/>
              <w:rPr>
                <w:color w:val="000000"/>
                <w:sz w:val="20"/>
                <w:szCs w:val="20"/>
              </w:rPr>
            </w:pPr>
          </w:p>
        </w:tc>
        <w:tc>
          <w:tcPr>
            <w:tcW w:w="250" w:type="pct"/>
          </w:tcPr>
          <w:p w14:paraId="4BDCFB82" w14:textId="77777777" w:rsidR="001D38FF" w:rsidRPr="00596193" w:rsidRDefault="001D38FF" w:rsidP="001D38FF">
            <w:pPr>
              <w:jc w:val="both"/>
              <w:rPr>
                <w:color w:val="000000"/>
                <w:sz w:val="20"/>
                <w:szCs w:val="20"/>
              </w:rPr>
            </w:pPr>
          </w:p>
        </w:tc>
        <w:tc>
          <w:tcPr>
            <w:tcW w:w="281" w:type="pct"/>
            <w:vAlign w:val="bottom"/>
          </w:tcPr>
          <w:p w14:paraId="2204E080" w14:textId="77777777" w:rsidR="001D38FF" w:rsidRPr="00596193" w:rsidRDefault="001D38FF" w:rsidP="001D38FF">
            <w:pPr>
              <w:jc w:val="both"/>
              <w:rPr>
                <w:color w:val="000000"/>
                <w:sz w:val="20"/>
                <w:szCs w:val="20"/>
              </w:rPr>
            </w:pPr>
          </w:p>
        </w:tc>
        <w:tc>
          <w:tcPr>
            <w:tcW w:w="282" w:type="pct"/>
            <w:vAlign w:val="bottom"/>
          </w:tcPr>
          <w:p w14:paraId="302564F8" w14:textId="77777777" w:rsidR="001D38FF" w:rsidRPr="00596193" w:rsidRDefault="001D38FF" w:rsidP="001D38FF">
            <w:pPr>
              <w:jc w:val="both"/>
              <w:rPr>
                <w:color w:val="000000"/>
                <w:sz w:val="20"/>
                <w:szCs w:val="20"/>
              </w:rPr>
            </w:pPr>
          </w:p>
        </w:tc>
        <w:tc>
          <w:tcPr>
            <w:tcW w:w="251" w:type="pct"/>
            <w:vAlign w:val="bottom"/>
          </w:tcPr>
          <w:p w14:paraId="259F4919" w14:textId="77777777" w:rsidR="001D38FF" w:rsidRPr="00596193" w:rsidRDefault="001D38FF" w:rsidP="001D38FF">
            <w:pPr>
              <w:jc w:val="both"/>
              <w:rPr>
                <w:color w:val="000000"/>
                <w:sz w:val="20"/>
                <w:szCs w:val="20"/>
              </w:rPr>
            </w:pPr>
          </w:p>
        </w:tc>
        <w:tc>
          <w:tcPr>
            <w:tcW w:w="250" w:type="pct"/>
            <w:vAlign w:val="bottom"/>
          </w:tcPr>
          <w:p w14:paraId="6039FB22" w14:textId="3923807C" w:rsidR="001D38FF" w:rsidRPr="00596193" w:rsidRDefault="001D38FF" w:rsidP="001D38FF">
            <w:pPr>
              <w:jc w:val="both"/>
              <w:rPr>
                <w:color w:val="000000"/>
                <w:sz w:val="20"/>
                <w:szCs w:val="20"/>
              </w:rPr>
            </w:pPr>
          </w:p>
        </w:tc>
        <w:tc>
          <w:tcPr>
            <w:tcW w:w="264" w:type="pct"/>
          </w:tcPr>
          <w:p w14:paraId="585A9A7B" w14:textId="77777777" w:rsidR="001D38FF" w:rsidRPr="00910FD4" w:rsidRDefault="001D38FF" w:rsidP="001D38FF">
            <w:pPr>
              <w:jc w:val="both"/>
              <w:rPr>
                <w:color w:val="000000"/>
                <w:sz w:val="20"/>
                <w:szCs w:val="20"/>
              </w:rPr>
            </w:pPr>
          </w:p>
        </w:tc>
        <w:tc>
          <w:tcPr>
            <w:tcW w:w="224" w:type="pct"/>
          </w:tcPr>
          <w:p w14:paraId="26E53C3F" w14:textId="77777777" w:rsidR="001D38FF" w:rsidRPr="00910FD4" w:rsidRDefault="001D38FF" w:rsidP="001D38FF">
            <w:pPr>
              <w:jc w:val="both"/>
              <w:rPr>
                <w:color w:val="000000"/>
                <w:sz w:val="20"/>
                <w:szCs w:val="20"/>
              </w:rPr>
            </w:pPr>
          </w:p>
        </w:tc>
        <w:tc>
          <w:tcPr>
            <w:tcW w:w="224" w:type="pct"/>
          </w:tcPr>
          <w:p w14:paraId="43451561" w14:textId="77777777" w:rsidR="001D38FF" w:rsidRPr="00910FD4" w:rsidRDefault="001D38FF" w:rsidP="001D38FF">
            <w:pPr>
              <w:jc w:val="both"/>
              <w:rPr>
                <w:color w:val="000000"/>
                <w:sz w:val="20"/>
                <w:szCs w:val="20"/>
              </w:rPr>
            </w:pPr>
          </w:p>
        </w:tc>
        <w:tc>
          <w:tcPr>
            <w:tcW w:w="224" w:type="pct"/>
          </w:tcPr>
          <w:p w14:paraId="2B642D2E" w14:textId="687B2C2D" w:rsidR="001D38FF" w:rsidRPr="00910FD4" w:rsidRDefault="001D38FF" w:rsidP="001D38FF">
            <w:pPr>
              <w:jc w:val="both"/>
              <w:rPr>
                <w:color w:val="000000"/>
                <w:sz w:val="20"/>
                <w:szCs w:val="20"/>
              </w:rPr>
            </w:pPr>
          </w:p>
        </w:tc>
      </w:tr>
      <w:tr w:rsidR="00760016" w:rsidRPr="008018B6" w14:paraId="671D9BE4" w14:textId="633B2189" w:rsidTr="00760016">
        <w:trPr>
          <w:trHeight w:val="300"/>
        </w:trPr>
        <w:tc>
          <w:tcPr>
            <w:tcW w:w="976" w:type="pct"/>
            <w:shd w:val="clear" w:color="auto" w:fill="auto"/>
            <w:noWrap/>
            <w:vAlign w:val="bottom"/>
            <w:hideMark/>
          </w:tcPr>
          <w:p w14:paraId="7884F7D9" w14:textId="77777777" w:rsidR="001D38FF" w:rsidRPr="00596193" w:rsidRDefault="001D38FF" w:rsidP="001D38FF">
            <w:pPr>
              <w:jc w:val="both"/>
              <w:rPr>
                <w:color w:val="000000"/>
                <w:sz w:val="20"/>
                <w:szCs w:val="20"/>
              </w:rPr>
            </w:pPr>
            <w:r w:rsidRPr="00596193">
              <w:rPr>
                <w:color w:val="000000"/>
                <w:sz w:val="20"/>
                <w:szCs w:val="20"/>
              </w:rPr>
              <w:t>Rural men (35-44)</w:t>
            </w:r>
          </w:p>
        </w:tc>
        <w:tc>
          <w:tcPr>
            <w:tcW w:w="237" w:type="pct"/>
            <w:shd w:val="clear" w:color="auto" w:fill="auto"/>
            <w:noWrap/>
            <w:vAlign w:val="bottom"/>
            <w:hideMark/>
          </w:tcPr>
          <w:p w14:paraId="20254A01" w14:textId="77777777" w:rsidR="001D38FF" w:rsidRPr="00596193" w:rsidRDefault="001D38FF" w:rsidP="001D38FF">
            <w:pPr>
              <w:jc w:val="both"/>
              <w:rPr>
                <w:color w:val="000000"/>
                <w:sz w:val="20"/>
                <w:szCs w:val="20"/>
              </w:rPr>
            </w:pPr>
          </w:p>
        </w:tc>
        <w:tc>
          <w:tcPr>
            <w:tcW w:w="282" w:type="pct"/>
          </w:tcPr>
          <w:p w14:paraId="0D7FA923" w14:textId="77777777" w:rsidR="001D38FF" w:rsidRPr="00596193" w:rsidRDefault="001D38FF" w:rsidP="001D38FF">
            <w:pPr>
              <w:jc w:val="both"/>
              <w:rPr>
                <w:color w:val="000000"/>
                <w:sz w:val="20"/>
                <w:szCs w:val="20"/>
              </w:rPr>
            </w:pPr>
          </w:p>
        </w:tc>
        <w:tc>
          <w:tcPr>
            <w:tcW w:w="251" w:type="pct"/>
          </w:tcPr>
          <w:p w14:paraId="4C0C18D1" w14:textId="77777777" w:rsidR="001D38FF" w:rsidRPr="00596193" w:rsidRDefault="001D38FF" w:rsidP="001D38FF">
            <w:pPr>
              <w:jc w:val="both"/>
              <w:rPr>
                <w:color w:val="000000"/>
                <w:sz w:val="20"/>
                <w:szCs w:val="20"/>
              </w:rPr>
            </w:pPr>
          </w:p>
        </w:tc>
        <w:tc>
          <w:tcPr>
            <w:tcW w:w="253" w:type="pct"/>
          </w:tcPr>
          <w:p w14:paraId="4FE99190" w14:textId="77777777" w:rsidR="001D38FF" w:rsidRPr="00596193" w:rsidRDefault="001D38FF" w:rsidP="001D38FF">
            <w:pPr>
              <w:jc w:val="both"/>
              <w:rPr>
                <w:color w:val="000000"/>
                <w:sz w:val="20"/>
                <w:szCs w:val="20"/>
              </w:rPr>
            </w:pPr>
          </w:p>
        </w:tc>
        <w:tc>
          <w:tcPr>
            <w:tcW w:w="250" w:type="pct"/>
            <w:vAlign w:val="bottom"/>
          </w:tcPr>
          <w:p w14:paraId="51A67C66" w14:textId="77777777" w:rsidR="001D38FF" w:rsidRPr="00596193" w:rsidRDefault="001D38FF" w:rsidP="001D38FF">
            <w:pPr>
              <w:jc w:val="both"/>
              <w:rPr>
                <w:color w:val="000000"/>
                <w:sz w:val="20"/>
                <w:szCs w:val="20"/>
              </w:rPr>
            </w:pPr>
          </w:p>
        </w:tc>
        <w:tc>
          <w:tcPr>
            <w:tcW w:w="234" w:type="pct"/>
          </w:tcPr>
          <w:p w14:paraId="705AF60B" w14:textId="77777777" w:rsidR="001D38FF" w:rsidRPr="00596193" w:rsidRDefault="001D38FF" w:rsidP="001D38FF">
            <w:pPr>
              <w:jc w:val="both"/>
              <w:rPr>
                <w:color w:val="000000"/>
                <w:sz w:val="20"/>
                <w:szCs w:val="20"/>
              </w:rPr>
            </w:pPr>
          </w:p>
        </w:tc>
        <w:tc>
          <w:tcPr>
            <w:tcW w:w="267" w:type="pct"/>
          </w:tcPr>
          <w:p w14:paraId="4F77C8B4" w14:textId="15B8DF4B" w:rsidR="001D38FF" w:rsidRPr="00596193" w:rsidRDefault="001D38FF" w:rsidP="001D38FF">
            <w:pPr>
              <w:jc w:val="both"/>
              <w:rPr>
                <w:color w:val="000000"/>
                <w:sz w:val="20"/>
                <w:szCs w:val="20"/>
              </w:rPr>
            </w:pPr>
          </w:p>
        </w:tc>
        <w:tc>
          <w:tcPr>
            <w:tcW w:w="250" w:type="pct"/>
          </w:tcPr>
          <w:p w14:paraId="3C36BD9E" w14:textId="77777777" w:rsidR="001D38FF" w:rsidRPr="00596193" w:rsidRDefault="001D38FF" w:rsidP="001D38FF">
            <w:pPr>
              <w:jc w:val="both"/>
              <w:rPr>
                <w:color w:val="000000"/>
                <w:sz w:val="20"/>
                <w:szCs w:val="20"/>
              </w:rPr>
            </w:pPr>
          </w:p>
        </w:tc>
        <w:tc>
          <w:tcPr>
            <w:tcW w:w="281" w:type="pct"/>
            <w:vAlign w:val="bottom"/>
          </w:tcPr>
          <w:p w14:paraId="099BAD71" w14:textId="77777777" w:rsidR="001D38FF" w:rsidRPr="00596193" w:rsidRDefault="001D38FF" w:rsidP="001D38FF">
            <w:pPr>
              <w:jc w:val="both"/>
              <w:rPr>
                <w:color w:val="000000"/>
                <w:sz w:val="20"/>
                <w:szCs w:val="20"/>
              </w:rPr>
            </w:pPr>
          </w:p>
        </w:tc>
        <w:tc>
          <w:tcPr>
            <w:tcW w:w="282" w:type="pct"/>
            <w:vAlign w:val="bottom"/>
          </w:tcPr>
          <w:p w14:paraId="345982A5" w14:textId="77777777" w:rsidR="001D38FF" w:rsidRPr="00596193" w:rsidRDefault="001D38FF" w:rsidP="001D38FF">
            <w:pPr>
              <w:jc w:val="both"/>
              <w:rPr>
                <w:color w:val="000000"/>
                <w:sz w:val="20"/>
                <w:szCs w:val="20"/>
              </w:rPr>
            </w:pPr>
          </w:p>
        </w:tc>
        <w:tc>
          <w:tcPr>
            <w:tcW w:w="251" w:type="pct"/>
            <w:vAlign w:val="bottom"/>
          </w:tcPr>
          <w:p w14:paraId="68F5CF6D" w14:textId="77777777" w:rsidR="001D38FF" w:rsidRPr="00596193" w:rsidRDefault="001D38FF" w:rsidP="001D38FF">
            <w:pPr>
              <w:jc w:val="both"/>
              <w:rPr>
                <w:color w:val="000000"/>
                <w:sz w:val="20"/>
                <w:szCs w:val="20"/>
              </w:rPr>
            </w:pPr>
          </w:p>
        </w:tc>
        <w:tc>
          <w:tcPr>
            <w:tcW w:w="250" w:type="pct"/>
            <w:vAlign w:val="bottom"/>
          </w:tcPr>
          <w:p w14:paraId="7AFF2EBE" w14:textId="354094DD" w:rsidR="001D38FF" w:rsidRPr="00596193" w:rsidRDefault="001D38FF" w:rsidP="001D38FF">
            <w:pPr>
              <w:jc w:val="both"/>
              <w:rPr>
                <w:color w:val="000000"/>
                <w:sz w:val="20"/>
                <w:szCs w:val="20"/>
              </w:rPr>
            </w:pPr>
          </w:p>
        </w:tc>
        <w:tc>
          <w:tcPr>
            <w:tcW w:w="264" w:type="pct"/>
          </w:tcPr>
          <w:p w14:paraId="0D020162" w14:textId="77777777" w:rsidR="001D38FF" w:rsidRPr="00910FD4" w:rsidRDefault="001D38FF" w:rsidP="001D38FF">
            <w:pPr>
              <w:jc w:val="both"/>
              <w:rPr>
                <w:color w:val="000000"/>
                <w:sz w:val="20"/>
                <w:szCs w:val="20"/>
              </w:rPr>
            </w:pPr>
          </w:p>
        </w:tc>
        <w:tc>
          <w:tcPr>
            <w:tcW w:w="224" w:type="pct"/>
          </w:tcPr>
          <w:p w14:paraId="20FBCB52" w14:textId="77777777" w:rsidR="001D38FF" w:rsidRPr="00910FD4" w:rsidRDefault="001D38FF" w:rsidP="001D38FF">
            <w:pPr>
              <w:jc w:val="both"/>
              <w:rPr>
                <w:color w:val="000000"/>
                <w:sz w:val="20"/>
                <w:szCs w:val="20"/>
              </w:rPr>
            </w:pPr>
          </w:p>
        </w:tc>
        <w:tc>
          <w:tcPr>
            <w:tcW w:w="224" w:type="pct"/>
          </w:tcPr>
          <w:p w14:paraId="76B3BD89" w14:textId="77777777" w:rsidR="001D38FF" w:rsidRPr="00910FD4" w:rsidRDefault="001D38FF" w:rsidP="001D38FF">
            <w:pPr>
              <w:jc w:val="both"/>
              <w:rPr>
                <w:color w:val="000000"/>
                <w:sz w:val="20"/>
                <w:szCs w:val="20"/>
              </w:rPr>
            </w:pPr>
          </w:p>
        </w:tc>
        <w:tc>
          <w:tcPr>
            <w:tcW w:w="224" w:type="pct"/>
          </w:tcPr>
          <w:p w14:paraId="2AB11920" w14:textId="4479BAD9" w:rsidR="001D38FF" w:rsidRPr="00910FD4" w:rsidRDefault="001D38FF" w:rsidP="001D38FF">
            <w:pPr>
              <w:jc w:val="both"/>
              <w:rPr>
                <w:color w:val="000000"/>
                <w:sz w:val="20"/>
                <w:szCs w:val="20"/>
              </w:rPr>
            </w:pPr>
          </w:p>
        </w:tc>
      </w:tr>
      <w:tr w:rsidR="00760016" w:rsidRPr="008018B6" w14:paraId="2F5CC11D" w14:textId="1C6881D8" w:rsidTr="00760016">
        <w:trPr>
          <w:trHeight w:val="300"/>
        </w:trPr>
        <w:tc>
          <w:tcPr>
            <w:tcW w:w="976" w:type="pct"/>
            <w:shd w:val="clear" w:color="auto" w:fill="auto"/>
            <w:noWrap/>
            <w:vAlign w:val="bottom"/>
            <w:hideMark/>
          </w:tcPr>
          <w:p w14:paraId="75F26DAA" w14:textId="77777777" w:rsidR="001D38FF" w:rsidRPr="00596193" w:rsidRDefault="001D38FF" w:rsidP="001D38FF">
            <w:pPr>
              <w:jc w:val="both"/>
              <w:rPr>
                <w:color w:val="000000"/>
                <w:sz w:val="20"/>
                <w:szCs w:val="20"/>
              </w:rPr>
            </w:pPr>
            <w:r w:rsidRPr="00596193">
              <w:rPr>
                <w:color w:val="000000"/>
                <w:sz w:val="20"/>
                <w:szCs w:val="20"/>
              </w:rPr>
              <w:t>Rural men (45-54)</w:t>
            </w:r>
          </w:p>
        </w:tc>
        <w:tc>
          <w:tcPr>
            <w:tcW w:w="237" w:type="pct"/>
            <w:shd w:val="clear" w:color="auto" w:fill="auto"/>
            <w:noWrap/>
            <w:vAlign w:val="bottom"/>
            <w:hideMark/>
          </w:tcPr>
          <w:p w14:paraId="70660BEA" w14:textId="77777777" w:rsidR="001D38FF" w:rsidRPr="00596193" w:rsidRDefault="001D38FF" w:rsidP="001D38FF">
            <w:pPr>
              <w:jc w:val="both"/>
              <w:rPr>
                <w:color w:val="000000"/>
                <w:sz w:val="20"/>
                <w:szCs w:val="20"/>
              </w:rPr>
            </w:pPr>
          </w:p>
        </w:tc>
        <w:tc>
          <w:tcPr>
            <w:tcW w:w="282" w:type="pct"/>
          </w:tcPr>
          <w:p w14:paraId="0901B5EF" w14:textId="77777777" w:rsidR="001D38FF" w:rsidRPr="00596193" w:rsidRDefault="001D38FF" w:rsidP="001D38FF">
            <w:pPr>
              <w:jc w:val="both"/>
              <w:rPr>
                <w:color w:val="000000"/>
                <w:sz w:val="20"/>
                <w:szCs w:val="20"/>
              </w:rPr>
            </w:pPr>
          </w:p>
        </w:tc>
        <w:tc>
          <w:tcPr>
            <w:tcW w:w="251" w:type="pct"/>
          </w:tcPr>
          <w:p w14:paraId="1732C0D2" w14:textId="77777777" w:rsidR="001D38FF" w:rsidRPr="00596193" w:rsidRDefault="001D38FF" w:rsidP="001D38FF">
            <w:pPr>
              <w:jc w:val="both"/>
              <w:rPr>
                <w:color w:val="000000"/>
                <w:sz w:val="20"/>
                <w:szCs w:val="20"/>
              </w:rPr>
            </w:pPr>
          </w:p>
        </w:tc>
        <w:tc>
          <w:tcPr>
            <w:tcW w:w="253" w:type="pct"/>
          </w:tcPr>
          <w:p w14:paraId="709A95DD" w14:textId="77777777" w:rsidR="001D38FF" w:rsidRPr="00596193" w:rsidRDefault="001D38FF" w:rsidP="001D38FF">
            <w:pPr>
              <w:jc w:val="both"/>
              <w:rPr>
                <w:color w:val="000000"/>
                <w:sz w:val="20"/>
                <w:szCs w:val="20"/>
              </w:rPr>
            </w:pPr>
          </w:p>
        </w:tc>
        <w:tc>
          <w:tcPr>
            <w:tcW w:w="250" w:type="pct"/>
            <w:vAlign w:val="bottom"/>
          </w:tcPr>
          <w:p w14:paraId="67AB0C3E" w14:textId="77777777" w:rsidR="001D38FF" w:rsidRPr="00596193" w:rsidRDefault="001D38FF" w:rsidP="001D38FF">
            <w:pPr>
              <w:jc w:val="both"/>
              <w:rPr>
                <w:color w:val="000000"/>
                <w:sz w:val="20"/>
                <w:szCs w:val="20"/>
              </w:rPr>
            </w:pPr>
          </w:p>
        </w:tc>
        <w:tc>
          <w:tcPr>
            <w:tcW w:w="234" w:type="pct"/>
          </w:tcPr>
          <w:p w14:paraId="01BB50D1" w14:textId="77777777" w:rsidR="001D38FF" w:rsidRPr="00596193" w:rsidRDefault="001D38FF" w:rsidP="001D38FF">
            <w:pPr>
              <w:jc w:val="both"/>
              <w:rPr>
                <w:color w:val="000000"/>
                <w:sz w:val="20"/>
                <w:szCs w:val="20"/>
              </w:rPr>
            </w:pPr>
          </w:p>
        </w:tc>
        <w:tc>
          <w:tcPr>
            <w:tcW w:w="267" w:type="pct"/>
          </w:tcPr>
          <w:p w14:paraId="6F6AC2E5" w14:textId="6C9DEDDE" w:rsidR="001D38FF" w:rsidRPr="00596193" w:rsidRDefault="001D38FF" w:rsidP="001D38FF">
            <w:pPr>
              <w:jc w:val="both"/>
              <w:rPr>
                <w:color w:val="000000"/>
                <w:sz w:val="20"/>
                <w:szCs w:val="20"/>
              </w:rPr>
            </w:pPr>
          </w:p>
        </w:tc>
        <w:tc>
          <w:tcPr>
            <w:tcW w:w="250" w:type="pct"/>
          </w:tcPr>
          <w:p w14:paraId="158F755B" w14:textId="77777777" w:rsidR="001D38FF" w:rsidRPr="00596193" w:rsidRDefault="001D38FF" w:rsidP="001D38FF">
            <w:pPr>
              <w:jc w:val="both"/>
              <w:rPr>
                <w:color w:val="000000"/>
                <w:sz w:val="20"/>
                <w:szCs w:val="20"/>
              </w:rPr>
            </w:pPr>
          </w:p>
        </w:tc>
        <w:tc>
          <w:tcPr>
            <w:tcW w:w="281" w:type="pct"/>
            <w:vAlign w:val="bottom"/>
          </w:tcPr>
          <w:p w14:paraId="4167BF94" w14:textId="77777777" w:rsidR="001D38FF" w:rsidRPr="00596193" w:rsidRDefault="001D38FF" w:rsidP="001D38FF">
            <w:pPr>
              <w:jc w:val="both"/>
              <w:rPr>
                <w:color w:val="000000"/>
                <w:sz w:val="20"/>
                <w:szCs w:val="20"/>
              </w:rPr>
            </w:pPr>
          </w:p>
        </w:tc>
        <w:tc>
          <w:tcPr>
            <w:tcW w:w="282" w:type="pct"/>
            <w:vAlign w:val="bottom"/>
          </w:tcPr>
          <w:p w14:paraId="442D5AA5" w14:textId="77777777" w:rsidR="001D38FF" w:rsidRPr="00596193" w:rsidRDefault="001D38FF" w:rsidP="001D38FF">
            <w:pPr>
              <w:jc w:val="both"/>
              <w:rPr>
                <w:color w:val="000000"/>
                <w:sz w:val="20"/>
                <w:szCs w:val="20"/>
              </w:rPr>
            </w:pPr>
          </w:p>
        </w:tc>
        <w:tc>
          <w:tcPr>
            <w:tcW w:w="251" w:type="pct"/>
            <w:vAlign w:val="bottom"/>
          </w:tcPr>
          <w:p w14:paraId="1AFB4988" w14:textId="77777777" w:rsidR="001D38FF" w:rsidRPr="00596193" w:rsidRDefault="001D38FF" w:rsidP="001D38FF">
            <w:pPr>
              <w:jc w:val="both"/>
              <w:rPr>
                <w:color w:val="000000"/>
                <w:sz w:val="20"/>
                <w:szCs w:val="20"/>
              </w:rPr>
            </w:pPr>
          </w:p>
        </w:tc>
        <w:tc>
          <w:tcPr>
            <w:tcW w:w="250" w:type="pct"/>
            <w:vAlign w:val="bottom"/>
          </w:tcPr>
          <w:p w14:paraId="2801A11C" w14:textId="166525CC" w:rsidR="001D38FF" w:rsidRPr="00596193" w:rsidRDefault="001D38FF" w:rsidP="001D38FF">
            <w:pPr>
              <w:jc w:val="both"/>
              <w:rPr>
                <w:color w:val="000000"/>
                <w:sz w:val="20"/>
                <w:szCs w:val="20"/>
              </w:rPr>
            </w:pPr>
          </w:p>
        </w:tc>
        <w:tc>
          <w:tcPr>
            <w:tcW w:w="264" w:type="pct"/>
          </w:tcPr>
          <w:p w14:paraId="04FBECEE" w14:textId="77777777" w:rsidR="001D38FF" w:rsidRPr="00910FD4" w:rsidRDefault="001D38FF" w:rsidP="001D38FF">
            <w:pPr>
              <w:jc w:val="both"/>
              <w:rPr>
                <w:color w:val="000000"/>
                <w:sz w:val="20"/>
                <w:szCs w:val="20"/>
              </w:rPr>
            </w:pPr>
          </w:p>
        </w:tc>
        <w:tc>
          <w:tcPr>
            <w:tcW w:w="224" w:type="pct"/>
          </w:tcPr>
          <w:p w14:paraId="4FBD2746" w14:textId="77777777" w:rsidR="001D38FF" w:rsidRPr="00910FD4" w:rsidRDefault="001D38FF" w:rsidP="001D38FF">
            <w:pPr>
              <w:jc w:val="both"/>
              <w:rPr>
                <w:color w:val="000000"/>
                <w:sz w:val="20"/>
                <w:szCs w:val="20"/>
              </w:rPr>
            </w:pPr>
          </w:p>
        </w:tc>
        <w:tc>
          <w:tcPr>
            <w:tcW w:w="224" w:type="pct"/>
          </w:tcPr>
          <w:p w14:paraId="269886D7" w14:textId="77777777" w:rsidR="001D38FF" w:rsidRPr="00910FD4" w:rsidRDefault="001D38FF" w:rsidP="001D38FF">
            <w:pPr>
              <w:jc w:val="both"/>
              <w:rPr>
                <w:color w:val="000000"/>
                <w:sz w:val="20"/>
                <w:szCs w:val="20"/>
              </w:rPr>
            </w:pPr>
          </w:p>
        </w:tc>
        <w:tc>
          <w:tcPr>
            <w:tcW w:w="224" w:type="pct"/>
          </w:tcPr>
          <w:p w14:paraId="618E68F1" w14:textId="19A25DFA" w:rsidR="001D38FF" w:rsidRPr="00910FD4" w:rsidRDefault="001D38FF" w:rsidP="001D38FF">
            <w:pPr>
              <w:jc w:val="both"/>
              <w:rPr>
                <w:color w:val="000000"/>
                <w:sz w:val="20"/>
                <w:szCs w:val="20"/>
              </w:rPr>
            </w:pPr>
          </w:p>
        </w:tc>
      </w:tr>
      <w:tr w:rsidR="00760016" w:rsidRPr="008018B6" w14:paraId="2C9119A0" w14:textId="611577ED" w:rsidTr="00760016">
        <w:trPr>
          <w:trHeight w:val="300"/>
        </w:trPr>
        <w:tc>
          <w:tcPr>
            <w:tcW w:w="976" w:type="pct"/>
            <w:shd w:val="clear" w:color="auto" w:fill="auto"/>
            <w:noWrap/>
            <w:vAlign w:val="bottom"/>
            <w:hideMark/>
          </w:tcPr>
          <w:p w14:paraId="14694E07" w14:textId="77777777" w:rsidR="001D38FF" w:rsidRPr="00596193" w:rsidRDefault="001D38FF" w:rsidP="001D38FF">
            <w:pPr>
              <w:jc w:val="both"/>
              <w:rPr>
                <w:color w:val="000000"/>
                <w:sz w:val="20"/>
                <w:szCs w:val="20"/>
              </w:rPr>
            </w:pPr>
            <w:r w:rsidRPr="00596193">
              <w:rPr>
                <w:color w:val="000000"/>
                <w:sz w:val="20"/>
                <w:szCs w:val="20"/>
              </w:rPr>
              <w:t>Rural men (55-64)</w:t>
            </w:r>
          </w:p>
        </w:tc>
        <w:tc>
          <w:tcPr>
            <w:tcW w:w="237" w:type="pct"/>
            <w:shd w:val="clear" w:color="auto" w:fill="auto"/>
            <w:noWrap/>
            <w:vAlign w:val="bottom"/>
            <w:hideMark/>
          </w:tcPr>
          <w:p w14:paraId="26E329E0" w14:textId="77777777" w:rsidR="001D38FF" w:rsidRPr="00596193" w:rsidRDefault="001D38FF" w:rsidP="001D38FF">
            <w:pPr>
              <w:jc w:val="both"/>
              <w:rPr>
                <w:color w:val="000000"/>
                <w:sz w:val="20"/>
                <w:szCs w:val="20"/>
              </w:rPr>
            </w:pPr>
          </w:p>
        </w:tc>
        <w:tc>
          <w:tcPr>
            <w:tcW w:w="282" w:type="pct"/>
          </w:tcPr>
          <w:p w14:paraId="121CCC0F" w14:textId="77777777" w:rsidR="001D38FF" w:rsidRPr="00596193" w:rsidRDefault="001D38FF" w:rsidP="001D38FF">
            <w:pPr>
              <w:jc w:val="both"/>
              <w:rPr>
                <w:color w:val="000000"/>
                <w:sz w:val="20"/>
                <w:szCs w:val="20"/>
              </w:rPr>
            </w:pPr>
          </w:p>
        </w:tc>
        <w:tc>
          <w:tcPr>
            <w:tcW w:w="251" w:type="pct"/>
          </w:tcPr>
          <w:p w14:paraId="7A556BA9" w14:textId="77777777" w:rsidR="001D38FF" w:rsidRPr="00596193" w:rsidRDefault="001D38FF" w:rsidP="001D38FF">
            <w:pPr>
              <w:jc w:val="both"/>
              <w:rPr>
                <w:color w:val="000000"/>
                <w:sz w:val="20"/>
                <w:szCs w:val="20"/>
              </w:rPr>
            </w:pPr>
          </w:p>
        </w:tc>
        <w:tc>
          <w:tcPr>
            <w:tcW w:w="253" w:type="pct"/>
          </w:tcPr>
          <w:p w14:paraId="04EE7008" w14:textId="77777777" w:rsidR="001D38FF" w:rsidRPr="00596193" w:rsidRDefault="001D38FF" w:rsidP="001D38FF">
            <w:pPr>
              <w:jc w:val="both"/>
              <w:rPr>
                <w:color w:val="000000"/>
                <w:sz w:val="20"/>
                <w:szCs w:val="20"/>
              </w:rPr>
            </w:pPr>
          </w:p>
        </w:tc>
        <w:tc>
          <w:tcPr>
            <w:tcW w:w="250" w:type="pct"/>
            <w:vAlign w:val="bottom"/>
          </w:tcPr>
          <w:p w14:paraId="330124D4" w14:textId="77777777" w:rsidR="001D38FF" w:rsidRPr="00596193" w:rsidRDefault="001D38FF" w:rsidP="001D38FF">
            <w:pPr>
              <w:jc w:val="both"/>
              <w:rPr>
                <w:color w:val="000000"/>
                <w:sz w:val="20"/>
                <w:szCs w:val="20"/>
              </w:rPr>
            </w:pPr>
          </w:p>
        </w:tc>
        <w:tc>
          <w:tcPr>
            <w:tcW w:w="234" w:type="pct"/>
          </w:tcPr>
          <w:p w14:paraId="5A0815EF" w14:textId="77777777" w:rsidR="001D38FF" w:rsidRPr="00596193" w:rsidRDefault="001D38FF" w:rsidP="001D38FF">
            <w:pPr>
              <w:jc w:val="both"/>
              <w:rPr>
                <w:color w:val="000000"/>
                <w:sz w:val="20"/>
                <w:szCs w:val="20"/>
              </w:rPr>
            </w:pPr>
          </w:p>
        </w:tc>
        <w:tc>
          <w:tcPr>
            <w:tcW w:w="267" w:type="pct"/>
          </w:tcPr>
          <w:p w14:paraId="07C11D16" w14:textId="0A181C73" w:rsidR="001D38FF" w:rsidRPr="00596193" w:rsidRDefault="001D38FF" w:rsidP="001D38FF">
            <w:pPr>
              <w:jc w:val="both"/>
              <w:rPr>
                <w:color w:val="000000"/>
                <w:sz w:val="20"/>
                <w:szCs w:val="20"/>
              </w:rPr>
            </w:pPr>
          </w:p>
        </w:tc>
        <w:tc>
          <w:tcPr>
            <w:tcW w:w="250" w:type="pct"/>
          </w:tcPr>
          <w:p w14:paraId="7DC83C75" w14:textId="77777777" w:rsidR="001D38FF" w:rsidRPr="00596193" w:rsidRDefault="001D38FF" w:rsidP="001D38FF">
            <w:pPr>
              <w:jc w:val="both"/>
              <w:rPr>
                <w:color w:val="000000"/>
                <w:sz w:val="20"/>
                <w:szCs w:val="20"/>
              </w:rPr>
            </w:pPr>
          </w:p>
        </w:tc>
        <w:tc>
          <w:tcPr>
            <w:tcW w:w="281" w:type="pct"/>
            <w:vAlign w:val="bottom"/>
          </w:tcPr>
          <w:p w14:paraId="53167CBD" w14:textId="77777777" w:rsidR="001D38FF" w:rsidRPr="00596193" w:rsidRDefault="001D38FF" w:rsidP="001D38FF">
            <w:pPr>
              <w:jc w:val="both"/>
              <w:rPr>
                <w:color w:val="000000"/>
                <w:sz w:val="20"/>
                <w:szCs w:val="20"/>
              </w:rPr>
            </w:pPr>
          </w:p>
        </w:tc>
        <w:tc>
          <w:tcPr>
            <w:tcW w:w="282" w:type="pct"/>
            <w:vAlign w:val="bottom"/>
          </w:tcPr>
          <w:p w14:paraId="20BC53A0" w14:textId="77777777" w:rsidR="001D38FF" w:rsidRPr="00596193" w:rsidRDefault="001D38FF" w:rsidP="001D38FF">
            <w:pPr>
              <w:jc w:val="both"/>
              <w:rPr>
                <w:color w:val="000000"/>
                <w:sz w:val="20"/>
                <w:szCs w:val="20"/>
              </w:rPr>
            </w:pPr>
          </w:p>
        </w:tc>
        <w:tc>
          <w:tcPr>
            <w:tcW w:w="251" w:type="pct"/>
            <w:vAlign w:val="bottom"/>
          </w:tcPr>
          <w:p w14:paraId="73E0E95A" w14:textId="77777777" w:rsidR="001D38FF" w:rsidRPr="00596193" w:rsidRDefault="001D38FF" w:rsidP="001D38FF">
            <w:pPr>
              <w:jc w:val="both"/>
              <w:rPr>
                <w:color w:val="000000"/>
                <w:sz w:val="20"/>
                <w:szCs w:val="20"/>
              </w:rPr>
            </w:pPr>
          </w:p>
        </w:tc>
        <w:tc>
          <w:tcPr>
            <w:tcW w:w="250" w:type="pct"/>
            <w:vAlign w:val="bottom"/>
          </w:tcPr>
          <w:p w14:paraId="4DEE9795" w14:textId="6329BBCC" w:rsidR="001D38FF" w:rsidRPr="00596193" w:rsidRDefault="001D38FF" w:rsidP="001D38FF">
            <w:pPr>
              <w:jc w:val="both"/>
              <w:rPr>
                <w:color w:val="000000"/>
                <w:sz w:val="20"/>
                <w:szCs w:val="20"/>
              </w:rPr>
            </w:pPr>
          </w:p>
        </w:tc>
        <w:tc>
          <w:tcPr>
            <w:tcW w:w="264" w:type="pct"/>
          </w:tcPr>
          <w:p w14:paraId="23A7EFB4" w14:textId="77777777" w:rsidR="001D38FF" w:rsidRPr="00910FD4" w:rsidRDefault="001D38FF" w:rsidP="001D38FF">
            <w:pPr>
              <w:jc w:val="both"/>
              <w:rPr>
                <w:color w:val="000000"/>
                <w:sz w:val="20"/>
                <w:szCs w:val="20"/>
              </w:rPr>
            </w:pPr>
          </w:p>
        </w:tc>
        <w:tc>
          <w:tcPr>
            <w:tcW w:w="224" w:type="pct"/>
          </w:tcPr>
          <w:p w14:paraId="7CA39E35" w14:textId="77777777" w:rsidR="001D38FF" w:rsidRPr="00910FD4" w:rsidRDefault="001D38FF" w:rsidP="001D38FF">
            <w:pPr>
              <w:jc w:val="both"/>
              <w:rPr>
                <w:color w:val="000000"/>
                <w:sz w:val="20"/>
                <w:szCs w:val="20"/>
              </w:rPr>
            </w:pPr>
          </w:p>
        </w:tc>
        <w:tc>
          <w:tcPr>
            <w:tcW w:w="224" w:type="pct"/>
          </w:tcPr>
          <w:p w14:paraId="2BF964F2" w14:textId="77777777" w:rsidR="001D38FF" w:rsidRPr="00910FD4" w:rsidRDefault="001D38FF" w:rsidP="001D38FF">
            <w:pPr>
              <w:jc w:val="both"/>
              <w:rPr>
                <w:color w:val="000000"/>
                <w:sz w:val="20"/>
                <w:szCs w:val="20"/>
              </w:rPr>
            </w:pPr>
          </w:p>
        </w:tc>
        <w:tc>
          <w:tcPr>
            <w:tcW w:w="224" w:type="pct"/>
          </w:tcPr>
          <w:p w14:paraId="5539FC4E" w14:textId="42DC975F" w:rsidR="001D38FF" w:rsidRPr="00910FD4" w:rsidRDefault="001D38FF" w:rsidP="001D38FF">
            <w:pPr>
              <w:jc w:val="both"/>
              <w:rPr>
                <w:color w:val="000000"/>
                <w:sz w:val="20"/>
                <w:szCs w:val="20"/>
              </w:rPr>
            </w:pPr>
          </w:p>
        </w:tc>
      </w:tr>
      <w:tr w:rsidR="00760016" w:rsidRPr="008018B6" w14:paraId="0FFFF490" w14:textId="091754E4" w:rsidTr="00760016">
        <w:trPr>
          <w:trHeight w:val="300"/>
        </w:trPr>
        <w:tc>
          <w:tcPr>
            <w:tcW w:w="976" w:type="pct"/>
            <w:shd w:val="clear" w:color="auto" w:fill="auto"/>
            <w:noWrap/>
            <w:vAlign w:val="bottom"/>
            <w:hideMark/>
          </w:tcPr>
          <w:p w14:paraId="5590C812" w14:textId="345BD826" w:rsidR="001D38FF" w:rsidRPr="00BB5C25" w:rsidRDefault="001D38FF" w:rsidP="001D38FF">
            <w:pPr>
              <w:jc w:val="both"/>
              <w:rPr>
                <w:color w:val="000000"/>
                <w:sz w:val="20"/>
                <w:szCs w:val="20"/>
                <w:vertAlign w:val="superscript"/>
              </w:rPr>
            </w:pPr>
            <w:r w:rsidRPr="00596193">
              <w:rPr>
                <w:color w:val="000000"/>
                <w:sz w:val="20"/>
                <w:szCs w:val="20"/>
              </w:rPr>
              <w:t>High risk women (15-24)</w:t>
            </w:r>
          </w:p>
        </w:tc>
        <w:tc>
          <w:tcPr>
            <w:tcW w:w="237" w:type="pct"/>
            <w:shd w:val="clear" w:color="auto" w:fill="auto"/>
            <w:noWrap/>
            <w:vAlign w:val="bottom"/>
            <w:hideMark/>
          </w:tcPr>
          <w:p w14:paraId="2E58362E" w14:textId="77777777" w:rsidR="001D38FF" w:rsidRPr="00596193" w:rsidRDefault="001D38FF" w:rsidP="001D38FF">
            <w:pPr>
              <w:jc w:val="both"/>
              <w:rPr>
                <w:color w:val="000000"/>
                <w:sz w:val="20"/>
                <w:szCs w:val="20"/>
              </w:rPr>
            </w:pPr>
          </w:p>
        </w:tc>
        <w:tc>
          <w:tcPr>
            <w:tcW w:w="282" w:type="pct"/>
          </w:tcPr>
          <w:p w14:paraId="5649B133" w14:textId="77777777" w:rsidR="001D38FF" w:rsidRPr="00596193" w:rsidRDefault="001D38FF" w:rsidP="001D38FF">
            <w:pPr>
              <w:jc w:val="both"/>
              <w:rPr>
                <w:color w:val="000000"/>
                <w:sz w:val="20"/>
                <w:szCs w:val="20"/>
              </w:rPr>
            </w:pPr>
          </w:p>
        </w:tc>
        <w:tc>
          <w:tcPr>
            <w:tcW w:w="251" w:type="pct"/>
          </w:tcPr>
          <w:p w14:paraId="19EDAF48" w14:textId="77777777" w:rsidR="001D38FF" w:rsidRPr="00596193" w:rsidRDefault="001D38FF" w:rsidP="001D38FF">
            <w:pPr>
              <w:jc w:val="both"/>
              <w:rPr>
                <w:color w:val="000000"/>
                <w:sz w:val="20"/>
                <w:szCs w:val="20"/>
              </w:rPr>
            </w:pPr>
          </w:p>
        </w:tc>
        <w:tc>
          <w:tcPr>
            <w:tcW w:w="253" w:type="pct"/>
          </w:tcPr>
          <w:p w14:paraId="74749ED3" w14:textId="77777777" w:rsidR="001D38FF" w:rsidRPr="00596193" w:rsidRDefault="001D38FF" w:rsidP="001D38FF">
            <w:pPr>
              <w:jc w:val="both"/>
              <w:rPr>
                <w:color w:val="000000"/>
                <w:sz w:val="20"/>
                <w:szCs w:val="20"/>
              </w:rPr>
            </w:pPr>
          </w:p>
        </w:tc>
        <w:tc>
          <w:tcPr>
            <w:tcW w:w="250" w:type="pct"/>
            <w:vAlign w:val="bottom"/>
          </w:tcPr>
          <w:p w14:paraId="27BA3769" w14:textId="77777777" w:rsidR="001D38FF" w:rsidRPr="00596193" w:rsidRDefault="001D38FF" w:rsidP="001D38FF">
            <w:pPr>
              <w:jc w:val="both"/>
              <w:rPr>
                <w:color w:val="000000"/>
                <w:sz w:val="20"/>
                <w:szCs w:val="20"/>
              </w:rPr>
            </w:pPr>
          </w:p>
        </w:tc>
        <w:tc>
          <w:tcPr>
            <w:tcW w:w="234" w:type="pct"/>
          </w:tcPr>
          <w:p w14:paraId="0ABAADF6" w14:textId="77777777" w:rsidR="001D38FF" w:rsidRPr="00596193" w:rsidRDefault="001D38FF" w:rsidP="001D38FF">
            <w:pPr>
              <w:jc w:val="both"/>
              <w:rPr>
                <w:color w:val="000000"/>
                <w:sz w:val="20"/>
                <w:szCs w:val="20"/>
              </w:rPr>
            </w:pPr>
          </w:p>
        </w:tc>
        <w:tc>
          <w:tcPr>
            <w:tcW w:w="267" w:type="pct"/>
          </w:tcPr>
          <w:p w14:paraId="1A72850C" w14:textId="033E5E77" w:rsidR="001D38FF" w:rsidRPr="00596193" w:rsidRDefault="001D38FF" w:rsidP="001D38FF">
            <w:pPr>
              <w:jc w:val="both"/>
              <w:rPr>
                <w:color w:val="000000"/>
                <w:sz w:val="20"/>
                <w:szCs w:val="20"/>
              </w:rPr>
            </w:pPr>
          </w:p>
        </w:tc>
        <w:tc>
          <w:tcPr>
            <w:tcW w:w="250" w:type="pct"/>
          </w:tcPr>
          <w:p w14:paraId="55ED0CC7" w14:textId="77777777" w:rsidR="001D38FF" w:rsidRPr="00596193" w:rsidRDefault="001D38FF" w:rsidP="001D38FF">
            <w:pPr>
              <w:jc w:val="both"/>
              <w:rPr>
                <w:color w:val="000000"/>
                <w:sz w:val="20"/>
                <w:szCs w:val="20"/>
              </w:rPr>
            </w:pPr>
          </w:p>
        </w:tc>
        <w:tc>
          <w:tcPr>
            <w:tcW w:w="281" w:type="pct"/>
            <w:vAlign w:val="bottom"/>
          </w:tcPr>
          <w:p w14:paraId="67231691" w14:textId="77777777" w:rsidR="001D38FF" w:rsidRPr="00596193" w:rsidRDefault="001D38FF" w:rsidP="001D38FF">
            <w:pPr>
              <w:jc w:val="both"/>
              <w:rPr>
                <w:color w:val="000000"/>
                <w:sz w:val="20"/>
                <w:szCs w:val="20"/>
              </w:rPr>
            </w:pPr>
          </w:p>
        </w:tc>
        <w:tc>
          <w:tcPr>
            <w:tcW w:w="282" w:type="pct"/>
            <w:vAlign w:val="bottom"/>
          </w:tcPr>
          <w:p w14:paraId="48259B6F" w14:textId="77777777" w:rsidR="001D38FF" w:rsidRPr="00596193" w:rsidRDefault="001D38FF" w:rsidP="001D38FF">
            <w:pPr>
              <w:jc w:val="both"/>
              <w:rPr>
                <w:color w:val="000000"/>
                <w:sz w:val="20"/>
                <w:szCs w:val="20"/>
              </w:rPr>
            </w:pPr>
          </w:p>
        </w:tc>
        <w:tc>
          <w:tcPr>
            <w:tcW w:w="251" w:type="pct"/>
            <w:vAlign w:val="bottom"/>
          </w:tcPr>
          <w:p w14:paraId="65C8CB3C" w14:textId="77777777" w:rsidR="001D38FF" w:rsidRPr="00596193" w:rsidRDefault="001D38FF" w:rsidP="001D38FF">
            <w:pPr>
              <w:jc w:val="both"/>
              <w:rPr>
                <w:color w:val="000000"/>
                <w:sz w:val="20"/>
                <w:szCs w:val="20"/>
              </w:rPr>
            </w:pPr>
          </w:p>
        </w:tc>
        <w:tc>
          <w:tcPr>
            <w:tcW w:w="250" w:type="pct"/>
            <w:vAlign w:val="bottom"/>
          </w:tcPr>
          <w:p w14:paraId="2DEC8E5D" w14:textId="028944DA" w:rsidR="001D38FF" w:rsidRPr="00596193" w:rsidRDefault="001D38FF" w:rsidP="001D38FF">
            <w:pPr>
              <w:jc w:val="both"/>
              <w:rPr>
                <w:color w:val="000000"/>
                <w:sz w:val="20"/>
                <w:szCs w:val="20"/>
              </w:rPr>
            </w:pPr>
          </w:p>
        </w:tc>
        <w:tc>
          <w:tcPr>
            <w:tcW w:w="264" w:type="pct"/>
          </w:tcPr>
          <w:p w14:paraId="0E2F82AE" w14:textId="77777777" w:rsidR="001D38FF" w:rsidRPr="00910FD4" w:rsidRDefault="001D38FF" w:rsidP="001D38FF">
            <w:pPr>
              <w:jc w:val="both"/>
              <w:rPr>
                <w:color w:val="000000"/>
                <w:sz w:val="20"/>
                <w:szCs w:val="20"/>
              </w:rPr>
            </w:pPr>
          </w:p>
        </w:tc>
        <w:tc>
          <w:tcPr>
            <w:tcW w:w="224" w:type="pct"/>
          </w:tcPr>
          <w:p w14:paraId="4FB4FAFE" w14:textId="77777777" w:rsidR="001D38FF" w:rsidRPr="00910FD4" w:rsidRDefault="001D38FF" w:rsidP="001D38FF">
            <w:pPr>
              <w:jc w:val="both"/>
              <w:rPr>
                <w:color w:val="000000"/>
                <w:sz w:val="20"/>
                <w:szCs w:val="20"/>
              </w:rPr>
            </w:pPr>
          </w:p>
        </w:tc>
        <w:tc>
          <w:tcPr>
            <w:tcW w:w="224" w:type="pct"/>
          </w:tcPr>
          <w:p w14:paraId="6D0DBB70" w14:textId="77777777" w:rsidR="001D38FF" w:rsidRPr="00910FD4" w:rsidRDefault="001D38FF" w:rsidP="001D38FF">
            <w:pPr>
              <w:jc w:val="both"/>
              <w:rPr>
                <w:color w:val="000000"/>
                <w:sz w:val="20"/>
                <w:szCs w:val="20"/>
              </w:rPr>
            </w:pPr>
          </w:p>
        </w:tc>
        <w:tc>
          <w:tcPr>
            <w:tcW w:w="224" w:type="pct"/>
          </w:tcPr>
          <w:p w14:paraId="671E49BE" w14:textId="6A6A619C" w:rsidR="001D38FF" w:rsidRPr="00910FD4" w:rsidRDefault="001D38FF" w:rsidP="001D38FF">
            <w:pPr>
              <w:jc w:val="both"/>
              <w:rPr>
                <w:color w:val="000000"/>
                <w:sz w:val="20"/>
                <w:szCs w:val="20"/>
              </w:rPr>
            </w:pPr>
          </w:p>
        </w:tc>
      </w:tr>
      <w:tr w:rsidR="00760016" w:rsidRPr="008018B6" w14:paraId="3D7DCB15" w14:textId="7B143D3A" w:rsidTr="00760016">
        <w:trPr>
          <w:trHeight w:val="300"/>
        </w:trPr>
        <w:tc>
          <w:tcPr>
            <w:tcW w:w="976" w:type="pct"/>
            <w:shd w:val="clear" w:color="auto" w:fill="auto"/>
            <w:noWrap/>
            <w:vAlign w:val="bottom"/>
            <w:hideMark/>
          </w:tcPr>
          <w:p w14:paraId="6955F96C" w14:textId="427FF6C2" w:rsidR="001D38FF" w:rsidRPr="00BB5C25" w:rsidRDefault="001D38FF" w:rsidP="001D38FF">
            <w:pPr>
              <w:jc w:val="both"/>
              <w:rPr>
                <w:color w:val="000000"/>
                <w:sz w:val="20"/>
                <w:szCs w:val="20"/>
                <w:vertAlign w:val="superscript"/>
              </w:rPr>
            </w:pPr>
            <w:r w:rsidRPr="00596193">
              <w:rPr>
                <w:color w:val="000000"/>
                <w:sz w:val="20"/>
                <w:szCs w:val="20"/>
              </w:rPr>
              <w:t>High risk women (25-34)</w:t>
            </w:r>
          </w:p>
        </w:tc>
        <w:tc>
          <w:tcPr>
            <w:tcW w:w="237" w:type="pct"/>
            <w:shd w:val="clear" w:color="auto" w:fill="auto"/>
            <w:noWrap/>
            <w:vAlign w:val="bottom"/>
            <w:hideMark/>
          </w:tcPr>
          <w:p w14:paraId="224E9E85" w14:textId="77777777" w:rsidR="001D38FF" w:rsidRPr="00596193" w:rsidRDefault="001D38FF" w:rsidP="001D38FF">
            <w:pPr>
              <w:jc w:val="both"/>
              <w:rPr>
                <w:color w:val="000000"/>
                <w:sz w:val="20"/>
                <w:szCs w:val="20"/>
              </w:rPr>
            </w:pPr>
          </w:p>
        </w:tc>
        <w:tc>
          <w:tcPr>
            <w:tcW w:w="282" w:type="pct"/>
          </w:tcPr>
          <w:p w14:paraId="35A985B7" w14:textId="77777777" w:rsidR="001D38FF" w:rsidRPr="00596193" w:rsidRDefault="001D38FF" w:rsidP="001D38FF">
            <w:pPr>
              <w:jc w:val="both"/>
              <w:rPr>
                <w:color w:val="000000"/>
                <w:sz w:val="20"/>
                <w:szCs w:val="20"/>
              </w:rPr>
            </w:pPr>
          </w:p>
        </w:tc>
        <w:tc>
          <w:tcPr>
            <w:tcW w:w="251" w:type="pct"/>
          </w:tcPr>
          <w:p w14:paraId="56B0C127" w14:textId="77777777" w:rsidR="001D38FF" w:rsidRPr="00596193" w:rsidRDefault="001D38FF" w:rsidP="001D38FF">
            <w:pPr>
              <w:jc w:val="both"/>
              <w:rPr>
                <w:color w:val="000000"/>
                <w:sz w:val="20"/>
                <w:szCs w:val="20"/>
              </w:rPr>
            </w:pPr>
          </w:p>
        </w:tc>
        <w:tc>
          <w:tcPr>
            <w:tcW w:w="253" w:type="pct"/>
          </w:tcPr>
          <w:p w14:paraId="05324A1E" w14:textId="77777777" w:rsidR="001D38FF" w:rsidRPr="00596193" w:rsidRDefault="001D38FF" w:rsidP="001D38FF">
            <w:pPr>
              <w:jc w:val="both"/>
              <w:rPr>
                <w:color w:val="000000"/>
                <w:sz w:val="20"/>
                <w:szCs w:val="20"/>
              </w:rPr>
            </w:pPr>
          </w:p>
        </w:tc>
        <w:tc>
          <w:tcPr>
            <w:tcW w:w="250" w:type="pct"/>
            <w:vAlign w:val="bottom"/>
          </w:tcPr>
          <w:p w14:paraId="2CCFAB73" w14:textId="77777777" w:rsidR="001D38FF" w:rsidRPr="00596193" w:rsidRDefault="001D38FF" w:rsidP="001D38FF">
            <w:pPr>
              <w:jc w:val="both"/>
              <w:rPr>
                <w:color w:val="000000"/>
                <w:sz w:val="20"/>
                <w:szCs w:val="20"/>
              </w:rPr>
            </w:pPr>
          </w:p>
        </w:tc>
        <w:tc>
          <w:tcPr>
            <w:tcW w:w="234" w:type="pct"/>
          </w:tcPr>
          <w:p w14:paraId="28AE4E13" w14:textId="77777777" w:rsidR="001D38FF" w:rsidRPr="00596193" w:rsidRDefault="001D38FF" w:rsidP="001D38FF">
            <w:pPr>
              <w:jc w:val="both"/>
              <w:rPr>
                <w:color w:val="000000"/>
                <w:sz w:val="20"/>
                <w:szCs w:val="20"/>
              </w:rPr>
            </w:pPr>
          </w:p>
        </w:tc>
        <w:tc>
          <w:tcPr>
            <w:tcW w:w="267" w:type="pct"/>
          </w:tcPr>
          <w:p w14:paraId="21F06D35" w14:textId="36B068B9" w:rsidR="001D38FF" w:rsidRPr="00596193" w:rsidRDefault="001D38FF" w:rsidP="001D38FF">
            <w:pPr>
              <w:jc w:val="both"/>
              <w:rPr>
                <w:color w:val="000000"/>
                <w:sz w:val="20"/>
                <w:szCs w:val="20"/>
              </w:rPr>
            </w:pPr>
          </w:p>
        </w:tc>
        <w:tc>
          <w:tcPr>
            <w:tcW w:w="250" w:type="pct"/>
          </w:tcPr>
          <w:p w14:paraId="3EFD5087" w14:textId="77777777" w:rsidR="001D38FF" w:rsidRPr="00596193" w:rsidRDefault="001D38FF" w:rsidP="001D38FF">
            <w:pPr>
              <w:jc w:val="both"/>
              <w:rPr>
                <w:color w:val="000000"/>
                <w:sz w:val="20"/>
                <w:szCs w:val="20"/>
              </w:rPr>
            </w:pPr>
          </w:p>
        </w:tc>
        <w:tc>
          <w:tcPr>
            <w:tcW w:w="281" w:type="pct"/>
            <w:vAlign w:val="bottom"/>
          </w:tcPr>
          <w:p w14:paraId="090577B4" w14:textId="77777777" w:rsidR="001D38FF" w:rsidRPr="00596193" w:rsidRDefault="001D38FF" w:rsidP="001D38FF">
            <w:pPr>
              <w:jc w:val="both"/>
              <w:rPr>
                <w:color w:val="000000"/>
                <w:sz w:val="20"/>
                <w:szCs w:val="20"/>
              </w:rPr>
            </w:pPr>
          </w:p>
        </w:tc>
        <w:tc>
          <w:tcPr>
            <w:tcW w:w="282" w:type="pct"/>
            <w:vAlign w:val="bottom"/>
          </w:tcPr>
          <w:p w14:paraId="31CDE34C" w14:textId="77777777" w:rsidR="001D38FF" w:rsidRPr="00596193" w:rsidRDefault="001D38FF" w:rsidP="001D38FF">
            <w:pPr>
              <w:jc w:val="both"/>
              <w:rPr>
                <w:color w:val="000000"/>
                <w:sz w:val="20"/>
                <w:szCs w:val="20"/>
              </w:rPr>
            </w:pPr>
          </w:p>
        </w:tc>
        <w:tc>
          <w:tcPr>
            <w:tcW w:w="251" w:type="pct"/>
            <w:vAlign w:val="bottom"/>
          </w:tcPr>
          <w:p w14:paraId="4295A936" w14:textId="77777777" w:rsidR="001D38FF" w:rsidRPr="00596193" w:rsidRDefault="001D38FF" w:rsidP="001D38FF">
            <w:pPr>
              <w:jc w:val="both"/>
              <w:rPr>
                <w:color w:val="000000"/>
                <w:sz w:val="20"/>
                <w:szCs w:val="20"/>
              </w:rPr>
            </w:pPr>
          </w:p>
        </w:tc>
        <w:tc>
          <w:tcPr>
            <w:tcW w:w="250" w:type="pct"/>
            <w:vAlign w:val="bottom"/>
          </w:tcPr>
          <w:p w14:paraId="35F131C5" w14:textId="096F2C5C" w:rsidR="001D38FF" w:rsidRPr="00596193" w:rsidRDefault="001D38FF" w:rsidP="001D38FF">
            <w:pPr>
              <w:jc w:val="both"/>
              <w:rPr>
                <w:color w:val="000000"/>
                <w:sz w:val="20"/>
                <w:szCs w:val="20"/>
              </w:rPr>
            </w:pPr>
          </w:p>
        </w:tc>
        <w:tc>
          <w:tcPr>
            <w:tcW w:w="264" w:type="pct"/>
          </w:tcPr>
          <w:p w14:paraId="6F7EC33D" w14:textId="77777777" w:rsidR="001D38FF" w:rsidRPr="00910FD4" w:rsidRDefault="001D38FF" w:rsidP="001D38FF">
            <w:pPr>
              <w:jc w:val="both"/>
              <w:rPr>
                <w:color w:val="000000"/>
                <w:sz w:val="20"/>
                <w:szCs w:val="20"/>
              </w:rPr>
            </w:pPr>
          </w:p>
        </w:tc>
        <w:tc>
          <w:tcPr>
            <w:tcW w:w="224" w:type="pct"/>
          </w:tcPr>
          <w:p w14:paraId="6D14E854" w14:textId="77777777" w:rsidR="001D38FF" w:rsidRPr="00910FD4" w:rsidRDefault="001D38FF" w:rsidP="001D38FF">
            <w:pPr>
              <w:jc w:val="both"/>
              <w:rPr>
                <w:color w:val="000000"/>
                <w:sz w:val="20"/>
                <w:szCs w:val="20"/>
              </w:rPr>
            </w:pPr>
          </w:p>
        </w:tc>
        <w:tc>
          <w:tcPr>
            <w:tcW w:w="224" w:type="pct"/>
          </w:tcPr>
          <w:p w14:paraId="5621D161" w14:textId="77777777" w:rsidR="001D38FF" w:rsidRPr="00910FD4" w:rsidRDefault="001D38FF" w:rsidP="001D38FF">
            <w:pPr>
              <w:jc w:val="both"/>
              <w:rPr>
                <w:color w:val="000000"/>
                <w:sz w:val="20"/>
                <w:szCs w:val="20"/>
              </w:rPr>
            </w:pPr>
          </w:p>
        </w:tc>
        <w:tc>
          <w:tcPr>
            <w:tcW w:w="224" w:type="pct"/>
          </w:tcPr>
          <w:p w14:paraId="010F27FD" w14:textId="4547D337" w:rsidR="001D38FF" w:rsidRPr="00910FD4" w:rsidRDefault="001D38FF" w:rsidP="001D38FF">
            <w:pPr>
              <w:jc w:val="both"/>
              <w:rPr>
                <w:color w:val="000000"/>
                <w:sz w:val="20"/>
                <w:szCs w:val="20"/>
              </w:rPr>
            </w:pPr>
          </w:p>
        </w:tc>
      </w:tr>
      <w:tr w:rsidR="00760016" w:rsidRPr="008018B6" w14:paraId="1936C8A6" w14:textId="3DD8A775" w:rsidTr="00760016">
        <w:trPr>
          <w:trHeight w:val="300"/>
        </w:trPr>
        <w:tc>
          <w:tcPr>
            <w:tcW w:w="976" w:type="pct"/>
            <w:shd w:val="clear" w:color="auto" w:fill="auto"/>
            <w:noWrap/>
            <w:vAlign w:val="bottom"/>
            <w:hideMark/>
          </w:tcPr>
          <w:p w14:paraId="1DE4CAFC" w14:textId="422A38DC" w:rsidR="001D38FF" w:rsidRPr="00596193" w:rsidRDefault="001D38FF" w:rsidP="001D38FF">
            <w:pPr>
              <w:jc w:val="both"/>
              <w:rPr>
                <w:color w:val="000000"/>
                <w:sz w:val="20"/>
                <w:szCs w:val="20"/>
              </w:rPr>
            </w:pPr>
            <w:r w:rsidRPr="00596193">
              <w:rPr>
                <w:color w:val="000000"/>
                <w:sz w:val="20"/>
                <w:szCs w:val="20"/>
              </w:rPr>
              <w:t>High risk women (35-44)</w:t>
            </w:r>
          </w:p>
        </w:tc>
        <w:tc>
          <w:tcPr>
            <w:tcW w:w="237" w:type="pct"/>
            <w:shd w:val="clear" w:color="auto" w:fill="auto"/>
            <w:noWrap/>
            <w:vAlign w:val="bottom"/>
            <w:hideMark/>
          </w:tcPr>
          <w:p w14:paraId="6D4BE921" w14:textId="77777777" w:rsidR="001D38FF" w:rsidRPr="00596193" w:rsidRDefault="001D38FF" w:rsidP="001D38FF">
            <w:pPr>
              <w:jc w:val="both"/>
              <w:rPr>
                <w:color w:val="000000"/>
                <w:sz w:val="20"/>
                <w:szCs w:val="20"/>
              </w:rPr>
            </w:pPr>
          </w:p>
        </w:tc>
        <w:tc>
          <w:tcPr>
            <w:tcW w:w="282" w:type="pct"/>
          </w:tcPr>
          <w:p w14:paraId="7477D857" w14:textId="77777777" w:rsidR="001D38FF" w:rsidRPr="00596193" w:rsidRDefault="001D38FF" w:rsidP="001D38FF">
            <w:pPr>
              <w:jc w:val="both"/>
              <w:rPr>
                <w:color w:val="000000"/>
                <w:sz w:val="20"/>
                <w:szCs w:val="20"/>
              </w:rPr>
            </w:pPr>
          </w:p>
        </w:tc>
        <w:tc>
          <w:tcPr>
            <w:tcW w:w="251" w:type="pct"/>
          </w:tcPr>
          <w:p w14:paraId="44C1FA52" w14:textId="77777777" w:rsidR="001D38FF" w:rsidRPr="00596193" w:rsidRDefault="001D38FF" w:rsidP="001D38FF">
            <w:pPr>
              <w:jc w:val="both"/>
              <w:rPr>
                <w:color w:val="000000"/>
                <w:sz w:val="20"/>
                <w:szCs w:val="20"/>
              </w:rPr>
            </w:pPr>
          </w:p>
        </w:tc>
        <w:tc>
          <w:tcPr>
            <w:tcW w:w="253" w:type="pct"/>
          </w:tcPr>
          <w:p w14:paraId="6A1DCA73" w14:textId="77777777" w:rsidR="001D38FF" w:rsidRPr="00596193" w:rsidRDefault="001D38FF" w:rsidP="001D38FF">
            <w:pPr>
              <w:jc w:val="both"/>
              <w:rPr>
                <w:color w:val="000000"/>
                <w:sz w:val="20"/>
                <w:szCs w:val="20"/>
              </w:rPr>
            </w:pPr>
          </w:p>
        </w:tc>
        <w:tc>
          <w:tcPr>
            <w:tcW w:w="250" w:type="pct"/>
            <w:vAlign w:val="bottom"/>
          </w:tcPr>
          <w:p w14:paraId="4C384F27" w14:textId="77777777" w:rsidR="001D38FF" w:rsidRPr="00596193" w:rsidRDefault="001D38FF" w:rsidP="001D38FF">
            <w:pPr>
              <w:jc w:val="both"/>
              <w:rPr>
                <w:color w:val="000000"/>
                <w:sz w:val="20"/>
                <w:szCs w:val="20"/>
              </w:rPr>
            </w:pPr>
          </w:p>
        </w:tc>
        <w:tc>
          <w:tcPr>
            <w:tcW w:w="234" w:type="pct"/>
          </w:tcPr>
          <w:p w14:paraId="16867507" w14:textId="77777777" w:rsidR="001D38FF" w:rsidRPr="00596193" w:rsidRDefault="001D38FF" w:rsidP="001D38FF">
            <w:pPr>
              <w:jc w:val="both"/>
              <w:rPr>
                <w:color w:val="000000"/>
                <w:sz w:val="20"/>
                <w:szCs w:val="20"/>
              </w:rPr>
            </w:pPr>
          </w:p>
        </w:tc>
        <w:tc>
          <w:tcPr>
            <w:tcW w:w="267" w:type="pct"/>
          </w:tcPr>
          <w:p w14:paraId="00078984" w14:textId="41F60765" w:rsidR="001D38FF" w:rsidRPr="00596193" w:rsidRDefault="001D38FF" w:rsidP="001D38FF">
            <w:pPr>
              <w:jc w:val="both"/>
              <w:rPr>
                <w:color w:val="000000"/>
                <w:sz w:val="20"/>
                <w:szCs w:val="20"/>
              </w:rPr>
            </w:pPr>
          </w:p>
        </w:tc>
        <w:tc>
          <w:tcPr>
            <w:tcW w:w="250" w:type="pct"/>
          </w:tcPr>
          <w:p w14:paraId="09132FCA" w14:textId="77777777" w:rsidR="001D38FF" w:rsidRPr="00596193" w:rsidRDefault="001D38FF" w:rsidP="001D38FF">
            <w:pPr>
              <w:jc w:val="both"/>
              <w:rPr>
                <w:color w:val="000000"/>
                <w:sz w:val="20"/>
                <w:szCs w:val="20"/>
              </w:rPr>
            </w:pPr>
          </w:p>
        </w:tc>
        <w:tc>
          <w:tcPr>
            <w:tcW w:w="281" w:type="pct"/>
            <w:vAlign w:val="bottom"/>
          </w:tcPr>
          <w:p w14:paraId="233285C8" w14:textId="77777777" w:rsidR="001D38FF" w:rsidRPr="00596193" w:rsidRDefault="001D38FF" w:rsidP="001D38FF">
            <w:pPr>
              <w:jc w:val="both"/>
              <w:rPr>
                <w:color w:val="000000"/>
                <w:sz w:val="20"/>
                <w:szCs w:val="20"/>
              </w:rPr>
            </w:pPr>
          </w:p>
        </w:tc>
        <w:tc>
          <w:tcPr>
            <w:tcW w:w="282" w:type="pct"/>
            <w:vAlign w:val="bottom"/>
          </w:tcPr>
          <w:p w14:paraId="644306DF" w14:textId="77777777" w:rsidR="001D38FF" w:rsidRPr="00596193" w:rsidRDefault="001D38FF" w:rsidP="001D38FF">
            <w:pPr>
              <w:jc w:val="both"/>
              <w:rPr>
                <w:color w:val="000000"/>
                <w:sz w:val="20"/>
                <w:szCs w:val="20"/>
              </w:rPr>
            </w:pPr>
          </w:p>
        </w:tc>
        <w:tc>
          <w:tcPr>
            <w:tcW w:w="251" w:type="pct"/>
            <w:vAlign w:val="bottom"/>
          </w:tcPr>
          <w:p w14:paraId="7A6B8235" w14:textId="77777777" w:rsidR="001D38FF" w:rsidRPr="00596193" w:rsidRDefault="001D38FF" w:rsidP="001D38FF">
            <w:pPr>
              <w:jc w:val="both"/>
              <w:rPr>
                <w:color w:val="000000"/>
                <w:sz w:val="20"/>
                <w:szCs w:val="20"/>
              </w:rPr>
            </w:pPr>
          </w:p>
        </w:tc>
        <w:tc>
          <w:tcPr>
            <w:tcW w:w="250" w:type="pct"/>
            <w:vAlign w:val="bottom"/>
          </w:tcPr>
          <w:p w14:paraId="2741642F" w14:textId="7069BADC" w:rsidR="001D38FF" w:rsidRPr="00596193" w:rsidRDefault="001D38FF" w:rsidP="001D38FF">
            <w:pPr>
              <w:jc w:val="both"/>
              <w:rPr>
                <w:color w:val="000000"/>
                <w:sz w:val="20"/>
                <w:szCs w:val="20"/>
              </w:rPr>
            </w:pPr>
          </w:p>
        </w:tc>
        <w:tc>
          <w:tcPr>
            <w:tcW w:w="264" w:type="pct"/>
          </w:tcPr>
          <w:p w14:paraId="279AC9B4" w14:textId="77777777" w:rsidR="001D38FF" w:rsidRPr="00910FD4" w:rsidRDefault="001D38FF" w:rsidP="001D38FF">
            <w:pPr>
              <w:jc w:val="both"/>
              <w:rPr>
                <w:color w:val="000000"/>
                <w:sz w:val="20"/>
                <w:szCs w:val="20"/>
              </w:rPr>
            </w:pPr>
          </w:p>
        </w:tc>
        <w:tc>
          <w:tcPr>
            <w:tcW w:w="224" w:type="pct"/>
          </w:tcPr>
          <w:p w14:paraId="7838C306" w14:textId="77777777" w:rsidR="001D38FF" w:rsidRPr="00910FD4" w:rsidRDefault="001D38FF" w:rsidP="001D38FF">
            <w:pPr>
              <w:jc w:val="both"/>
              <w:rPr>
                <w:color w:val="000000"/>
                <w:sz w:val="20"/>
                <w:szCs w:val="20"/>
              </w:rPr>
            </w:pPr>
          </w:p>
        </w:tc>
        <w:tc>
          <w:tcPr>
            <w:tcW w:w="224" w:type="pct"/>
          </w:tcPr>
          <w:p w14:paraId="349EA5B5" w14:textId="77777777" w:rsidR="001D38FF" w:rsidRPr="00910FD4" w:rsidRDefault="001D38FF" w:rsidP="001D38FF">
            <w:pPr>
              <w:jc w:val="both"/>
              <w:rPr>
                <w:color w:val="000000"/>
                <w:sz w:val="20"/>
                <w:szCs w:val="20"/>
              </w:rPr>
            </w:pPr>
          </w:p>
        </w:tc>
        <w:tc>
          <w:tcPr>
            <w:tcW w:w="224" w:type="pct"/>
          </w:tcPr>
          <w:p w14:paraId="12AD30D3" w14:textId="1DA39513" w:rsidR="001D38FF" w:rsidRPr="00910FD4" w:rsidRDefault="001D38FF" w:rsidP="001D38FF">
            <w:pPr>
              <w:jc w:val="both"/>
              <w:rPr>
                <w:color w:val="000000"/>
                <w:sz w:val="20"/>
                <w:szCs w:val="20"/>
              </w:rPr>
            </w:pPr>
          </w:p>
        </w:tc>
      </w:tr>
      <w:tr w:rsidR="00760016" w:rsidRPr="008018B6" w14:paraId="2D2CED4C" w14:textId="12E4DCD8" w:rsidTr="00760016">
        <w:trPr>
          <w:trHeight w:val="300"/>
        </w:trPr>
        <w:tc>
          <w:tcPr>
            <w:tcW w:w="976" w:type="pct"/>
            <w:tcBorders>
              <w:bottom w:val="single" w:sz="4" w:space="0" w:color="auto"/>
            </w:tcBorders>
            <w:shd w:val="clear" w:color="auto" w:fill="auto"/>
            <w:noWrap/>
            <w:vAlign w:val="bottom"/>
            <w:hideMark/>
          </w:tcPr>
          <w:p w14:paraId="65BC5268" w14:textId="68D4153A" w:rsidR="001D38FF" w:rsidRPr="00596193" w:rsidRDefault="001D38FF" w:rsidP="001D38FF">
            <w:pPr>
              <w:jc w:val="both"/>
              <w:rPr>
                <w:color w:val="000000"/>
                <w:sz w:val="20"/>
                <w:szCs w:val="20"/>
              </w:rPr>
            </w:pPr>
            <w:r w:rsidRPr="00596193">
              <w:rPr>
                <w:color w:val="000000"/>
                <w:sz w:val="20"/>
                <w:szCs w:val="20"/>
              </w:rPr>
              <w:t>High risk women (45-54)</w:t>
            </w:r>
          </w:p>
        </w:tc>
        <w:tc>
          <w:tcPr>
            <w:tcW w:w="237" w:type="pct"/>
            <w:shd w:val="clear" w:color="auto" w:fill="auto"/>
            <w:noWrap/>
            <w:vAlign w:val="bottom"/>
            <w:hideMark/>
          </w:tcPr>
          <w:p w14:paraId="04B25247" w14:textId="77777777" w:rsidR="001D38FF" w:rsidRPr="00596193" w:rsidRDefault="001D38FF" w:rsidP="001D38FF">
            <w:pPr>
              <w:jc w:val="both"/>
              <w:rPr>
                <w:color w:val="000000"/>
                <w:sz w:val="20"/>
                <w:szCs w:val="20"/>
              </w:rPr>
            </w:pPr>
          </w:p>
        </w:tc>
        <w:tc>
          <w:tcPr>
            <w:tcW w:w="282" w:type="pct"/>
          </w:tcPr>
          <w:p w14:paraId="664B2B26" w14:textId="77777777" w:rsidR="001D38FF" w:rsidRPr="00596193" w:rsidRDefault="001D38FF" w:rsidP="001D38FF">
            <w:pPr>
              <w:jc w:val="both"/>
              <w:rPr>
                <w:color w:val="000000"/>
                <w:sz w:val="20"/>
                <w:szCs w:val="20"/>
              </w:rPr>
            </w:pPr>
          </w:p>
        </w:tc>
        <w:tc>
          <w:tcPr>
            <w:tcW w:w="251" w:type="pct"/>
          </w:tcPr>
          <w:p w14:paraId="68A538A5" w14:textId="77777777" w:rsidR="001D38FF" w:rsidRPr="00596193" w:rsidRDefault="001D38FF" w:rsidP="001D38FF">
            <w:pPr>
              <w:jc w:val="both"/>
              <w:rPr>
                <w:color w:val="000000"/>
                <w:sz w:val="20"/>
                <w:szCs w:val="20"/>
              </w:rPr>
            </w:pPr>
          </w:p>
        </w:tc>
        <w:tc>
          <w:tcPr>
            <w:tcW w:w="253" w:type="pct"/>
          </w:tcPr>
          <w:p w14:paraId="7353A772" w14:textId="77777777" w:rsidR="001D38FF" w:rsidRPr="00596193" w:rsidRDefault="001D38FF" w:rsidP="001D38FF">
            <w:pPr>
              <w:jc w:val="both"/>
              <w:rPr>
                <w:color w:val="000000"/>
                <w:sz w:val="20"/>
                <w:szCs w:val="20"/>
              </w:rPr>
            </w:pPr>
          </w:p>
        </w:tc>
        <w:tc>
          <w:tcPr>
            <w:tcW w:w="250" w:type="pct"/>
            <w:tcBorders>
              <w:bottom w:val="single" w:sz="4" w:space="0" w:color="auto"/>
            </w:tcBorders>
            <w:vAlign w:val="bottom"/>
          </w:tcPr>
          <w:p w14:paraId="6B6D43BD" w14:textId="77777777" w:rsidR="001D38FF" w:rsidRPr="00596193" w:rsidRDefault="001D38FF" w:rsidP="001D38FF">
            <w:pPr>
              <w:jc w:val="both"/>
              <w:rPr>
                <w:color w:val="000000"/>
                <w:sz w:val="20"/>
                <w:szCs w:val="20"/>
              </w:rPr>
            </w:pPr>
          </w:p>
        </w:tc>
        <w:tc>
          <w:tcPr>
            <w:tcW w:w="234" w:type="pct"/>
            <w:tcBorders>
              <w:bottom w:val="single" w:sz="4" w:space="0" w:color="auto"/>
            </w:tcBorders>
          </w:tcPr>
          <w:p w14:paraId="380C33A9" w14:textId="77777777" w:rsidR="001D38FF" w:rsidRPr="00596193" w:rsidRDefault="001D38FF" w:rsidP="001D38FF">
            <w:pPr>
              <w:jc w:val="both"/>
              <w:rPr>
                <w:color w:val="000000"/>
                <w:sz w:val="20"/>
                <w:szCs w:val="20"/>
              </w:rPr>
            </w:pPr>
          </w:p>
        </w:tc>
        <w:tc>
          <w:tcPr>
            <w:tcW w:w="267" w:type="pct"/>
            <w:tcBorders>
              <w:bottom w:val="single" w:sz="4" w:space="0" w:color="auto"/>
            </w:tcBorders>
          </w:tcPr>
          <w:p w14:paraId="1688FEA3" w14:textId="3F443E06" w:rsidR="001D38FF" w:rsidRPr="00596193" w:rsidRDefault="001D38FF" w:rsidP="001D38FF">
            <w:pPr>
              <w:jc w:val="both"/>
              <w:rPr>
                <w:color w:val="000000"/>
                <w:sz w:val="20"/>
                <w:szCs w:val="20"/>
              </w:rPr>
            </w:pPr>
          </w:p>
        </w:tc>
        <w:tc>
          <w:tcPr>
            <w:tcW w:w="250" w:type="pct"/>
            <w:tcBorders>
              <w:bottom w:val="single" w:sz="4" w:space="0" w:color="auto"/>
            </w:tcBorders>
          </w:tcPr>
          <w:p w14:paraId="332F21AF" w14:textId="77777777" w:rsidR="001D38FF" w:rsidRPr="00596193" w:rsidRDefault="001D38FF" w:rsidP="001D38FF">
            <w:pPr>
              <w:jc w:val="both"/>
              <w:rPr>
                <w:color w:val="000000"/>
                <w:sz w:val="20"/>
                <w:szCs w:val="20"/>
              </w:rPr>
            </w:pPr>
          </w:p>
        </w:tc>
        <w:tc>
          <w:tcPr>
            <w:tcW w:w="281" w:type="pct"/>
            <w:vAlign w:val="bottom"/>
          </w:tcPr>
          <w:p w14:paraId="71554857" w14:textId="77777777" w:rsidR="001D38FF" w:rsidRPr="00596193" w:rsidRDefault="001D38FF" w:rsidP="001D38FF">
            <w:pPr>
              <w:jc w:val="both"/>
              <w:rPr>
                <w:color w:val="000000"/>
                <w:sz w:val="20"/>
                <w:szCs w:val="20"/>
              </w:rPr>
            </w:pPr>
          </w:p>
        </w:tc>
        <w:tc>
          <w:tcPr>
            <w:tcW w:w="282" w:type="pct"/>
            <w:vAlign w:val="bottom"/>
          </w:tcPr>
          <w:p w14:paraId="6FC513FC" w14:textId="77777777" w:rsidR="001D38FF" w:rsidRPr="00596193" w:rsidRDefault="001D38FF" w:rsidP="001D38FF">
            <w:pPr>
              <w:jc w:val="both"/>
              <w:rPr>
                <w:color w:val="000000"/>
                <w:sz w:val="20"/>
                <w:szCs w:val="20"/>
              </w:rPr>
            </w:pPr>
          </w:p>
        </w:tc>
        <w:tc>
          <w:tcPr>
            <w:tcW w:w="251" w:type="pct"/>
            <w:vAlign w:val="bottom"/>
          </w:tcPr>
          <w:p w14:paraId="769C976A" w14:textId="77777777" w:rsidR="001D38FF" w:rsidRPr="00596193" w:rsidRDefault="001D38FF" w:rsidP="001D38FF">
            <w:pPr>
              <w:jc w:val="both"/>
              <w:rPr>
                <w:color w:val="000000"/>
                <w:sz w:val="20"/>
                <w:szCs w:val="20"/>
              </w:rPr>
            </w:pPr>
          </w:p>
        </w:tc>
        <w:tc>
          <w:tcPr>
            <w:tcW w:w="250" w:type="pct"/>
            <w:vAlign w:val="bottom"/>
          </w:tcPr>
          <w:p w14:paraId="59CCA66A" w14:textId="5ABF20AC" w:rsidR="001D38FF" w:rsidRPr="00596193" w:rsidRDefault="001D38FF" w:rsidP="001D38FF">
            <w:pPr>
              <w:jc w:val="both"/>
              <w:rPr>
                <w:color w:val="000000"/>
                <w:sz w:val="20"/>
                <w:szCs w:val="20"/>
              </w:rPr>
            </w:pPr>
          </w:p>
        </w:tc>
        <w:tc>
          <w:tcPr>
            <w:tcW w:w="264" w:type="pct"/>
          </w:tcPr>
          <w:p w14:paraId="771048B7" w14:textId="77777777" w:rsidR="001D38FF" w:rsidRPr="00910FD4" w:rsidRDefault="001D38FF" w:rsidP="001D38FF">
            <w:pPr>
              <w:jc w:val="both"/>
              <w:rPr>
                <w:color w:val="000000"/>
                <w:sz w:val="20"/>
                <w:szCs w:val="20"/>
              </w:rPr>
            </w:pPr>
          </w:p>
        </w:tc>
        <w:tc>
          <w:tcPr>
            <w:tcW w:w="224" w:type="pct"/>
          </w:tcPr>
          <w:p w14:paraId="46C27ECE" w14:textId="77777777" w:rsidR="001D38FF" w:rsidRPr="00910FD4" w:rsidRDefault="001D38FF" w:rsidP="001D38FF">
            <w:pPr>
              <w:jc w:val="both"/>
              <w:rPr>
                <w:color w:val="000000"/>
                <w:sz w:val="20"/>
                <w:szCs w:val="20"/>
              </w:rPr>
            </w:pPr>
          </w:p>
        </w:tc>
        <w:tc>
          <w:tcPr>
            <w:tcW w:w="224" w:type="pct"/>
          </w:tcPr>
          <w:p w14:paraId="2E877516" w14:textId="77777777" w:rsidR="001D38FF" w:rsidRPr="00910FD4" w:rsidRDefault="001D38FF" w:rsidP="001D38FF">
            <w:pPr>
              <w:jc w:val="both"/>
              <w:rPr>
                <w:color w:val="000000"/>
                <w:sz w:val="20"/>
                <w:szCs w:val="20"/>
              </w:rPr>
            </w:pPr>
          </w:p>
        </w:tc>
        <w:tc>
          <w:tcPr>
            <w:tcW w:w="224" w:type="pct"/>
          </w:tcPr>
          <w:p w14:paraId="1B191AFC" w14:textId="49C71F80" w:rsidR="001D38FF" w:rsidRPr="00910FD4" w:rsidRDefault="001D38FF" w:rsidP="001D38FF">
            <w:pPr>
              <w:jc w:val="both"/>
              <w:rPr>
                <w:color w:val="000000"/>
                <w:sz w:val="20"/>
                <w:szCs w:val="20"/>
              </w:rPr>
            </w:pPr>
          </w:p>
        </w:tc>
      </w:tr>
      <w:tr w:rsidR="00760016" w:rsidRPr="008018B6" w14:paraId="1D51F5B8" w14:textId="1A21EAE0" w:rsidTr="00160F35">
        <w:trPr>
          <w:trHeight w:val="288"/>
        </w:trPr>
        <w:tc>
          <w:tcPr>
            <w:tcW w:w="976" w:type="pct"/>
            <w:tcBorders>
              <w:bottom w:val="single" w:sz="4" w:space="0" w:color="auto"/>
            </w:tcBorders>
            <w:shd w:val="clear" w:color="auto" w:fill="auto"/>
            <w:noWrap/>
            <w:vAlign w:val="bottom"/>
            <w:hideMark/>
          </w:tcPr>
          <w:p w14:paraId="2F98357B" w14:textId="2B3F52F3" w:rsidR="001D38FF" w:rsidRPr="00596193" w:rsidRDefault="001D38FF" w:rsidP="001D38FF">
            <w:pPr>
              <w:jc w:val="both"/>
              <w:rPr>
                <w:color w:val="000000"/>
                <w:sz w:val="20"/>
                <w:szCs w:val="20"/>
              </w:rPr>
            </w:pPr>
            <w:r w:rsidRPr="00596193">
              <w:rPr>
                <w:color w:val="000000"/>
                <w:sz w:val="20"/>
                <w:szCs w:val="20"/>
              </w:rPr>
              <w:t>High risk women (55-64)</w:t>
            </w:r>
          </w:p>
        </w:tc>
        <w:tc>
          <w:tcPr>
            <w:tcW w:w="237" w:type="pct"/>
            <w:tcBorders>
              <w:bottom w:val="single" w:sz="4" w:space="0" w:color="auto"/>
            </w:tcBorders>
            <w:shd w:val="clear" w:color="auto" w:fill="auto"/>
            <w:noWrap/>
            <w:vAlign w:val="bottom"/>
            <w:hideMark/>
          </w:tcPr>
          <w:p w14:paraId="7D488459" w14:textId="77777777" w:rsidR="001D38FF" w:rsidRPr="00596193" w:rsidRDefault="001D38FF" w:rsidP="001D38FF">
            <w:pPr>
              <w:jc w:val="both"/>
              <w:rPr>
                <w:color w:val="000000"/>
                <w:sz w:val="20"/>
                <w:szCs w:val="20"/>
              </w:rPr>
            </w:pPr>
          </w:p>
        </w:tc>
        <w:tc>
          <w:tcPr>
            <w:tcW w:w="282" w:type="pct"/>
            <w:tcBorders>
              <w:bottom w:val="single" w:sz="4" w:space="0" w:color="auto"/>
            </w:tcBorders>
          </w:tcPr>
          <w:p w14:paraId="1B413453" w14:textId="77777777" w:rsidR="001D38FF" w:rsidRPr="00596193" w:rsidRDefault="001D38FF" w:rsidP="001D38FF">
            <w:pPr>
              <w:jc w:val="both"/>
              <w:rPr>
                <w:color w:val="000000"/>
                <w:sz w:val="20"/>
                <w:szCs w:val="20"/>
              </w:rPr>
            </w:pPr>
          </w:p>
        </w:tc>
        <w:tc>
          <w:tcPr>
            <w:tcW w:w="251" w:type="pct"/>
            <w:tcBorders>
              <w:bottom w:val="single" w:sz="4" w:space="0" w:color="auto"/>
            </w:tcBorders>
          </w:tcPr>
          <w:p w14:paraId="7D43094F" w14:textId="77777777" w:rsidR="001D38FF" w:rsidRPr="00596193" w:rsidRDefault="001D38FF" w:rsidP="001D38FF">
            <w:pPr>
              <w:jc w:val="both"/>
              <w:rPr>
                <w:color w:val="000000"/>
                <w:sz w:val="20"/>
                <w:szCs w:val="20"/>
              </w:rPr>
            </w:pPr>
          </w:p>
        </w:tc>
        <w:tc>
          <w:tcPr>
            <w:tcW w:w="253" w:type="pct"/>
            <w:tcBorders>
              <w:bottom w:val="single" w:sz="4" w:space="0" w:color="auto"/>
            </w:tcBorders>
          </w:tcPr>
          <w:p w14:paraId="51661EF5" w14:textId="77777777" w:rsidR="001D38FF" w:rsidRPr="00596193" w:rsidRDefault="001D38FF" w:rsidP="001D38FF">
            <w:pPr>
              <w:jc w:val="both"/>
              <w:rPr>
                <w:color w:val="000000"/>
                <w:sz w:val="20"/>
                <w:szCs w:val="20"/>
              </w:rPr>
            </w:pPr>
          </w:p>
        </w:tc>
        <w:tc>
          <w:tcPr>
            <w:tcW w:w="250" w:type="pct"/>
            <w:tcBorders>
              <w:bottom w:val="single" w:sz="4" w:space="0" w:color="auto"/>
            </w:tcBorders>
            <w:vAlign w:val="bottom"/>
          </w:tcPr>
          <w:p w14:paraId="414FEAB4" w14:textId="77777777" w:rsidR="001D38FF" w:rsidRPr="00596193" w:rsidRDefault="001D38FF" w:rsidP="001D38FF">
            <w:pPr>
              <w:jc w:val="both"/>
              <w:rPr>
                <w:color w:val="000000"/>
                <w:sz w:val="20"/>
                <w:szCs w:val="20"/>
              </w:rPr>
            </w:pPr>
          </w:p>
        </w:tc>
        <w:tc>
          <w:tcPr>
            <w:tcW w:w="234" w:type="pct"/>
            <w:tcBorders>
              <w:bottom w:val="single" w:sz="4" w:space="0" w:color="auto"/>
            </w:tcBorders>
          </w:tcPr>
          <w:p w14:paraId="3480E097" w14:textId="77777777" w:rsidR="001D38FF" w:rsidRPr="00596193" w:rsidRDefault="001D38FF" w:rsidP="001D38FF">
            <w:pPr>
              <w:jc w:val="both"/>
              <w:rPr>
                <w:color w:val="000000"/>
                <w:sz w:val="20"/>
                <w:szCs w:val="20"/>
              </w:rPr>
            </w:pPr>
          </w:p>
        </w:tc>
        <w:tc>
          <w:tcPr>
            <w:tcW w:w="267" w:type="pct"/>
            <w:tcBorders>
              <w:bottom w:val="single" w:sz="4" w:space="0" w:color="auto"/>
            </w:tcBorders>
          </w:tcPr>
          <w:p w14:paraId="50CCEDBB" w14:textId="4726BF2C" w:rsidR="001D38FF" w:rsidRPr="00596193" w:rsidRDefault="001D38FF" w:rsidP="001D38FF">
            <w:pPr>
              <w:jc w:val="both"/>
              <w:rPr>
                <w:color w:val="000000"/>
                <w:sz w:val="20"/>
                <w:szCs w:val="20"/>
              </w:rPr>
            </w:pPr>
          </w:p>
        </w:tc>
        <w:tc>
          <w:tcPr>
            <w:tcW w:w="250" w:type="pct"/>
            <w:tcBorders>
              <w:bottom w:val="single" w:sz="4" w:space="0" w:color="auto"/>
            </w:tcBorders>
          </w:tcPr>
          <w:p w14:paraId="5E818F8F" w14:textId="77777777" w:rsidR="001D38FF" w:rsidRPr="00596193" w:rsidRDefault="001D38FF" w:rsidP="001D38FF">
            <w:pPr>
              <w:jc w:val="both"/>
              <w:rPr>
                <w:color w:val="000000"/>
                <w:sz w:val="20"/>
                <w:szCs w:val="20"/>
              </w:rPr>
            </w:pPr>
          </w:p>
        </w:tc>
        <w:tc>
          <w:tcPr>
            <w:tcW w:w="281" w:type="pct"/>
            <w:tcBorders>
              <w:bottom w:val="single" w:sz="4" w:space="0" w:color="auto"/>
            </w:tcBorders>
            <w:vAlign w:val="bottom"/>
          </w:tcPr>
          <w:p w14:paraId="1B301C4F" w14:textId="77777777" w:rsidR="001D38FF" w:rsidRPr="00596193" w:rsidRDefault="001D38FF" w:rsidP="001D38FF">
            <w:pPr>
              <w:jc w:val="both"/>
              <w:rPr>
                <w:color w:val="000000"/>
                <w:sz w:val="20"/>
                <w:szCs w:val="20"/>
              </w:rPr>
            </w:pPr>
          </w:p>
        </w:tc>
        <w:tc>
          <w:tcPr>
            <w:tcW w:w="282" w:type="pct"/>
            <w:tcBorders>
              <w:bottom w:val="single" w:sz="4" w:space="0" w:color="auto"/>
            </w:tcBorders>
            <w:vAlign w:val="bottom"/>
          </w:tcPr>
          <w:p w14:paraId="1FBAB26E" w14:textId="77777777" w:rsidR="001D38FF" w:rsidRPr="00596193" w:rsidRDefault="001D38FF" w:rsidP="001D38FF">
            <w:pPr>
              <w:jc w:val="both"/>
              <w:rPr>
                <w:color w:val="000000"/>
                <w:sz w:val="20"/>
                <w:szCs w:val="20"/>
              </w:rPr>
            </w:pPr>
          </w:p>
        </w:tc>
        <w:tc>
          <w:tcPr>
            <w:tcW w:w="251" w:type="pct"/>
            <w:tcBorders>
              <w:bottom w:val="single" w:sz="4" w:space="0" w:color="auto"/>
            </w:tcBorders>
            <w:vAlign w:val="bottom"/>
          </w:tcPr>
          <w:p w14:paraId="585BF47C" w14:textId="77777777" w:rsidR="001D38FF" w:rsidRPr="00596193" w:rsidRDefault="001D38FF" w:rsidP="001D38FF">
            <w:pPr>
              <w:jc w:val="both"/>
              <w:rPr>
                <w:color w:val="000000"/>
                <w:sz w:val="20"/>
                <w:szCs w:val="20"/>
              </w:rPr>
            </w:pPr>
          </w:p>
        </w:tc>
        <w:tc>
          <w:tcPr>
            <w:tcW w:w="250" w:type="pct"/>
            <w:tcBorders>
              <w:bottom w:val="single" w:sz="4" w:space="0" w:color="auto"/>
            </w:tcBorders>
            <w:vAlign w:val="bottom"/>
          </w:tcPr>
          <w:p w14:paraId="31EBDD19" w14:textId="2C60DDF7" w:rsidR="001D38FF" w:rsidRPr="00596193" w:rsidRDefault="001D38FF" w:rsidP="001D38FF">
            <w:pPr>
              <w:jc w:val="both"/>
              <w:rPr>
                <w:color w:val="000000"/>
                <w:sz w:val="20"/>
                <w:szCs w:val="20"/>
              </w:rPr>
            </w:pPr>
          </w:p>
        </w:tc>
        <w:tc>
          <w:tcPr>
            <w:tcW w:w="264" w:type="pct"/>
            <w:tcBorders>
              <w:bottom w:val="single" w:sz="4" w:space="0" w:color="auto"/>
            </w:tcBorders>
          </w:tcPr>
          <w:p w14:paraId="018C255E" w14:textId="77777777" w:rsidR="001D38FF" w:rsidRPr="00910FD4" w:rsidRDefault="001D38FF" w:rsidP="001D38FF">
            <w:pPr>
              <w:jc w:val="both"/>
              <w:rPr>
                <w:color w:val="000000"/>
                <w:sz w:val="20"/>
                <w:szCs w:val="20"/>
              </w:rPr>
            </w:pPr>
          </w:p>
        </w:tc>
        <w:tc>
          <w:tcPr>
            <w:tcW w:w="224" w:type="pct"/>
            <w:tcBorders>
              <w:bottom w:val="single" w:sz="4" w:space="0" w:color="auto"/>
            </w:tcBorders>
          </w:tcPr>
          <w:p w14:paraId="78822D49" w14:textId="77777777" w:rsidR="001D38FF" w:rsidRPr="00910FD4" w:rsidRDefault="001D38FF" w:rsidP="001D38FF">
            <w:pPr>
              <w:jc w:val="both"/>
              <w:rPr>
                <w:color w:val="000000"/>
                <w:sz w:val="20"/>
                <w:szCs w:val="20"/>
              </w:rPr>
            </w:pPr>
          </w:p>
        </w:tc>
        <w:tc>
          <w:tcPr>
            <w:tcW w:w="224" w:type="pct"/>
            <w:tcBorders>
              <w:bottom w:val="single" w:sz="4" w:space="0" w:color="auto"/>
            </w:tcBorders>
          </w:tcPr>
          <w:p w14:paraId="351034D2" w14:textId="77777777" w:rsidR="001D38FF" w:rsidRPr="00910FD4" w:rsidRDefault="001D38FF" w:rsidP="001D38FF">
            <w:pPr>
              <w:jc w:val="both"/>
              <w:rPr>
                <w:color w:val="000000"/>
                <w:sz w:val="20"/>
                <w:szCs w:val="20"/>
              </w:rPr>
            </w:pPr>
          </w:p>
        </w:tc>
        <w:tc>
          <w:tcPr>
            <w:tcW w:w="224" w:type="pct"/>
            <w:tcBorders>
              <w:bottom w:val="single" w:sz="4" w:space="0" w:color="auto"/>
            </w:tcBorders>
          </w:tcPr>
          <w:p w14:paraId="408DDC87" w14:textId="547E04D4" w:rsidR="001D38FF" w:rsidRPr="00910FD4" w:rsidRDefault="001D38FF" w:rsidP="001D38FF">
            <w:pPr>
              <w:jc w:val="both"/>
              <w:rPr>
                <w:color w:val="000000"/>
                <w:sz w:val="20"/>
                <w:szCs w:val="20"/>
              </w:rPr>
            </w:pPr>
          </w:p>
        </w:tc>
      </w:tr>
    </w:tbl>
    <w:p w14:paraId="13E2E761" w14:textId="77777777" w:rsidR="00A25EAD" w:rsidRPr="00F72609" w:rsidRDefault="00A25EAD" w:rsidP="00122CDD"/>
    <w:p w14:paraId="5AD6B4C7" w14:textId="77777777" w:rsidR="00A25EAD" w:rsidRDefault="00A25EAD">
      <w:pPr>
        <w:pStyle w:val="BodyText"/>
        <w:spacing w:before="0" w:after="0"/>
        <w:rPr>
          <w:i/>
          <w:iCs/>
        </w:rPr>
        <w:sectPr w:rsidR="00A25EAD" w:rsidSect="002A1882">
          <w:pgSz w:w="15840" w:h="12240" w:orient="landscape"/>
          <w:pgMar w:top="720" w:right="720" w:bottom="720" w:left="720" w:header="720" w:footer="720" w:gutter="0"/>
          <w:cols w:space="720"/>
          <w:docGrid w:linePitch="326"/>
        </w:sectPr>
      </w:pPr>
    </w:p>
    <w:p w14:paraId="75508691" w14:textId="5CECC98B" w:rsidR="004D63E7" w:rsidRPr="00615E45" w:rsidRDefault="004D63E7">
      <w:pPr>
        <w:pStyle w:val="Heading2"/>
        <w:spacing w:before="0"/>
        <w:rPr>
          <w:rFonts w:cs="Times New Roman"/>
          <w:szCs w:val="24"/>
        </w:rPr>
      </w:pPr>
      <w:bookmarkStart w:id="152" w:name="_Susceptible_population_growth"/>
      <w:bookmarkStart w:id="153" w:name="_Toc82592657"/>
      <w:bookmarkEnd w:id="152"/>
      <w:r w:rsidRPr="00615E45">
        <w:rPr>
          <w:rFonts w:cs="Times New Roman"/>
          <w:szCs w:val="24"/>
        </w:rPr>
        <w:lastRenderedPageBreak/>
        <w:t>Susceptible population growth rate</w:t>
      </w:r>
      <w:bookmarkEnd w:id="153"/>
    </w:p>
    <w:p w14:paraId="48B05ED2" w14:textId="32DEE8A5" w:rsidR="00D31FF8" w:rsidRDefault="000C0476">
      <w:r w:rsidRPr="00830781">
        <w:t xml:space="preserve">We </w:t>
      </w:r>
      <w:r w:rsidR="008B571A">
        <w:t xml:space="preserve">apply a time-step-specific (in this case, monthly) growth rate </w:t>
      </w:r>
      <w:r w:rsidR="00D31FF8">
        <w:t>for each</w:t>
      </w:r>
      <w:r w:rsidR="008B571A">
        <w:t xml:space="preserve"> </w:t>
      </w:r>
      <w:r w:rsidR="00464588">
        <w:t>sub-population</w:t>
      </w:r>
      <w:r w:rsidR="008B571A">
        <w:t xml:space="preserve">. </w:t>
      </w:r>
    </w:p>
    <w:p w14:paraId="6B33F356" w14:textId="77777777" w:rsidR="00D31FF8" w:rsidRDefault="00D31FF8"/>
    <w:p w14:paraId="66D9D858" w14:textId="638EC2E5" w:rsidR="00B42C96" w:rsidRPr="00FE36B5" w:rsidRDefault="00D31FF8" w:rsidP="00760016">
      <w:pPr>
        <w:rPr>
          <w:rFonts w:eastAsiaTheme="minorEastAsia"/>
        </w:rPr>
      </w:pPr>
      <w:r w:rsidRPr="00710211">
        <w:rPr>
          <w:b/>
          <w:bCs/>
          <w:i/>
          <w:iCs/>
        </w:rPr>
        <w:t>Data source</w:t>
      </w:r>
      <w:r>
        <w:t xml:space="preserve">: </w:t>
      </w:r>
      <w:r w:rsidR="008B571A">
        <w:t xml:space="preserve">Data come from </w:t>
      </w:r>
      <w:r w:rsidR="000C0476" w:rsidRPr="00830781">
        <w:t>World Bank annual population estimates and projections</w:t>
      </w:r>
      <w:r w:rsidR="008B571A">
        <w:t>, 2004–2045</w:t>
      </w:r>
      <w:r w:rsidR="000C0476" w:rsidRPr="00830781">
        <w:t>.</w:t>
      </w:r>
      <w:r w:rsidR="00B879F2">
        <w:fldChar w:fldCharType="begin" w:fldLock="1"/>
      </w:r>
      <w:r w:rsidR="007527CC">
        <w:instrText>ADDIN CSL_CITATION {"citationItems":[{"id":"ITEM-1","itemData":{"URL":"https://datacatalog.worldbank.org/dataset/population-estimates-and-projections.","accessed":{"date-parts":[["2020","6","8"]]},"author":[{"dropping-particle":"","family":"World Bank","given":"","non-dropping-particle":"","parse-names":false,"suffix":""}],"id":"ITEM-1","issued":{"date-parts":[["2020"]]},"title":"Population Estimates And Projections","type":"webpage"},"uris":["http://www.mendeley.com/documents/?uuid=6e39321f-03bd-4307-b12b-eb56fdafa411"]}],"mendeley":{"formattedCitation":"&lt;sup&gt;48&lt;/sup&gt;","plainTextFormattedCitation":"48","previouslyFormattedCitation":"&lt;sup&gt;48&lt;/sup&gt;"},"properties":{"noteIndex":0},"schema":"https://github.com/citation-style-language/schema/raw/master/csl-citation.json"}</w:instrText>
      </w:r>
      <w:r w:rsidR="00B879F2">
        <w:fldChar w:fldCharType="separate"/>
      </w:r>
      <w:r w:rsidR="00036C3E" w:rsidRPr="00036C3E">
        <w:rPr>
          <w:noProof/>
          <w:vertAlign w:val="superscript"/>
        </w:rPr>
        <w:t>48</w:t>
      </w:r>
      <w:r w:rsidR="00B879F2">
        <w:fldChar w:fldCharType="end"/>
      </w:r>
      <w:r w:rsidR="000C0476" w:rsidRPr="00830781">
        <w:t xml:space="preserve"> </w:t>
      </w:r>
      <w:r w:rsidR="00760016" w:rsidRPr="00526D45">
        <w:t>The population estimates data are reported by age group and sex, with percent of population living in urban and rural areas.</w:t>
      </w:r>
    </w:p>
    <w:p w14:paraId="57917348" w14:textId="77777777" w:rsidR="00FE36B5" w:rsidRDefault="00FE36B5">
      <w:pPr>
        <w:jc w:val="both"/>
        <w:rPr>
          <w:rFonts w:eastAsiaTheme="minorEastAsia"/>
          <w:b/>
          <w:bCs/>
        </w:rPr>
      </w:pPr>
    </w:p>
    <w:p w14:paraId="3B57106C" w14:textId="64787952" w:rsidR="00325005" w:rsidRPr="00DE7767" w:rsidRDefault="00D31FF8">
      <w:pPr>
        <w:jc w:val="both"/>
        <w:rPr>
          <w:rFonts w:eastAsiaTheme="minorEastAsia"/>
          <w:bCs/>
        </w:rPr>
      </w:pPr>
      <w:r w:rsidRPr="00710211">
        <w:rPr>
          <w:rFonts w:eastAsiaTheme="minorEastAsia"/>
          <w:b/>
          <w:i/>
          <w:iCs/>
        </w:rPr>
        <w:t>A</w:t>
      </w:r>
      <w:r w:rsidR="00DE7767" w:rsidRPr="00710211">
        <w:rPr>
          <w:rFonts w:eastAsiaTheme="minorEastAsia"/>
          <w:b/>
          <w:i/>
          <w:iCs/>
        </w:rPr>
        <w:t>ssumptions</w:t>
      </w:r>
      <w:r w:rsidR="00DE7767" w:rsidRPr="00DE7767">
        <w:rPr>
          <w:rFonts w:eastAsiaTheme="minorEastAsia"/>
          <w:bCs/>
        </w:rPr>
        <w:t>:</w:t>
      </w:r>
    </w:p>
    <w:p w14:paraId="2C2E7A9B" w14:textId="73CD44F9" w:rsidR="000C0476" w:rsidRPr="00830781" w:rsidRDefault="00DE7767" w:rsidP="002E50FA">
      <w:pPr>
        <w:pStyle w:val="BodyText"/>
        <w:numPr>
          <w:ilvl w:val="0"/>
          <w:numId w:val="7"/>
        </w:numPr>
        <w:spacing w:before="0" w:after="0"/>
        <w:ind w:left="360"/>
        <w:jc w:val="both"/>
        <w:rPr>
          <w:b/>
          <w:bCs/>
        </w:rPr>
      </w:pPr>
      <w:r>
        <w:t xml:space="preserve">The growth rate is </w:t>
      </w:r>
      <w:r w:rsidR="000C0476" w:rsidRPr="00830781">
        <w:t>exponentially distributed</w:t>
      </w:r>
      <w:r>
        <w:t>, i.e., constant over time</w:t>
      </w:r>
      <w:r w:rsidR="00F45E4A">
        <w:t>.</w:t>
      </w:r>
    </w:p>
    <w:p w14:paraId="5DFB181B" w14:textId="18236670" w:rsidR="00F45E4A" w:rsidRPr="00B33B19" w:rsidRDefault="00F45E4A" w:rsidP="002E50FA">
      <w:pPr>
        <w:pStyle w:val="BodyText"/>
        <w:numPr>
          <w:ilvl w:val="0"/>
          <w:numId w:val="7"/>
        </w:numPr>
        <w:spacing w:before="0" w:after="0"/>
        <w:ind w:left="360"/>
        <w:jc w:val="both"/>
        <w:rPr>
          <w:b/>
          <w:bCs/>
        </w:rPr>
      </w:pPr>
      <w:r w:rsidRPr="00F45E4A">
        <w:t xml:space="preserve">The susceptible population growth rate for </w:t>
      </w:r>
      <w:r w:rsidR="00DA6873">
        <w:t xml:space="preserve">the </w:t>
      </w:r>
      <w:r w:rsidRPr="00F45E4A">
        <w:t xml:space="preserve">low-risk </w:t>
      </w:r>
      <w:r w:rsidR="00464588">
        <w:t>sub-population</w:t>
      </w:r>
      <w:r w:rsidRPr="00F45E4A">
        <w:t xml:space="preserve"> reflect</w:t>
      </w:r>
      <w:r w:rsidR="00833C8B">
        <w:t>s</w:t>
      </w:r>
      <w:r w:rsidRPr="00F45E4A">
        <w:t xml:space="preserve"> Rwanda’s overall population growth rate.</w:t>
      </w:r>
    </w:p>
    <w:p w14:paraId="419F9295" w14:textId="77777777" w:rsidR="005B353A" w:rsidRPr="005B353A" w:rsidRDefault="002F11FB" w:rsidP="002E50FA">
      <w:pPr>
        <w:pStyle w:val="BodyText"/>
        <w:numPr>
          <w:ilvl w:val="0"/>
          <w:numId w:val="7"/>
        </w:numPr>
        <w:spacing w:before="0" w:after="0"/>
        <w:ind w:left="360"/>
        <w:jc w:val="both"/>
        <w:rPr>
          <w:b/>
          <w:bCs/>
        </w:rPr>
      </w:pPr>
      <w:r w:rsidRPr="002F11FB">
        <w:rPr>
          <w:bCs/>
        </w:rPr>
        <w:t>The population growth rate in high-risk urban women is the same as low-risk urban women.</w:t>
      </w:r>
    </w:p>
    <w:p w14:paraId="0FF4D411" w14:textId="5C0CB82C" w:rsidR="00706050" w:rsidRPr="005B353A" w:rsidRDefault="00276DE8" w:rsidP="002E50FA">
      <w:pPr>
        <w:pStyle w:val="BodyText"/>
        <w:numPr>
          <w:ilvl w:val="0"/>
          <w:numId w:val="7"/>
        </w:numPr>
        <w:spacing w:before="0" w:after="0"/>
        <w:ind w:left="360"/>
        <w:jc w:val="both"/>
        <w:rPr>
          <w:b/>
          <w:bCs/>
        </w:rPr>
      </w:pPr>
      <w:r>
        <w:t>The</w:t>
      </w:r>
      <w:r w:rsidR="00167C8B" w:rsidRPr="00830781">
        <w:t xml:space="preserve"> growth rate for</w:t>
      </w:r>
      <w:r w:rsidR="00DA6873">
        <w:t xml:space="preserve"> the</w:t>
      </w:r>
      <w:r w:rsidR="00167C8B" w:rsidRPr="00830781">
        <w:t xml:space="preserve"> </w:t>
      </w:r>
      <w:r>
        <w:t xml:space="preserve">susceptible population aged 24-54 </w:t>
      </w:r>
      <w:r w:rsidR="00DA6873">
        <w:t xml:space="preserve">years </w:t>
      </w:r>
      <w:r>
        <w:t xml:space="preserve">with </w:t>
      </w:r>
      <w:r w:rsidR="00DA6873">
        <w:t xml:space="preserve">similar </w:t>
      </w:r>
      <w:r>
        <w:t>sex, risk status, and residency</w:t>
      </w:r>
      <w:r w:rsidR="00167C8B" w:rsidRPr="00830781">
        <w:t xml:space="preserve"> </w:t>
      </w:r>
      <w:r>
        <w:t>does not vary</w:t>
      </w:r>
      <w:r w:rsidR="00167C8B" w:rsidRPr="00830781">
        <w:t xml:space="preserve"> </w:t>
      </w:r>
      <w:r>
        <w:t>by age</w:t>
      </w:r>
      <w:r w:rsidR="00760016">
        <w:t xml:space="preserve"> since the growth rates for susceptible population within this age group are not statistically different</w:t>
      </w:r>
      <w:r w:rsidR="00047AFD">
        <w:t xml:space="preserve"> </w:t>
      </w:r>
      <w:r w:rsidR="00047AFD" w:rsidRPr="00DB3C21">
        <w:t>(</w:t>
      </w:r>
      <w:r w:rsidR="00BB226C" w:rsidRPr="00BB226C">
        <w:rPr>
          <w:b/>
          <w:bCs/>
        </w:rPr>
        <w:t xml:space="preserve">Section </w:t>
      </w:r>
      <w:r w:rsidR="00BB226C" w:rsidRPr="00BB226C">
        <w:rPr>
          <w:b/>
          <w:bCs/>
        </w:rPr>
        <w:fldChar w:fldCharType="begin"/>
      </w:r>
      <w:r w:rsidR="00BB226C" w:rsidRPr="00BB226C">
        <w:rPr>
          <w:b/>
          <w:bCs/>
        </w:rPr>
        <w:instrText xml:space="preserve"> REF _Ref82421937 \r \h </w:instrText>
      </w:r>
      <w:r w:rsidR="00BB226C">
        <w:rPr>
          <w:b/>
          <w:bCs/>
        </w:rPr>
        <w:instrText xml:space="preserve"> \* MERGEFORMAT </w:instrText>
      </w:r>
      <w:r w:rsidR="00BB226C" w:rsidRPr="00BB226C">
        <w:rPr>
          <w:b/>
          <w:bCs/>
        </w:rPr>
      </w:r>
      <w:r w:rsidR="00BB226C" w:rsidRPr="00BB226C">
        <w:rPr>
          <w:b/>
          <w:bCs/>
        </w:rPr>
        <w:fldChar w:fldCharType="separate"/>
      </w:r>
      <w:r w:rsidR="001E49BE">
        <w:rPr>
          <w:b/>
          <w:bCs/>
        </w:rPr>
        <w:t>11.5</w:t>
      </w:r>
      <w:r w:rsidR="00BB226C" w:rsidRPr="00BB226C">
        <w:rPr>
          <w:b/>
          <w:bCs/>
        </w:rPr>
        <w:fldChar w:fldCharType="end"/>
      </w:r>
      <w:r w:rsidR="00047AFD" w:rsidRPr="00DB3C21">
        <w:t>)</w:t>
      </w:r>
      <w:r w:rsidR="00167C8B" w:rsidRPr="00DB3C21">
        <w:t>.</w:t>
      </w:r>
    </w:p>
    <w:p w14:paraId="0CC20E8B" w14:textId="0BB4AC96" w:rsidR="00760016" w:rsidRDefault="00760016" w:rsidP="00760016">
      <w:pPr>
        <w:pStyle w:val="BodyText"/>
        <w:autoSpaceDE w:val="0"/>
        <w:autoSpaceDN w:val="0"/>
        <w:adjustRightInd w:val="0"/>
        <w:spacing w:before="0" w:after="0"/>
        <w:ind w:left="360"/>
        <w:jc w:val="both"/>
      </w:pPr>
    </w:p>
    <w:p w14:paraId="2D4DB1E9" w14:textId="177166DC" w:rsidR="00760016" w:rsidRPr="005B353A" w:rsidRDefault="00760016" w:rsidP="00760016">
      <w:pPr>
        <w:pStyle w:val="BodyText"/>
        <w:autoSpaceDE w:val="0"/>
        <w:autoSpaceDN w:val="0"/>
        <w:adjustRightInd w:val="0"/>
        <w:spacing w:before="0" w:after="0"/>
        <w:jc w:val="both"/>
        <w:rPr>
          <w:b/>
          <w:bCs/>
          <w:i/>
        </w:rPr>
      </w:pPr>
      <w:r w:rsidRPr="005B353A">
        <w:rPr>
          <w:b/>
          <w:bCs/>
          <w:i/>
        </w:rPr>
        <w:t>Estimation:</w:t>
      </w:r>
    </w:p>
    <w:p w14:paraId="4AE8818C" w14:textId="7029E6AB" w:rsidR="00760016" w:rsidRDefault="00760016" w:rsidP="00760016">
      <w:r>
        <w:t xml:space="preserve">The population growth rate is estimated in </w:t>
      </w:r>
      <w:r w:rsidR="009809EC">
        <w:t>three</w:t>
      </w:r>
      <w:r>
        <w:t xml:space="preserve"> steps.</w:t>
      </w:r>
    </w:p>
    <w:p w14:paraId="128330A6" w14:textId="455B5AE3" w:rsidR="009809EC" w:rsidRDefault="009809EC" w:rsidP="002E50FA">
      <w:pPr>
        <w:pStyle w:val="ListParagraph"/>
        <w:numPr>
          <w:ilvl w:val="0"/>
          <w:numId w:val="24"/>
        </w:numPr>
      </w:pPr>
      <w:r>
        <w:t xml:space="preserve">We estimate the size of each sub-population using the World Bank data from 2003 – 2045 following the same procedure described earlier in </w:t>
      </w:r>
      <w:r w:rsidR="00BB226C">
        <w:rPr>
          <w:b/>
          <w:bCs/>
        </w:rPr>
        <w:t xml:space="preserve">Section </w:t>
      </w:r>
      <w:r w:rsidR="00BB226C">
        <w:rPr>
          <w:b/>
          <w:bCs/>
        </w:rPr>
        <w:fldChar w:fldCharType="begin"/>
      </w:r>
      <w:r w:rsidR="00BB226C">
        <w:rPr>
          <w:b/>
          <w:bCs/>
        </w:rPr>
        <w:instrText xml:space="preserve"> REF _Ref82431832 \r \h </w:instrText>
      </w:r>
      <w:r w:rsidR="00BB226C">
        <w:rPr>
          <w:b/>
          <w:bCs/>
        </w:rPr>
      </w:r>
      <w:r w:rsidR="00BB226C">
        <w:rPr>
          <w:b/>
          <w:bCs/>
        </w:rPr>
        <w:fldChar w:fldCharType="separate"/>
      </w:r>
      <w:r w:rsidR="001E49BE">
        <w:rPr>
          <w:b/>
          <w:bCs/>
        </w:rPr>
        <w:t>7.1</w:t>
      </w:r>
      <w:r w:rsidR="00BB226C">
        <w:rPr>
          <w:b/>
          <w:bCs/>
        </w:rPr>
        <w:fldChar w:fldCharType="end"/>
      </w:r>
      <w:r>
        <w:t xml:space="preserve">. </w:t>
      </w:r>
    </w:p>
    <w:p w14:paraId="6979861E" w14:textId="68602B39" w:rsidR="007D6C25" w:rsidRPr="00830781" w:rsidRDefault="00760016" w:rsidP="00610A49">
      <w:pPr>
        <w:pStyle w:val="ListParagraph"/>
        <w:numPr>
          <w:ilvl w:val="0"/>
          <w:numId w:val="24"/>
        </w:numPr>
      </w:pPr>
      <w:r>
        <w:t>W</w:t>
      </w:r>
      <w:r w:rsidRPr="00830781">
        <w:t xml:space="preserve">e </w:t>
      </w:r>
      <w:r>
        <w:t>calculate the monthly population growth for each year from 2003 - 2045 using the following equation:</w:t>
      </w:r>
    </w:p>
    <w:p w14:paraId="44007781" w14:textId="38B29B30" w:rsidR="00760016" w:rsidRDefault="00000000" w:rsidP="00FA0F83">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t+1,r</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t,r</m:t>
            </m:r>
          </m:sub>
        </m:sSub>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e>
          <m:sup>
            <m:r>
              <w:rPr>
                <w:rFonts w:ascii="Cambria Math" w:hAnsi="Cambria Math"/>
              </w:rPr>
              <m:t>n</m:t>
            </m:r>
          </m:sup>
        </m:sSup>
      </m:oMath>
      <w:r w:rsidR="00FA0F83">
        <w:rPr>
          <w:rFonts w:eastAsiaTheme="minorEastAsia"/>
        </w:rPr>
        <w:t xml:space="preserve">      (7)</w:t>
      </w:r>
    </w:p>
    <w:p w14:paraId="355FD540" w14:textId="77777777" w:rsidR="00760016" w:rsidRDefault="00760016" w:rsidP="00760016">
      <w:pPr>
        <w:jc w:val="both"/>
        <w:rPr>
          <w:rFonts w:eastAsiaTheme="minorEastAsia"/>
        </w:rPr>
      </w:pPr>
      <w:r>
        <w:rPr>
          <w:rFonts w:eastAsiaTheme="minorEastAsia"/>
        </w:rPr>
        <w:t>w</w:t>
      </w:r>
      <w:r w:rsidRPr="00830781">
        <w:rPr>
          <w:rFonts w:eastAsiaTheme="minorEastAsia"/>
        </w:rPr>
        <w:t>here</w:t>
      </w:r>
      <w:r>
        <w:rPr>
          <w:rFonts w:eastAsiaTheme="minorEastAsia"/>
        </w:rPr>
        <w:t>,</w:t>
      </w:r>
      <w:r w:rsidRPr="00830781">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t+1,r</m:t>
            </m:r>
          </m:sub>
        </m:sSub>
      </m:oMath>
      <w:r w:rsidRPr="00830781">
        <w:rPr>
          <w:rFonts w:eastAsiaTheme="minorEastAsia"/>
        </w:rPr>
        <w:t xml:space="preserve"> is the population</w:t>
      </w:r>
      <w:r>
        <w:rPr>
          <w:rFonts w:eastAsiaTheme="minorEastAsia"/>
        </w:rPr>
        <w:t xml:space="preserve"> estimate in the next time period in sub-population </w:t>
      </w:r>
      <m:oMath>
        <m:r>
          <w:rPr>
            <w:rFonts w:ascii="Cambria Math" w:eastAsiaTheme="minorEastAsia" w:hAnsi="Cambria Math"/>
          </w:rPr>
          <m:t>r</m:t>
        </m:r>
      </m:oMath>
      <w:r w:rsidRPr="00830781">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t,r</m:t>
            </m:r>
          </m:sub>
        </m:sSub>
      </m:oMath>
      <w:r w:rsidRPr="00830781">
        <w:rPr>
          <w:rFonts w:eastAsiaTheme="minorEastAsia"/>
        </w:rPr>
        <w:t xml:space="preserve"> is the population</w:t>
      </w:r>
      <w:r>
        <w:rPr>
          <w:rFonts w:eastAsiaTheme="minorEastAsia"/>
        </w:rPr>
        <w:t xml:space="preserve"> in the current time period in sub-population </w:t>
      </w:r>
      <m:oMath>
        <m:r>
          <w:rPr>
            <w:rFonts w:ascii="Cambria Math" w:eastAsiaTheme="minorEastAsia" w:hAnsi="Cambria Math"/>
          </w:rPr>
          <m:t>r</m:t>
        </m:r>
      </m:oMath>
      <w:r w:rsidRPr="00830781">
        <w:rPr>
          <w:rFonts w:eastAsiaTheme="minorEastAsia"/>
        </w:rPr>
        <w:t xml:space="preserve">, </w:t>
      </w:r>
      <m:oMath>
        <m:r>
          <w:rPr>
            <w:rFonts w:ascii="Cambria Math" w:eastAsiaTheme="minorEastAsia" w:hAnsi="Cambria Math"/>
          </w:rPr>
          <m:t>n</m:t>
        </m:r>
      </m:oMath>
      <w:r w:rsidRPr="00830781">
        <w:rPr>
          <w:rFonts w:eastAsiaTheme="minorEastAsia"/>
        </w:rPr>
        <w:t xml:space="preserve"> is the number </w:t>
      </w:r>
      <w:r>
        <w:rPr>
          <w:rFonts w:eastAsiaTheme="minorEastAsia"/>
        </w:rPr>
        <w:t xml:space="preserve">of </w:t>
      </w:r>
      <w:r w:rsidRPr="00830781">
        <w:rPr>
          <w:rFonts w:eastAsiaTheme="minorEastAsia"/>
        </w:rPr>
        <w:t>months in a year</w:t>
      </w:r>
      <w:r>
        <w:rPr>
          <w:rFonts w:eastAsiaTheme="minorEastAsia"/>
        </w:rPr>
        <w:t>,</w:t>
      </w:r>
      <w:r w:rsidRPr="00830781">
        <w:rPr>
          <w:rFonts w:eastAsiaTheme="minorEastAsia"/>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Pr="00830781">
        <w:rPr>
          <w:rFonts w:eastAsiaTheme="minorEastAsia"/>
        </w:rPr>
        <w:t xml:space="preserve"> is the </w:t>
      </w:r>
      <w:r>
        <w:rPr>
          <w:rFonts w:eastAsiaTheme="minorEastAsia"/>
        </w:rPr>
        <w:t xml:space="preserve">monthly </w:t>
      </w:r>
      <w:r w:rsidRPr="00830781">
        <w:rPr>
          <w:rFonts w:eastAsiaTheme="minorEastAsia"/>
        </w:rPr>
        <w:t>popu</w:t>
      </w:r>
      <w:r>
        <w:rPr>
          <w:rFonts w:eastAsiaTheme="minorEastAsia"/>
        </w:rPr>
        <w:t xml:space="preserve">lation growth rate in sub-population </w:t>
      </w:r>
      <m:oMath>
        <m:r>
          <w:rPr>
            <w:rFonts w:ascii="Cambria Math" w:eastAsiaTheme="minorEastAsia" w:hAnsi="Cambria Math"/>
          </w:rPr>
          <m:t>r</m:t>
        </m:r>
      </m:oMath>
      <w:r>
        <w:rPr>
          <w:rFonts w:eastAsiaTheme="minorEastAsia"/>
        </w:rPr>
        <w:t xml:space="preserve">. </w:t>
      </w:r>
    </w:p>
    <w:p w14:paraId="7483D51E" w14:textId="6B3A54A5" w:rsidR="00760016" w:rsidRPr="00760016" w:rsidRDefault="00760016" w:rsidP="002E50FA">
      <w:pPr>
        <w:pStyle w:val="ListParagraph"/>
        <w:numPr>
          <w:ilvl w:val="0"/>
          <w:numId w:val="24"/>
        </w:numPr>
        <w:jc w:val="both"/>
        <w:rPr>
          <w:rFonts w:eastAsiaTheme="minorEastAsia"/>
        </w:rPr>
      </w:pPr>
      <w:r w:rsidRPr="00760016">
        <w:rPr>
          <w:rFonts w:eastAsiaTheme="minorEastAsia"/>
        </w:rPr>
        <w:t xml:space="preserve">The </w:t>
      </w:r>
      <w:r>
        <w:rPr>
          <w:rFonts w:eastAsiaTheme="minorEastAsia"/>
        </w:rPr>
        <w:t xml:space="preserve">overall monthly population growth rate is estimated as the average monthly growth rate over time and </w:t>
      </w:r>
      <w:r w:rsidRPr="00760016">
        <w:rPr>
          <w:rFonts w:eastAsiaTheme="minorEastAsia"/>
        </w:rPr>
        <w:t xml:space="preserve">the confidence interval is estimated using the </w:t>
      </w:r>
      <w:r>
        <w:rPr>
          <w:rFonts w:eastAsiaTheme="minorEastAsia"/>
        </w:rPr>
        <w:t xml:space="preserve">average and </w:t>
      </w:r>
      <w:r w:rsidRPr="00760016">
        <w:rPr>
          <w:rFonts w:eastAsiaTheme="minorEastAsia"/>
        </w:rPr>
        <w:t>standard deviation of the population growth rate</w:t>
      </w:r>
      <w:r>
        <w:rPr>
          <w:rFonts w:eastAsiaTheme="minorEastAsia"/>
        </w:rPr>
        <w:t>s</w:t>
      </w:r>
      <w:r w:rsidRPr="00760016">
        <w:rPr>
          <w:rFonts w:eastAsiaTheme="minorEastAsia"/>
        </w:rPr>
        <w:t xml:space="preserve">. </w:t>
      </w:r>
      <w:r>
        <w:rPr>
          <w:rFonts w:eastAsiaTheme="minorEastAsia"/>
        </w:rPr>
        <w:t xml:space="preserve">The </w:t>
      </w:r>
      <w:r w:rsidRPr="00760016">
        <w:rPr>
          <w:rFonts w:eastAsiaTheme="minorEastAsia"/>
        </w:rPr>
        <w:t xml:space="preserve">monthly growth rate </w:t>
      </w:r>
      <w:r>
        <w:rPr>
          <w:rFonts w:eastAsiaTheme="minorEastAsia"/>
        </w:rPr>
        <w:t xml:space="preserve">and the confidence interval </w:t>
      </w:r>
      <w:r w:rsidRPr="00760016">
        <w:rPr>
          <w:rFonts w:eastAsiaTheme="minorEastAsia"/>
        </w:rPr>
        <w:t xml:space="preserve">is reported in </w:t>
      </w:r>
      <w:r w:rsidR="00BB226C">
        <w:rPr>
          <w:rFonts w:eastAsiaTheme="minorEastAsia"/>
        </w:rPr>
        <w:fldChar w:fldCharType="begin"/>
      </w:r>
      <w:r w:rsidR="00BB226C">
        <w:rPr>
          <w:rFonts w:eastAsiaTheme="minorEastAsia"/>
        </w:rPr>
        <w:instrText xml:space="preserve"> REF _Ref82431853 \h </w:instrText>
      </w:r>
      <w:r w:rsidR="00BB226C">
        <w:rPr>
          <w:rFonts w:eastAsiaTheme="minorEastAsia"/>
        </w:rPr>
      </w:r>
      <w:r w:rsidR="00BB226C">
        <w:rPr>
          <w:rFonts w:eastAsiaTheme="minorEastAsia"/>
        </w:rPr>
        <w:fldChar w:fldCharType="separate"/>
      </w:r>
      <w:r w:rsidR="001E49BE" w:rsidRPr="00710211">
        <w:rPr>
          <w:b/>
          <w:bCs/>
          <w:color w:val="000000" w:themeColor="text1"/>
        </w:rPr>
        <w:t xml:space="preserve">Table </w:t>
      </w:r>
      <w:r w:rsidR="001E49BE">
        <w:rPr>
          <w:b/>
          <w:bCs/>
          <w:noProof/>
          <w:color w:val="000000" w:themeColor="text1"/>
        </w:rPr>
        <w:t>8</w:t>
      </w:r>
      <w:r w:rsidR="00BB226C">
        <w:rPr>
          <w:rFonts w:eastAsiaTheme="minorEastAsia"/>
        </w:rPr>
        <w:fldChar w:fldCharType="end"/>
      </w:r>
      <w:r w:rsidR="00BB226C">
        <w:rPr>
          <w:rFonts w:eastAsiaTheme="minorEastAsia"/>
        </w:rPr>
        <w:t>.</w:t>
      </w:r>
    </w:p>
    <w:p w14:paraId="15F11970" w14:textId="77777777" w:rsidR="00F45E4A" w:rsidRPr="00830781" w:rsidRDefault="00F45E4A">
      <w:pPr>
        <w:autoSpaceDE w:val="0"/>
        <w:autoSpaceDN w:val="0"/>
        <w:adjustRightInd w:val="0"/>
        <w:jc w:val="both"/>
        <w:rPr>
          <w:b/>
          <w:bCs/>
        </w:rPr>
      </w:pPr>
    </w:p>
    <w:p w14:paraId="702E741F" w14:textId="77777777" w:rsidR="005B353A" w:rsidRDefault="005B353A">
      <w:pPr>
        <w:rPr>
          <w:b/>
          <w:bCs/>
          <w:color w:val="000000" w:themeColor="text1"/>
        </w:rPr>
      </w:pPr>
      <w:r>
        <w:rPr>
          <w:b/>
          <w:bCs/>
          <w:color w:val="000000" w:themeColor="text1"/>
        </w:rPr>
        <w:br w:type="page"/>
      </w:r>
    </w:p>
    <w:p w14:paraId="7DECD1D2" w14:textId="102566AA" w:rsidR="00325005" w:rsidRPr="00710211" w:rsidRDefault="00325005">
      <w:pPr>
        <w:keepNext/>
        <w:jc w:val="both"/>
        <w:rPr>
          <w:b/>
          <w:bCs/>
          <w:color w:val="000000" w:themeColor="text1"/>
        </w:rPr>
      </w:pPr>
      <w:bookmarkStart w:id="154" w:name="_Ref82431853"/>
      <w:bookmarkStart w:id="155" w:name="_Toc82448071"/>
      <w:bookmarkStart w:id="156" w:name="_Toc82592502"/>
      <w:bookmarkStart w:id="157" w:name="_Toc82599267"/>
      <w:r w:rsidRPr="00710211">
        <w:rPr>
          <w:b/>
          <w:bCs/>
          <w:color w:val="000000" w:themeColor="text1"/>
        </w:rPr>
        <w:lastRenderedPageBreak/>
        <w:t xml:space="preserve">Table </w:t>
      </w:r>
      <w:r w:rsidRPr="00710211">
        <w:rPr>
          <w:b/>
          <w:bCs/>
          <w:color w:val="000000" w:themeColor="text1"/>
        </w:rPr>
        <w:fldChar w:fldCharType="begin"/>
      </w:r>
      <w:r w:rsidRPr="00710211">
        <w:rPr>
          <w:b/>
          <w:bCs/>
          <w:color w:val="000000" w:themeColor="text1"/>
        </w:rPr>
        <w:instrText xml:space="preserve"> SEQ Table \* ARABIC </w:instrText>
      </w:r>
      <w:r w:rsidRPr="00710211">
        <w:rPr>
          <w:b/>
          <w:bCs/>
          <w:color w:val="000000" w:themeColor="text1"/>
        </w:rPr>
        <w:fldChar w:fldCharType="separate"/>
      </w:r>
      <w:r w:rsidR="001E49BE">
        <w:rPr>
          <w:b/>
          <w:bCs/>
          <w:noProof/>
          <w:color w:val="000000" w:themeColor="text1"/>
        </w:rPr>
        <w:t>8</w:t>
      </w:r>
      <w:r w:rsidRPr="00710211">
        <w:rPr>
          <w:b/>
          <w:bCs/>
          <w:color w:val="000000" w:themeColor="text1"/>
        </w:rPr>
        <w:fldChar w:fldCharType="end"/>
      </w:r>
      <w:bookmarkEnd w:id="154"/>
      <w:r w:rsidR="00981DDB">
        <w:rPr>
          <w:b/>
          <w:bCs/>
          <w:color w:val="000000" w:themeColor="text1"/>
        </w:rPr>
        <w:t>.</w:t>
      </w:r>
      <w:r w:rsidR="00981DDB" w:rsidRPr="00710211">
        <w:rPr>
          <w:b/>
          <w:bCs/>
          <w:color w:val="000000" w:themeColor="text1"/>
        </w:rPr>
        <w:t xml:space="preserve"> </w:t>
      </w:r>
      <w:bookmarkStart w:id="158" w:name="_Hlk74741402"/>
      <w:r w:rsidRPr="00710211">
        <w:rPr>
          <w:b/>
          <w:bCs/>
          <w:color w:val="000000" w:themeColor="text1"/>
        </w:rPr>
        <w:t xml:space="preserve">Average monthly population growth </w:t>
      </w:r>
      <w:proofErr w:type="spellStart"/>
      <w:r w:rsidRPr="00710211">
        <w:rPr>
          <w:b/>
          <w:bCs/>
          <w:color w:val="000000" w:themeColor="text1"/>
        </w:rPr>
        <w:t>rate</w:t>
      </w:r>
      <w:bookmarkEnd w:id="158"/>
      <w:r w:rsidRPr="00710211">
        <w:rPr>
          <w:b/>
          <w:bCs/>
          <w:color w:val="000000" w:themeColor="text1"/>
          <w:vertAlign w:val="superscript"/>
        </w:rPr>
        <w:t>a</w:t>
      </w:r>
      <w:bookmarkEnd w:id="155"/>
      <w:bookmarkEnd w:id="156"/>
      <w:bookmarkEnd w:id="157"/>
      <w:proofErr w:type="spellEnd"/>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3"/>
        <w:gridCol w:w="2385"/>
        <w:gridCol w:w="2970"/>
      </w:tblGrid>
      <w:tr w:rsidR="00325005" w:rsidRPr="006D15A0" w14:paraId="2E5B7FBC" w14:textId="77777777" w:rsidTr="00EB2DCB">
        <w:trPr>
          <w:trHeight w:val="300"/>
        </w:trPr>
        <w:tc>
          <w:tcPr>
            <w:tcW w:w="3663" w:type="dxa"/>
            <w:shd w:val="clear" w:color="auto" w:fill="auto"/>
            <w:noWrap/>
            <w:vAlign w:val="bottom"/>
            <w:hideMark/>
          </w:tcPr>
          <w:p w14:paraId="4EFEB751" w14:textId="20D6B05F" w:rsidR="00325005" w:rsidRPr="006D15A0" w:rsidRDefault="00464588">
            <w:pPr>
              <w:jc w:val="both"/>
              <w:rPr>
                <w:b/>
                <w:bCs/>
                <w:color w:val="000000"/>
                <w:sz w:val="20"/>
                <w:szCs w:val="20"/>
              </w:rPr>
            </w:pPr>
            <w:r w:rsidRPr="006D15A0">
              <w:rPr>
                <w:b/>
                <w:bCs/>
                <w:color w:val="000000"/>
                <w:sz w:val="20"/>
                <w:szCs w:val="20"/>
              </w:rPr>
              <w:t>Sub-population</w:t>
            </w:r>
            <w:r w:rsidR="006839EF">
              <w:rPr>
                <w:b/>
                <w:bCs/>
                <w:color w:val="000000"/>
                <w:sz w:val="20"/>
                <w:szCs w:val="20"/>
              </w:rPr>
              <w:t xml:space="preserve"> (age group)</w:t>
            </w:r>
          </w:p>
        </w:tc>
        <w:tc>
          <w:tcPr>
            <w:tcW w:w="2385" w:type="dxa"/>
            <w:shd w:val="clear" w:color="auto" w:fill="auto"/>
            <w:noWrap/>
            <w:vAlign w:val="bottom"/>
            <w:hideMark/>
          </w:tcPr>
          <w:p w14:paraId="1CCB7485" w14:textId="77777777" w:rsidR="00325005" w:rsidRPr="006D15A0" w:rsidRDefault="00325005">
            <w:pPr>
              <w:jc w:val="both"/>
              <w:rPr>
                <w:b/>
                <w:bCs/>
                <w:color w:val="000000"/>
                <w:sz w:val="20"/>
                <w:szCs w:val="20"/>
              </w:rPr>
            </w:pPr>
            <w:r w:rsidRPr="006D15A0">
              <w:rPr>
                <w:b/>
                <w:bCs/>
                <w:color w:val="000000"/>
                <w:sz w:val="20"/>
                <w:szCs w:val="20"/>
              </w:rPr>
              <w:t>Monthly growth rate</w:t>
            </w:r>
          </w:p>
        </w:tc>
        <w:tc>
          <w:tcPr>
            <w:tcW w:w="2970" w:type="dxa"/>
            <w:shd w:val="clear" w:color="auto" w:fill="auto"/>
            <w:noWrap/>
            <w:vAlign w:val="bottom"/>
            <w:hideMark/>
          </w:tcPr>
          <w:p w14:paraId="4441E0D7" w14:textId="77777777" w:rsidR="00325005" w:rsidRPr="006D15A0" w:rsidRDefault="00325005">
            <w:pPr>
              <w:jc w:val="both"/>
              <w:rPr>
                <w:b/>
                <w:bCs/>
                <w:color w:val="000000"/>
                <w:sz w:val="20"/>
                <w:szCs w:val="20"/>
              </w:rPr>
            </w:pPr>
            <w:r w:rsidRPr="006D15A0">
              <w:rPr>
                <w:b/>
                <w:bCs/>
                <w:color w:val="000000"/>
                <w:sz w:val="20"/>
                <w:szCs w:val="20"/>
              </w:rPr>
              <w:t>95% Confidence Interval</w:t>
            </w:r>
          </w:p>
        </w:tc>
      </w:tr>
      <w:tr w:rsidR="00325005" w:rsidRPr="006D15A0" w14:paraId="6EAF7F29" w14:textId="77777777" w:rsidTr="00EB2DCB">
        <w:trPr>
          <w:trHeight w:val="300"/>
        </w:trPr>
        <w:tc>
          <w:tcPr>
            <w:tcW w:w="3663" w:type="dxa"/>
            <w:shd w:val="clear" w:color="auto" w:fill="auto"/>
            <w:noWrap/>
            <w:vAlign w:val="bottom"/>
            <w:hideMark/>
          </w:tcPr>
          <w:p w14:paraId="07400ACB" w14:textId="77777777" w:rsidR="00325005" w:rsidRPr="006D15A0" w:rsidRDefault="00325005" w:rsidP="00122CDD">
            <w:pPr>
              <w:jc w:val="both"/>
              <w:rPr>
                <w:color w:val="000000"/>
                <w:sz w:val="20"/>
                <w:szCs w:val="20"/>
              </w:rPr>
            </w:pPr>
            <w:r w:rsidRPr="006D15A0">
              <w:rPr>
                <w:color w:val="000000"/>
                <w:sz w:val="20"/>
                <w:szCs w:val="20"/>
              </w:rPr>
              <w:t>Low-risk urban women (15-24)</w:t>
            </w:r>
          </w:p>
        </w:tc>
        <w:tc>
          <w:tcPr>
            <w:tcW w:w="2385" w:type="dxa"/>
            <w:shd w:val="clear" w:color="auto" w:fill="auto"/>
            <w:noWrap/>
            <w:vAlign w:val="bottom"/>
            <w:hideMark/>
          </w:tcPr>
          <w:p w14:paraId="3EEAC9C4" w14:textId="77777777" w:rsidR="00325005" w:rsidRPr="006D15A0" w:rsidRDefault="00325005" w:rsidP="001D10D4">
            <w:pPr>
              <w:jc w:val="both"/>
              <w:rPr>
                <w:color w:val="000000"/>
                <w:sz w:val="20"/>
                <w:szCs w:val="20"/>
              </w:rPr>
            </w:pPr>
            <w:r w:rsidRPr="006D15A0">
              <w:rPr>
                <w:color w:val="000000"/>
                <w:sz w:val="20"/>
                <w:szCs w:val="20"/>
              </w:rPr>
              <w:t>0.20%</w:t>
            </w:r>
          </w:p>
        </w:tc>
        <w:tc>
          <w:tcPr>
            <w:tcW w:w="2970" w:type="dxa"/>
            <w:shd w:val="clear" w:color="auto" w:fill="auto"/>
            <w:noWrap/>
            <w:vAlign w:val="bottom"/>
            <w:hideMark/>
          </w:tcPr>
          <w:p w14:paraId="504B2AA3" w14:textId="77777777" w:rsidR="00325005" w:rsidRPr="006D15A0" w:rsidRDefault="00325005" w:rsidP="00527179">
            <w:pPr>
              <w:jc w:val="both"/>
              <w:rPr>
                <w:color w:val="000000"/>
                <w:sz w:val="20"/>
                <w:szCs w:val="20"/>
              </w:rPr>
            </w:pPr>
            <w:r w:rsidRPr="006D15A0">
              <w:rPr>
                <w:color w:val="000000"/>
                <w:sz w:val="20"/>
                <w:szCs w:val="20"/>
              </w:rPr>
              <w:t>(0.17%, 0.23%)</w:t>
            </w:r>
          </w:p>
        </w:tc>
      </w:tr>
      <w:tr w:rsidR="00325005" w:rsidRPr="006D15A0" w14:paraId="08259C35" w14:textId="77777777" w:rsidTr="00EB2DCB">
        <w:trPr>
          <w:trHeight w:val="300"/>
        </w:trPr>
        <w:tc>
          <w:tcPr>
            <w:tcW w:w="3663" w:type="dxa"/>
            <w:shd w:val="clear" w:color="auto" w:fill="auto"/>
            <w:noWrap/>
            <w:vAlign w:val="bottom"/>
            <w:hideMark/>
          </w:tcPr>
          <w:p w14:paraId="5DAE40D4" w14:textId="77777777" w:rsidR="00325005" w:rsidRPr="006D15A0" w:rsidRDefault="00325005" w:rsidP="00122CDD">
            <w:pPr>
              <w:jc w:val="both"/>
              <w:rPr>
                <w:color w:val="000000"/>
                <w:sz w:val="20"/>
                <w:szCs w:val="20"/>
                <w:vertAlign w:val="superscript"/>
              </w:rPr>
            </w:pPr>
            <w:r w:rsidRPr="006D15A0">
              <w:rPr>
                <w:color w:val="000000"/>
                <w:sz w:val="20"/>
                <w:szCs w:val="20"/>
              </w:rPr>
              <w:t>Low-risk urban women (25-</w:t>
            </w:r>
            <w:proofErr w:type="gramStart"/>
            <w:r w:rsidRPr="006D15A0">
              <w:rPr>
                <w:color w:val="000000"/>
                <w:sz w:val="20"/>
                <w:szCs w:val="20"/>
              </w:rPr>
              <w:t>54)</w:t>
            </w:r>
            <w:r w:rsidRPr="006D15A0">
              <w:rPr>
                <w:color w:val="000000"/>
                <w:sz w:val="20"/>
                <w:szCs w:val="20"/>
                <w:vertAlign w:val="superscript"/>
              </w:rPr>
              <w:t>b</w:t>
            </w:r>
            <w:proofErr w:type="gramEnd"/>
          </w:p>
        </w:tc>
        <w:tc>
          <w:tcPr>
            <w:tcW w:w="2385" w:type="dxa"/>
            <w:shd w:val="clear" w:color="auto" w:fill="auto"/>
            <w:noWrap/>
            <w:vAlign w:val="bottom"/>
            <w:hideMark/>
          </w:tcPr>
          <w:p w14:paraId="00F9E574" w14:textId="77777777" w:rsidR="00325005" w:rsidRPr="006D15A0" w:rsidRDefault="00325005" w:rsidP="001D10D4">
            <w:pPr>
              <w:jc w:val="both"/>
              <w:rPr>
                <w:color w:val="000000"/>
                <w:sz w:val="20"/>
                <w:szCs w:val="20"/>
              </w:rPr>
            </w:pPr>
            <w:r w:rsidRPr="006D15A0">
              <w:rPr>
                <w:color w:val="000000"/>
                <w:sz w:val="20"/>
                <w:szCs w:val="20"/>
              </w:rPr>
              <w:t>0.33%</w:t>
            </w:r>
          </w:p>
        </w:tc>
        <w:tc>
          <w:tcPr>
            <w:tcW w:w="2970" w:type="dxa"/>
            <w:shd w:val="clear" w:color="auto" w:fill="auto"/>
            <w:noWrap/>
            <w:vAlign w:val="bottom"/>
            <w:hideMark/>
          </w:tcPr>
          <w:p w14:paraId="0DE43DDA" w14:textId="77777777" w:rsidR="00325005" w:rsidRPr="006D15A0" w:rsidRDefault="00325005" w:rsidP="00527179">
            <w:pPr>
              <w:jc w:val="both"/>
              <w:rPr>
                <w:color w:val="000000"/>
                <w:sz w:val="20"/>
                <w:szCs w:val="20"/>
              </w:rPr>
            </w:pPr>
            <w:r w:rsidRPr="006D15A0">
              <w:rPr>
                <w:color w:val="000000"/>
                <w:sz w:val="20"/>
                <w:szCs w:val="20"/>
              </w:rPr>
              <w:t>(0.32%, 0.34%)</w:t>
            </w:r>
          </w:p>
        </w:tc>
      </w:tr>
      <w:tr w:rsidR="00325005" w:rsidRPr="006D15A0" w14:paraId="1E76E05A" w14:textId="77777777" w:rsidTr="00EB2DCB">
        <w:trPr>
          <w:trHeight w:val="300"/>
        </w:trPr>
        <w:tc>
          <w:tcPr>
            <w:tcW w:w="3663" w:type="dxa"/>
            <w:shd w:val="clear" w:color="auto" w:fill="auto"/>
            <w:noWrap/>
            <w:vAlign w:val="bottom"/>
            <w:hideMark/>
          </w:tcPr>
          <w:p w14:paraId="25E64B39" w14:textId="77777777" w:rsidR="00325005" w:rsidRPr="006D15A0" w:rsidRDefault="00325005" w:rsidP="00122CDD">
            <w:pPr>
              <w:jc w:val="both"/>
              <w:rPr>
                <w:color w:val="000000"/>
                <w:sz w:val="20"/>
                <w:szCs w:val="20"/>
              </w:rPr>
            </w:pPr>
            <w:r w:rsidRPr="006D15A0">
              <w:rPr>
                <w:color w:val="000000"/>
                <w:sz w:val="20"/>
                <w:szCs w:val="20"/>
              </w:rPr>
              <w:t>Low-risk urban women (55-64)</w:t>
            </w:r>
          </w:p>
        </w:tc>
        <w:tc>
          <w:tcPr>
            <w:tcW w:w="2385" w:type="dxa"/>
            <w:shd w:val="clear" w:color="auto" w:fill="auto"/>
            <w:noWrap/>
            <w:vAlign w:val="bottom"/>
            <w:hideMark/>
          </w:tcPr>
          <w:p w14:paraId="0EE0A11D" w14:textId="77777777" w:rsidR="00325005" w:rsidRPr="006D15A0" w:rsidRDefault="00325005" w:rsidP="001D10D4">
            <w:pPr>
              <w:jc w:val="both"/>
              <w:rPr>
                <w:color w:val="000000"/>
                <w:sz w:val="20"/>
                <w:szCs w:val="20"/>
              </w:rPr>
            </w:pPr>
            <w:r w:rsidRPr="006D15A0">
              <w:rPr>
                <w:color w:val="000000"/>
                <w:sz w:val="20"/>
                <w:szCs w:val="20"/>
              </w:rPr>
              <w:t>0.45%</w:t>
            </w:r>
          </w:p>
        </w:tc>
        <w:tc>
          <w:tcPr>
            <w:tcW w:w="2970" w:type="dxa"/>
            <w:shd w:val="clear" w:color="auto" w:fill="auto"/>
            <w:noWrap/>
            <w:vAlign w:val="bottom"/>
            <w:hideMark/>
          </w:tcPr>
          <w:p w14:paraId="5A9197BC" w14:textId="77777777" w:rsidR="00325005" w:rsidRPr="006D15A0" w:rsidRDefault="00325005" w:rsidP="00527179">
            <w:pPr>
              <w:jc w:val="both"/>
              <w:rPr>
                <w:color w:val="000000"/>
                <w:sz w:val="20"/>
                <w:szCs w:val="20"/>
              </w:rPr>
            </w:pPr>
            <w:r w:rsidRPr="006D15A0">
              <w:rPr>
                <w:color w:val="000000"/>
                <w:sz w:val="20"/>
                <w:szCs w:val="20"/>
              </w:rPr>
              <w:t>(0.40%, 0.50%)</w:t>
            </w:r>
          </w:p>
        </w:tc>
      </w:tr>
      <w:tr w:rsidR="00325005" w:rsidRPr="006D15A0" w14:paraId="4DE48400" w14:textId="77777777" w:rsidTr="00EB2DCB">
        <w:trPr>
          <w:trHeight w:val="300"/>
        </w:trPr>
        <w:tc>
          <w:tcPr>
            <w:tcW w:w="3663" w:type="dxa"/>
            <w:shd w:val="clear" w:color="auto" w:fill="auto"/>
            <w:noWrap/>
            <w:vAlign w:val="bottom"/>
            <w:hideMark/>
          </w:tcPr>
          <w:p w14:paraId="51899EC8" w14:textId="77777777" w:rsidR="00325005" w:rsidRPr="006D15A0" w:rsidRDefault="00325005" w:rsidP="00122CDD">
            <w:pPr>
              <w:jc w:val="both"/>
              <w:rPr>
                <w:color w:val="000000"/>
                <w:sz w:val="20"/>
                <w:szCs w:val="20"/>
              </w:rPr>
            </w:pPr>
            <w:r w:rsidRPr="006D15A0">
              <w:rPr>
                <w:color w:val="000000"/>
                <w:sz w:val="20"/>
                <w:szCs w:val="20"/>
              </w:rPr>
              <w:t>Low-risk rural women (15-24)</w:t>
            </w:r>
          </w:p>
        </w:tc>
        <w:tc>
          <w:tcPr>
            <w:tcW w:w="2385" w:type="dxa"/>
            <w:shd w:val="clear" w:color="auto" w:fill="auto"/>
            <w:noWrap/>
            <w:vAlign w:val="bottom"/>
            <w:hideMark/>
          </w:tcPr>
          <w:p w14:paraId="279D4071" w14:textId="77777777" w:rsidR="00325005" w:rsidRPr="006D15A0" w:rsidRDefault="00325005" w:rsidP="001D10D4">
            <w:pPr>
              <w:jc w:val="both"/>
              <w:rPr>
                <w:color w:val="000000"/>
                <w:sz w:val="20"/>
                <w:szCs w:val="20"/>
              </w:rPr>
            </w:pPr>
            <w:r w:rsidRPr="006D15A0">
              <w:rPr>
                <w:color w:val="000000"/>
                <w:sz w:val="20"/>
                <w:szCs w:val="20"/>
              </w:rPr>
              <w:t>0.08%</w:t>
            </w:r>
          </w:p>
        </w:tc>
        <w:tc>
          <w:tcPr>
            <w:tcW w:w="2970" w:type="dxa"/>
            <w:shd w:val="clear" w:color="auto" w:fill="auto"/>
            <w:noWrap/>
            <w:vAlign w:val="bottom"/>
            <w:hideMark/>
          </w:tcPr>
          <w:p w14:paraId="56BDE419" w14:textId="77777777" w:rsidR="00325005" w:rsidRPr="006D15A0" w:rsidRDefault="00325005" w:rsidP="00527179">
            <w:pPr>
              <w:jc w:val="both"/>
              <w:rPr>
                <w:color w:val="000000"/>
                <w:sz w:val="20"/>
                <w:szCs w:val="20"/>
              </w:rPr>
            </w:pPr>
            <w:r w:rsidRPr="006D15A0">
              <w:rPr>
                <w:color w:val="000000"/>
                <w:sz w:val="20"/>
                <w:szCs w:val="20"/>
              </w:rPr>
              <w:t>(0.05%, 0.11%)</w:t>
            </w:r>
          </w:p>
        </w:tc>
      </w:tr>
      <w:tr w:rsidR="00325005" w:rsidRPr="006D15A0" w14:paraId="4CA74D05" w14:textId="77777777" w:rsidTr="00EB2DCB">
        <w:trPr>
          <w:trHeight w:val="300"/>
        </w:trPr>
        <w:tc>
          <w:tcPr>
            <w:tcW w:w="3663" w:type="dxa"/>
            <w:shd w:val="clear" w:color="auto" w:fill="auto"/>
            <w:noWrap/>
            <w:vAlign w:val="bottom"/>
            <w:hideMark/>
          </w:tcPr>
          <w:p w14:paraId="52A8C393" w14:textId="77777777" w:rsidR="00325005" w:rsidRPr="006D15A0" w:rsidRDefault="00325005" w:rsidP="00122CDD">
            <w:pPr>
              <w:jc w:val="both"/>
              <w:rPr>
                <w:color w:val="000000"/>
                <w:sz w:val="20"/>
                <w:szCs w:val="20"/>
                <w:vertAlign w:val="superscript"/>
              </w:rPr>
            </w:pPr>
            <w:r w:rsidRPr="006D15A0">
              <w:rPr>
                <w:color w:val="000000"/>
                <w:sz w:val="20"/>
                <w:szCs w:val="20"/>
              </w:rPr>
              <w:t>Low-risk rural women (25-</w:t>
            </w:r>
            <w:proofErr w:type="gramStart"/>
            <w:r w:rsidRPr="006D15A0">
              <w:rPr>
                <w:color w:val="000000"/>
                <w:sz w:val="20"/>
                <w:szCs w:val="20"/>
              </w:rPr>
              <w:t>54)</w:t>
            </w:r>
            <w:r w:rsidRPr="006D15A0">
              <w:rPr>
                <w:color w:val="000000"/>
                <w:sz w:val="20"/>
                <w:szCs w:val="20"/>
                <w:vertAlign w:val="superscript"/>
              </w:rPr>
              <w:t>b</w:t>
            </w:r>
            <w:proofErr w:type="gramEnd"/>
          </w:p>
        </w:tc>
        <w:tc>
          <w:tcPr>
            <w:tcW w:w="2385" w:type="dxa"/>
            <w:shd w:val="clear" w:color="auto" w:fill="auto"/>
            <w:noWrap/>
            <w:vAlign w:val="bottom"/>
            <w:hideMark/>
          </w:tcPr>
          <w:p w14:paraId="2F63B47F" w14:textId="77777777" w:rsidR="00325005" w:rsidRPr="006D15A0" w:rsidRDefault="00325005" w:rsidP="001D10D4">
            <w:pPr>
              <w:jc w:val="both"/>
              <w:rPr>
                <w:color w:val="000000"/>
                <w:sz w:val="20"/>
                <w:szCs w:val="20"/>
              </w:rPr>
            </w:pPr>
            <w:r w:rsidRPr="006D15A0">
              <w:rPr>
                <w:color w:val="000000"/>
                <w:sz w:val="20"/>
                <w:szCs w:val="20"/>
              </w:rPr>
              <w:t>0.21%</w:t>
            </w:r>
          </w:p>
        </w:tc>
        <w:tc>
          <w:tcPr>
            <w:tcW w:w="2970" w:type="dxa"/>
            <w:shd w:val="clear" w:color="auto" w:fill="auto"/>
            <w:noWrap/>
            <w:vAlign w:val="bottom"/>
            <w:hideMark/>
          </w:tcPr>
          <w:p w14:paraId="1F103AAA" w14:textId="77777777" w:rsidR="00325005" w:rsidRPr="006D15A0" w:rsidRDefault="00325005" w:rsidP="00527179">
            <w:pPr>
              <w:jc w:val="both"/>
              <w:rPr>
                <w:color w:val="000000"/>
                <w:sz w:val="20"/>
                <w:szCs w:val="20"/>
              </w:rPr>
            </w:pPr>
            <w:r w:rsidRPr="006D15A0">
              <w:rPr>
                <w:color w:val="000000"/>
                <w:sz w:val="20"/>
                <w:szCs w:val="20"/>
              </w:rPr>
              <w:t>(0.19%, 0.24%)</w:t>
            </w:r>
          </w:p>
        </w:tc>
      </w:tr>
      <w:tr w:rsidR="00325005" w:rsidRPr="006D15A0" w14:paraId="686ADE93" w14:textId="77777777" w:rsidTr="00EB2DCB">
        <w:trPr>
          <w:trHeight w:val="300"/>
        </w:trPr>
        <w:tc>
          <w:tcPr>
            <w:tcW w:w="3663" w:type="dxa"/>
            <w:shd w:val="clear" w:color="auto" w:fill="auto"/>
            <w:noWrap/>
            <w:vAlign w:val="bottom"/>
            <w:hideMark/>
          </w:tcPr>
          <w:p w14:paraId="49429AAC" w14:textId="77777777" w:rsidR="00325005" w:rsidRPr="006D15A0" w:rsidRDefault="00325005" w:rsidP="00122CDD">
            <w:pPr>
              <w:jc w:val="both"/>
              <w:rPr>
                <w:color w:val="000000"/>
                <w:sz w:val="20"/>
                <w:szCs w:val="20"/>
              </w:rPr>
            </w:pPr>
            <w:r w:rsidRPr="006D15A0">
              <w:rPr>
                <w:color w:val="000000"/>
                <w:sz w:val="20"/>
                <w:szCs w:val="20"/>
              </w:rPr>
              <w:t>Low-risk rural women (55-64)</w:t>
            </w:r>
          </w:p>
        </w:tc>
        <w:tc>
          <w:tcPr>
            <w:tcW w:w="2385" w:type="dxa"/>
            <w:shd w:val="clear" w:color="auto" w:fill="auto"/>
            <w:noWrap/>
            <w:vAlign w:val="bottom"/>
            <w:hideMark/>
          </w:tcPr>
          <w:p w14:paraId="1B349ADE" w14:textId="77777777" w:rsidR="00325005" w:rsidRPr="006D15A0" w:rsidRDefault="00325005" w:rsidP="001D10D4">
            <w:pPr>
              <w:jc w:val="both"/>
              <w:rPr>
                <w:color w:val="000000"/>
                <w:sz w:val="20"/>
                <w:szCs w:val="20"/>
              </w:rPr>
            </w:pPr>
            <w:r w:rsidRPr="006D15A0">
              <w:rPr>
                <w:color w:val="000000"/>
                <w:sz w:val="20"/>
                <w:szCs w:val="20"/>
              </w:rPr>
              <w:t>0.33%</w:t>
            </w:r>
          </w:p>
        </w:tc>
        <w:tc>
          <w:tcPr>
            <w:tcW w:w="2970" w:type="dxa"/>
            <w:shd w:val="clear" w:color="auto" w:fill="auto"/>
            <w:noWrap/>
            <w:vAlign w:val="bottom"/>
            <w:hideMark/>
          </w:tcPr>
          <w:p w14:paraId="4C25FD15" w14:textId="77777777" w:rsidR="00325005" w:rsidRPr="006D15A0" w:rsidRDefault="00325005" w:rsidP="00527179">
            <w:pPr>
              <w:jc w:val="both"/>
              <w:rPr>
                <w:color w:val="000000"/>
                <w:sz w:val="20"/>
                <w:szCs w:val="20"/>
              </w:rPr>
            </w:pPr>
            <w:r w:rsidRPr="006D15A0">
              <w:rPr>
                <w:color w:val="000000"/>
                <w:sz w:val="20"/>
                <w:szCs w:val="20"/>
              </w:rPr>
              <w:t>(0.29%, 0.37%)</w:t>
            </w:r>
          </w:p>
        </w:tc>
      </w:tr>
      <w:tr w:rsidR="00325005" w:rsidRPr="006D15A0" w14:paraId="033553F7" w14:textId="77777777" w:rsidTr="00EB2DCB">
        <w:trPr>
          <w:trHeight w:val="285"/>
        </w:trPr>
        <w:tc>
          <w:tcPr>
            <w:tcW w:w="3663" w:type="dxa"/>
            <w:shd w:val="clear" w:color="auto" w:fill="auto"/>
            <w:noWrap/>
            <w:vAlign w:val="bottom"/>
            <w:hideMark/>
          </w:tcPr>
          <w:p w14:paraId="66E9A656" w14:textId="77777777" w:rsidR="00325005" w:rsidRPr="006D15A0" w:rsidRDefault="00325005" w:rsidP="00122CDD">
            <w:pPr>
              <w:jc w:val="both"/>
              <w:rPr>
                <w:color w:val="000000"/>
                <w:sz w:val="20"/>
                <w:szCs w:val="20"/>
              </w:rPr>
            </w:pPr>
            <w:r w:rsidRPr="006D15A0">
              <w:rPr>
                <w:color w:val="000000"/>
                <w:sz w:val="20"/>
                <w:szCs w:val="20"/>
              </w:rPr>
              <w:t>Urban men (15-24)</w:t>
            </w:r>
          </w:p>
        </w:tc>
        <w:tc>
          <w:tcPr>
            <w:tcW w:w="2385" w:type="dxa"/>
            <w:shd w:val="clear" w:color="auto" w:fill="auto"/>
            <w:noWrap/>
            <w:vAlign w:val="bottom"/>
            <w:hideMark/>
          </w:tcPr>
          <w:p w14:paraId="2C9F1187" w14:textId="77777777" w:rsidR="00325005" w:rsidRPr="006D15A0" w:rsidRDefault="00325005" w:rsidP="001D10D4">
            <w:pPr>
              <w:jc w:val="both"/>
              <w:rPr>
                <w:color w:val="000000"/>
                <w:sz w:val="20"/>
                <w:szCs w:val="20"/>
              </w:rPr>
            </w:pPr>
            <w:r w:rsidRPr="006D15A0">
              <w:rPr>
                <w:color w:val="000000"/>
                <w:sz w:val="20"/>
                <w:szCs w:val="20"/>
              </w:rPr>
              <w:t>0.21%</w:t>
            </w:r>
          </w:p>
        </w:tc>
        <w:tc>
          <w:tcPr>
            <w:tcW w:w="2970" w:type="dxa"/>
            <w:shd w:val="clear" w:color="auto" w:fill="auto"/>
            <w:noWrap/>
            <w:vAlign w:val="bottom"/>
            <w:hideMark/>
          </w:tcPr>
          <w:p w14:paraId="6D702B2D" w14:textId="77777777" w:rsidR="00325005" w:rsidRPr="006D15A0" w:rsidRDefault="00325005" w:rsidP="00527179">
            <w:pPr>
              <w:jc w:val="both"/>
              <w:rPr>
                <w:color w:val="000000"/>
                <w:sz w:val="20"/>
                <w:szCs w:val="20"/>
              </w:rPr>
            </w:pPr>
            <w:r w:rsidRPr="006D15A0">
              <w:rPr>
                <w:color w:val="000000"/>
                <w:sz w:val="20"/>
                <w:szCs w:val="20"/>
              </w:rPr>
              <w:t>(0.18%, 0.24%)</w:t>
            </w:r>
          </w:p>
        </w:tc>
      </w:tr>
      <w:tr w:rsidR="00325005" w:rsidRPr="006D15A0" w14:paraId="1DFC8315" w14:textId="77777777" w:rsidTr="00EB2DCB">
        <w:trPr>
          <w:trHeight w:val="300"/>
        </w:trPr>
        <w:tc>
          <w:tcPr>
            <w:tcW w:w="3663" w:type="dxa"/>
            <w:shd w:val="clear" w:color="auto" w:fill="auto"/>
            <w:noWrap/>
            <w:vAlign w:val="bottom"/>
            <w:hideMark/>
          </w:tcPr>
          <w:p w14:paraId="2FE2CC86" w14:textId="77777777" w:rsidR="00325005" w:rsidRPr="006D15A0" w:rsidRDefault="00325005" w:rsidP="00122CDD">
            <w:pPr>
              <w:jc w:val="both"/>
              <w:rPr>
                <w:color w:val="000000"/>
                <w:sz w:val="20"/>
                <w:szCs w:val="20"/>
                <w:vertAlign w:val="superscript"/>
              </w:rPr>
            </w:pPr>
            <w:r w:rsidRPr="006D15A0">
              <w:rPr>
                <w:color w:val="000000"/>
                <w:sz w:val="20"/>
                <w:szCs w:val="20"/>
              </w:rPr>
              <w:t>Urban men (25-</w:t>
            </w:r>
            <w:proofErr w:type="gramStart"/>
            <w:r w:rsidRPr="006D15A0">
              <w:rPr>
                <w:color w:val="000000"/>
                <w:sz w:val="20"/>
                <w:szCs w:val="20"/>
              </w:rPr>
              <w:t>54)</w:t>
            </w:r>
            <w:r w:rsidRPr="006D15A0">
              <w:rPr>
                <w:color w:val="000000"/>
                <w:sz w:val="20"/>
                <w:szCs w:val="20"/>
                <w:vertAlign w:val="superscript"/>
              </w:rPr>
              <w:t>b</w:t>
            </w:r>
            <w:proofErr w:type="gramEnd"/>
          </w:p>
        </w:tc>
        <w:tc>
          <w:tcPr>
            <w:tcW w:w="2385" w:type="dxa"/>
            <w:shd w:val="clear" w:color="auto" w:fill="auto"/>
            <w:noWrap/>
            <w:vAlign w:val="bottom"/>
            <w:hideMark/>
          </w:tcPr>
          <w:p w14:paraId="2ACD0773" w14:textId="77777777" w:rsidR="00325005" w:rsidRPr="006D15A0" w:rsidRDefault="00325005" w:rsidP="001D10D4">
            <w:pPr>
              <w:jc w:val="both"/>
              <w:rPr>
                <w:color w:val="000000"/>
                <w:sz w:val="20"/>
                <w:szCs w:val="20"/>
              </w:rPr>
            </w:pPr>
            <w:r w:rsidRPr="006D15A0">
              <w:rPr>
                <w:color w:val="000000"/>
                <w:sz w:val="20"/>
                <w:szCs w:val="20"/>
              </w:rPr>
              <w:t>0.33%</w:t>
            </w:r>
          </w:p>
        </w:tc>
        <w:tc>
          <w:tcPr>
            <w:tcW w:w="2970" w:type="dxa"/>
            <w:shd w:val="clear" w:color="auto" w:fill="auto"/>
            <w:noWrap/>
            <w:vAlign w:val="bottom"/>
            <w:hideMark/>
          </w:tcPr>
          <w:p w14:paraId="16A39E4C" w14:textId="77777777" w:rsidR="00325005" w:rsidRPr="006D15A0" w:rsidRDefault="00325005" w:rsidP="00527179">
            <w:pPr>
              <w:jc w:val="both"/>
              <w:rPr>
                <w:color w:val="000000"/>
                <w:sz w:val="20"/>
                <w:szCs w:val="20"/>
              </w:rPr>
            </w:pPr>
            <w:r w:rsidRPr="006D15A0">
              <w:rPr>
                <w:color w:val="000000"/>
                <w:sz w:val="20"/>
                <w:szCs w:val="20"/>
              </w:rPr>
              <w:t>(0.31%, 0.34%)</w:t>
            </w:r>
          </w:p>
        </w:tc>
      </w:tr>
      <w:tr w:rsidR="00325005" w:rsidRPr="006D15A0" w14:paraId="01D0750E" w14:textId="77777777" w:rsidTr="00EB2DCB">
        <w:trPr>
          <w:trHeight w:val="300"/>
        </w:trPr>
        <w:tc>
          <w:tcPr>
            <w:tcW w:w="3663" w:type="dxa"/>
            <w:shd w:val="clear" w:color="auto" w:fill="auto"/>
            <w:noWrap/>
            <w:vAlign w:val="bottom"/>
            <w:hideMark/>
          </w:tcPr>
          <w:p w14:paraId="7B3D7C51" w14:textId="77777777" w:rsidR="00325005" w:rsidRPr="006D15A0" w:rsidRDefault="00325005" w:rsidP="00122CDD">
            <w:pPr>
              <w:jc w:val="both"/>
              <w:rPr>
                <w:color w:val="000000"/>
                <w:sz w:val="20"/>
                <w:szCs w:val="20"/>
              </w:rPr>
            </w:pPr>
            <w:r w:rsidRPr="006D15A0">
              <w:rPr>
                <w:color w:val="000000"/>
                <w:sz w:val="20"/>
                <w:szCs w:val="20"/>
              </w:rPr>
              <w:t>Urban men (55-64)</w:t>
            </w:r>
          </w:p>
        </w:tc>
        <w:tc>
          <w:tcPr>
            <w:tcW w:w="2385" w:type="dxa"/>
            <w:shd w:val="clear" w:color="auto" w:fill="auto"/>
            <w:noWrap/>
            <w:vAlign w:val="bottom"/>
            <w:hideMark/>
          </w:tcPr>
          <w:p w14:paraId="00D71868" w14:textId="77777777" w:rsidR="00325005" w:rsidRPr="006D15A0" w:rsidRDefault="00325005" w:rsidP="001D10D4">
            <w:pPr>
              <w:jc w:val="both"/>
              <w:rPr>
                <w:color w:val="000000"/>
                <w:sz w:val="20"/>
                <w:szCs w:val="20"/>
              </w:rPr>
            </w:pPr>
            <w:r w:rsidRPr="006D15A0">
              <w:rPr>
                <w:color w:val="000000"/>
                <w:sz w:val="20"/>
                <w:szCs w:val="20"/>
              </w:rPr>
              <w:t>0.48%</w:t>
            </w:r>
          </w:p>
        </w:tc>
        <w:tc>
          <w:tcPr>
            <w:tcW w:w="2970" w:type="dxa"/>
            <w:shd w:val="clear" w:color="auto" w:fill="auto"/>
            <w:noWrap/>
            <w:vAlign w:val="bottom"/>
            <w:hideMark/>
          </w:tcPr>
          <w:p w14:paraId="56CFED53" w14:textId="77777777" w:rsidR="00325005" w:rsidRPr="006D15A0" w:rsidRDefault="00325005" w:rsidP="00527179">
            <w:pPr>
              <w:jc w:val="both"/>
              <w:rPr>
                <w:color w:val="000000"/>
                <w:sz w:val="20"/>
                <w:szCs w:val="20"/>
              </w:rPr>
            </w:pPr>
            <w:r w:rsidRPr="006D15A0">
              <w:rPr>
                <w:color w:val="000000"/>
                <w:sz w:val="20"/>
                <w:szCs w:val="20"/>
              </w:rPr>
              <w:t>(0.42%, 0.53%)</w:t>
            </w:r>
          </w:p>
        </w:tc>
      </w:tr>
      <w:tr w:rsidR="00325005" w:rsidRPr="006D15A0" w14:paraId="5B827950" w14:textId="77777777" w:rsidTr="00EB2DCB">
        <w:trPr>
          <w:trHeight w:val="300"/>
        </w:trPr>
        <w:tc>
          <w:tcPr>
            <w:tcW w:w="3663" w:type="dxa"/>
            <w:shd w:val="clear" w:color="auto" w:fill="auto"/>
            <w:noWrap/>
            <w:vAlign w:val="bottom"/>
            <w:hideMark/>
          </w:tcPr>
          <w:p w14:paraId="3527483E" w14:textId="77777777" w:rsidR="00325005" w:rsidRPr="006D15A0" w:rsidRDefault="00325005" w:rsidP="00122CDD">
            <w:pPr>
              <w:jc w:val="both"/>
              <w:rPr>
                <w:color w:val="000000"/>
                <w:sz w:val="20"/>
                <w:szCs w:val="20"/>
              </w:rPr>
            </w:pPr>
            <w:r w:rsidRPr="006D15A0">
              <w:rPr>
                <w:color w:val="000000"/>
                <w:sz w:val="20"/>
                <w:szCs w:val="20"/>
              </w:rPr>
              <w:t>Rural men (15-24)</w:t>
            </w:r>
          </w:p>
        </w:tc>
        <w:tc>
          <w:tcPr>
            <w:tcW w:w="2385" w:type="dxa"/>
            <w:shd w:val="clear" w:color="auto" w:fill="auto"/>
            <w:noWrap/>
            <w:vAlign w:val="bottom"/>
            <w:hideMark/>
          </w:tcPr>
          <w:p w14:paraId="3F0B482B" w14:textId="77777777" w:rsidR="00325005" w:rsidRPr="006D15A0" w:rsidRDefault="00325005" w:rsidP="001D10D4">
            <w:pPr>
              <w:jc w:val="both"/>
              <w:rPr>
                <w:color w:val="000000"/>
                <w:sz w:val="20"/>
                <w:szCs w:val="20"/>
              </w:rPr>
            </w:pPr>
            <w:r w:rsidRPr="006D15A0">
              <w:rPr>
                <w:color w:val="000000"/>
                <w:sz w:val="20"/>
                <w:szCs w:val="20"/>
              </w:rPr>
              <w:t>0.09%</w:t>
            </w:r>
          </w:p>
        </w:tc>
        <w:tc>
          <w:tcPr>
            <w:tcW w:w="2970" w:type="dxa"/>
            <w:shd w:val="clear" w:color="auto" w:fill="auto"/>
            <w:noWrap/>
            <w:vAlign w:val="bottom"/>
            <w:hideMark/>
          </w:tcPr>
          <w:p w14:paraId="2EDC7BB4" w14:textId="77777777" w:rsidR="00325005" w:rsidRPr="006D15A0" w:rsidRDefault="00325005" w:rsidP="00527179">
            <w:pPr>
              <w:jc w:val="both"/>
              <w:rPr>
                <w:color w:val="000000"/>
                <w:sz w:val="20"/>
                <w:szCs w:val="20"/>
              </w:rPr>
            </w:pPr>
            <w:r w:rsidRPr="006D15A0">
              <w:rPr>
                <w:color w:val="000000"/>
                <w:sz w:val="20"/>
                <w:szCs w:val="20"/>
              </w:rPr>
              <w:t>(0.06%, 0.12%)</w:t>
            </w:r>
          </w:p>
        </w:tc>
      </w:tr>
      <w:tr w:rsidR="00325005" w:rsidRPr="006D15A0" w14:paraId="306240F5" w14:textId="77777777" w:rsidTr="00EB2DCB">
        <w:trPr>
          <w:trHeight w:val="300"/>
        </w:trPr>
        <w:tc>
          <w:tcPr>
            <w:tcW w:w="3663" w:type="dxa"/>
            <w:shd w:val="clear" w:color="auto" w:fill="auto"/>
            <w:noWrap/>
            <w:vAlign w:val="bottom"/>
            <w:hideMark/>
          </w:tcPr>
          <w:p w14:paraId="3774D27F" w14:textId="77777777" w:rsidR="00325005" w:rsidRPr="006D15A0" w:rsidRDefault="00325005" w:rsidP="00122CDD">
            <w:pPr>
              <w:jc w:val="both"/>
              <w:rPr>
                <w:color w:val="000000"/>
                <w:sz w:val="20"/>
                <w:szCs w:val="20"/>
                <w:vertAlign w:val="superscript"/>
              </w:rPr>
            </w:pPr>
            <w:r w:rsidRPr="006D15A0">
              <w:rPr>
                <w:color w:val="000000"/>
                <w:sz w:val="20"/>
                <w:szCs w:val="20"/>
              </w:rPr>
              <w:t>Rural men (25-</w:t>
            </w:r>
            <w:proofErr w:type="gramStart"/>
            <w:r w:rsidRPr="006D15A0">
              <w:rPr>
                <w:color w:val="000000"/>
                <w:sz w:val="20"/>
                <w:szCs w:val="20"/>
              </w:rPr>
              <w:t>54)</w:t>
            </w:r>
            <w:r w:rsidRPr="006D15A0">
              <w:rPr>
                <w:color w:val="000000"/>
                <w:sz w:val="20"/>
                <w:szCs w:val="20"/>
                <w:vertAlign w:val="superscript"/>
              </w:rPr>
              <w:t>b</w:t>
            </w:r>
            <w:proofErr w:type="gramEnd"/>
          </w:p>
        </w:tc>
        <w:tc>
          <w:tcPr>
            <w:tcW w:w="2385" w:type="dxa"/>
            <w:shd w:val="clear" w:color="auto" w:fill="auto"/>
            <w:noWrap/>
            <w:vAlign w:val="bottom"/>
            <w:hideMark/>
          </w:tcPr>
          <w:p w14:paraId="17BC2336" w14:textId="77777777" w:rsidR="00325005" w:rsidRPr="006D15A0" w:rsidRDefault="00325005" w:rsidP="001D10D4">
            <w:pPr>
              <w:jc w:val="both"/>
              <w:rPr>
                <w:color w:val="000000"/>
                <w:sz w:val="20"/>
                <w:szCs w:val="20"/>
              </w:rPr>
            </w:pPr>
            <w:r w:rsidRPr="006D15A0">
              <w:rPr>
                <w:color w:val="000000"/>
                <w:sz w:val="20"/>
                <w:szCs w:val="20"/>
              </w:rPr>
              <w:t>0.21%</w:t>
            </w:r>
          </w:p>
        </w:tc>
        <w:tc>
          <w:tcPr>
            <w:tcW w:w="2970" w:type="dxa"/>
            <w:shd w:val="clear" w:color="auto" w:fill="auto"/>
            <w:noWrap/>
            <w:vAlign w:val="bottom"/>
            <w:hideMark/>
          </w:tcPr>
          <w:p w14:paraId="279F96A0" w14:textId="77777777" w:rsidR="00325005" w:rsidRPr="006D15A0" w:rsidRDefault="00325005" w:rsidP="00527179">
            <w:pPr>
              <w:jc w:val="both"/>
              <w:rPr>
                <w:color w:val="000000"/>
                <w:sz w:val="20"/>
                <w:szCs w:val="20"/>
              </w:rPr>
            </w:pPr>
            <w:r w:rsidRPr="006D15A0">
              <w:rPr>
                <w:color w:val="000000"/>
                <w:sz w:val="20"/>
                <w:szCs w:val="20"/>
              </w:rPr>
              <w:t>(0.19%, 0.24%)</w:t>
            </w:r>
          </w:p>
        </w:tc>
      </w:tr>
      <w:tr w:rsidR="00325005" w:rsidRPr="006D15A0" w14:paraId="3154A197" w14:textId="77777777" w:rsidTr="00EB2DCB">
        <w:trPr>
          <w:trHeight w:val="300"/>
        </w:trPr>
        <w:tc>
          <w:tcPr>
            <w:tcW w:w="3663" w:type="dxa"/>
            <w:shd w:val="clear" w:color="auto" w:fill="auto"/>
            <w:noWrap/>
            <w:vAlign w:val="bottom"/>
            <w:hideMark/>
          </w:tcPr>
          <w:p w14:paraId="4462BFC2" w14:textId="77777777" w:rsidR="00325005" w:rsidRPr="006D15A0" w:rsidRDefault="00325005" w:rsidP="00122CDD">
            <w:pPr>
              <w:jc w:val="both"/>
              <w:rPr>
                <w:color w:val="000000"/>
                <w:sz w:val="20"/>
                <w:szCs w:val="20"/>
              </w:rPr>
            </w:pPr>
            <w:r w:rsidRPr="006D15A0">
              <w:rPr>
                <w:color w:val="000000"/>
                <w:sz w:val="20"/>
                <w:szCs w:val="20"/>
              </w:rPr>
              <w:t>Rural men (55-64)</w:t>
            </w:r>
          </w:p>
        </w:tc>
        <w:tc>
          <w:tcPr>
            <w:tcW w:w="2385" w:type="dxa"/>
            <w:shd w:val="clear" w:color="auto" w:fill="auto"/>
            <w:noWrap/>
            <w:vAlign w:val="bottom"/>
            <w:hideMark/>
          </w:tcPr>
          <w:p w14:paraId="1B635DA1" w14:textId="77777777" w:rsidR="00325005" w:rsidRPr="006D15A0" w:rsidRDefault="00325005" w:rsidP="001D10D4">
            <w:pPr>
              <w:jc w:val="both"/>
              <w:rPr>
                <w:color w:val="000000"/>
                <w:sz w:val="20"/>
                <w:szCs w:val="20"/>
              </w:rPr>
            </w:pPr>
            <w:r w:rsidRPr="006D15A0">
              <w:rPr>
                <w:color w:val="000000"/>
                <w:sz w:val="20"/>
                <w:szCs w:val="20"/>
              </w:rPr>
              <w:t>0.36%</w:t>
            </w:r>
          </w:p>
        </w:tc>
        <w:tc>
          <w:tcPr>
            <w:tcW w:w="2970" w:type="dxa"/>
            <w:shd w:val="clear" w:color="auto" w:fill="auto"/>
            <w:noWrap/>
            <w:vAlign w:val="bottom"/>
            <w:hideMark/>
          </w:tcPr>
          <w:p w14:paraId="4E0BAF65" w14:textId="77777777" w:rsidR="00325005" w:rsidRPr="006D15A0" w:rsidRDefault="00325005" w:rsidP="00527179">
            <w:pPr>
              <w:jc w:val="both"/>
              <w:rPr>
                <w:color w:val="000000"/>
                <w:sz w:val="20"/>
                <w:szCs w:val="20"/>
              </w:rPr>
            </w:pPr>
            <w:r w:rsidRPr="006D15A0">
              <w:rPr>
                <w:color w:val="000000"/>
                <w:sz w:val="20"/>
                <w:szCs w:val="20"/>
              </w:rPr>
              <w:t>(0.30%, 0.41%)</w:t>
            </w:r>
          </w:p>
        </w:tc>
      </w:tr>
      <w:tr w:rsidR="00325005" w:rsidRPr="006D15A0" w14:paraId="1E87F4A9" w14:textId="77777777" w:rsidTr="00EB2DCB">
        <w:trPr>
          <w:trHeight w:val="300"/>
        </w:trPr>
        <w:tc>
          <w:tcPr>
            <w:tcW w:w="3663" w:type="dxa"/>
            <w:shd w:val="clear" w:color="auto" w:fill="auto"/>
            <w:noWrap/>
            <w:vAlign w:val="bottom"/>
          </w:tcPr>
          <w:p w14:paraId="16C7E6EA" w14:textId="77777777" w:rsidR="00325005" w:rsidRPr="006D15A0" w:rsidRDefault="00325005" w:rsidP="00122CDD">
            <w:pPr>
              <w:jc w:val="both"/>
              <w:rPr>
                <w:color w:val="000000"/>
                <w:sz w:val="20"/>
                <w:szCs w:val="20"/>
                <w:vertAlign w:val="superscript"/>
              </w:rPr>
            </w:pPr>
            <w:r w:rsidRPr="006D15A0">
              <w:rPr>
                <w:color w:val="000000"/>
                <w:sz w:val="20"/>
                <w:szCs w:val="20"/>
              </w:rPr>
              <w:t>High-risk urban women (15-</w:t>
            </w:r>
            <w:proofErr w:type="gramStart"/>
            <w:r w:rsidRPr="006D15A0">
              <w:rPr>
                <w:color w:val="000000"/>
                <w:sz w:val="20"/>
                <w:szCs w:val="20"/>
              </w:rPr>
              <w:t>24)</w:t>
            </w:r>
            <w:r w:rsidRPr="006D15A0">
              <w:rPr>
                <w:color w:val="000000"/>
                <w:sz w:val="20"/>
                <w:szCs w:val="20"/>
                <w:vertAlign w:val="superscript"/>
              </w:rPr>
              <w:t>c</w:t>
            </w:r>
            <w:proofErr w:type="gramEnd"/>
          </w:p>
        </w:tc>
        <w:tc>
          <w:tcPr>
            <w:tcW w:w="2385" w:type="dxa"/>
            <w:shd w:val="clear" w:color="auto" w:fill="auto"/>
            <w:noWrap/>
            <w:vAlign w:val="bottom"/>
          </w:tcPr>
          <w:p w14:paraId="0DF2564F" w14:textId="77777777" w:rsidR="00325005" w:rsidRPr="006D15A0" w:rsidRDefault="00325005" w:rsidP="001D10D4">
            <w:pPr>
              <w:jc w:val="both"/>
              <w:rPr>
                <w:color w:val="000000"/>
                <w:sz w:val="20"/>
                <w:szCs w:val="20"/>
              </w:rPr>
            </w:pPr>
            <w:r w:rsidRPr="006D15A0">
              <w:rPr>
                <w:color w:val="000000"/>
                <w:sz w:val="20"/>
                <w:szCs w:val="20"/>
              </w:rPr>
              <w:t>0.20%</w:t>
            </w:r>
          </w:p>
        </w:tc>
        <w:tc>
          <w:tcPr>
            <w:tcW w:w="2970" w:type="dxa"/>
            <w:shd w:val="clear" w:color="auto" w:fill="auto"/>
            <w:noWrap/>
            <w:vAlign w:val="bottom"/>
          </w:tcPr>
          <w:p w14:paraId="24E5CA20" w14:textId="77777777" w:rsidR="00325005" w:rsidRPr="006D15A0" w:rsidRDefault="00325005" w:rsidP="00527179">
            <w:pPr>
              <w:jc w:val="both"/>
              <w:rPr>
                <w:color w:val="000000"/>
                <w:sz w:val="20"/>
                <w:szCs w:val="20"/>
              </w:rPr>
            </w:pPr>
            <w:r w:rsidRPr="006D15A0">
              <w:rPr>
                <w:color w:val="000000"/>
                <w:sz w:val="20"/>
                <w:szCs w:val="20"/>
              </w:rPr>
              <w:t>(0.17%, 0.23%)</w:t>
            </w:r>
          </w:p>
        </w:tc>
      </w:tr>
      <w:tr w:rsidR="00325005" w:rsidRPr="006D15A0" w14:paraId="1B101E3D" w14:textId="77777777" w:rsidTr="00EB2DCB">
        <w:trPr>
          <w:trHeight w:val="300"/>
        </w:trPr>
        <w:tc>
          <w:tcPr>
            <w:tcW w:w="3663" w:type="dxa"/>
            <w:tcBorders>
              <w:bottom w:val="single" w:sz="4" w:space="0" w:color="auto"/>
            </w:tcBorders>
            <w:shd w:val="clear" w:color="auto" w:fill="auto"/>
            <w:noWrap/>
            <w:vAlign w:val="bottom"/>
          </w:tcPr>
          <w:p w14:paraId="60C1B25D" w14:textId="77777777" w:rsidR="00325005" w:rsidRPr="006D15A0" w:rsidRDefault="00325005" w:rsidP="00122CDD">
            <w:pPr>
              <w:jc w:val="both"/>
              <w:rPr>
                <w:color w:val="000000"/>
                <w:sz w:val="20"/>
                <w:szCs w:val="20"/>
                <w:vertAlign w:val="superscript"/>
              </w:rPr>
            </w:pPr>
            <w:r w:rsidRPr="006D15A0">
              <w:rPr>
                <w:color w:val="000000"/>
                <w:sz w:val="20"/>
                <w:szCs w:val="20"/>
              </w:rPr>
              <w:t>High-risk urban women (25-</w:t>
            </w:r>
            <w:proofErr w:type="gramStart"/>
            <w:r w:rsidRPr="006D15A0">
              <w:rPr>
                <w:color w:val="000000"/>
                <w:sz w:val="20"/>
                <w:szCs w:val="20"/>
              </w:rPr>
              <w:t>54)</w:t>
            </w:r>
            <w:proofErr w:type="spellStart"/>
            <w:r w:rsidRPr="006D15A0">
              <w:rPr>
                <w:color w:val="000000"/>
                <w:sz w:val="20"/>
                <w:szCs w:val="20"/>
                <w:vertAlign w:val="superscript"/>
              </w:rPr>
              <w:t>b</w:t>
            </w:r>
            <w:proofErr w:type="gramEnd"/>
            <w:r w:rsidRPr="006D15A0">
              <w:rPr>
                <w:color w:val="000000"/>
                <w:sz w:val="20"/>
                <w:szCs w:val="20"/>
                <w:vertAlign w:val="superscript"/>
              </w:rPr>
              <w:t>,c</w:t>
            </w:r>
            <w:proofErr w:type="spellEnd"/>
          </w:p>
        </w:tc>
        <w:tc>
          <w:tcPr>
            <w:tcW w:w="2385" w:type="dxa"/>
            <w:tcBorders>
              <w:bottom w:val="single" w:sz="4" w:space="0" w:color="auto"/>
            </w:tcBorders>
            <w:shd w:val="clear" w:color="auto" w:fill="auto"/>
            <w:noWrap/>
            <w:vAlign w:val="bottom"/>
          </w:tcPr>
          <w:p w14:paraId="01E471C1" w14:textId="77777777" w:rsidR="00325005" w:rsidRPr="006D15A0" w:rsidRDefault="00325005" w:rsidP="001D10D4">
            <w:pPr>
              <w:jc w:val="both"/>
              <w:rPr>
                <w:color w:val="000000"/>
                <w:sz w:val="20"/>
                <w:szCs w:val="20"/>
              </w:rPr>
            </w:pPr>
            <w:r w:rsidRPr="006D15A0">
              <w:rPr>
                <w:color w:val="000000"/>
                <w:sz w:val="20"/>
                <w:szCs w:val="20"/>
              </w:rPr>
              <w:t>0.33%</w:t>
            </w:r>
          </w:p>
        </w:tc>
        <w:tc>
          <w:tcPr>
            <w:tcW w:w="2970" w:type="dxa"/>
            <w:tcBorders>
              <w:bottom w:val="single" w:sz="4" w:space="0" w:color="auto"/>
            </w:tcBorders>
            <w:shd w:val="clear" w:color="auto" w:fill="auto"/>
            <w:noWrap/>
            <w:vAlign w:val="bottom"/>
          </w:tcPr>
          <w:p w14:paraId="33ECB608" w14:textId="77777777" w:rsidR="00325005" w:rsidRPr="006D15A0" w:rsidRDefault="00325005" w:rsidP="00527179">
            <w:pPr>
              <w:jc w:val="both"/>
              <w:rPr>
                <w:color w:val="000000"/>
                <w:sz w:val="20"/>
                <w:szCs w:val="20"/>
              </w:rPr>
            </w:pPr>
            <w:r w:rsidRPr="006D15A0">
              <w:rPr>
                <w:color w:val="000000"/>
                <w:sz w:val="20"/>
                <w:szCs w:val="20"/>
              </w:rPr>
              <w:t>(0.32%, 0.34%)</w:t>
            </w:r>
          </w:p>
        </w:tc>
      </w:tr>
      <w:tr w:rsidR="00325005" w:rsidRPr="006D15A0" w14:paraId="7AB1BD41" w14:textId="77777777" w:rsidTr="00EB2DCB">
        <w:trPr>
          <w:trHeight w:val="300"/>
        </w:trPr>
        <w:tc>
          <w:tcPr>
            <w:tcW w:w="3663" w:type="dxa"/>
            <w:tcBorders>
              <w:bottom w:val="single" w:sz="4" w:space="0" w:color="auto"/>
            </w:tcBorders>
            <w:shd w:val="clear" w:color="auto" w:fill="auto"/>
            <w:noWrap/>
            <w:vAlign w:val="bottom"/>
          </w:tcPr>
          <w:p w14:paraId="5464BFA8" w14:textId="77777777" w:rsidR="00325005" w:rsidRPr="006D15A0" w:rsidRDefault="00325005" w:rsidP="00122CDD">
            <w:pPr>
              <w:jc w:val="both"/>
              <w:rPr>
                <w:color w:val="000000"/>
                <w:sz w:val="20"/>
                <w:szCs w:val="20"/>
                <w:vertAlign w:val="superscript"/>
              </w:rPr>
            </w:pPr>
            <w:r w:rsidRPr="006D15A0">
              <w:rPr>
                <w:color w:val="000000"/>
                <w:sz w:val="20"/>
                <w:szCs w:val="20"/>
              </w:rPr>
              <w:t>High-risk urban women (55-</w:t>
            </w:r>
            <w:proofErr w:type="gramStart"/>
            <w:r w:rsidRPr="006D15A0">
              <w:rPr>
                <w:color w:val="000000"/>
                <w:sz w:val="20"/>
                <w:szCs w:val="20"/>
              </w:rPr>
              <w:t>64)</w:t>
            </w:r>
            <w:r w:rsidRPr="006D15A0">
              <w:rPr>
                <w:color w:val="000000"/>
                <w:sz w:val="20"/>
                <w:szCs w:val="20"/>
                <w:vertAlign w:val="superscript"/>
              </w:rPr>
              <w:t>c</w:t>
            </w:r>
            <w:proofErr w:type="gramEnd"/>
          </w:p>
        </w:tc>
        <w:tc>
          <w:tcPr>
            <w:tcW w:w="2385" w:type="dxa"/>
            <w:tcBorders>
              <w:bottom w:val="single" w:sz="4" w:space="0" w:color="auto"/>
            </w:tcBorders>
            <w:shd w:val="clear" w:color="auto" w:fill="auto"/>
            <w:noWrap/>
            <w:vAlign w:val="bottom"/>
          </w:tcPr>
          <w:p w14:paraId="38198465" w14:textId="77777777" w:rsidR="00325005" w:rsidRPr="006D15A0" w:rsidRDefault="00325005" w:rsidP="001D10D4">
            <w:pPr>
              <w:jc w:val="both"/>
              <w:rPr>
                <w:color w:val="000000"/>
                <w:sz w:val="20"/>
                <w:szCs w:val="20"/>
              </w:rPr>
            </w:pPr>
            <w:r w:rsidRPr="006D15A0">
              <w:rPr>
                <w:color w:val="000000"/>
                <w:sz w:val="20"/>
                <w:szCs w:val="20"/>
              </w:rPr>
              <w:t>0.45%</w:t>
            </w:r>
          </w:p>
        </w:tc>
        <w:tc>
          <w:tcPr>
            <w:tcW w:w="2970" w:type="dxa"/>
            <w:tcBorders>
              <w:bottom w:val="single" w:sz="4" w:space="0" w:color="auto"/>
            </w:tcBorders>
            <w:shd w:val="clear" w:color="auto" w:fill="auto"/>
            <w:noWrap/>
            <w:vAlign w:val="bottom"/>
          </w:tcPr>
          <w:p w14:paraId="45F8F3E7" w14:textId="77777777" w:rsidR="00325005" w:rsidRPr="006D15A0" w:rsidRDefault="00325005" w:rsidP="00527179">
            <w:pPr>
              <w:jc w:val="both"/>
              <w:rPr>
                <w:color w:val="000000"/>
                <w:sz w:val="20"/>
                <w:szCs w:val="20"/>
              </w:rPr>
            </w:pPr>
            <w:r w:rsidRPr="006D15A0">
              <w:rPr>
                <w:color w:val="000000"/>
                <w:sz w:val="20"/>
                <w:szCs w:val="20"/>
              </w:rPr>
              <w:t>(0.40%, 0.50%)</w:t>
            </w:r>
          </w:p>
        </w:tc>
      </w:tr>
      <w:tr w:rsidR="00325005" w:rsidRPr="006D15A0" w14:paraId="44776CE2" w14:textId="77777777" w:rsidTr="006D15A0">
        <w:trPr>
          <w:trHeight w:val="144"/>
        </w:trPr>
        <w:tc>
          <w:tcPr>
            <w:tcW w:w="9018" w:type="dxa"/>
            <w:gridSpan w:val="3"/>
            <w:tcBorders>
              <w:top w:val="single" w:sz="4" w:space="0" w:color="auto"/>
              <w:left w:val="nil"/>
              <w:bottom w:val="nil"/>
              <w:right w:val="nil"/>
            </w:tcBorders>
            <w:shd w:val="clear" w:color="auto" w:fill="auto"/>
            <w:noWrap/>
            <w:vAlign w:val="bottom"/>
          </w:tcPr>
          <w:p w14:paraId="0FB66CBD" w14:textId="25B9CA77" w:rsidR="00325005" w:rsidRPr="006D15A0" w:rsidRDefault="00325005" w:rsidP="002E50FA">
            <w:pPr>
              <w:pStyle w:val="BodyText"/>
              <w:numPr>
                <w:ilvl w:val="0"/>
                <w:numId w:val="6"/>
              </w:numPr>
              <w:spacing w:before="0" w:after="0"/>
              <w:jc w:val="both"/>
              <w:rPr>
                <w:bCs/>
                <w:sz w:val="20"/>
                <w:szCs w:val="20"/>
              </w:rPr>
            </w:pPr>
            <w:r w:rsidRPr="006D15A0">
              <w:rPr>
                <w:bCs/>
                <w:sz w:val="20"/>
                <w:szCs w:val="20"/>
              </w:rPr>
              <w:t xml:space="preserve">The </w:t>
            </w:r>
            <w:r w:rsidR="00760016">
              <w:rPr>
                <w:bCs/>
                <w:sz w:val="20"/>
                <w:szCs w:val="20"/>
              </w:rPr>
              <w:t>monthly growth rate is estimated based on the World Bank population estimat</w:t>
            </w:r>
            <w:r w:rsidR="0088176D">
              <w:rPr>
                <w:bCs/>
                <w:sz w:val="20"/>
                <w:szCs w:val="20"/>
              </w:rPr>
              <w:t>es</w:t>
            </w:r>
            <w:r w:rsidR="00760016">
              <w:rPr>
                <w:bCs/>
                <w:sz w:val="20"/>
                <w:szCs w:val="20"/>
              </w:rPr>
              <w:t xml:space="preserve"> and projection.</w:t>
            </w:r>
            <w:r w:rsidR="00760016">
              <w:rPr>
                <w:bCs/>
                <w:sz w:val="20"/>
                <w:szCs w:val="20"/>
              </w:rPr>
              <w:fldChar w:fldCharType="begin" w:fldLock="1"/>
            </w:r>
            <w:r w:rsidR="007527CC">
              <w:rPr>
                <w:bCs/>
                <w:sz w:val="20"/>
                <w:szCs w:val="20"/>
              </w:rPr>
              <w:instrText>ADDIN CSL_CITATION {"citationItems":[{"id":"ITEM-1","itemData":{"URL":"https://datacatalog.worldbank.org/dataset/population-estimates-and-projections.","accessed":{"date-parts":[["2020","6","8"]]},"author":[{"dropping-particle":"","family":"World Bank","given":"","non-dropping-particle":"","parse-names":false,"suffix":""}],"id":"ITEM-1","issued":{"date-parts":[["2020"]]},"title":"Population Estimates And Projections","type":"webpage"},"uris":["http://www.mendeley.com/documents/?uuid=6e39321f-03bd-4307-b12b-eb56fdafa411"]}],"mendeley":{"formattedCitation":"&lt;sup&gt;48&lt;/sup&gt;","plainTextFormattedCitation":"48","previouslyFormattedCitation":"&lt;sup&gt;48&lt;/sup&gt;"},"properties":{"noteIndex":0},"schema":"https://github.com/citation-style-language/schema/raw/master/csl-citation.json"}</w:instrText>
            </w:r>
            <w:r w:rsidR="00760016">
              <w:rPr>
                <w:bCs/>
                <w:sz w:val="20"/>
                <w:szCs w:val="20"/>
              </w:rPr>
              <w:fldChar w:fldCharType="separate"/>
            </w:r>
            <w:r w:rsidR="00036C3E" w:rsidRPr="00036C3E">
              <w:rPr>
                <w:bCs/>
                <w:noProof/>
                <w:sz w:val="20"/>
                <w:szCs w:val="20"/>
                <w:vertAlign w:val="superscript"/>
              </w:rPr>
              <w:t>48</w:t>
            </w:r>
            <w:r w:rsidR="00760016">
              <w:rPr>
                <w:bCs/>
                <w:sz w:val="20"/>
                <w:szCs w:val="20"/>
              </w:rPr>
              <w:fldChar w:fldCharType="end"/>
            </w:r>
            <w:r w:rsidR="00760016">
              <w:rPr>
                <w:bCs/>
                <w:sz w:val="20"/>
                <w:szCs w:val="20"/>
              </w:rPr>
              <w:t xml:space="preserve"> The </w:t>
            </w:r>
            <w:r w:rsidRPr="006D15A0">
              <w:rPr>
                <w:bCs/>
                <w:sz w:val="20"/>
                <w:szCs w:val="20"/>
              </w:rPr>
              <w:t xml:space="preserve">monthly population growth rate is an average </w:t>
            </w:r>
            <w:r w:rsidR="00760016">
              <w:rPr>
                <w:bCs/>
                <w:sz w:val="20"/>
                <w:szCs w:val="20"/>
              </w:rPr>
              <w:t xml:space="preserve">of the </w:t>
            </w:r>
            <w:r w:rsidRPr="006D15A0">
              <w:rPr>
                <w:bCs/>
                <w:sz w:val="20"/>
                <w:szCs w:val="20"/>
              </w:rPr>
              <w:t>monthly growth</w:t>
            </w:r>
            <w:r w:rsidR="00760016">
              <w:rPr>
                <w:bCs/>
                <w:sz w:val="20"/>
                <w:szCs w:val="20"/>
              </w:rPr>
              <w:t xml:space="preserve"> rate</w:t>
            </w:r>
            <w:r w:rsidRPr="006D15A0">
              <w:rPr>
                <w:bCs/>
                <w:sz w:val="20"/>
                <w:szCs w:val="20"/>
              </w:rPr>
              <w:t xml:space="preserve"> between 2003 and 2045.</w:t>
            </w:r>
          </w:p>
          <w:p w14:paraId="64764787" w14:textId="4C69B885" w:rsidR="00325005" w:rsidRPr="006D15A0" w:rsidRDefault="00325005" w:rsidP="002E50FA">
            <w:pPr>
              <w:pStyle w:val="BodyText"/>
              <w:numPr>
                <w:ilvl w:val="0"/>
                <w:numId w:val="6"/>
              </w:numPr>
              <w:spacing w:before="0" w:after="0"/>
              <w:jc w:val="both"/>
              <w:rPr>
                <w:bCs/>
                <w:sz w:val="20"/>
                <w:szCs w:val="20"/>
              </w:rPr>
            </w:pPr>
            <w:r w:rsidRPr="006D15A0">
              <w:rPr>
                <w:bCs/>
                <w:sz w:val="20"/>
                <w:szCs w:val="20"/>
              </w:rPr>
              <w:t xml:space="preserve">We adopt the same population growth rate for individuals aged 25-34, 35-44, and 45-54 </w:t>
            </w:r>
            <w:r w:rsidR="00DA6873">
              <w:rPr>
                <w:bCs/>
                <w:sz w:val="20"/>
                <w:szCs w:val="20"/>
              </w:rPr>
              <w:t xml:space="preserve">years </w:t>
            </w:r>
            <w:r w:rsidRPr="006D15A0">
              <w:rPr>
                <w:bCs/>
                <w:sz w:val="20"/>
                <w:szCs w:val="20"/>
              </w:rPr>
              <w:t xml:space="preserve">because previous analysis showed that the growth rate within the three age groups </w:t>
            </w:r>
            <w:r w:rsidR="00DA6873" w:rsidRPr="006D15A0">
              <w:rPr>
                <w:bCs/>
                <w:sz w:val="20"/>
                <w:szCs w:val="20"/>
              </w:rPr>
              <w:t>d</w:t>
            </w:r>
            <w:r w:rsidR="00DA6873">
              <w:rPr>
                <w:bCs/>
                <w:sz w:val="20"/>
                <w:szCs w:val="20"/>
              </w:rPr>
              <w:t>id</w:t>
            </w:r>
            <w:r w:rsidR="00DA6873" w:rsidRPr="006D15A0">
              <w:rPr>
                <w:bCs/>
                <w:sz w:val="20"/>
                <w:szCs w:val="20"/>
              </w:rPr>
              <w:t xml:space="preserve"> </w:t>
            </w:r>
            <w:r w:rsidRPr="006D15A0">
              <w:rPr>
                <w:bCs/>
                <w:sz w:val="20"/>
                <w:szCs w:val="20"/>
              </w:rPr>
              <w:t xml:space="preserve">not differ significantly. </w:t>
            </w:r>
          </w:p>
          <w:p w14:paraId="73C37105" w14:textId="77777777" w:rsidR="00325005" w:rsidRPr="006D15A0" w:rsidRDefault="00325005" w:rsidP="002E50FA">
            <w:pPr>
              <w:pStyle w:val="BodyText"/>
              <w:numPr>
                <w:ilvl w:val="0"/>
                <w:numId w:val="6"/>
              </w:numPr>
              <w:spacing w:before="0" w:after="0"/>
              <w:jc w:val="both"/>
              <w:rPr>
                <w:bCs/>
                <w:sz w:val="20"/>
                <w:szCs w:val="20"/>
              </w:rPr>
            </w:pPr>
            <w:r w:rsidRPr="006D15A0">
              <w:rPr>
                <w:bCs/>
                <w:sz w:val="20"/>
                <w:szCs w:val="20"/>
              </w:rPr>
              <w:t>We assume that the population growth rate in high-risk urban women is the same as low-risk urban women.</w:t>
            </w:r>
          </w:p>
          <w:p w14:paraId="106D197C" w14:textId="78D08D23" w:rsidR="00276DE8" w:rsidRPr="006D15A0" w:rsidRDefault="00276DE8" w:rsidP="00DA6873">
            <w:pPr>
              <w:pStyle w:val="BodyText"/>
              <w:spacing w:before="0" w:after="0"/>
              <w:ind w:left="360"/>
              <w:jc w:val="both"/>
              <w:rPr>
                <w:bCs/>
                <w:sz w:val="20"/>
                <w:szCs w:val="20"/>
              </w:rPr>
            </w:pPr>
          </w:p>
        </w:tc>
      </w:tr>
    </w:tbl>
    <w:p w14:paraId="4B6DA27C" w14:textId="77777777" w:rsidR="00276DE8" w:rsidRDefault="00276DE8" w:rsidP="00122CDD">
      <w:pPr>
        <w:jc w:val="both"/>
        <w:rPr>
          <w:bCs/>
          <w:sz w:val="22"/>
        </w:rPr>
        <w:sectPr w:rsidR="00276DE8" w:rsidSect="00E14262">
          <w:headerReference w:type="even" r:id="rId40"/>
          <w:headerReference w:type="default" r:id="rId41"/>
          <w:headerReference w:type="first" r:id="rId42"/>
          <w:pgSz w:w="12240" w:h="15840"/>
          <w:pgMar w:top="1440" w:right="1440" w:bottom="1440" w:left="1440" w:header="720" w:footer="720" w:gutter="0"/>
          <w:cols w:space="720"/>
          <w:docGrid w:linePitch="326"/>
        </w:sectPr>
      </w:pPr>
    </w:p>
    <w:p w14:paraId="11559924" w14:textId="192A821D" w:rsidR="008C4226" w:rsidRPr="00615E45" w:rsidRDefault="00977B91" w:rsidP="00122CDD">
      <w:pPr>
        <w:pStyle w:val="Heading2"/>
        <w:spacing w:before="0"/>
        <w:rPr>
          <w:rFonts w:cs="Times New Roman"/>
          <w:szCs w:val="24"/>
        </w:rPr>
      </w:pPr>
      <w:bookmarkStart w:id="159" w:name="_Toc82592658"/>
      <w:r w:rsidRPr="00615E45">
        <w:rPr>
          <w:rFonts w:cs="Times New Roman"/>
          <w:szCs w:val="24"/>
        </w:rPr>
        <w:lastRenderedPageBreak/>
        <w:t>HIV diagnosis</w:t>
      </w:r>
      <w:bookmarkEnd w:id="159"/>
      <w:r w:rsidRPr="00615E45">
        <w:rPr>
          <w:rFonts w:cs="Times New Roman"/>
          <w:szCs w:val="24"/>
        </w:rPr>
        <w:t xml:space="preserve"> </w:t>
      </w:r>
    </w:p>
    <w:p w14:paraId="05819FF1" w14:textId="77777777" w:rsidR="00587989" w:rsidRPr="00587989" w:rsidRDefault="00587989" w:rsidP="001D10D4">
      <w:pPr>
        <w:jc w:val="both"/>
      </w:pPr>
    </w:p>
    <w:p w14:paraId="3B9BB03F" w14:textId="4BEAED48" w:rsidR="00675361" w:rsidRDefault="00587989" w:rsidP="00527179">
      <w:pPr>
        <w:jc w:val="both"/>
        <w:rPr>
          <w:b/>
          <w:bCs/>
          <w:i/>
        </w:rPr>
      </w:pPr>
      <w:r w:rsidRPr="00F2084E">
        <w:rPr>
          <w:b/>
          <w:bCs/>
          <w:i/>
        </w:rPr>
        <w:t>Data sources</w:t>
      </w:r>
      <w:r w:rsidR="0050135C">
        <w:rPr>
          <w:b/>
          <w:bCs/>
          <w:i/>
        </w:rPr>
        <w:t>:</w:t>
      </w:r>
      <w:r w:rsidR="00002999">
        <w:rPr>
          <w:b/>
          <w:bCs/>
          <w:i/>
        </w:rPr>
        <w:t xml:space="preserve"> </w:t>
      </w:r>
    </w:p>
    <w:p w14:paraId="282D43FC" w14:textId="55742FFB" w:rsidR="00675361" w:rsidRDefault="00675361" w:rsidP="002E50FA">
      <w:pPr>
        <w:pStyle w:val="ListParagraph"/>
        <w:numPr>
          <w:ilvl w:val="0"/>
          <w:numId w:val="24"/>
        </w:numPr>
        <w:jc w:val="both"/>
      </w:pPr>
      <w:r w:rsidRPr="00675361">
        <w:rPr>
          <w:bCs/>
        </w:rPr>
        <w:t>For low-risk population, w</w:t>
      </w:r>
      <w:r w:rsidR="00002999" w:rsidRPr="00675361">
        <w:rPr>
          <w:bCs/>
        </w:rPr>
        <w:t xml:space="preserve">e used </w:t>
      </w:r>
      <w:r w:rsidR="00587989" w:rsidRPr="00183A10">
        <w:t>Demographic and Health Surveys</w:t>
      </w:r>
      <w:r w:rsidR="00587989">
        <w:t xml:space="preserve"> (DHS)</w:t>
      </w:r>
      <w:r w:rsidR="00587989" w:rsidRPr="00183A10">
        <w:t xml:space="preserve"> for Rwanda in 2005</w:t>
      </w:r>
      <w:r w:rsidR="00587989" w:rsidRPr="00183A10">
        <w:fldChar w:fldCharType="begin" w:fldLock="1"/>
      </w:r>
      <w:r w:rsidR="007527CC">
        <w:instrText>ADDIN CSL_CITATION {"citationItems":[{"id":"ITEM-1","itemData":{"ISBN":"9789820003330","abstract":"This report presents the findings of the 2005 Rwanda Demographic and Health Survey (RDHS-III), carried out from February to July 2005 by the Direction de la Statistique (renamed Institut National de la Statistique du Rwanda in September 2005). Funding for the RDHS-III was provided by USAID, the Commission Nationale de Lutte contre le SIDA (CNLS) through the World Bank's Multi-County AIDS Program (MAP), Unicef, UNFPA, DFID and GTZ. Assistance was also provided by other national organizations, such as the Treatment and Research AIDS Center (TRAC), the Laboratoire National de Référence and the Service National de Recensement (SNR). Technical assistance was provided by ORC Macro as part of the Demographic and Health Surveys project (MEASURE DHS). The objective of the MEASURE DHS project is to collect, analyze and disseminate demographic data, especially those related to fertility, family planning, maternal and child health, and HIV/AIDS. The opinions expressed herein are those of the authors and do not necessarily reflect the views of USAID or other cooperating organizations.","author":[{"dropping-particle":"","family":"Institut National de la Statistique du Rwanda (INSR) and ORC Macro","given":"","non-dropping-particle":"","parse-names":false,"suffix":""}],"id":"ITEM-1","issued":{"date-parts":[["2007"]]},"title":"Rwanda Demographic and Health Survey 2007-2008","type":"report"},"uris":["http://www.mendeley.com/documents/?uuid=44bcc3f7-9289-4efb-9dc4-ee7e2be1c0eb"]}],"mendeley":{"formattedCitation":"&lt;sup&gt;52&lt;/sup&gt;","plainTextFormattedCitation":"52","previouslyFormattedCitation":"&lt;sup&gt;52&lt;/sup&gt;"},"properties":{"noteIndex":0},"schema":"https://github.com/citation-style-language/schema/raw/master/csl-citation.json"}</w:instrText>
      </w:r>
      <w:r w:rsidR="00587989" w:rsidRPr="00183A10">
        <w:fldChar w:fldCharType="separate"/>
      </w:r>
      <w:r w:rsidR="00036C3E" w:rsidRPr="00036C3E">
        <w:rPr>
          <w:noProof/>
          <w:vertAlign w:val="superscript"/>
        </w:rPr>
        <w:t>52</w:t>
      </w:r>
      <w:r w:rsidR="00587989" w:rsidRPr="00183A10">
        <w:fldChar w:fldCharType="end"/>
      </w:r>
      <w:r w:rsidR="00587989" w:rsidRPr="00183A10">
        <w:t>, 2010</w:t>
      </w:r>
      <w:r w:rsidR="00587989" w:rsidRPr="00183A10">
        <w:fldChar w:fldCharType="begin" w:fldLock="1"/>
      </w:r>
      <w:r w:rsidR="007527CC">
        <w:instrText>ADDIN CSL_CITATION {"citationItems":[{"id":"ITEM-1","itemData":{"DOI":"10.1017/S0266673100000246","ISSN":"0266-6731","PMID":"21825043","author":[{"dropping-particle":"","family":"National Institute of Statistics of Rwanda","given":"","non-dropping-particle":"","parse-names":false,"suffix":""}],"container-title":"Rwanda Mininstry of Health","id":"ITEM-1","issued":{"date-parts":[["2010"]]},"number-of-pages":"107-110","title":"Demographic and Health Survey report 2010","type":"report","volume":"2003"},"uris":["http://www.mendeley.com/documents/?uuid=58559d52-29dd-4d4e-abdf-fe4404b8ef71","http://www.mendeley.com/documents/?uuid=195b1d64-c29d-4fe4-8982-a9d9805491db"]}],"mendeley":{"formattedCitation":"&lt;sup&gt;20&lt;/sup&gt;","plainTextFormattedCitation":"20","previouslyFormattedCitation":"&lt;sup&gt;21&lt;/sup&gt;"},"properties":{"noteIndex":0},"schema":"https://github.com/citation-style-language/schema/raw/master/csl-citation.json"}</w:instrText>
      </w:r>
      <w:r w:rsidR="00587989" w:rsidRPr="00183A10">
        <w:fldChar w:fldCharType="separate"/>
      </w:r>
      <w:r w:rsidR="007527CC" w:rsidRPr="007527CC">
        <w:rPr>
          <w:noProof/>
          <w:vertAlign w:val="superscript"/>
        </w:rPr>
        <w:t>20</w:t>
      </w:r>
      <w:r w:rsidR="00587989" w:rsidRPr="00183A10">
        <w:fldChar w:fldCharType="end"/>
      </w:r>
      <w:r w:rsidR="00587989" w:rsidRPr="00183A10">
        <w:t xml:space="preserve"> and 2015</w:t>
      </w:r>
      <w:r w:rsidR="00587989" w:rsidRPr="00183A10">
        <w:fldChar w:fldCharType="begin" w:fldLock="1"/>
      </w:r>
      <w:r w:rsidR="007527CC">
        <w:instrText>ADDIN CSL_CITATION {"citationItems":[{"id":"ITEM-1","itemData":{"DOI":"March, 2016","ISBN":"9789997743091","author":[{"dropping-particle":"","family":"National Institute of Statistics of Rwanda (NISR) [Rwanda] Ministry of Health (MOH) [Rwanda] and ICF International.","given":"","non-dropping-particle":"","parse-names":false,"suffix":""}],"container-title":"Rwanda Mininstry of Health","id":"ITEM-1","issued":{"date-parts":[["2015"]]},"number-of-pages":"640","publisher-place":"Rockville, Maryland, USA: NISR, MOH, and ICF International.","title":"Rwanda Demographic and Health Survey 2014-15","type":"report"},"uris":["http://www.mendeley.com/documents/?uuid=1cd2afa0-8858-4818-a7e0-ec39e8a650ac","http://www.mendeley.com/documents/?uuid=92979b8f-5a59-4ac9-a743-4a0cdca47a78"]}],"mendeley":{"formattedCitation":"&lt;sup&gt;18&lt;/sup&gt;","plainTextFormattedCitation":"18","previouslyFormattedCitation":"&lt;sup&gt;19&lt;/sup&gt;"},"properties":{"noteIndex":0},"schema":"https://github.com/citation-style-language/schema/raw/master/csl-citation.json"}</w:instrText>
      </w:r>
      <w:r w:rsidR="00587989" w:rsidRPr="00183A10">
        <w:fldChar w:fldCharType="separate"/>
      </w:r>
      <w:r w:rsidR="007527CC" w:rsidRPr="007527CC">
        <w:rPr>
          <w:noProof/>
          <w:vertAlign w:val="superscript"/>
        </w:rPr>
        <w:t>18</w:t>
      </w:r>
      <w:r w:rsidR="00587989" w:rsidRPr="00183A10">
        <w:fldChar w:fldCharType="end"/>
      </w:r>
      <w:r w:rsidR="00276DE8">
        <w:t>, a national household survey,</w:t>
      </w:r>
      <w:r w:rsidR="00587989" w:rsidRPr="00183A10">
        <w:t xml:space="preserve"> </w:t>
      </w:r>
      <w:r w:rsidR="00002999">
        <w:t xml:space="preserve">to estimate the </w:t>
      </w:r>
      <w:r w:rsidR="00587989" w:rsidRPr="00183A10">
        <w:t xml:space="preserve">probability of </w:t>
      </w:r>
      <w:r w:rsidR="00002999">
        <w:t xml:space="preserve">HIV diagnosis </w:t>
      </w:r>
      <w:r w:rsidR="00587989" w:rsidRPr="00183A10">
        <w:t xml:space="preserve">for </w:t>
      </w:r>
      <w:r w:rsidR="00002999" w:rsidRPr="00183A10">
        <w:t>low</w:t>
      </w:r>
      <w:r w:rsidR="00002999">
        <w:t>-</w:t>
      </w:r>
      <w:r w:rsidR="00587989" w:rsidRPr="00183A10">
        <w:t>risk women and men in both urban and rural areas.</w:t>
      </w:r>
      <w:r w:rsidR="00002999">
        <w:t xml:space="preserve"> </w:t>
      </w:r>
      <w:r w:rsidRPr="00675361">
        <w:rPr>
          <w:bCs/>
        </w:rPr>
        <w:t xml:space="preserve">In the DHS, respondents </w:t>
      </w:r>
      <w:r>
        <w:t xml:space="preserve">were asked if they had previously received an HIV test and if so, the timing of the tests. They were also asked whether they received the result of their last HIV test. A random sub-sample of these respondents also received an HIV test, regardless of prior test history. Our estimates were based on </w:t>
      </w:r>
      <w:r w:rsidRPr="00675361">
        <w:rPr>
          <w:bCs/>
        </w:rPr>
        <w:t>the following</w:t>
      </w:r>
      <w:r>
        <w:t xml:space="preserve"> DHS questions:</w:t>
      </w:r>
    </w:p>
    <w:p w14:paraId="6B95F44F" w14:textId="77777777" w:rsidR="00675361" w:rsidRDefault="00675361" w:rsidP="002E50FA">
      <w:pPr>
        <w:pStyle w:val="BodyText"/>
        <w:numPr>
          <w:ilvl w:val="0"/>
          <w:numId w:val="22"/>
        </w:numPr>
        <w:spacing w:before="0" w:after="0"/>
        <w:jc w:val="both"/>
        <w:rPr>
          <w:bCs/>
        </w:rPr>
      </w:pPr>
      <w:r>
        <w:rPr>
          <w:bCs/>
        </w:rPr>
        <w:t>In 2005. I</w:t>
      </w:r>
      <w:r>
        <w:rPr>
          <w:rFonts w:hint="eastAsia"/>
          <w:bCs/>
        </w:rPr>
        <w:t>ndividual</w:t>
      </w:r>
      <w:r>
        <w:rPr>
          <w:bCs/>
        </w:rPr>
        <w:t xml:space="preserve">’s questionnaire No.715, No. 716, No.718. </w:t>
      </w:r>
    </w:p>
    <w:p w14:paraId="72CA6BC3" w14:textId="77777777" w:rsidR="00675361" w:rsidRDefault="00675361" w:rsidP="002E50FA">
      <w:pPr>
        <w:pStyle w:val="BodyText"/>
        <w:numPr>
          <w:ilvl w:val="1"/>
          <w:numId w:val="22"/>
        </w:numPr>
        <w:spacing w:before="0" w:after="0"/>
        <w:jc w:val="both"/>
        <w:rPr>
          <w:bCs/>
        </w:rPr>
      </w:pPr>
      <w:r>
        <w:rPr>
          <w:bCs/>
        </w:rPr>
        <w:t>I don’t want to know the results, but have you ever been tested to see if you have the AIDS virus</w:t>
      </w:r>
    </w:p>
    <w:p w14:paraId="5A951BCA" w14:textId="77777777" w:rsidR="00675361" w:rsidRDefault="00675361" w:rsidP="002E50FA">
      <w:pPr>
        <w:pStyle w:val="BodyText"/>
        <w:numPr>
          <w:ilvl w:val="1"/>
          <w:numId w:val="22"/>
        </w:numPr>
        <w:spacing w:before="0" w:after="0"/>
        <w:jc w:val="both"/>
        <w:rPr>
          <w:bCs/>
        </w:rPr>
      </w:pPr>
      <w:r>
        <w:rPr>
          <w:bCs/>
        </w:rPr>
        <w:t>When was the last time you were tested? (LESS THAN 12 MONTHS/12-23 MONTHS/2 YEARS OR MORE)</w:t>
      </w:r>
    </w:p>
    <w:p w14:paraId="2557E947" w14:textId="77777777" w:rsidR="00675361" w:rsidRPr="00710211" w:rsidRDefault="00675361" w:rsidP="002E50FA">
      <w:pPr>
        <w:pStyle w:val="BodyText"/>
        <w:numPr>
          <w:ilvl w:val="1"/>
          <w:numId w:val="22"/>
        </w:numPr>
        <w:spacing w:before="0" w:after="0"/>
        <w:jc w:val="both"/>
        <w:rPr>
          <w:bCs/>
        </w:rPr>
      </w:pPr>
      <w:r w:rsidRPr="00710211">
        <w:rPr>
          <w:bCs/>
        </w:rPr>
        <w:t>I don’t want to know the results, but did you get the results of the test? (YES/NO)</w:t>
      </w:r>
    </w:p>
    <w:p w14:paraId="389D1AEA" w14:textId="77777777" w:rsidR="00675361" w:rsidRDefault="00675361" w:rsidP="002E50FA">
      <w:pPr>
        <w:pStyle w:val="BodyText"/>
        <w:numPr>
          <w:ilvl w:val="0"/>
          <w:numId w:val="22"/>
        </w:numPr>
        <w:spacing w:before="0" w:after="0"/>
        <w:jc w:val="both"/>
        <w:rPr>
          <w:bCs/>
        </w:rPr>
      </w:pPr>
      <w:r>
        <w:rPr>
          <w:bCs/>
        </w:rPr>
        <w:t xml:space="preserve">In 2010 and 2015. Women’s questionnaire No.926, No. 927, No.928; men’s questionnaire No.712, No. 713, No. 714. </w:t>
      </w:r>
    </w:p>
    <w:p w14:paraId="7E1E5FD7" w14:textId="77777777" w:rsidR="00675361" w:rsidRDefault="00675361" w:rsidP="002E50FA">
      <w:pPr>
        <w:pStyle w:val="BodyText"/>
        <w:numPr>
          <w:ilvl w:val="1"/>
          <w:numId w:val="22"/>
        </w:numPr>
        <w:spacing w:before="0" w:after="0"/>
        <w:jc w:val="both"/>
        <w:rPr>
          <w:bCs/>
        </w:rPr>
      </w:pPr>
      <w:r>
        <w:rPr>
          <w:bCs/>
        </w:rPr>
        <w:t>I don’t want to know the results, but have you ever been tested to see if you have the AIDS virus? (YES/NO)</w:t>
      </w:r>
    </w:p>
    <w:p w14:paraId="6E4FBD54" w14:textId="77777777" w:rsidR="00675361" w:rsidRDefault="00675361" w:rsidP="002E50FA">
      <w:pPr>
        <w:pStyle w:val="BodyText"/>
        <w:numPr>
          <w:ilvl w:val="1"/>
          <w:numId w:val="22"/>
        </w:numPr>
        <w:spacing w:before="0" w:after="0"/>
        <w:jc w:val="both"/>
        <w:rPr>
          <w:bCs/>
        </w:rPr>
      </w:pPr>
      <w:r w:rsidRPr="00710211">
        <w:rPr>
          <w:bCs/>
        </w:rPr>
        <w:t xml:space="preserve">How many months ago was your most recent HIV test? (__MONTHS AGO/TWO OR MORE </w:t>
      </w:r>
      <w:proofErr w:type="gramStart"/>
      <w:r w:rsidRPr="00710211">
        <w:rPr>
          <w:bCs/>
        </w:rPr>
        <w:t>YEARS)</w:t>
      </w:r>
      <w:r>
        <w:rPr>
          <w:bCs/>
        </w:rPr>
        <w:t>\</w:t>
      </w:r>
      <w:proofErr w:type="gramEnd"/>
    </w:p>
    <w:p w14:paraId="50B64ABA" w14:textId="69C5DD18" w:rsidR="00675361" w:rsidRPr="00675361" w:rsidRDefault="00675361" w:rsidP="002E50FA">
      <w:pPr>
        <w:pStyle w:val="BodyText"/>
        <w:numPr>
          <w:ilvl w:val="1"/>
          <w:numId w:val="22"/>
        </w:numPr>
        <w:spacing w:before="0" w:after="0"/>
        <w:jc w:val="both"/>
        <w:rPr>
          <w:bCs/>
        </w:rPr>
      </w:pPr>
      <w:r w:rsidRPr="00710211">
        <w:rPr>
          <w:bCs/>
        </w:rPr>
        <w:t>I don’t want to know the results, but did you get the results of the test? (YES/NO)</w:t>
      </w:r>
    </w:p>
    <w:p w14:paraId="28B4B497" w14:textId="10E02E46" w:rsidR="00587989" w:rsidRDefault="00002999" w:rsidP="002E50FA">
      <w:pPr>
        <w:pStyle w:val="ListParagraph"/>
        <w:numPr>
          <w:ilvl w:val="0"/>
          <w:numId w:val="24"/>
        </w:numPr>
        <w:jc w:val="both"/>
      </w:pPr>
      <w:r>
        <w:t xml:space="preserve">The </w:t>
      </w:r>
      <w:r w:rsidR="00587989" w:rsidRPr="00B33B19">
        <w:t xml:space="preserve">Behavioral and </w:t>
      </w:r>
      <w:r>
        <w:t>B</w:t>
      </w:r>
      <w:r w:rsidRPr="00B33B19">
        <w:t xml:space="preserve">iological </w:t>
      </w:r>
      <w:r>
        <w:t>S</w:t>
      </w:r>
      <w:r w:rsidRPr="00B33B19">
        <w:t xml:space="preserve">urveillance </w:t>
      </w:r>
      <w:r>
        <w:t>S</w:t>
      </w:r>
      <w:r w:rsidRPr="00B33B19">
        <w:t xml:space="preserve">urvey </w:t>
      </w:r>
      <w:r w:rsidR="00587989" w:rsidRPr="00B33B19">
        <w:t>(BBSS)</w:t>
      </w:r>
      <w:r>
        <w:t xml:space="preserve"> (2010), a survey of </w:t>
      </w:r>
      <w:r w:rsidR="00587989" w:rsidRPr="00B33B19">
        <w:t>female sex workers in Rwanda</w:t>
      </w:r>
      <w:r>
        <w:t>,</w:t>
      </w:r>
      <w:r w:rsidR="00587989" w:rsidRPr="00B33B19">
        <w:fldChar w:fldCharType="begin" w:fldLock="1"/>
      </w:r>
      <w:r w:rsidR="007527CC">
        <w:instrText>ADDIN CSL_CITATION {"citationItems":[{"id":"ITEM-1","itemData":{"DOI":"10.1016/B978-0-12-420118-7.00008-1.Dopamine","ISBN":"9780124201187","ISSN":"0036-8075","PMID":"25792328","author":[{"dropping-particle":"","family":"Rwanda Ministry of Health","given":"","non-dropping-particle":"","parse-names":false,"suffix":""}],"container-title":"Center for Treatment and Research on AIDS, Malaria, Tuberculosis and Other Epidemics","id":"ITEM-1","issue":"December","issued":{"date-parts":[["2010"]]},"title":"Behavioral and Biological Surveillance Survey among Female Sex Workers, Rwanda – 2010","type":"report"},"uris":["http://www.mendeley.com/documents/?uuid=c3b9fbfb-d893-4cee-aa49-4ba2d2fc2bf1"]}],"mendeley":{"formattedCitation":"&lt;sup&gt;44&lt;/sup&gt;","plainTextFormattedCitation":"44","previouslyFormattedCitation":"&lt;sup&gt;44&lt;/sup&gt;"},"properties":{"noteIndex":0},"schema":"https://github.com/citation-style-language/schema/raw/master/csl-citation.json"}</w:instrText>
      </w:r>
      <w:r w:rsidR="00587989" w:rsidRPr="00B33B19">
        <w:fldChar w:fldCharType="separate"/>
      </w:r>
      <w:r w:rsidR="00036C3E" w:rsidRPr="00036C3E">
        <w:rPr>
          <w:noProof/>
          <w:vertAlign w:val="superscript"/>
        </w:rPr>
        <w:t>44</w:t>
      </w:r>
      <w:r w:rsidR="00587989" w:rsidRPr="00B33B19">
        <w:fldChar w:fldCharType="end"/>
      </w:r>
      <w:r w:rsidR="00EB2DCB" w:rsidRPr="00B33B19">
        <w:t xml:space="preserve"> was used to estimate the </w:t>
      </w:r>
      <w:r>
        <w:t xml:space="preserve">probability of HIV diagnosis </w:t>
      </w:r>
      <w:r w:rsidR="00587989" w:rsidRPr="00B33B19">
        <w:t xml:space="preserve">among </w:t>
      </w:r>
      <w:r w:rsidRPr="00B33B19">
        <w:t>high</w:t>
      </w:r>
      <w:r>
        <w:t>-</w:t>
      </w:r>
      <w:r w:rsidR="00587989" w:rsidRPr="00B33B19">
        <w:t>risk women in urban areas.</w:t>
      </w:r>
      <w:r w:rsidR="00675361" w:rsidRPr="00675361">
        <w:t xml:space="preserve"> </w:t>
      </w:r>
      <w:r w:rsidR="00675361" w:rsidRPr="00B33B19">
        <w:t xml:space="preserve">In </w:t>
      </w:r>
      <w:r w:rsidR="00675361">
        <w:t xml:space="preserve">the </w:t>
      </w:r>
      <w:r w:rsidR="00675361" w:rsidRPr="00B33B19">
        <w:t xml:space="preserve">BBSS, respondents </w:t>
      </w:r>
      <w:r w:rsidR="00675361">
        <w:t xml:space="preserve">were asked </w:t>
      </w:r>
      <w:r w:rsidR="00675361" w:rsidRPr="00B33B19">
        <w:t xml:space="preserve">if they have </w:t>
      </w:r>
      <w:r w:rsidR="00675361">
        <w:t xml:space="preserve">received an </w:t>
      </w:r>
      <w:r w:rsidR="00675361" w:rsidRPr="00B33B19">
        <w:t xml:space="preserve">HIV </w:t>
      </w:r>
      <w:r w:rsidR="00675361">
        <w:t xml:space="preserve">test </w:t>
      </w:r>
      <w:r w:rsidR="00675361" w:rsidRPr="00B33B19">
        <w:t xml:space="preserve">within </w:t>
      </w:r>
      <w:r w:rsidR="00675361">
        <w:t xml:space="preserve">the past </w:t>
      </w:r>
      <w:r w:rsidR="00675361" w:rsidRPr="00B33B19">
        <w:t>12 months</w:t>
      </w:r>
      <w:r w:rsidR="00675361">
        <w:t xml:space="preserve"> and if so, had the result been received</w:t>
      </w:r>
      <w:r w:rsidR="00675361" w:rsidRPr="00B33B19">
        <w:t>.</w:t>
      </w:r>
    </w:p>
    <w:p w14:paraId="2A395A03" w14:textId="753EF3E9" w:rsidR="00675361" w:rsidRDefault="00675361" w:rsidP="00527179">
      <w:pPr>
        <w:jc w:val="both"/>
      </w:pPr>
    </w:p>
    <w:p w14:paraId="6DA39DE3" w14:textId="0E9DB55B" w:rsidR="00675361" w:rsidRPr="00F2084E" w:rsidRDefault="00675361" w:rsidP="00675361">
      <w:pPr>
        <w:jc w:val="both"/>
        <w:rPr>
          <w:b/>
          <w:bCs/>
          <w:i/>
        </w:rPr>
      </w:pPr>
      <w:r w:rsidRPr="00F2084E">
        <w:rPr>
          <w:b/>
          <w:bCs/>
          <w:i/>
        </w:rPr>
        <w:t>Assumptions</w:t>
      </w:r>
      <w:r w:rsidR="0050135C">
        <w:rPr>
          <w:b/>
          <w:bCs/>
          <w:i/>
        </w:rPr>
        <w:t>:</w:t>
      </w:r>
    </w:p>
    <w:p w14:paraId="0F198FAF" w14:textId="09F6ACBE" w:rsidR="00675361" w:rsidRPr="00675361" w:rsidRDefault="00675361" w:rsidP="002E50FA">
      <w:pPr>
        <w:pStyle w:val="BodyText"/>
        <w:numPr>
          <w:ilvl w:val="0"/>
          <w:numId w:val="9"/>
        </w:numPr>
        <w:spacing w:before="0" w:after="0"/>
        <w:jc w:val="both"/>
        <w:rPr>
          <w:rFonts w:eastAsia="Times New Roman"/>
        </w:rPr>
      </w:pPr>
      <w:r>
        <w:t>T</w:t>
      </w:r>
      <w:r w:rsidRPr="0084791B">
        <w:t>he proba</w:t>
      </w:r>
      <w:r w:rsidRPr="00864EDC">
        <w:t xml:space="preserve">bility of HIV </w:t>
      </w:r>
      <w:r>
        <w:t>diagnosis</w:t>
      </w:r>
      <w:r w:rsidRPr="00864EDC">
        <w:t xml:space="preserve"> among low-risk population</w:t>
      </w:r>
      <w:r>
        <w:t>s</w:t>
      </w:r>
      <w:r w:rsidRPr="00864EDC">
        <w:t xml:space="preserve"> does not differ by urbanicity</w:t>
      </w:r>
      <w:r>
        <w:t>, given no statistically significant difference in our estimates for urban versus rural populations (2010 and 2015 only).</w:t>
      </w:r>
    </w:p>
    <w:p w14:paraId="574D9CCF" w14:textId="55D32D9B" w:rsidR="00675361" w:rsidRPr="00675361" w:rsidRDefault="00675361" w:rsidP="002E50FA">
      <w:pPr>
        <w:pStyle w:val="BodyText"/>
        <w:numPr>
          <w:ilvl w:val="0"/>
          <w:numId w:val="9"/>
        </w:numPr>
        <w:spacing w:before="0" w:after="0"/>
        <w:jc w:val="both"/>
        <w:rPr>
          <w:rFonts w:eastAsia="Times New Roman"/>
        </w:rPr>
      </w:pPr>
      <w:r>
        <w:t>The probabilities of HIV diagnosis for men in age groups 15-24 years and 25-34 years do not differ; and the probabilities of HIV diagnosis for men and women in age groups 35-44, 45-44, and 55+ do not differ.</w:t>
      </w:r>
      <w:r w:rsidRPr="00675361">
        <w:t xml:space="preserve"> </w:t>
      </w:r>
      <w:r>
        <w:t>The assumption is made given small sub-population sample sizes and similar estimates across select sub-populations.</w:t>
      </w:r>
    </w:p>
    <w:p w14:paraId="38ECF850" w14:textId="1DFD48EE" w:rsidR="00675361" w:rsidRPr="00E052EC" w:rsidRDefault="00675361" w:rsidP="002E50FA">
      <w:pPr>
        <w:pStyle w:val="BodyText"/>
        <w:numPr>
          <w:ilvl w:val="0"/>
          <w:numId w:val="9"/>
        </w:numPr>
        <w:spacing w:before="0" w:after="0"/>
        <w:jc w:val="both"/>
        <w:rPr>
          <w:rFonts w:eastAsia="Times New Roman"/>
        </w:rPr>
      </w:pPr>
      <w:r>
        <w:t>The probability of HIV diagnosis does not vary by CD4 stratum</w:t>
      </w:r>
      <w:r w:rsidRPr="00393F1C">
        <w:t xml:space="preserve"> for individuals with CD4&gt;200</w:t>
      </w:r>
      <w:r>
        <w:t>, given the evidence suggesting t</w:t>
      </w:r>
      <w:r w:rsidRPr="00393F1C">
        <w:t>hose with CD4</w:t>
      </w:r>
      <w:r>
        <w:t xml:space="preserve"> count </w:t>
      </w:r>
      <w:r w:rsidRPr="00393F1C">
        <w:t>≤200 are 1.5</w:t>
      </w:r>
      <w:r>
        <w:t>6</w:t>
      </w:r>
      <w:r w:rsidRPr="00393F1C">
        <w:t xml:space="preserve"> times </w:t>
      </w:r>
      <w:r>
        <w:t xml:space="preserve">(95% CI 1.11, 2.20) </w:t>
      </w:r>
      <w:r w:rsidRPr="00393F1C">
        <w:t xml:space="preserve">more likely to </w:t>
      </w:r>
      <w:r w:rsidR="001B6172" w:rsidRPr="00BB226C">
        <w:t>be linked</w:t>
      </w:r>
      <w:commentRangeStart w:id="160"/>
      <w:commentRangeStart w:id="161"/>
      <w:commentRangeEnd w:id="160"/>
      <w:r w:rsidRPr="00BB226C">
        <w:rPr>
          <w:rStyle w:val="CommentReference"/>
          <w:rFonts w:eastAsia="Times New Roman"/>
          <w:lang w:eastAsia="zh-CN"/>
        </w:rPr>
        <w:commentReference w:id="160"/>
      </w:r>
      <w:commentRangeEnd w:id="161"/>
      <w:r w:rsidR="00E60418" w:rsidRPr="00BB226C">
        <w:rPr>
          <w:rStyle w:val="CommentReference"/>
          <w:rFonts w:eastAsia="Times New Roman"/>
          <w:lang w:eastAsia="zh-CN"/>
        </w:rPr>
        <w:commentReference w:id="161"/>
      </w:r>
      <w:r w:rsidRPr="00BB226C">
        <w:t xml:space="preserve"> compared</w:t>
      </w:r>
      <w:r>
        <w:t xml:space="preserve"> to </w:t>
      </w:r>
      <w:r w:rsidRPr="00393F1C">
        <w:t>those with CD4&gt;200</w:t>
      </w:r>
      <w:r w:rsidR="001B6172">
        <w:t>.</w:t>
      </w:r>
      <w:r>
        <w:rPr>
          <w:color w:val="000000" w:themeColor="text1"/>
        </w:rPr>
        <w:fldChar w:fldCharType="begin" w:fldLock="1"/>
      </w:r>
      <w:r w:rsidR="007527CC">
        <w:rPr>
          <w:color w:val="000000" w:themeColor="text1"/>
        </w:rPr>
        <w:instrText>ADDIN CSL_CITATION {"citationItems":[{"id":"ITEM-1","itemData":{"DOI":"10.1016/s2352-3018(17)30091-7","ISSN":"23523018","author":[{"dropping-particle":"","family":"Okal","given":"Dancun O","non-dropping-particle":"","parse-names":false,"suffix":""},{"dropping-particle":"","family":"Oyaro","given":"Boaz","non-dropping-particle":"","parse-names":false,"suffix":""},{"dropping-particle":"","family":"Zeh","given":"Clement","non-dropping-particle":"","parse-names":false,"suffix":""},{"dropping-particle":"","family":"Desai","given":"Mitesh A","non-dropping-particle":"","parse-names":false,"suffix":""},{"dropping-particle":"","family":"Samandari","given":"Taraz","non-dropping-particle":"","parse-names":false,"suffix":""},{"dropping-particle":"","family":"Chen","given":"Robert T","non-dropping-particle":"","parse-names":false,"suffix":""},{"dropping-particle":"","family":"Williams","given":"Tiffany","non-dropping-particle":"","parse-names":false,"suffix":""},{"dropping-particle":"","family":"Otieno","given":"Fredrick O","non-dropping-particle":"","parse-names":false,"suffix":""},{"dropping-particle":"","family":"Ndivo","given":"Richard","non-dropping-particle":"","parse-names":false,"suffix":""},{"dropping-particle":"","family":"Rose","given":"Charles E","non-dropping-particle":"","parse-names":false,"suffix":""}],"container-title":"The Lancet HIV","id":"ITEM-1","issue":"9","issued":{"date-parts":[["2017"]]},"page":"e393-e401","publisher":"Elsevier Ltd","title":"Effect of point-of-care CD4 cell count results on linkage to care and antiretroviral initiation during a home-based HIV testing campaign: a non-blinded, cluster-randomised trial","type":"article-journal","volume":"4"},"uris":["http://www.mendeley.com/documents/?uuid=3bda1b21-8e18-4d22-b218-8706499997c9"]}],"mendeley":{"formattedCitation":"&lt;sup&gt;57&lt;/sup&gt;","plainTextFormattedCitation":"57","previouslyFormattedCitation":"&lt;sup&gt;57&lt;/sup&gt;"},"properties":{"noteIndex":0},"schema":"https://github.com/citation-style-language/schema/raw/master/csl-citation.json"}</w:instrText>
      </w:r>
      <w:r>
        <w:rPr>
          <w:color w:val="000000" w:themeColor="text1"/>
        </w:rPr>
        <w:fldChar w:fldCharType="separate"/>
      </w:r>
      <w:r w:rsidR="00036C3E" w:rsidRPr="00036C3E">
        <w:rPr>
          <w:noProof/>
          <w:color w:val="000000" w:themeColor="text1"/>
          <w:vertAlign w:val="superscript"/>
        </w:rPr>
        <w:t>57</w:t>
      </w:r>
      <w:r>
        <w:rPr>
          <w:color w:val="000000" w:themeColor="text1"/>
        </w:rPr>
        <w:fldChar w:fldCharType="end"/>
      </w:r>
      <w:r w:rsidR="001B6172">
        <w:rPr>
          <w:color w:val="000000" w:themeColor="text1"/>
        </w:rPr>
        <w:t xml:space="preserve"> The evidence is applicable to HIV diagnosis since it is </w:t>
      </w:r>
      <w:r>
        <w:t>c</w:t>
      </w:r>
      <w:r w:rsidRPr="00FA7575">
        <w:t xml:space="preserve">omparable </w:t>
      </w:r>
      <w:r w:rsidR="001B6172">
        <w:t xml:space="preserve">with the </w:t>
      </w:r>
      <w:r>
        <w:t xml:space="preserve">estimates </w:t>
      </w:r>
      <w:r w:rsidR="001B6172">
        <w:t xml:space="preserve">used </w:t>
      </w:r>
      <w:r>
        <w:t xml:space="preserve">in </w:t>
      </w:r>
      <w:r w:rsidR="001B6172">
        <w:t>other modelling studies.</w:t>
      </w:r>
      <w:r w:rsidRPr="00FA7575">
        <w:fldChar w:fldCharType="begin" w:fldLock="1"/>
      </w:r>
      <w:r w:rsidR="007527CC">
        <w:instrText>ADDIN CSL_CITATION {"citationItems":[{"id":"ITEM-1","itemData":{"DOI":"10.1016/S2352-3018(15)00016-8","ISBN":"23523018","ISSN":"23523018","PMID":"25844394","abstract":"BACKGROUND: Home HIV counselling and testing (HTC) achieves high coverage of testing and linkage to care compared with existing facility-based approaches, particularly among asymptomatic individuals. In a modelling analysis we aimed to assess the effect on population-level health and cost-effectiveness of a community-based package of home HTC in KwaZulu-Natal, South Africa. METHODS: We parameterised an individual-based model with data from home HTC and linkage field studies that achieved high coverage (91%) and linkage to antiretroviral therapy (80%) in rural KwaZulu-Natal, South Africa. Costs were derived from a linked microcosting study. The model simulated 10 000 individuals over 10 years and incremental cost-effectiveness ratios were calculated for the intervention relative to the existing status quo of facility-based testing, with costs discounted at 3% annually. FINDINGS: The model predicted implementation of home HTC in addition to current practice to decrease HIV-associated morbidity by 10-22% and HIV infections by 9-48% with increasing CD4 cell count thresholds for antiretroviral therapy initiation. Incremental programme costs were US$2·7 million to $4·4 million higher in the intervention scenarios than at baseline, and costs increased with higher CD4 cell count thresholds for antiretroviral therapy initiation; antiretroviral therapy accounted for 48-87% of total costs. Incremental cost-effectiveness ratios per disability-adjusted life-year averted were $1340 at an antiretroviral therapy threshold of CD4 count lower than 200 cells per μL, $1090 at lower than 350 cells per μL, $1150 at lower than 500 cells per μL, and $1360 at universal access to antiretroviral therapy. INTERPRETATION: Community-based HTC with enhanced linkage to care can result in increased HIV testing coverage and treatment uptake, decreasing the population burden of HIV-associated morbidity and mortality. The incremental cost-effectiveness ratios are less than 20% of South Africa's gross domestic product per person, and are therefore classed as very cost effective. Home HTC can be a viable means to achieve UNAIDS' ambitious new targets for HIV treatment coverage. FUNDING: National Institutes of Health, Bill &amp; Melinda Gates Foundation, Wellcome Trust.","author":[{"dropping-particle":"","family":"Smith","given":"Jennifer A.","non-dropping-particle":"","parse-names":false,"suffix":""},{"dropping-particle":"","family":"Sharma","given":"Monisha","non-dropping-particle":"","parse-names":false,"suffix":""},{"dropping-particle":"","family":"Levin","given":"Carol","non-dropping-particle":"","parse-names":false,"suffix":""},{"dropping-particle":"","family":"Baeten","given":"Jared M.","non-dropping-particle":"","parse-names":false,"suffix":""},{"dropping-particle":"","family":"Rooyen","given":"Heidi","non-dropping-particle":"van","parse-names":false,"suffix":""},{"dropping-particle":"","family":"Celum","given":"Connie","non-dropping-particle":"","parse-names":false,"suffix":""},{"dropping-particle":"","family":"Hallett","given":"Timothy B.","non-dropping-particle":"","parse-names":false,"suffix":""},{"dropping-particle":"V.","family":"Barnabas","given":"Ruanne","non-dropping-particle":"","parse-names":false,"suffix":""}],"container-title":"The Lancet HIV","id":"ITEM-1","issue":"4","issued":{"date-parts":[["2015"]]},"page":"e159-e168","publisher":"Smith et al. Open Access article distributed under the terms of CC BY","title":"Cost-effectiveness of community-based strategies to strengthen the continuum of HIV care in rural South Africa: A health economic modelling analysis","type":"article-journal","volume":"2"},"uris":["http://www.mendeley.com/documents/?uuid=0895a50f-4820-41c3-ba85-22c0dbb2fa4a"]}],"mendeley":{"formattedCitation":"&lt;sup&gt;58&lt;/sup&gt;","plainTextFormattedCitation":"58","previouslyFormattedCitation":"&lt;sup&gt;58&lt;/sup&gt;"},"properties":{"noteIndex":0},"schema":"https://github.com/citation-style-language/schema/raw/master/csl-citation.json"}</w:instrText>
      </w:r>
      <w:r w:rsidRPr="00FA7575">
        <w:fldChar w:fldCharType="separate"/>
      </w:r>
      <w:r w:rsidR="00036C3E" w:rsidRPr="00036C3E">
        <w:rPr>
          <w:noProof/>
          <w:vertAlign w:val="superscript"/>
        </w:rPr>
        <w:t>58</w:t>
      </w:r>
      <w:r w:rsidRPr="00FA7575">
        <w:fldChar w:fldCharType="end"/>
      </w:r>
      <w:r w:rsidRPr="00FA7575">
        <w:t xml:space="preserve"> </w:t>
      </w:r>
    </w:p>
    <w:p w14:paraId="75FEEFCC" w14:textId="77777777" w:rsidR="00675361" w:rsidRDefault="00675361" w:rsidP="002E50FA">
      <w:pPr>
        <w:pStyle w:val="BodyText"/>
        <w:numPr>
          <w:ilvl w:val="0"/>
          <w:numId w:val="9"/>
        </w:numPr>
        <w:spacing w:before="0" w:after="0"/>
        <w:jc w:val="both"/>
      </w:pPr>
      <w:r>
        <w:t>For low-risk sub-populations: Respondents who received their last HIV test result more than 12 months prior to the DHS interview date knew their HIV status.</w:t>
      </w:r>
    </w:p>
    <w:p w14:paraId="5042640A" w14:textId="48D695D3" w:rsidR="00675361" w:rsidRPr="00675361" w:rsidRDefault="00675361" w:rsidP="002E50FA">
      <w:pPr>
        <w:pStyle w:val="BodyText"/>
        <w:numPr>
          <w:ilvl w:val="0"/>
          <w:numId w:val="9"/>
        </w:numPr>
        <w:spacing w:before="0" w:after="0"/>
        <w:jc w:val="both"/>
        <w:rPr>
          <w:rFonts w:eastAsia="Times New Roman"/>
        </w:rPr>
      </w:pPr>
      <w:r>
        <w:t>For high-risk sub-populations: The probability of HIV diagnosis is the same regardless of HIV status, since high-risk sub-populations are targeted by HIV testing promotion policies and campaigns.</w:t>
      </w:r>
      <w:r>
        <w:fldChar w:fldCharType="begin" w:fldLock="1"/>
      </w:r>
      <w:r w:rsidR="007527CC">
        <w:instrText>ADDIN CSL_CITATION {"citationItems":[{"id":"ITEM-1","itemData":{"author":[{"dropping-particle":"","family":"Rwanda Ministry of Health","given":"","non-dropping-particle":"","parse-names":false,"suffix":""}],"container-title":"Kigali, Rwanda: Ministry of Health","id":"ITEM-1","issued":{"date-parts":[["2018"]]},"title":"Rwanda HIV and AIDS National Strategic Plan 2013–2018: Extension: 2018–2020","type":"report"},"uris":["http://www.mendeley.com/documents/?uuid=30f22d29-47e6-40db-9cac-cb1e01d230b4"]}],"mendeley":{"formattedCitation":"&lt;sup&gt;59&lt;/sup&gt;","plainTextFormattedCitation":"59","previouslyFormattedCitation":"&lt;sup&gt;59&lt;/sup&gt;"},"properties":{"noteIndex":0},"schema":"https://github.com/citation-style-language/schema/raw/master/csl-citation.json"}</w:instrText>
      </w:r>
      <w:r>
        <w:fldChar w:fldCharType="separate"/>
      </w:r>
      <w:r w:rsidR="00036C3E" w:rsidRPr="00036C3E">
        <w:rPr>
          <w:noProof/>
          <w:vertAlign w:val="superscript"/>
        </w:rPr>
        <w:t>59</w:t>
      </w:r>
      <w:r>
        <w:fldChar w:fldCharType="end"/>
      </w:r>
      <w:r>
        <w:t xml:space="preserve"> </w:t>
      </w:r>
    </w:p>
    <w:p w14:paraId="18F54D1C" w14:textId="45590033" w:rsidR="00675361" w:rsidRPr="00F8306E" w:rsidRDefault="00675361" w:rsidP="002E50FA">
      <w:pPr>
        <w:pStyle w:val="BodyText"/>
        <w:numPr>
          <w:ilvl w:val="0"/>
          <w:numId w:val="9"/>
        </w:numPr>
        <w:spacing w:before="0" w:after="0"/>
        <w:jc w:val="both"/>
        <w:rPr>
          <w:rFonts w:eastAsia="Times New Roman"/>
        </w:rPr>
      </w:pPr>
      <w:r>
        <w:lastRenderedPageBreak/>
        <w:t xml:space="preserve">For high-risk sub-population: The probability of HIV diagnosis </w:t>
      </w:r>
      <w:r w:rsidRPr="00D923F8">
        <w:t>does not vary based on age and urbanicity</w:t>
      </w:r>
      <w:r>
        <w:t>, given similar estimates in the sample by age and region.</w:t>
      </w:r>
      <w:r>
        <w:fldChar w:fldCharType="begin" w:fldLock="1"/>
      </w:r>
      <w:r w:rsidR="007527CC">
        <w:instrText>ADDIN CSL_CITATION {"citationItems":[{"id":"ITEM-1","itemData":{"DOI":"10.1016/B978-0-12-420118-7.00008-1.Dopamine","ISBN":"9780124201187","ISSN":"0036-8075","PMID":"25792328","author":[{"dropping-particle":"","family":"Rwanda Ministry of Health","given":"","non-dropping-particle":"","parse-names":false,"suffix":""}],"container-title":"Center for Treatment and Research on AIDS, Malaria, Tuberculosis and Other Epidemics","id":"ITEM-1","issue":"December","issued":{"date-parts":[["2010"]]},"title":"Behavioral and Biological Surveillance Survey among Female Sex Workers, Rwanda – 2010","type":"report"},"uris":["http://www.mendeley.com/documents/?uuid=c3b9fbfb-d893-4cee-aa49-4ba2d2fc2bf1"]}],"mendeley":{"formattedCitation":"&lt;sup&gt;44&lt;/sup&gt;","plainTextFormattedCitation":"44","previouslyFormattedCitation":"&lt;sup&gt;44&lt;/sup&gt;"},"properties":{"noteIndex":0},"schema":"https://github.com/citation-style-language/schema/raw/master/csl-citation.json"}</w:instrText>
      </w:r>
      <w:r>
        <w:fldChar w:fldCharType="separate"/>
      </w:r>
      <w:r w:rsidR="00036C3E" w:rsidRPr="00036C3E">
        <w:rPr>
          <w:noProof/>
          <w:vertAlign w:val="superscript"/>
        </w:rPr>
        <w:t>44</w:t>
      </w:r>
      <w:r>
        <w:fldChar w:fldCharType="end"/>
      </w:r>
    </w:p>
    <w:p w14:paraId="4FEC2D21" w14:textId="69242207" w:rsidR="00297B7E" w:rsidRDefault="00297B7E" w:rsidP="00527179">
      <w:pPr>
        <w:jc w:val="both"/>
        <w:rPr>
          <w:b/>
        </w:rPr>
      </w:pPr>
    </w:p>
    <w:p w14:paraId="42A9B719" w14:textId="53432180" w:rsidR="00FC5C84" w:rsidRDefault="00675361" w:rsidP="00527179">
      <w:pPr>
        <w:jc w:val="both"/>
        <w:rPr>
          <w:bCs/>
        </w:rPr>
      </w:pPr>
      <w:r>
        <w:rPr>
          <w:b/>
          <w:bCs/>
          <w:i/>
        </w:rPr>
        <w:t>Estimation</w:t>
      </w:r>
      <w:r w:rsidR="0050135C">
        <w:rPr>
          <w:b/>
          <w:bCs/>
          <w:i/>
        </w:rPr>
        <w:t>:</w:t>
      </w:r>
      <w:r w:rsidR="00DA5A5A">
        <w:rPr>
          <w:bCs/>
        </w:rPr>
        <w:t xml:space="preserve"> </w:t>
      </w:r>
    </w:p>
    <w:p w14:paraId="5DA51780" w14:textId="48309526" w:rsidR="00D94763" w:rsidRPr="00675361" w:rsidRDefault="00FC5C84">
      <w:pPr>
        <w:jc w:val="both"/>
        <w:rPr>
          <w:bCs/>
        </w:rPr>
      </w:pPr>
      <w:r>
        <w:rPr>
          <w:bCs/>
          <w:u w:val="single"/>
        </w:rPr>
        <w:t>Low-risk women and men in both urban and rural areas</w:t>
      </w:r>
      <w:r w:rsidRPr="00B33B19">
        <w:rPr>
          <w:bCs/>
        </w:rPr>
        <w:t xml:space="preserve">. </w:t>
      </w:r>
      <w:r>
        <w:rPr>
          <w:bCs/>
        </w:rPr>
        <w:t xml:space="preserve">We estimated </w:t>
      </w:r>
      <w:r w:rsidR="000F2B8A">
        <w:rPr>
          <w:bCs/>
        </w:rPr>
        <w:t xml:space="preserve">the </w:t>
      </w:r>
      <w:r>
        <w:rPr>
          <w:bCs/>
        </w:rPr>
        <w:t>probability of HIV diagnosis</w:t>
      </w:r>
      <w:r w:rsidR="005F155E">
        <w:rPr>
          <w:bCs/>
        </w:rPr>
        <w:t xml:space="preserve"> </w:t>
      </w:r>
      <w:r w:rsidR="00675361">
        <w:rPr>
          <w:bCs/>
        </w:rPr>
        <w:t>estimated using the proportion</w:t>
      </w:r>
      <w:r>
        <w:rPr>
          <w:bCs/>
        </w:rPr>
        <w:t xml:space="preserve"> of </w:t>
      </w:r>
      <w:r w:rsidR="00E07D10">
        <w:rPr>
          <w:bCs/>
        </w:rPr>
        <w:t>DHS respondents</w:t>
      </w:r>
      <w:r w:rsidR="00062D2C">
        <w:rPr>
          <w:bCs/>
        </w:rPr>
        <w:t xml:space="preserve"> living with HIV</w:t>
      </w:r>
      <w:r w:rsidR="00E07D10">
        <w:rPr>
          <w:bCs/>
        </w:rPr>
        <w:t xml:space="preserve"> </w:t>
      </w:r>
      <w:r w:rsidR="002F11FB">
        <w:rPr>
          <w:bCs/>
        </w:rPr>
        <w:t xml:space="preserve">who </w:t>
      </w:r>
      <w:r w:rsidR="00062D2C">
        <w:rPr>
          <w:bCs/>
        </w:rPr>
        <w:t>received</w:t>
      </w:r>
      <w:r w:rsidR="00E07D10">
        <w:rPr>
          <w:bCs/>
        </w:rPr>
        <w:t xml:space="preserve"> </w:t>
      </w:r>
      <w:r w:rsidR="002F11FB">
        <w:rPr>
          <w:bCs/>
        </w:rPr>
        <w:t xml:space="preserve">an </w:t>
      </w:r>
      <w:r w:rsidR="00E07D10">
        <w:rPr>
          <w:bCs/>
        </w:rPr>
        <w:t xml:space="preserve">HIV test result in the past 12 months, given </w:t>
      </w:r>
      <w:r w:rsidR="002F11FB">
        <w:rPr>
          <w:bCs/>
        </w:rPr>
        <w:t xml:space="preserve">previously </w:t>
      </w:r>
      <w:r>
        <w:rPr>
          <w:bCs/>
        </w:rPr>
        <w:t>unknown HIV</w:t>
      </w:r>
      <w:r w:rsidR="002F11FB">
        <w:rPr>
          <w:bCs/>
        </w:rPr>
        <w:t xml:space="preserve"> status</w:t>
      </w:r>
      <w:r>
        <w:rPr>
          <w:bCs/>
        </w:rPr>
        <w:t xml:space="preserve">. </w:t>
      </w:r>
      <w:r w:rsidR="00675361">
        <w:t xml:space="preserve">We </w:t>
      </w:r>
      <w:r w:rsidR="00CF6F06">
        <w:t xml:space="preserve">restricted the sample </w:t>
      </w:r>
      <w:r w:rsidR="009F3688">
        <w:t>to</w:t>
      </w:r>
      <w:r w:rsidR="00CF6F06">
        <w:t xml:space="preserve"> individuals living with unknown HIV</w:t>
      </w:r>
      <w:r w:rsidR="007F4966">
        <w:t xml:space="preserve"> status</w:t>
      </w:r>
      <w:r w:rsidR="00CF6F06">
        <w:t>, given individuals living with HIV are more likely to have high-risk behaviors and thus get tested.</w:t>
      </w:r>
      <w:r w:rsidR="007305C9">
        <w:fldChar w:fldCharType="begin" w:fldLock="1"/>
      </w:r>
      <w:r w:rsidR="007527CC">
        <w:instrText>ADDIN CSL_CITATION {"citationItems":[{"id":"ITEM-1","itemData":{"DOI":"10.1177/0956462415617590","ISSN":"1758-1052 (Electronic)","PMID":"26568251","abstract":"With increased coverage of voluntary HIV counselling and testing (VCT) in Rwanda and  a greater focus on repeat testing of key populations, it is important to understand whether the right clients are returning for repeat testing and if repeat testing is effective at reducing risk. We assessed the association between repeat testing and recent sexual risk behaviours among 1852 first time or repeat HIV testing clients in Kigali who had had sex, using data from a cross-sectional survey. Repeat testing was associated with being female, older and type of occupation. Multivariable analyses indicate that individuals who tested for HIV 1-2 times (aOR = 1.52, 95% CI: 1.08, 2.15) and 3+ times (aOR = 1.51, 95% CI: 1.06, 2.17) previously were more likely to report recent unprotected sex. Those with 3+ previous tests were more likely to have recently had multiple sexual partners (aOR = 2.19, 95% CI: 1.22, 3.92). However, a significant decrease in HIV prevalence is shown as individuals receive more HIV tests in their lifetime (p &lt; 0.001). These findings show that individuals who report high-risk behaviours are returning for repeat tests. However, VCT may not be successful at addressing certain sexual risk behaviours. Therefore more intensive counselling or additional HIV prevention services may be needed.","author":[{"dropping-particle":"","family":"Stalter","given":"Randy","non-dropping-particle":"","parse-names":false,"suffix":""},{"dropping-particle":"","family":"Chen","given":"Mario","non-dropping-particle":"","parse-names":false,"suffix":""},{"dropping-particle":"","family":"Uwizeye","given":"Glorieuse","non-dropping-particle":"","parse-names":false,"suffix":""},{"dropping-particle":"","family":"Mutunge","given":"Elise","non-dropping-particle":"","parse-names":false,"suffix":""},{"dropping-particle":"","family":"Ahayo","given":"Anita","non-dropping-particle":"","parse-names":false,"suffix":""},{"dropping-particle":"","family":"Mugwaneza","given":"Placidie","non-dropping-particle":"","parse-names":false,"suffix":""},{"dropping-particle":"","family":"Shumbusho","given":"Fabienne","non-dropping-particle":"","parse-names":false,"suffix":""},{"dropping-particle":"","family":"Wesson","given":"Jennifer","non-dropping-particle":"","parse-names":false,"suffix":""}],"container-title":"International journal of STD &amp; AIDS","id":"ITEM-1","issue":"14","issued":{"date-parts":[["2016","12"]]},"language":"eng","page":"1317-1325","publisher-place":"England","title":"Association of sexual risk behaviour with previous HIV testing among voluntary HIV  counselling and testing clients in Kigali, Rwanda.","type":"article-journal","volume":"27"},"uris":["http://www.mendeley.com/documents/?uuid=db9e720f-3bb4-4640-8a30-de97ac352dc9"]}],"mendeley":{"formattedCitation":"&lt;sup&gt;60&lt;/sup&gt;","plainTextFormattedCitation":"60","previouslyFormattedCitation":"&lt;sup&gt;60&lt;/sup&gt;"},"properties":{"noteIndex":0},"schema":"https://github.com/citation-style-language/schema/raw/master/csl-citation.json"}</w:instrText>
      </w:r>
      <w:r w:rsidR="007305C9">
        <w:fldChar w:fldCharType="separate"/>
      </w:r>
      <w:r w:rsidR="00036C3E" w:rsidRPr="00036C3E">
        <w:rPr>
          <w:noProof/>
          <w:vertAlign w:val="superscript"/>
        </w:rPr>
        <w:t>60</w:t>
      </w:r>
      <w:r w:rsidR="007305C9">
        <w:fldChar w:fldCharType="end"/>
      </w:r>
      <w:r w:rsidR="00CF6F06">
        <w:t xml:space="preserve"> </w:t>
      </w:r>
      <w:r w:rsidR="00675361">
        <w:t xml:space="preserve">To adjust for the time step in our model (monthly), the annual probability of HIV diagnosis will be converted to annual rate and then the monthly rate. The monthly rate will then be converted back to monthly probability of HIV diagnosis. </w:t>
      </w:r>
    </w:p>
    <w:p w14:paraId="56AD15C0" w14:textId="77777777" w:rsidR="00CF6F06" w:rsidRDefault="00CF6F06">
      <w:pPr>
        <w:jc w:val="both"/>
      </w:pPr>
    </w:p>
    <w:p w14:paraId="1959BAC3" w14:textId="259E76B8" w:rsidR="00F8306E" w:rsidRPr="00B33B19" w:rsidRDefault="00904255">
      <w:pPr>
        <w:jc w:val="both"/>
      </w:pPr>
      <w:r>
        <w:rPr>
          <w:u w:val="single"/>
        </w:rPr>
        <w:t>High-risk women in urban areas</w:t>
      </w:r>
      <w:r w:rsidRPr="00B33B19">
        <w:t xml:space="preserve">. </w:t>
      </w:r>
      <w:r w:rsidR="008B5D4A">
        <w:t xml:space="preserve">We used </w:t>
      </w:r>
      <w:r w:rsidR="005F155E">
        <w:t>the proportion receiving an HIV test within the past 12 months</w:t>
      </w:r>
      <w:r w:rsidR="007F4966">
        <w:t xml:space="preserve">, which </w:t>
      </w:r>
      <w:r w:rsidR="00E639AA">
        <w:t>is consistent with other modelling study</w:t>
      </w:r>
      <w:r w:rsidR="005F155E">
        <w:t>,</w:t>
      </w:r>
      <w:r w:rsidR="00E639AA">
        <w:fldChar w:fldCharType="begin" w:fldLock="1"/>
      </w:r>
      <w:r w:rsidR="007527CC">
        <w:instrText>ADDIN CSL_CITATION {"citationItems":[{"id":"ITEM-1","itemData":{"ISSN":"2059-7908","author":[{"dropping-particle":"","family":"Nsanzimana","given":"Sabin","non-dropping-particle":"","parse-names":false,"suffix":""},{"dropping-particle":"","family":"Mills","given":"Edward J","non-dropping-particle":"","parse-names":false,"suffix":""},{"dropping-particle":"","family":"Harari","given":"Ofir","non-dropping-particle":"","parse-names":false,"suffix":""},{"dropping-particle":"","family":"Mugwaneza","given":"Placidie","non-dropping-particle":"","parse-names":false,"suffix":""},{"dropping-particle":"","family":"Karita","given":"Etienne","non-dropping-particle":"","parse-names":false,"suffix":""},{"dropping-particle":"","family":"Uwizihiwe","given":"Jean Paul","non-dropping-particle":"","parse-names":false,"suffix":""},{"dropping-particle":"","family":"Park","given":"Jay J H","non-dropping-particle":"","parse-names":false,"suffix":""},{"dropping-particle":"","family":"Dron","given":"Louis","non-dropping-particle":"","parse-names":false,"suffix":""},{"dropping-particle":"","family":"Condo","given":"Jeanine","non-dropping-particle":"","parse-names":false,"suffix":""},{"dropping-particle":"","family":"Bucher","given":"Heiner","non-dropping-particle":"","parse-names":false,"suffix":""}],"container-title":"BMJ global health","id":"ITEM-1","issue":"8","issued":{"date-parts":[["2020"]]},"page":"e002300","publisher":"BMJ Specialist Journals","title":"Prevalence and incidence of HIV among female sex workers and their clients: modelling the potential effects of intervention in Rwanda","type":"article-journal","volume":"5"},"uris":["http://www.mendeley.com/documents/?uuid=a873b31e-06bc-40cf-9571-d0a69c15b92c"]}],"mendeley":{"formattedCitation":"&lt;sup&gt;61&lt;/sup&gt;","plainTextFormattedCitation":"61","previouslyFormattedCitation":"&lt;sup&gt;61&lt;/sup&gt;"},"properties":{"noteIndex":0},"schema":"https://github.com/citation-style-language/schema/raw/master/csl-citation.json"}</w:instrText>
      </w:r>
      <w:r w:rsidR="00E639AA">
        <w:fldChar w:fldCharType="separate"/>
      </w:r>
      <w:r w:rsidR="00036C3E" w:rsidRPr="00036C3E">
        <w:rPr>
          <w:noProof/>
          <w:vertAlign w:val="superscript"/>
        </w:rPr>
        <w:t>61</w:t>
      </w:r>
      <w:r w:rsidR="00E639AA">
        <w:fldChar w:fldCharType="end"/>
      </w:r>
      <w:r w:rsidR="005F155E">
        <w:t xml:space="preserve"> adjusted for the time step in our model (monthly)</w:t>
      </w:r>
      <w:r w:rsidR="008B5D4A">
        <w:t xml:space="preserve">, as a proxy for probability of HIV diagnosis </w:t>
      </w:r>
      <w:r w:rsidR="008234A1">
        <w:t xml:space="preserve">for </w:t>
      </w:r>
      <w:r w:rsidR="00E639AA">
        <w:t>female sex workers</w:t>
      </w:r>
      <w:r w:rsidR="005F155E">
        <w:t xml:space="preserve">. </w:t>
      </w:r>
      <w:r w:rsidR="00E0048E" w:rsidRPr="00B33B19">
        <w:t xml:space="preserve">We used the </w:t>
      </w:r>
      <w:r>
        <w:t xml:space="preserve">proportion </w:t>
      </w:r>
      <w:r w:rsidR="00E0048E" w:rsidRPr="00B33B19">
        <w:t xml:space="preserve">of those </w:t>
      </w:r>
      <w:r w:rsidR="00176EBF">
        <w:t xml:space="preserve">testing </w:t>
      </w:r>
      <w:r w:rsidR="008B5D4A">
        <w:t xml:space="preserve">for </w:t>
      </w:r>
      <w:r w:rsidR="00E0048E" w:rsidRPr="00B33B19">
        <w:t xml:space="preserve">HIV </w:t>
      </w:r>
      <w:r w:rsidR="004701D1">
        <w:t>and receiv</w:t>
      </w:r>
      <w:r w:rsidR="00DB3C21">
        <w:t xml:space="preserve">ing their </w:t>
      </w:r>
      <w:r w:rsidR="004701D1">
        <w:t xml:space="preserve">result </w:t>
      </w:r>
      <w:r w:rsidR="00E0048E" w:rsidRPr="00B33B19">
        <w:t xml:space="preserve">within </w:t>
      </w:r>
      <w:r w:rsidR="008B5D4A">
        <w:t xml:space="preserve">the past </w:t>
      </w:r>
      <w:r w:rsidR="00E0048E" w:rsidRPr="00B33B19">
        <w:t>12 months to</w:t>
      </w:r>
      <w:r w:rsidR="00EB2DCB" w:rsidRPr="00B33B19">
        <w:t xml:space="preserve"> represent </w:t>
      </w:r>
      <w:r w:rsidR="008B5D4A">
        <w:t xml:space="preserve">the </w:t>
      </w:r>
      <w:r w:rsidR="00EB2DCB" w:rsidRPr="00B33B19">
        <w:t>annual</w:t>
      </w:r>
      <w:r w:rsidR="002F0556" w:rsidRPr="00B33B19">
        <w:t xml:space="preserve"> probability</w:t>
      </w:r>
      <w:r w:rsidR="00E0048E" w:rsidRPr="00B33B19">
        <w:t xml:space="preserve"> </w:t>
      </w:r>
      <w:r w:rsidR="008B5D4A">
        <w:t>of HIV diagnosis</w:t>
      </w:r>
      <w:r w:rsidR="00E0048E" w:rsidRPr="00B33B19">
        <w:t xml:space="preserve">. </w:t>
      </w:r>
      <w:r w:rsidR="00675361">
        <w:t xml:space="preserve">The annual probability of HIV diagnosis is converted to annual rate of HIV diagnosis, and then the monthly rate of HIV diagnosis. The monthly rate of HIV diagnosis will be further concerted to monthly probability of diagnosis. </w:t>
      </w:r>
    </w:p>
    <w:p w14:paraId="3D018E57" w14:textId="77777777" w:rsidR="000425B5" w:rsidRDefault="000425B5">
      <w:pPr>
        <w:jc w:val="both"/>
        <w:rPr>
          <w:b/>
          <w:bCs/>
        </w:rPr>
      </w:pPr>
    </w:p>
    <w:p w14:paraId="76597200" w14:textId="2874792B" w:rsidR="00E0048E" w:rsidRDefault="00E0048E" w:rsidP="002F11FB">
      <w:pPr>
        <w:pStyle w:val="BodyText"/>
        <w:spacing w:before="0" w:after="0"/>
        <w:jc w:val="both"/>
      </w:pPr>
    </w:p>
    <w:p w14:paraId="1759396B" w14:textId="77777777" w:rsidR="0050135C" w:rsidRDefault="0050135C" w:rsidP="002F11FB">
      <w:pPr>
        <w:pStyle w:val="BodyText"/>
        <w:spacing w:before="0" w:after="0"/>
        <w:jc w:val="both"/>
      </w:pPr>
    </w:p>
    <w:p w14:paraId="1C527885" w14:textId="77777777" w:rsidR="00E052EC" w:rsidRPr="00E052EC" w:rsidRDefault="00E052EC">
      <w:pPr>
        <w:jc w:val="both"/>
        <w:sectPr w:rsidR="00E052EC" w:rsidRPr="00E052EC" w:rsidSect="00E14262">
          <w:headerReference w:type="even" r:id="rId43"/>
          <w:headerReference w:type="default" r:id="rId44"/>
          <w:headerReference w:type="first" r:id="rId45"/>
          <w:pgSz w:w="12240" w:h="15840"/>
          <w:pgMar w:top="1440" w:right="1440" w:bottom="1440" w:left="1440" w:header="720" w:footer="720" w:gutter="0"/>
          <w:cols w:space="720"/>
          <w:docGrid w:linePitch="326"/>
        </w:sectPr>
      </w:pPr>
    </w:p>
    <w:p w14:paraId="77AE65CC" w14:textId="4746EAC2" w:rsidR="0050135C" w:rsidRDefault="0050135C">
      <w:bookmarkStart w:id="162" w:name="_Toc82448072"/>
      <w:bookmarkStart w:id="163" w:name="_Toc82592503"/>
      <w:bookmarkStart w:id="164" w:name="_Toc82599268"/>
      <w:r w:rsidRPr="00BA25B2">
        <w:rPr>
          <w:b/>
          <w:bCs/>
        </w:rPr>
        <w:lastRenderedPageBreak/>
        <w:t xml:space="preserve">Table </w:t>
      </w:r>
      <w:r w:rsidRPr="00BA25B2">
        <w:rPr>
          <w:b/>
          <w:bCs/>
        </w:rPr>
        <w:fldChar w:fldCharType="begin"/>
      </w:r>
      <w:r w:rsidRPr="00BA25B2">
        <w:rPr>
          <w:b/>
          <w:bCs/>
        </w:rPr>
        <w:instrText xml:space="preserve"> SEQ Table \* ARABIC </w:instrText>
      </w:r>
      <w:r w:rsidRPr="00BA25B2">
        <w:rPr>
          <w:b/>
          <w:bCs/>
        </w:rPr>
        <w:fldChar w:fldCharType="separate"/>
      </w:r>
      <w:r w:rsidR="001E49BE">
        <w:rPr>
          <w:b/>
          <w:bCs/>
          <w:noProof/>
        </w:rPr>
        <w:t>9</w:t>
      </w:r>
      <w:r w:rsidRPr="00BA25B2">
        <w:rPr>
          <w:b/>
          <w:bCs/>
        </w:rPr>
        <w:fldChar w:fldCharType="end"/>
      </w:r>
      <w:r>
        <w:rPr>
          <w:b/>
          <w:bCs/>
        </w:rPr>
        <w:t>.</w:t>
      </w:r>
      <w:r w:rsidRPr="00BA25B2">
        <w:rPr>
          <w:b/>
          <w:bCs/>
        </w:rPr>
        <w:t xml:space="preserve"> </w:t>
      </w:r>
      <w:bookmarkStart w:id="165" w:name="_Hlk74741412"/>
      <w:r w:rsidRPr="00BA25B2">
        <w:rPr>
          <w:b/>
          <w:bCs/>
        </w:rPr>
        <w:t xml:space="preserve">Monthly </w:t>
      </w:r>
      <w:r w:rsidR="001856A1">
        <w:rPr>
          <w:b/>
          <w:bCs/>
        </w:rPr>
        <w:t xml:space="preserve">probability </w:t>
      </w:r>
      <w:r w:rsidRPr="00BA25B2">
        <w:rPr>
          <w:b/>
          <w:bCs/>
        </w:rPr>
        <w:t xml:space="preserve">of </w:t>
      </w:r>
      <w:r>
        <w:rPr>
          <w:b/>
          <w:bCs/>
        </w:rPr>
        <w:t>HIV diagnosis, by sub-population and CD4 stratum</w:t>
      </w:r>
      <w:bookmarkEnd w:id="162"/>
      <w:bookmarkEnd w:id="163"/>
      <w:bookmarkEnd w:id="164"/>
      <w:bookmarkEnd w:id="1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9"/>
        <w:gridCol w:w="1943"/>
        <w:gridCol w:w="1143"/>
        <w:gridCol w:w="2070"/>
        <w:gridCol w:w="1980"/>
        <w:gridCol w:w="1075"/>
      </w:tblGrid>
      <w:tr w:rsidR="00C30182" w:rsidRPr="00956EBE" w14:paraId="65BD50D0" w14:textId="69A662FE" w:rsidTr="00C30182">
        <w:trPr>
          <w:trHeight w:val="259"/>
        </w:trPr>
        <w:tc>
          <w:tcPr>
            <w:tcW w:w="609" w:type="pct"/>
            <w:vMerge w:val="restart"/>
          </w:tcPr>
          <w:p w14:paraId="47CF7701" w14:textId="282958E7" w:rsidR="00906F6E" w:rsidRPr="00956EBE" w:rsidRDefault="00906F6E">
            <w:pPr>
              <w:jc w:val="both"/>
              <w:rPr>
                <w:b/>
                <w:bCs/>
                <w:sz w:val="20"/>
                <w:szCs w:val="20"/>
              </w:rPr>
            </w:pPr>
            <w:r>
              <w:rPr>
                <w:b/>
                <w:bCs/>
                <w:sz w:val="20"/>
                <w:szCs w:val="20"/>
              </w:rPr>
              <w:t>Sub-population</w:t>
            </w:r>
          </w:p>
        </w:tc>
        <w:tc>
          <w:tcPr>
            <w:tcW w:w="1039" w:type="pct"/>
            <w:vMerge w:val="restart"/>
          </w:tcPr>
          <w:p w14:paraId="7D152E63" w14:textId="309A2863" w:rsidR="00906F6E" w:rsidRPr="00956EBE" w:rsidRDefault="00906F6E">
            <w:pPr>
              <w:rPr>
                <w:b/>
                <w:bCs/>
                <w:sz w:val="20"/>
                <w:szCs w:val="20"/>
              </w:rPr>
            </w:pPr>
            <w:commentRangeStart w:id="166"/>
            <w:commentRangeStart w:id="167"/>
            <w:r w:rsidRPr="00956EBE">
              <w:rPr>
                <w:b/>
                <w:bCs/>
                <w:sz w:val="20"/>
                <w:szCs w:val="20"/>
              </w:rPr>
              <w:t>Year</w:t>
            </w:r>
            <w:commentRangeEnd w:id="166"/>
            <w:r>
              <w:rPr>
                <w:rStyle w:val="CommentReference"/>
              </w:rPr>
              <w:commentReference w:id="166"/>
            </w:r>
            <w:commentRangeEnd w:id="167"/>
            <w:r>
              <w:rPr>
                <w:rStyle w:val="CommentReference"/>
              </w:rPr>
              <w:commentReference w:id="167"/>
            </w:r>
            <w:r>
              <w:rPr>
                <w:b/>
                <w:bCs/>
                <w:sz w:val="20"/>
                <w:szCs w:val="20"/>
              </w:rPr>
              <w:t>s</w:t>
            </w:r>
            <w:r w:rsidRPr="00956EBE">
              <w:rPr>
                <w:b/>
                <w:bCs/>
                <w:sz w:val="20"/>
                <w:szCs w:val="20"/>
              </w:rPr>
              <w:t xml:space="preserve"> of data </w:t>
            </w:r>
            <w:r>
              <w:rPr>
                <w:b/>
                <w:bCs/>
                <w:sz w:val="20"/>
                <w:szCs w:val="20"/>
              </w:rPr>
              <w:t>applied</w:t>
            </w:r>
          </w:p>
        </w:tc>
        <w:tc>
          <w:tcPr>
            <w:tcW w:w="611" w:type="pct"/>
            <w:vMerge w:val="restart"/>
          </w:tcPr>
          <w:p w14:paraId="30A181AE" w14:textId="77777777" w:rsidR="00906F6E" w:rsidRPr="00956EBE" w:rsidRDefault="00906F6E">
            <w:pPr>
              <w:rPr>
                <w:b/>
                <w:bCs/>
                <w:sz w:val="20"/>
                <w:szCs w:val="20"/>
              </w:rPr>
            </w:pPr>
            <w:r w:rsidRPr="00956EBE">
              <w:rPr>
                <w:b/>
                <w:bCs/>
                <w:sz w:val="20"/>
                <w:szCs w:val="20"/>
              </w:rPr>
              <w:t>Age group (Years)</w:t>
            </w:r>
          </w:p>
        </w:tc>
        <w:tc>
          <w:tcPr>
            <w:tcW w:w="2166" w:type="pct"/>
            <w:gridSpan w:val="2"/>
          </w:tcPr>
          <w:p w14:paraId="3EF8B179" w14:textId="40306A0C" w:rsidR="00906F6E" w:rsidRPr="00956EBE" w:rsidRDefault="00906F6E">
            <w:pPr>
              <w:jc w:val="both"/>
              <w:rPr>
                <w:b/>
                <w:bCs/>
                <w:sz w:val="20"/>
                <w:szCs w:val="20"/>
              </w:rPr>
            </w:pPr>
            <w:r w:rsidRPr="00956EBE">
              <w:rPr>
                <w:b/>
                <w:bCs/>
                <w:sz w:val="20"/>
                <w:szCs w:val="20"/>
              </w:rPr>
              <w:t xml:space="preserve">Monthly </w:t>
            </w:r>
            <w:r>
              <w:rPr>
                <w:b/>
                <w:bCs/>
                <w:sz w:val="20"/>
                <w:szCs w:val="20"/>
              </w:rPr>
              <w:t>probabilities</w:t>
            </w:r>
            <w:r w:rsidRPr="00956EBE">
              <w:rPr>
                <w:b/>
                <w:bCs/>
                <w:sz w:val="20"/>
                <w:szCs w:val="20"/>
              </w:rPr>
              <w:t xml:space="preserve"> (95% CI)</w:t>
            </w:r>
          </w:p>
        </w:tc>
        <w:tc>
          <w:tcPr>
            <w:tcW w:w="575" w:type="pct"/>
            <w:vMerge w:val="restart"/>
          </w:tcPr>
          <w:p w14:paraId="2F30962C" w14:textId="4F83438D" w:rsidR="00906F6E" w:rsidRPr="00956EBE" w:rsidRDefault="00906F6E">
            <w:pPr>
              <w:jc w:val="both"/>
              <w:rPr>
                <w:b/>
                <w:bCs/>
                <w:sz w:val="20"/>
                <w:szCs w:val="20"/>
              </w:rPr>
            </w:pPr>
            <w:r>
              <w:rPr>
                <w:b/>
                <w:bCs/>
                <w:sz w:val="20"/>
                <w:szCs w:val="20"/>
              </w:rPr>
              <w:t>Reference</w:t>
            </w:r>
          </w:p>
        </w:tc>
      </w:tr>
      <w:tr w:rsidR="00C30182" w:rsidRPr="00956EBE" w14:paraId="3A1D34B2" w14:textId="75FDDF09" w:rsidTr="00C30182">
        <w:trPr>
          <w:trHeight w:val="259"/>
        </w:trPr>
        <w:tc>
          <w:tcPr>
            <w:tcW w:w="609" w:type="pct"/>
            <w:vMerge/>
          </w:tcPr>
          <w:p w14:paraId="2AD21DF2" w14:textId="77777777" w:rsidR="00906F6E" w:rsidRPr="00956EBE" w:rsidRDefault="00906F6E">
            <w:pPr>
              <w:jc w:val="both"/>
              <w:rPr>
                <w:b/>
                <w:bCs/>
                <w:sz w:val="20"/>
                <w:szCs w:val="20"/>
              </w:rPr>
            </w:pPr>
          </w:p>
        </w:tc>
        <w:tc>
          <w:tcPr>
            <w:tcW w:w="1039" w:type="pct"/>
            <w:vMerge/>
          </w:tcPr>
          <w:p w14:paraId="59D39358" w14:textId="77777777" w:rsidR="00906F6E" w:rsidRPr="00956EBE" w:rsidRDefault="00906F6E">
            <w:pPr>
              <w:jc w:val="both"/>
              <w:rPr>
                <w:b/>
                <w:bCs/>
                <w:sz w:val="20"/>
                <w:szCs w:val="20"/>
              </w:rPr>
            </w:pPr>
          </w:p>
        </w:tc>
        <w:tc>
          <w:tcPr>
            <w:tcW w:w="611" w:type="pct"/>
            <w:vMerge/>
          </w:tcPr>
          <w:p w14:paraId="24C88D48" w14:textId="77777777" w:rsidR="00906F6E" w:rsidRPr="00956EBE" w:rsidRDefault="00906F6E">
            <w:pPr>
              <w:jc w:val="both"/>
              <w:rPr>
                <w:b/>
                <w:bCs/>
                <w:sz w:val="20"/>
                <w:szCs w:val="20"/>
              </w:rPr>
            </w:pPr>
          </w:p>
        </w:tc>
        <w:tc>
          <w:tcPr>
            <w:tcW w:w="1107" w:type="pct"/>
          </w:tcPr>
          <w:p w14:paraId="3CE0D5BA" w14:textId="1C612E45" w:rsidR="00906F6E" w:rsidRPr="00956EBE" w:rsidRDefault="00906F6E">
            <w:pPr>
              <w:jc w:val="both"/>
              <w:rPr>
                <w:b/>
                <w:bCs/>
                <w:sz w:val="20"/>
                <w:szCs w:val="20"/>
              </w:rPr>
            </w:pPr>
            <w:r w:rsidRPr="00956EBE">
              <w:rPr>
                <w:b/>
                <w:bCs/>
                <w:sz w:val="20"/>
                <w:szCs w:val="20"/>
              </w:rPr>
              <w:t>CD4</w:t>
            </w:r>
            <w:r>
              <w:rPr>
                <w:b/>
                <w:bCs/>
                <w:sz w:val="20"/>
                <w:szCs w:val="20"/>
              </w:rPr>
              <w:t xml:space="preserve"> </w:t>
            </w:r>
            <w:r w:rsidRPr="00956EBE">
              <w:rPr>
                <w:b/>
                <w:bCs/>
                <w:sz w:val="20"/>
                <w:szCs w:val="20"/>
              </w:rPr>
              <w:t>&gt;200</w:t>
            </w:r>
            <w:r>
              <w:rPr>
                <w:b/>
                <w:bCs/>
                <w:sz w:val="20"/>
                <w:szCs w:val="20"/>
              </w:rPr>
              <w:t>*</w:t>
            </w:r>
          </w:p>
        </w:tc>
        <w:tc>
          <w:tcPr>
            <w:tcW w:w="1059" w:type="pct"/>
          </w:tcPr>
          <w:p w14:paraId="187420DB" w14:textId="1578FE74" w:rsidR="00906F6E" w:rsidRPr="00956EBE" w:rsidRDefault="00906F6E">
            <w:pPr>
              <w:jc w:val="both"/>
              <w:rPr>
                <w:b/>
                <w:bCs/>
                <w:sz w:val="20"/>
                <w:szCs w:val="20"/>
              </w:rPr>
            </w:pPr>
            <w:r w:rsidRPr="00956EBE">
              <w:rPr>
                <w:b/>
                <w:bCs/>
                <w:sz w:val="20"/>
                <w:szCs w:val="20"/>
              </w:rPr>
              <w:t>CD4</w:t>
            </w:r>
            <w:r>
              <w:rPr>
                <w:b/>
                <w:bCs/>
                <w:sz w:val="20"/>
                <w:szCs w:val="20"/>
              </w:rPr>
              <w:t xml:space="preserve"> </w:t>
            </w:r>
            <w:r w:rsidRPr="00956EBE">
              <w:rPr>
                <w:b/>
                <w:bCs/>
                <w:sz w:val="20"/>
                <w:szCs w:val="20"/>
              </w:rPr>
              <w:t>≤200</w:t>
            </w:r>
          </w:p>
        </w:tc>
        <w:tc>
          <w:tcPr>
            <w:tcW w:w="575" w:type="pct"/>
            <w:vMerge/>
          </w:tcPr>
          <w:p w14:paraId="2762604C" w14:textId="77777777" w:rsidR="00906F6E" w:rsidRPr="00956EBE" w:rsidRDefault="00906F6E">
            <w:pPr>
              <w:jc w:val="both"/>
              <w:rPr>
                <w:b/>
                <w:bCs/>
                <w:sz w:val="20"/>
                <w:szCs w:val="20"/>
              </w:rPr>
            </w:pPr>
          </w:p>
        </w:tc>
      </w:tr>
      <w:tr w:rsidR="00C30182" w:rsidRPr="00956EBE" w14:paraId="6C9742E7" w14:textId="0414F930" w:rsidTr="00C30182">
        <w:trPr>
          <w:trHeight w:val="259"/>
        </w:trPr>
        <w:tc>
          <w:tcPr>
            <w:tcW w:w="609" w:type="pct"/>
            <w:vMerge w:val="restart"/>
          </w:tcPr>
          <w:p w14:paraId="0D7B60EA" w14:textId="53953A00" w:rsidR="00C30182" w:rsidRPr="00956EBE" w:rsidRDefault="00C30182" w:rsidP="00C30182">
            <w:pPr>
              <w:jc w:val="both"/>
              <w:rPr>
                <w:sz w:val="20"/>
                <w:szCs w:val="20"/>
              </w:rPr>
            </w:pPr>
            <w:r w:rsidRPr="00956EBE">
              <w:rPr>
                <w:sz w:val="20"/>
                <w:szCs w:val="20"/>
              </w:rPr>
              <w:t>Low-risk women</w:t>
            </w:r>
          </w:p>
        </w:tc>
        <w:tc>
          <w:tcPr>
            <w:tcW w:w="1039" w:type="pct"/>
            <w:vMerge w:val="restart"/>
          </w:tcPr>
          <w:p w14:paraId="619B642D" w14:textId="77777777" w:rsidR="00C30182" w:rsidRPr="00956EBE" w:rsidRDefault="00C30182" w:rsidP="00C30182">
            <w:pPr>
              <w:rPr>
                <w:sz w:val="20"/>
                <w:szCs w:val="20"/>
              </w:rPr>
            </w:pPr>
          </w:p>
          <w:p w14:paraId="215F0F8E" w14:textId="77777777" w:rsidR="00C30182" w:rsidRPr="00956EBE" w:rsidRDefault="00C30182" w:rsidP="00C30182">
            <w:pPr>
              <w:rPr>
                <w:sz w:val="20"/>
                <w:szCs w:val="20"/>
              </w:rPr>
            </w:pPr>
          </w:p>
          <w:p w14:paraId="32F5FE2B" w14:textId="2E772F56" w:rsidR="00C30182" w:rsidRPr="00956EBE" w:rsidRDefault="00C30182" w:rsidP="00C30182">
            <w:pPr>
              <w:rPr>
                <w:sz w:val="20"/>
                <w:szCs w:val="20"/>
              </w:rPr>
            </w:pPr>
            <w:r>
              <w:rPr>
                <w:sz w:val="20"/>
                <w:szCs w:val="20"/>
              </w:rPr>
              <w:t xml:space="preserve"> </w:t>
            </w:r>
            <w:r w:rsidRPr="00956EBE">
              <w:rPr>
                <w:sz w:val="20"/>
                <w:szCs w:val="20"/>
              </w:rPr>
              <w:t>200</w:t>
            </w:r>
            <w:r>
              <w:rPr>
                <w:sz w:val="20"/>
                <w:szCs w:val="20"/>
              </w:rPr>
              <w:t>4-2005</w:t>
            </w:r>
          </w:p>
        </w:tc>
        <w:tc>
          <w:tcPr>
            <w:tcW w:w="611" w:type="pct"/>
          </w:tcPr>
          <w:p w14:paraId="222479C9" w14:textId="77777777" w:rsidR="00C30182" w:rsidRPr="00956EBE" w:rsidRDefault="00C30182" w:rsidP="00C30182">
            <w:pPr>
              <w:jc w:val="both"/>
              <w:rPr>
                <w:sz w:val="20"/>
                <w:szCs w:val="20"/>
              </w:rPr>
            </w:pPr>
            <w:r w:rsidRPr="00956EBE">
              <w:rPr>
                <w:sz w:val="20"/>
                <w:szCs w:val="20"/>
              </w:rPr>
              <w:t>15-24</w:t>
            </w:r>
          </w:p>
        </w:tc>
        <w:tc>
          <w:tcPr>
            <w:tcW w:w="1107" w:type="pct"/>
          </w:tcPr>
          <w:p w14:paraId="6C60D667" w14:textId="26B3CB5B" w:rsidR="00C30182" w:rsidRPr="00956EBE" w:rsidRDefault="00C30182" w:rsidP="00C30182">
            <w:pPr>
              <w:jc w:val="both"/>
              <w:rPr>
                <w:sz w:val="20"/>
                <w:szCs w:val="20"/>
              </w:rPr>
            </w:pPr>
            <w:r w:rsidRPr="00956EBE">
              <w:rPr>
                <w:sz w:val="20"/>
                <w:szCs w:val="20"/>
              </w:rPr>
              <w:t>0.016 (0.007 – 0.037)</w:t>
            </w:r>
          </w:p>
        </w:tc>
        <w:tc>
          <w:tcPr>
            <w:tcW w:w="1059" w:type="pct"/>
          </w:tcPr>
          <w:p w14:paraId="5A0E2B12" w14:textId="3DCE3AE9" w:rsidR="00C30182" w:rsidRPr="00956EBE" w:rsidRDefault="00C30182" w:rsidP="00C30182">
            <w:pPr>
              <w:jc w:val="both"/>
              <w:rPr>
                <w:sz w:val="20"/>
                <w:szCs w:val="20"/>
              </w:rPr>
            </w:pPr>
            <w:r w:rsidRPr="00956EBE">
              <w:rPr>
                <w:sz w:val="20"/>
                <w:szCs w:val="20"/>
              </w:rPr>
              <w:t>0.025 (0.010 – 0.057)</w:t>
            </w:r>
          </w:p>
        </w:tc>
        <w:tc>
          <w:tcPr>
            <w:tcW w:w="575" w:type="pct"/>
            <w:vMerge w:val="restart"/>
          </w:tcPr>
          <w:p w14:paraId="33A8550B" w14:textId="75E2984E" w:rsidR="00C30182" w:rsidRPr="00956EBE" w:rsidRDefault="00C30182" w:rsidP="00C30182">
            <w:pPr>
              <w:jc w:val="both"/>
              <w:rPr>
                <w:sz w:val="20"/>
                <w:szCs w:val="20"/>
              </w:rPr>
            </w:pPr>
            <w:r>
              <w:rPr>
                <w:sz w:val="20"/>
                <w:szCs w:val="20"/>
              </w:rPr>
              <w:t>DHS 2005</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Health","id":"ITEM-1","issued":{"date-parts":[["2005"]]},"title":"Demographic and Health Survey, 2005","type":"webpage"},"uris":["http://www.mendeley.com/documents/?uuid=6f21bb5a-4b85-490b-a1b4-bfcffbde8423"]}],"mendeley":{"formattedCitation":"&lt;sup&gt;22&lt;/sup&gt;","plainTextFormattedCitation":"22","previouslyFormattedCitation":"&lt;sup&gt;23&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22</w:t>
            </w:r>
            <w:r>
              <w:rPr>
                <w:sz w:val="20"/>
                <w:szCs w:val="20"/>
              </w:rPr>
              <w:fldChar w:fldCharType="end"/>
            </w:r>
          </w:p>
        </w:tc>
      </w:tr>
      <w:tr w:rsidR="00C30182" w:rsidRPr="00956EBE" w14:paraId="251EC1BA" w14:textId="5BD36016" w:rsidTr="00C30182">
        <w:trPr>
          <w:trHeight w:val="259"/>
        </w:trPr>
        <w:tc>
          <w:tcPr>
            <w:tcW w:w="609" w:type="pct"/>
            <w:vMerge/>
          </w:tcPr>
          <w:p w14:paraId="01EE914E" w14:textId="77777777" w:rsidR="00C30182" w:rsidRPr="00956EBE" w:rsidRDefault="00C30182" w:rsidP="00C30182">
            <w:pPr>
              <w:jc w:val="both"/>
              <w:rPr>
                <w:sz w:val="20"/>
                <w:szCs w:val="20"/>
              </w:rPr>
            </w:pPr>
          </w:p>
        </w:tc>
        <w:tc>
          <w:tcPr>
            <w:tcW w:w="1039" w:type="pct"/>
            <w:vMerge/>
          </w:tcPr>
          <w:p w14:paraId="38491AB4" w14:textId="77777777" w:rsidR="00C30182" w:rsidRPr="00956EBE" w:rsidRDefault="00C30182" w:rsidP="00C30182">
            <w:pPr>
              <w:rPr>
                <w:sz w:val="20"/>
                <w:szCs w:val="20"/>
              </w:rPr>
            </w:pPr>
          </w:p>
        </w:tc>
        <w:tc>
          <w:tcPr>
            <w:tcW w:w="611" w:type="pct"/>
          </w:tcPr>
          <w:p w14:paraId="67923C2A" w14:textId="77777777" w:rsidR="00C30182" w:rsidRPr="00956EBE" w:rsidRDefault="00C30182" w:rsidP="00C30182">
            <w:pPr>
              <w:jc w:val="both"/>
              <w:rPr>
                <w:sz w:val="20"/>
                <w:szCs w:val="20"/>
              </w:rPr>
            </w:pPr>
            <w:r w:rsidRPr="00956EBE">
              <w:rPr>
                <w:sz w:val="20"/>
                <w:szCs w:val="20"/>
              </w:rPr>
              <w:t>25-34</w:t>
            </w:r>
          </w:p>
        </w:tc>
        <w:tc>
          <w:tcPr>
            <w:tcW w:w="1107" w:type="pct"/>
          </w:tcPr>
          <w:p w14:paraId="701B00C1" w14:textId="14E73F1E" w:rsidR="00C30182" w:rsidRPr="00956EBE" w:rsidRDefault="00C30182" w:rsidP="00C30182">
            <w:pPr>
              <w:jc w:val="both"/>
              <w:rPr>
                <w:sz w:val="20"/>
                <w:szCs w:val="20"/>
              </w:rPr>
            </w:pPr>
            <w:r w:rsidRPr="00956EBE">
              <w:rPr>
                <w:sz w:val="20"/>
                <w:szCs w:val="20"/>
              </w:rPr>
              <w:t>0.027 (0.016 – 0.043)</w:t>
            </w:r>
          </w:p>
        </w:tc>
        <w:tc>
          <w:tcPr>
            <w:tcW w:w="1059" w:type="pct"/>
          </w:tcPr>
          <w:p w14:paraId="56F8E2B9" w14:textId="246A7C1C" w:rsidR="00C30182" w:rsidRPr="00956EBE" w:rsidRDefault="00C30182" w:rsidP="00C30182">
            <w:pPr>
              <w:jc w:val="both"/>
              <w:rPr>
                <w:sz w:val="20"/>
                <w:szCs w:val="20"/>
              </w:rPr>
            </w:pPr>
            <w:r w:rsidRPr="00956EBE">
              <w:rPr>
                <w:sz w:val="20"/>
                <w:szCs w:val="20"/>
              </w:rPr>
              <w:t xml:space="preserve">0.041 (0.025 – 0.067) </w:t>
            </w:r>
          </w:p>
        </w:tc>
        <w:tc>
          <w:tcPr>
            <w:tcW w:w="575" w:type="pct"/>
            <w:vMerge/>
          </w:tcPr>
          <w:p w14:paraId="571A04B5" w14:textId="77777777" w:rsidR="00C30182" w:rsidRPr="00956EBE" w:rsidRDefault="00C30182" w:rsidP="00C30182">
            <w:pPr>
              <w:jc w:val="both"/>
              <w:rPr>
                <w:sz w:val="20"/>
                <w:szCs w:val="20"/>
              </w:rPr>
            </w:pPr>
          </w:p>
        </w:tc>
      </w:tr>
      <w:tr w:rsidR="00C30182" w:rsidRPr="00956EBE" w14:paraId="6206D90C" w14:textId="1C336FFE" w:rsidTr="00C30182">
        <w:trPr>
          <w:trHeight w:val="259"/>
        </w:trPr>
        <w:tc>
          <w:tcPr>
            <w:tcW w:w="609" w:type="pct"/>
            <w:vMerge/>
          </w:tcPr>
          <w:p w14:paraId="27FAD357" w14:textId="77777777" w:rsidR="00C30182" w:rsidRPr="00956EBE" w:rsidRDefault="00C30182" w:rsidP="00C30182">
            <w:pPr>
              <w:jc w:val="both"/>
              <w:rPr>
                <w:sz w:val="20"/>
                <w:szCs w:val="20"/>
              </w:rPr>
            </w:pPr>
          </w:p>
        </w:tc>
        <w:tc>
          <w:tcPr>
            <w:tcW w:w="1039" w:type="pct"/>
            <w:vMerge/>
          </w:tcPr>
          <w:p w14:paraId="5C8A711E" w14:textId="77777777" w:rsidR="00C30182" w:rsidRPr="00956EBE" w:rsidRDefault="00C30182" w:rsidP="00C30182">
            <w:pPr>
              <w:rPr>
                <w:sz w:val="20"/>
                <w:szCs w:val="20"/>
              </w:rPr>
            </w:pPr>
          </w:p>
        </w:tc>
        <w:tc>
          <w:tcPr>
            <w:tcW w:w="611" w:type="pct"/>
          </w:tcPr>
          <w:p w14:paraId="462274CC" w14:textId="77777777" w:rsidR="00C30182" w:rsidRPr="00956EBE" w:rsidRDefault="00C30182" w:rsidP="00C30182">
            <w:pPr>
              <w:jc w:val="both"/>
              <w:rPr>
                <w:sz w:val="20"/>
                <w:szCs w:val="20"/>
              </w:rPr>
            </w:pPr>
            <w:r w:rsidRPr="00956EBE">
              <w:rPr>
                <w:sz w:val="20"/>
                <w:szCs w:val="20"/>
              </w:rPr>
              <w:t>35-44</w:t>
            </w:r>
          </w:p>
        </w:tc>
        <w:tc>
          <w:tcPr>
            <w:tcW w:w="1107" w:type="pct"/>
          </w:tcPr>
          <w:p w14:paraId="32E79B57" w14:textId="6642954C" w:rsidR="00C30182" w:rsidRPr="00956EBE" w:rsidRDefault="00C30182" w:rsidP="00C30182">
            <w:pPr>
              <w:jc w:val="both"/>
              <w:rPr>
                <w:sz w:val="20"/>
                <w:szCs w:val="20"/>
              </w:rPr>
            </w:pPr>
            <w:r w:rsidRPr="00956EBE">
              <w:rPr>
                <w:sz w:val="20"/>
                <w:szCs w:val="20"/>
              </w:rPr>
              <w:t>0.027 (0.018 – 0.042)</w:t>
            </w:r>
          </w:p>
        </w:tc>
        <w:tc>
          <w:tcPr>
            <w:tcW w:w="1059" w:type="pct"/>
          </w:tcPr>
          <w:p w14:paraId="7A3F1B4A" w14:textId="462DE528" w:rsidR="00C30182" w:rsidRPr="00956EBE" w:rsidRDefault="00C30182" w:rsidP="00C30182">
            <w:pPr>
              <w:jc w:val="both"/>
              <w:rPr>
                <w:sz w:val="20"/>
                <w:szCs w:val="20"/>
              </w:rPr>
            </w:pPr>
            <w:r w:rsidRPr="00956EBE">
              <w:rPr>
                <w:sz w:val="20"/>
                <w:szCs w:val="20"/>
              </w:rPr>
              <w:t>0.043 (0.027 – 0.065)</w:t>
            </w:r>
          </w:p>
        </w:tc>
        <w:tc>
          <w:tcPr>
            <w:tcW w:w="575" w:type="pct"/>
            <w:vMerge/>
          </w:tcPr>
          <w:p w14:paraId="7C5C2DC0" w14:textId="77777777" w:rsidR="00C30182" w:rsidRPr="00956EBE" w:rsidRDefault="00C30182" w:rsidP="00C30182">
            <w:pPr>
              <w:jc w:val="both"/>
              <w:rPr>
                <w:sz w:val="20"/>
                <w:szCs w:val="20"/>
              </w:rPr>
            </w:pPr>
          </w:p>
        </w:tc>
      </w:tr>
      <w:tr w:rsidR="00C30182" w:rsidRPr="00956EBE" w14:paraId="0B2B13E4" w14:textId="77540DB7" w:rsidTr="00C30182">
        <w:trPr>
          <w:trHeight w:val="259"/>
        </w:trPr>
        <w:tc>
          <w:tcPr>
            <w:tcW w:w="609" w:type="pct"/>
            <w:vMerge/>
          </w:tcPr>
          <w:p w14:paraId="3BC1823E" w14:textId="77777777" w:rsidR="00C30182" w:rsidRPr="00956EBE" w:rsidRDefault="00C30182" w:rsidP="00C30182">
            <w:pPr>
              <w:jc w:val="both"/>
              <w:rPr>
                <w:sz w:val="20"/>
                <w:szCs w:val="20"/>
              </w:rPr>
            </w:pPr>
          </w:p>
        </w:tc>
        <w:tc>
          <w:tcPr>
            <w:tcW w:w="1039" w:type="pct"/>
            <w:vMerge/>
          </w:tcPr>
          <w:p w14:paraId="09AE590C" w14:textId="77777777" w:rsidR="00C30182" w:rsidRPr="00956EBE" w:rsidRDefault="00C30182" w:rsidP="00C30182">
            <w:pPr>
              <w:rPr>
                <w:sz w:val="20"/>
                <w:szCs w:val="20"/>
              </w:rPr>
            </w:pPr>
          </w:p>
        </w:tc>
        <w:tc>
          <w:tcPr>
            <w:tcW w:w="611" w:type="pct"/>
          </w:tcPr>
          <w:p w14:paraId="009AD0A5" w14:textId="77777777" w:rsidR="00C30182" w:rsidRPr="00956EBE" w:rsidRDefault="00C30182" w:rsidP="00C30182">
            <w:pPr>
              <w:jc w:val="both"/>
              <w:rPr>
                <w:sz w:val="20"/>
                <w:szCs w:val="20"/>
              </w:rPr>
            </w:pPr>
            <w:r w:rsidRPr="00956EBE">
              <w:rPr>
                <w:sz w:val="20"/>
                <w:szCs w:val="20"/>
              </w:rPr>
              <w:t>45-54</w:t>
            </w:r>
          </w:p>
        </w:tc>
        <w:tc>
          <w:tcPr>
            <w:tcW w:w="1107" w:type="pct"/>
          </w:tcPr>
          <w:p w14:paraId="4E42EEA8" w14:textId="02D74772" w:rsidR="00C30182" w:rsidRPr="00956EBE" w:rsidRDefault="00C30182" w:rsidP="00C30182">
            <w:pPr>
              <w:jc w:val="both"/>
              <w:rPr>
                <w:sz w:val="20"/>
                <w:szCs w:val="20"/>
              </w:rPr>
            </w:pPr>
            <w:r w:rsidRPr="00956EBE">
              <w:rPr>
                <w:sz w:val="20"/>
                <w:szCs w:val="20"/>
              </w:rPr>
              <w:t>0.027 (0.018 – 0.042)</w:t>
            </w:r>
          </w:p>
        </w:tc>
        <w:tc>
          <w:tcPr>
            <w:tcW w:w="1059" w:type="pct"/>
          </w:tcPr>
          <w:p w14:paraId="78CA7D05" w14:textId="5F2093E4" w:rsidR="00C30182" w:rsidRPr="00956EBE" w:rsidRDefault="00C30182" w:rsidP="00C30182">
            <w:pPr>
              <w:jc w:val="both"/>
              <w:rPr>
                <w:sz w:val="20"/>
                <w:szCs w:val="20"/>
              </w:rPr>
            </w:pPr>
            <w:r w:rsidRPr="00956EBE">
              <w:rPr>
                <w:sz w:val="20"/>
                <w:szCs w:val="20"/>
              </w:rPr>
              <w:t>0.043 (0.027 – 0.065)</w:t>
            </w:r>
          </w:p>
        </w:tc>
        <w:tc>
          <w:tcPr>
            <w:tcW w:w="575" w:type="pct"/>
            <w:vMerge/>
          </w:tcPr>
          <w:p w14:paraId="6E9F2621" w14:textId="77777777" w:rsidR="00C30182" w:rsidRPr="00956EBE" w:rsidRDefault="00C30182" w:rsidP="00C30182">
            <w:pPr>
              <w:jc w:val="both"/>
              <w:rPr>
                <w:sz w:val="20"/>
                <w:szCs w:val="20"/>
              </w:rPr>
            </w:pPr>
          </w:p>
        </w:tc>
      </w:tr>
      <w:tr w:rsidR="00C30182" w:rsidRPr="00956EBE" w14:paraId="5381B128" w14:textId="6A86BB8B" w:rsidTr="00C30182">
        <w:trPr>
          <w:trHeight w:val="259"/>
        </w:trPr>
        <w:tc>
          <w:tcPr>
            <w:tcW w:w="609" w:type="pct"/>
            <w:vMerge/>
          </w:tcPr>
          <w:p w14:paraId="0EA6DB09" w14:textId="77777777" w:rsidR="00C30182" w:rsidRPr="00956EBE" w:rsidRDefault="00C30182" w:rsidP="00C30182">
            <w:pPr>
              <w:jc w:val="both"/>
              <w:rPr>
                <w:sz w:val="20"/>
                <w:szCs w:val="20"/>
              </w:rPr>
            </w:pPr>
          </w:p>
        </w:tc>
        <w:tc>
          <w:tcPr>
            <w:tcW w:w="1039" w:type="pct"/>
            <w:vMerge/>
          </w:tcPr>
          <w:p w14:paraId="322DAD81" w14:textId="77777777" w:rsidR="00C30182" w:rsidRPr="00956EBE" w:rsidRDefault="00C30182" w:rsidP="00C30182">
            <w:pPr>
              <w:rPr>
                <w:sz w:val="20"/>
                <w:szCs w:val="20"/>
              </w:rPr>
            </w:pPr>
          </w:p>
        </w:tc>
        <w:tc>
          <w:tcPr>
            <w:tcW w:w="611" w:type="pct"/>
          </w:tcPr>
          <w:p w14:paraId="1D660169" w14:textId="77777777" w:rsidR="00C30182" w:rsidRPr="00956EBE" w:rsidRDefault="00C30182" w:rsidP="00C30182">
            <w:pPr>
              <w:jc w:val="both"/>
              <w:rPr>
                <w:sz w:val="20"/>
                <w:szCs w:val="20"/>
              </w:rPr>
            </w:pPr>
            <w:r w:rsidRPr="00956EBE">
              <w:rPr>
                <w:sz w:val="20"/>
                <w:szCs w:val="20"/>
              </w:rPr>
              <w:t>55+</w:t>
            </w:r>
          </w:p>
        </w:tc>
        <w:tc>
          <w:tcPr>
            <w:tcW w:w="1107" w:type="pct"/>
          </w:tcPr>
          <w:p w14:paraId="6D50E0EC" w14:textId="038A0A5C" w:rsidR="00C30182" w:rsidRPr="00956EBE" w:rsidRDefault="00C30182" w:rsidP="00C30182">
            <w:pPr>
              <w:jc w:val="both"/>
              <w:rPr>
                <w:sz w:val="20"/>
                <w:szCs w:val="20"/>
              </w:rPr>
            </w:pPr>
            <w:r w:rsidRPr="00956EBE">
              <w:rPr>
                <w:sz w:val="20"/>
                <w:szCs w:val="20"/>
              </w:rPr>
              <w:t>0.027 (0.018 – 0.042)</w:t>
            </w:r>
          </w:p>
        </w:tc>
        <w:tc>
          <w:tcPr>
            <w:tcW w:w="1059" w:type="pct"/>
          </w:tcPr>
          <w:p w14:paraId="52D1BE63" w14:textId="642BDFE8" w:rsidR="00C30182" w:rsidRPr="00956EBE" w:rsidRDefault="00C30182" w:rsidP="00C30182">
            <w:pPr>
              <w:jc w:val="both"/>
              <w:rPr>
                <w:sz w:val="20"/>
                <w:szCs w:val="20"/>
              </w:rPr>
            </w:pPr>
            <w:r w:rsidRPr="00956EBE">
              <w:rPr>
                <w:sz w:val="20"/>
                <w:szCs w:val="20"/>
              </w:rPr>
              <w:t>0.043 (0.027 – 0.065)</w:t>
            </w:r>
          </w:p>
        </w:tc>
        <w:tc>
          <w:tcPr>
            <w:tcW w:w="575" w:type="pct"/>
            <w:vMerge/>
          </w:tcPr>
          <w:p w14:paraId="4DD5B191" w14:textId="77777777" w:rsidR="00C30182" w:rsidRPr="00956EBE" w:rsidRDefault="00C30182" w:rsidP="00C30182">
            <w:pPr>
              <w:jc w:val="both"/>
              <w:rPr>
                <w:sz w:val="20"/>
                <w:szCs w:val="20"/>
              </w:rPr>
            </w:pPr>
          </w:p>
        </w:tc>
      </w:tr>
      <w:tr w:rsidR="00C30182" w:rsidRPr="00956EBE" w14:paraId="62933FF2" w14:textId="1A09DB00" w:rsidTr="00C30182">
        <w:trPr>
          <w:trHeight w:val="259"/>
        </w:trPr>
        <w:tc>
          <w:tcPr>
            <w:tcW w:w="609" w:type="pct"/>
            <w:vMerge/>
          </w:tcPr>
          <w:p w14:paraId="31763987" w14:textId="77777777" w:rsidR="00C30182" w:rsidRPr="00956EBE" w:rsidRDefault="00C30182" w:rsidP="00C30182">
            <w:pPr>
              <w:jc w:val="both"/>
              <w:rPr>
                <w:sz w:val="20"/>
                <w:szCs w:val="20"/>
              </w:rPr>
            </w:pPr>
          </w:p>
        </w:tc>
        <w:tc>
          <w:tcPr>
            <w:tcW w:w="1039" w:type="pct"/>
            <w:vMerge w:val="restart"/>
          </w:tcPr>
          <w:p w14:paraId="00DB741E" w14:textId="77777777" w:rsidR="00C30182" w:rsidRPr="00956EBE" w:rsidRDefault="00C30182" w:rsidP="00C30182">
            <w:pPr>
              <w:rPr>
                <w:sz w:val="20"/>
                <w:szCs w:val="20"/>
              </w:rPr>
            </w:pPr>
          </w:p>
          <w:p w14:paraId="7E025B51" w14:textId="77777777" w:rsidR="00C30182" w:rsidRPr="00956EBE" w:rsidRDefault="00C30182" w:rsidP="00C30182">
            <w:pPr>
              <w:rPr>
                <w:sz w:val="20"/>
                <w:szCs w:val="20"/>
              </w:rPr>
            </w:pPr>
          </w:p>
          <w:p w14:paraId="532B7500" w14:textId="5B8678DB" w:rsidR="00C30182" w:rsidRPr="00956EBE" w:rsidRDefault="00C30182" w:rsidP="00C30182">
            <w:pPr>
              <w:rPr>
                <w:sz w:val="20"/>
                <w:szCs w:val="20"/>
              </w:rPr>
            </w:pPr>
            <w:r w:rsidRPr="00956EBE">
              <w:rPr>
                <w:sz w:val="20"/>
                <w:szCs w:val="20"/>
              </w:rPr>
              <w:t>200</w:t>
            </w:r>
            <w:r>
              <w:rPr>
                <w:sz w:val="20"/>
                <w:szCs w:val="20"/>
              </w:rPr>
              <w:t>6-2010</w:t>
            </w:r>
          </w:p>
        </w:tc>
        <w:tc>
          <w:tcPr>
            <w:tcW w:w="611" w:type="pct"/>
          </w:tcPr>
          <w:p w14:paraId="45345885" w14:textId="77777777" w:rsidR="00C30182" w:rsidRPr="00956EBE" w:rsidRDefault="00C30182" w:rsidP="00C30182">
            <w:pPr>
              <w:jc w:val="both"/>
              <w:rPr>
                <w:sz w:val="20"/>
                <w:szCs w:val="20"/>
              </w:rPr>
            </w:pPr>
            <w:r w:rsidRPr="00956EBE">
              <w:rPr>
                <w:sz w:val="20"/>
                <w:szCs w:val="20"/>
              </w:rPr>
              <w:t>15-24</w:t>
            </w:r>
          </w:p>
        </w:tc>
        <w:tc>
          <w:tcPr>
            <w:tcW w:w="1107" w:type="pct"/>
          </w:tcPr>
          <w:p w14:paraId="0434B6CB" w14:textId="2069E511" w:rsidR="00C30182" w:rsidRPr="00956EBE" w:rsidRDefault="00C30182" w:rsidP="00C30182">
            <w:pPr>
              <w:jc w:val="both"/>
              <w:rPr>
                <w:sz w:val="20"/>
                <w:szCs w:val="20"/>
              </w:rPr>
            </w:pPr>
            <w:r w:rsidRPr="00956EBE">
              <w:rPr>
                <w:sz w:val="20"/>
                <w:szCs w:val="20"/>
              </w:rPr>
              <w:t>0.145 (0.058 – 0.246)</w:t>
            </w:r>
          </w:p>
        </w:tc>
        <w:tc>
          <w:tcPr>
            <w:tcW w:w="1059" w:type="pct"/>
          </w:tcPr>
          <w:p w14:paraId="7555405E" w14:textId="35AAAD5D" w:rsidR="00C30182" w:rsidRPr="00956EBE" w:rsidRDefault="00C30182" w:rsidP="00C30182">
            <w:pPr>
              <w:jc w:val="both"/>
              <w:rPr>
                <w:sz w:val="20"/>
                <w:szCs w:val="20"/>
              </w:rPr>
            </w:pPr>
            <w:r w:rsidRPr="00956EBE">
              <w:rPr>
                <w:sz w:val="20"/>
                <w:szCs w:val="20"/>
              </w:rPr>
              <w:t>0.226 (0.091 – 0.383)</w:t>
            </w:r>
          </w:p>
        </w:tc>
        <w:tc>
          <w:tcPr>
            <w:tcW w:w="575" w:type="pct"/>
            <w:vMerge w:val="restart"/>
          </w:tcPr>
          <w:p w14:paraId="072341E1" w14:textId="4E2D3AAA" w:rsidR="00C30182" w:rsidRPr="00956EBE" w:rsidRDefault="00C30182" w:rsidP="00C30182">
            <w:pPr>
              <w:jc w:val="both"/>
              <w:rPr>
                <w:sz w:val="20"/>
                <w:szCs w:val="20"/>
              </w:rPr>
            </w:pPr>
            <w:r>
              <w:rPr>
                <w:sz w:val="20"/>
                <w:szCs w:val="20"/>
              </w:rPr>
              <w:t>DHS 2010</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Health","id":"ITEM-1","issued":{"date-parts":[["2010"]]},"title":"Demographic and Health Survey, 2010","type":"webpage"},"uris":["http://www.mendeley.com/documents/?uuid=ad9040c2-d770-4441-b0a2-11a1c9d3664f"]}],"mendeley":{"formattedCitation":"&lt;sup&gt;43&lt;/sup&gt;","plainTextFormattedCitation":"43","previouslyFormattedCitation":"&lt;sup&gt;41&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43</w:t>
            </w:r>
            <w:r>
              <w:rPr>
                <w:sz w:val="20"/>
                <w:szCs w:val="20"/>
              </w:rPr>
              <w:fldChar w:fldCharType="end"/>
            </w:r>
          </w:p>
        </w:tc>
      </w:tr>
      <w:tr w:rsidR="00C30182" w:rsidRPr="00956EBE" w14:paraId="55E528DA" w14:textId="6EA31506" w:rsidTr="00C30182">
        <w:trPr>
          <w:trHeight w:val="259"/>
        </w:trPr>
        <w:tc>
          <w:tcPr>
            <w:tcW w:w="609" w:type="pct"/>
            <w:vMerge/>
          </w:tcPr>
          <w:p w14:paraId="46091309" w14:textId="77777777" w:rsidR="00C30182" w:rsidRPr="00956EBE" w:rsidRDefault="00C30182" w:rsidP="00C30182">
            <w:pPr>
              <w:jc w:val="both"/>
              <w:rPr>
                <w:sz w:val="20"/>
                <w:szCs w:val="20"/>
              </w:rPr>
            </w:pPr>
          </w:p>
        </w:tc>
        <w:tc>
          <w:tcPr>
            <w:tcW w:w="1039" w:type="pct"/>
            <w:vMerge/>
          </w:tcPr>
          <w:p w14:paraId="652C1E3A" w14:textId="77777777" w:rsidR="00C30182" w:rsidRPr="00956EBE" w:rsidRDefault="00C30182" w:rsidP="00C30182">
            <w:pPr>
              <w:rPr>
                <w:sz w:val="20"/>
                <w:szCs w:val="20"/>
              </w:rPr>
            </w:pPr>
          </w:p>
        </w:tc>
        <w:tc>
          <w:tcPr>
            <w:tcW w:w="611" w:type="pct"/>
          </w:tcPr>
          <w:p w14:paraId="68908EBB" w14:textId="77777777" w:rsidR="00C30182" w:rsidRPr="00956EBE" w:rsidRDefault="00C30182" w:rsidP="00C30182">
            <w:pPr>
              <w:jc w:val="both"/>
              <w:rPr>
                <w:sz w:val="20"/>
                <w:szCs w:val="20"/>
              </w:rPr>
            </w:pPr>
            <w:r w:rsidRPr="00956EBE">
              <w:rPr>
                <w:sz w:val="20"/>
                <w:szCs w:val="20"/>
              </w:rPr>
              <w:t>25-34</w:t>
            </w:r>
          </w:p>
        </w:tc>
        <w:tc>
          <w:tcPr>
            <w:tcW w:w="1107" w:type="pct"/>
          </w:tcPr>
          <w:p w14:paraId="0CC078D9" w14:textId="2EC7A4DC" w:rsidR="00C30182" w:rsidRPr="00956EBE" w:rsidRDefault="00C30182" w:rsidP="00C30182">
            <w:pPr>
              <w:jc w:val="both"/>
              <w:rPr>
                <w:sz w:val="20"/>
                <w:szCs w:val="20"/>
              </w:rPr>
            </w:pPr>
            <w:r w:rsidRPr="00956EBE">
              <w:rPr>
                <w:sz w:val="20"/>
                <w:szCs w:val="20"/>
              </w:rPr>
              <w:t>0.146 (0.076 – 0.225)</w:t>
            </w:r>
          </w:p>
        </w:tc>
        <w:tc>
          <w:tcPr>
            <w:tcW w:w="1059" w:type="pct"/>
          </w:tcPr>
          <w:p w14:paraId="4EE8D94C" w14:textId="34D77694" w:rsidR="00C30182" w:rsidRPr="00956EBE" w:rsidRDefault="00C30182" w:rsidP="00C30182">
            <w:pPr>
              <w:jc w:val="both"/>
              <w:rPr>
                <w:sz w:val="20"/>
                <w:szCs w:val="20"/>
              </w:rPr>
            </w:pPr>
            <w:r w:rsidRPr="00956EBE">
              <w:rPr>
                <w:sz w:val="20"/>
                <w:szCs w:val="20"/>
              </w:rPr>
              <w:t>0.228 (0.118 – 0.351)</w:t>
            </w:r>
          </w:p>
        </w:tc>
        <w:tc>
          <w:tcPr>
            <w:tcW w:w="575" w:type="pct"/>
            <w:vMerge/>
          </w:tcPr>
          <w:p w14:paraId="016A818B" w14:textId="77777777" w:rsidR="00C30182" w:rsidRPr="00956EBE" w:rsidRDefault="00C30182" w:rsidP="00C30182">
            <w:pPr>
              <w:jc w:val="both"/>
              <w:rPr>
                <w:sz w:val="20"/>
                <w:szCs w:val="20"/>
              </w:rPr>
            </w:pPr>
          </w:p>
        </w:tc>
      </w:tr>
      <w:tr w:rsidR="00C30182" w:rsidRPr="00956EBE" w14:paraId="2930737A" w14:textId="6DF8566F" w:rsidTr="00C30182">
        <w:trPr>
          <w:trHeight w:val="259"/>
        </w:trPr>
        <w:tc>
          <w:tcPr>
            <w:tcW w:w="609" w:type="pct"/>
            <w:vMerge/>
          </w:tcPr>
          <w:p w14:paraId="535D10C8" w14:textId="77777777" w:rsidR="00C30182" w:rsidRPr="00956EBE" w:rsidRDefault="00C30182" w:rsidP="00C30182">
            <w:pPr>
              <w:jc w:val="both"/>
              <w:rPr>
                <w:sz w:val="20"/>
                <w:szCs w:val="20"/>
              </w:rPr>
            </w:pPr>
          </w:p>
        </w:tc>
        <w:tc>
          <w:tcPr>
            <w:tcW w:w="1039" w:type="pct"/>
            <w:vMerge/>
          </w:tcPr>
          <w:p w14:paraId="34599D7A" w14:textId="77777777" w:rsidR="00C30182" w:rsidRPr="00956EBE" w:rsidRDefault="00C30182" w:rsidP="00C30182">
            <w:pPr>
              <w:rPr>
                <w:sz w:val="20"/>
                <w:szCs w:val="20"/>
              </w:rPr>
            </w:pPr>
          </w:p>
        </w:tc>
        <w:tc>
          <w:tcPr>
            <w:tcW w:w="611" w:type="pct"/>
          </w:tcPr>
          <w:p w14:paraId="6CFB1C79" w14:textId="77777777" w:rsidR="00C30182" w:rsidRPr="00956EBE" w:rsidRDefault="00C30182" w:rsidP="00C30182">
            <w:pPr>
              <w:jc w:val="both"/>
              <w:rPr>
                <w:sz w:val="20"/>
                <w:szCs w:val="20"/>
              </w:rPr>
            </w:pPr>
            <w:r w:rsidRPr="00956EBE">
              <w:rPr>
                <w:sz w:val="20"/>
                <w:szCs w:val="20"/>
              </w:rPr>
              <w:t>35-44</w:t>
            </w:r>
          </w:p>
        </w:tc>
        <w:tc>
          <w:tcPr>
            <w:tcW w:w="1107" w:type="pct"/>
          </w:tcPr>
          <w:p w14:paraId="78802EE9" w14:textId="1B4B72E9" w:rsidR="00C30182" w:rsidRPr="00956EBE" w:rsidRDefault="00C30182" w:rsidP="00C30182">
            <w:pPr>
              <w:jc w:val="both"/>
              <w:rPr>
                <w:sz w:val="20"/>
                <w:szCs w:val="20"/>
              </w:rPr>
            </w:pPr>
            <w:r w:rsidRPr="00956EBE">
              <w:rPr>
                <w:sz w:val="20"/>
                <w:szCs w:val="20"/>
              </w:rPr>
              <w:t>0.111 (0.069 – 0.160)</w:t>
            </w:r>
          </w:p>
        </w:tc>
        <w:tc>
          <w:tcPr>
            <w:tcW w:w="1059" w:type="pct"/>
          </w:tcPr>
          <w:p w14:paraId="6894A2A5" w14:textId="089CCCB2" w:rsidR="00C30182" w:rsidRPr="00956EBE" w:rsidRDefault="00C30182" w:rsidP="00C30182">
            <w:pPr>
              <w:jc w:val="both"/>
              <w:rPr>
                <w:sz w:val="20"/>
                <w:szCs w:val="20"/>
              </w:rPr>
            </w:pPr>
            <w:r w:rsidRPr="00956EBE">
              <w:rPr>
                <w:sz w:val="20"/>
                <w:szCs w:val="20"/>
              </w:rPr>
              <w:t>0.173 (0.108 – 0.250)</w:t>
            </w:r>
          </w:p>
        </w:tc>
        <w:tc>
          <w:tcPr>
            <w:tcW w:w="575" w:type="pct"/>
            <w:vMerge/>
          </w:tcPr>
          <w:p w14:paraId="6B18CF38" w14:textId="77777777" w:rsidR="00C30182" w:rsidRPr="00956EBE" w:rsidRDefault="00C30182" w:rsidP="00C30182">
            <w:pPr>
              <w:jc w:val="both"/>
              <w:rPr>
                <w:sz w:val="20"/>
                <w:szCs w:val="20"/>
              </w:rPr>
            </w:pPr>
          </w:p>
        </w:tc>
      </w:tr>
      <w:tr w:rsidR="00C30182" w:rsidRPr="00956EBE" w14:paraId="7DD14C83" w14:textId="31D27621" w:rsidTr="00C30182">
        <w:trPr>
          <w:trHeight w:val="259"/>
        </w:trPr>
        <w:tc>
          <w:tcPr>
            <w:tcW w:w="609" w:type="pct"/>
            <w:vMerge/>
          </w:tcPr>
          <w:p w14:paraId="42CAD980" w14:textId="77777777" w:rsidR="00C30182" w:rsidRPr="00956EBE" w:rsidRDefault="00C30182" w:rsidP="00C30182">
            <w:pPr>
              <w:jc w:val="both"/>
              <w:rPr>
                <w:sz w:val="20"/>
                <w:szCs w:val="20"/>
              </w:rPr>
            </w:pPr>
          </w:p>
        </w:tc>
        <w:tc>
          <w:tcPr>
            <w:tcW w:w="1039" w:type="pct"/>
            <w:vMerge/>
          </w:tcPr>
          <w:p w14:paraId="7B06D698" w14:textId="77777777" w:rsidR="00C30182" w:rsidRPr="00956EBE" w:rsidRDefault="00C30182" w:rsidP="00C30182">
            <w:pPr>
              <w:rPr>
                <w:sz w:val="20"/>
                <w:szCs w:val="20"/>
              </w:rPr>
            </w:pPr>
          </w:p>
        </w:tc>
        <w:tc>
          <w:tcPr>
            <w:tcW w:w="611" w:type="pct"/>
          </w:tcPr>
          <w:p w14:paraId="50636FEA" w14:textId="77777777" w:rsidR="00C30182" w:rsidRPr="00956EBE" w:rsidRDefault="00C30182" w:rsidP="00C30182">
            <w:pPr>
              <w:jc w:val="both"/>
              <w:rPr>
                <w:sz w:val="20"/>
                <w:szCs w:val="20"/>
              </w:rPr>
            </w:pPr>
            <w:r w:rsidRPr="00956EBE">
              <w:rPr>
                <w:sz w:val="20"/>
                <w:szCs w:val="20"/>
              </w:rPr>
              <w:t>45-54</w:t>
            </w:r>
          </w:p>
        </w:tc>
        <w:tc>
          <w:tcPr>
            <w:tcW w:w="1107" w:type="pct"/>
          </w:tcPr>
          <w:p w14:paraId="11C95707" w14:textId="24C4FA38" w:rsidR="00C30182" w:rsidRPr="00956EBE" w:rsidRDefault="00C30182" w:rsidP="00C30182">
            <w:pPr>
              <w:jc w:val="both"/>
              <w:rPr>
                <w:sz w:val="20"/>
                <w:szCs w:val="20"/>
              </w:rPr>
            </w:pPr>
            <w:r w:rsidRPr="00956EBE">
              <w:rPr>
                <w:sz w:val="20"/>
                <w:szCs w:val="20"/>
              </w:rPr>
              <w:t>0.111 (0.069 – 0.160)</w:t>
            </w:r>
          </w:p>
        </w:tc>
        <w:tc>
          <w:tcPr>
            <w:tcW w:w="1059" w:type="pct"/>
          </w:tcPr>
          <w:p w14:paraId="741C540C" w14:textId="2BF42142" w:rsidR="00C30182" w:rsidRPr="00956EBE" w:rsidRDefault="00C30182" w:rsidP="00C30182">
            <w:pPr>
              <w:jc w:val="both"/>
              <w:rPr>
                <w:sz w:val="20"/>
                <w:szCs w:val="20"/>
              </w:rPr>
            </w:pPr>
            <w:r w:rsidRPr="00956EBE">
              <w:rPr>
                <w:sz w:val="20"/>
                <w:szCs w:val="20"/>
              </w:rPr>
              <w:t>0.173 (0.108 – 0.250)</w:t>
            </w:r>
          </w:p>
        </w:tc>
        <w:tc>
          <w:tcPr>
            <w:tcW w:w="575" w:type="pct"/>
            <w:vMerge/>
          </w:tcPr>
          <w:p w14:paraId="720AA148" w14:textId="77777777" w:rsidR="00C30182" w:rsidRPr="00956EBE" w:rsidRDefault="00C30182" w:rsidP="00C30182">
            <w:pPr>
              <w:jc w:val="both"/>
              <w:rPr>
                <w:sz w:val="20"/>
                <w:szCs w:val="20"/>
              </w:rPr>
            </w:pPr>
          </w:p>
        </w:tc>
      </w:tr>
      <w:tr w:rsidR="00C30182" w:rsidRPr="00956EBE" w14:paraId="7A2F7864" w14:textId="1CDA4A6F" w:rsidTr="00C30182">
        <w:trPr>
          <w:trHeight w:val="259"/>
        </w:trPr>
        <w:tc>
          <w:tcPr>
            <w:tcW w:w="609" w:type="pct"/>
            <w:vMerge/>
          </w:tcPr>
          <w:p w14:paraId="61713D0B" w14:textId="77777777" w:rsidR="00C30182" w:rsidRPr="00956EBE" w:rsidRDefault="00C30182" w:rsidP="00C30182">
            <w:pPr>
              <w:jc w:val="both"/>
              <w:rPr>
                <w:sz w:val="20"/>
                <w:szCs w:val="20"/>
              </w:rPr>
            </w:pPr>
          </w:p>
        </w:tc>
        <w:tc>
          <w:tcPr>
            <w:tcW w:w="1039" w:type="pct"/>
            <w:vMerge/>
          </w:tcPr>
          <w:p w14:paraId="503FA7C9" w14:textId="77777777" w:rsidR="00C30182" w:rsidRPr="00956EBE" w:rsidRDefault="00C30182" w:rsidP="00C30182">
            <w:pPr>
              <w:rPr>
                <w:sz w:val="20"/>
                <w:szCs w:val="20"/>
              </w:rPr>
            </w:pPr>
          </w:p>
        </w:tc>
        <w:tc>
          <w:tcPr>
            <w:tcW w:w="611" w:type="pct"/>
          </w:tcPr>
          <w:p w14:paraId="3514AD3A" w14:textId="77777777" w:rsidR="00C30182" w:rsidRPr="00956EBE" w:rsidRDefault="00C30182" w:rsidP="00C30182">
            <w:pPr>
              <w:jc w:val="both"/>
              <w:rPr>
                <w:sz w:val="20"/>
                <w:szCs w:val="20"/>
              </w:rPr>
            </w:pPr>
            <w:r w:rsidRPr="00956EBE">
              <w:rPr>
                <w:sz w:val="20"/>
                <w:szCs w:val="20"/>
              </w:rPr>
              <w:t>55+</w:t>
            </w:r>
          </w:p>
        </w:tc>
        <w:tc>
          <w:tcPr>
            <w:tcW w:w="1107" w:type="pct"/>
          </w:tcPr>
          <w:p w14:paraId="7546506D" w14:textId="64BEEBDB" w:rsidR="00C30182" w:rsidRPr="00956EBE" w:rsidRDefault="00C30182" w:rsidP="00C30182">
            <w:pPr>
              <w:jc w:val="both"/>
              <w:rPr>
                <w:sz w:val="20"/>
                <w:szCs w:val="20"/>
              </w:rPr>
            </w:pPr>
            <w:r w:rsidRPr="00956EBE">
              <w:rPr>
                <w:sz w:val="20"/>
                <w:szCs w:val="20"/>
              </w:rPr>
              <w:t>0.111 (0.069 – 0.160)</w:t>
            </w:r>
          </w:p>
        </w:tc>
        <w:tc>
          <w:tcPr>
            <w:tcW w:w="1059" w:type="pct"/>
          </w:tcPr>
          <w:p w14:paraId="258854F1" w14:textId="2DDE1846" w:rsidR="00C30182" w:rsidRPr="00956EBE" w:rsidRDefault="00C30182" w:rsidP="00C30182">
            <w:pPr>
              <w:jc w:val="both"/>
              <w:rPr>
                <w:sz w:val="20"/>
                <w:szCs w:val="20"/>
              </w:rPr>
            </w:pPr>
            <w:r w:rsidRPr="00956EBE">
              <w:rPr>
                <w:sz w:val="20"/>
                <w:szCs w:val="20"/>
              </w:rPr>
              <w:t>0.173 (0.108 – 0.250)</w:t>
            </w:r>
          </w:p>
        </w:tc>
        <w:tc>
          <w:tcPr>
            <w:tcW w:w="575" w:type="pct"/>
            <w:vMerge/>
          </w:tcPr>
          <w:p w14:paraId="7D6640CA" w14:textId="77777777" w:rsidR="00C30182" w:rsidRPr="00956EBE" w:rsidRDefault="00C30182" w:rsidP="00C30182">
            <w:pPr>
              <w:jc w:val="both"/>
              <w:rPr>
                <w:sz w:val="20"/>
                <w:szCs w:val="20"/>
              </w:rPr>
            </w:pPr>
          </w:p>
        </w:tc>
      </w:tr>
      <w:tr w:rsidR="00C30182" w:rsidRPr="00956EBE" w14:paraId="7F6D56B5" w14:textId="56D075A0" w:rsidTr="00C30182">
        <w:trPr>
          <w:trHeight w:val="259"/>
        </w:trPr>
        <w:tc>
          <w:tcPr>
            <w:tcW w:w="609" w:type="pct"/>
            <w:vMerge/>
          </w:tcPr>
          <w:p w14:paraId="0A2A822D" w14:textId="77777777" w:rsidR="00C30182" w:rsidRPr="00956EBE" w:rsidRDefault="00C30182" w:rsidP="00C30182">
            <w:pPr>
              <w:jc w:val="both"/>
              <w:rPr>
                <w:sz w:val="20"/>
                <w:szCs w:val="20"/>
              </w:rPr>
            </w:pPr>
          </w:p>
        </w:tc>
        <w:tc>
          <w:tcPr>
            <w:tcW w:w="1039" w:type="pct"/>
            <w:vMerge w:val="restart"/>
          </w:tcPr>
          <w:p w14:paraId="6E897076" w14:textId="77777777" w:rsidR="00C30182" w:rsidRPr="00956EBE" w:rsidRDefault="00C30182" w:rsidP="00C30182">
            <w:pPr>
              <w:rPr>
                <w:sz w:val="20"/>
                <w:szCs w:val="20"/>
              </w:rPr>
            </w:pPr>
          </w:p>
          <w:p w14:paraId="29AC5482" w14:textId="77777777" w:rsidR="00C30182" w:rsidRPr="00956EBE" w:rsidRDefault="00C30182" w:rsidP="00C30182">
            <w:pPr>
              <w:rPr>
                <w:sz w:val="20"/>
                <w:szCs w:val="20"/>
              </w:rPr>
            </w:pPr>
          </w:p>
          <w:p w14:paraId="4DA8745C" w14:textId="6B249381" w:rsidR="00C30182" w:rsidRPr="00956EBE" w:rsidRDefault="00C30182" w:rsidP="00C30182">
            <w:pPr>
              <w:rPr>
                <w:sz w:val="20"/>
                <w:szCs w:val="20"/>
              </w:rPr>
            </w:pPr>
            <w:r w:rsidRPr="00956EBE">
              <w:rPr>
                <w:sz w:val="20"/>
                <w:szCs w:val="20"/>
              </w:rPr>
              <w:t>201</w:t>
            </w:r>
            <w:r>
              <w:rPr>
                <w:sz w:val="20"/>
                <w:szCs w:val="20"/>
              </w:rPr>
              <w:t>1- End of projection period</w:t>
            </w:r>
          </w:p>
        </w:tc>
        <w:tc>
          <w:tcPr>
            <w:tcW w:w="611" w:type="pct"/>
          </w:tcPr>
          <w:p w14:paraId="5284CCBB" w14:textId="77777777" w:rsidR="00C30182" w:rsidRPr="00956EBE" w:rsidRDefault="00C30182" w:rsidP="00C30182">
            <w:pPr>
              <w:jc w:val="both"/>
              <w:rPr>
                <w:sz w:val="20"/>
                <w:szCs w:val="20"/>
              </w:rPr>
            </w:pPr>
            <w:r w:rsidRPr="00956EBE">
              <w:rPr>
                <w:sz w:val="20"/>
                <w:szCs w:val="20"/>
              </w:rPr>
              <w:t>15-24</w:t>
            </w:r>
          </w:p>
        </w:tc>
        <w:tc>
          <w:tcPr>
            <w:tcW w:w="1107" w:type="pct"/>
          </w:tcPr>
          <w:p w14:paraId="4BAEFD92" w14:textId="6206249C" w:rsidR="00C30182" w:rsidRPr="00956EBE" w:rsidRDefault="00C30182" w:rsidP="00C30182">
            <w:pPr>
              <w:jc w:val="both"/>
              <w:rPr>
                <w:sz w:val="20"/>
                <w:szCs w:val="20"/>
              </w:rPr>
            </w:pPr>
            <w:r w:rsidRPr="00956EBE">
              <w:rPr>
                <w:sz w:val="20"/>
                <w:szCs w:val="20"/>
              </w:rPr>
              <w:t>0.126 (0.065 – 0.197)</w:t>
            </w:r>
          </w:p>
        </w:tc>
        <w:tc>
          <w:tcPr>
            <w:tcW w:w="1059" w:type="pct"/>
          </w:tcPr>
          <w:p w14:paraId="1342A980" w14:textId="17D48571" w:rsidR="00C30182" w:rsidRPr="00956EBE" w:rsidRDefault="00C30182" w:rsidP="00C30182">
            <w:pPr>
              <w:jc w:val="both"/>
              <w:rPr>
                <w:sz w:val="20"/>
                <w:szCs w:val="20"/>
              </w:rPr>
            </w:pPr>
            <w:r w:rsidRPr="00956EBE">
              <w:rPr>
                <w:sz w:val="20"/>
                <w:szCs w:val="20"/>
              </w:rPr>
              <w:t>0.196 (0.101 – 0.307)</w:t>
            </w:r>
          </w:p>
        </w:tc>
        <w:tc>
          <w:tcPr>
            <w:tcW w:w="575" w:type="pct"/>
            <w:vMerge w:val="restart"/>
          </w:tcPr>
          <w:p w14:paraId="163D58DD" w14:textId="6A0EED96" w:rsidR="00C30182" w:rsidRPr="00956EBE" w:rsidRDefault="00C30182" w:rsidP="00C30182">
            <w:pPr>
              <w:jc w:val="both"/>
              <w:rPr>
                <w:sz w:val="20"/>
                <w:szCs w:val="20"/>
              </w:rPr>
            </w:pPr>
            <w:r>
              <w:rPr>
                <w:sz w:val="20"/>
                <w:szCs w:val="20"/>
              </w:rPr>
              <w:t>DHS 2015</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Health","id":"ITEM-1","issued":{"date-parts":[["2015"]]},"title":"Demographic and Health Survey, 2015","type":"webpage"},"uris":["http://www.mendeley.com/documents/?uuid=a01ee458-5ceb-42cb-9802-8a0c4cfbc426"]}],"mendeley":{"formattedCitation":"&lt;sup&gt;29&lt;/sup&gt;","plainTextFormattedCitation":"29","previouslyFormattedCitation":"&lt;sup&gt;30&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29</w:t>
            </w:r>
            <w:r>
              <w:rPr>
                <w:sz w:val="20"/>
                <w:szCs w:val="20"/>
              </w:rPr>
              <w:fldChar w:fldCharType="end"/>
            </w:r>
          </w:p>
        </w:tc>
      </w:tr>
      <w:tr w:rsidR="00C30182" w:rsidRPr="00956EBE" w14:paraId="7611B718" w14:textId="4A86D2AD" w:rsidTr="00C30182">
        <w:trPr>
          <w:trHeight w:val="259"/>
        </w:trPr>
        <w:tc>
          <w:tcPr>
            <w:tcW w:w="609" w:type="pct"/>
            <w:vMerge/>
          </w:tcPr>
          <w:p w14:paraId="20A45B56" w14:textId="77777777" w:rsidR="00C30182" w:rsidRPr="00956EBE" w:rsidRDefault="00C30182" w:rsidP="00C30182">
            <w:pPr>
              <w:jc w:val="both"/>
              <w:rPr>
                <w:sz w:val="20"/>
                <w:szCs w:val="20"/>
              </w:rPr>
            </w:pPr>
          </w:p>
        </w:tc>
        <w:tc>
          <w:tcPr>
            <w:tcW w:w="1039" w:type="pct"/>
            <w:vMerge/>
          </w:tcPr>
          <w:p w14:paraId="5C50B633" w14:textId="77777777" w:rsidR="00C30182" w:rsidRPr="00956EBE" w:rsidRDefault="00C30182" w:rsidP="00C30182">
            <w:pPr>
              <w:jc w:val="both"/>
              <w:rPr>
                <w:sz w:val="20"/>
                <w:szCs w:val="20"/>
              </w:rPr>
            </w:pPr>
          </w:p>
        </w:tc>
        <w:tc>
          <w:tcPr>
            <w:tcW w:w="611" w:type="pct"/>
          </w:tcPr>
          <w:p w14:paraId="1F6AB911" w14:textId="77777777" w:rsidR="00C30182" w:rsidRPr="00956EBE" w:rsidRDefault="00C30182" w:rsidP="00C30182">
            <w:pPr>
              <w:jc w:val="both"/>
              <w:rPr>
                <w:sz w:val="20"/>
                <w:szCs w:val="20"/>
              </w:rPr>
            </w:pPr>
            <w:r w:rsidRPr="00956EBE">
              <w:rPr>
                <w:sz w:val="20"/>
                <w:szCs w:val="20"/>
              </w:rPr>
              <w:t>25-34</w:t>
            </w:r>
          </w:p>
        </w:tc>
        <w:tc>
          <w:tcPr>
            <w:tcW w:w="1107" w:type="pct"/>
          </w:tcPr>
          <w:p w14:paraId="5C4A8249" w14:textId="53849152" w:rsidR="00C30182" w:rsidRPr="00956EBE" w:rsidRDefault="00C30182" w:rsidP="00C30182">
            <w:pPr>
              <w:jc w:val="both"/>
              <w:rPr>
                <w:sz w:val="20"/>
                <w:szCs w:val="20"/>
              </w:rPr>
            </w:pPr>
            <w:r w:rsidRPr="00956EBE">
              <w:rPr>
                <w:sz w:val="20"/>
                <w:szCs w:val="20"/>
              </w:rPr>
              <w:t>0.133 (0.081 – 0.191)</w:t>
            </w:r>
          </w:p>
        </w:tc>
        <w:tc>
          <w:tcPr>
            <w:tcW w:w="1059" w:type="pct"/>
          </w:tcPr>
          <w:p w14:paraId="317524CE" w14:textId="51F9400B" w:rsidR="00C30182" w:rsidRPr="00956EBE" w:rsidRDefault="00C30182" w:rsidP="00C30182">
            <w:pPr>
              <w:jc w:val="both"/>
              <w:rPr>
                <w:sz w:val="20"/>
                <w:szCs w:val="20"/>
              </w:rPr>
            </w:pPr>
            <w:r w:rsidRPr="00956EBE">
              <w:rPr>
                <w:sz w:val="20"/>
                <w:szCs w:val="20"/>
              </w:rPr>
              <w:t>0.207 (0.127 – 0.297)</w:t>
            </w:r>
          </w:p>
        </w:tc>
        <w:tc>
          <w:tcPr>
            <w:tcW w:w="575" w:type="pct"/>
            <w:vMerge/>
          </w:tcPr>
          <w:p w14:paraId="314D2020" w14:textId="77777777" w:rsidR="00C30182" w:rsidRPr="00956EBE" w:rsidRDefault="00C30182" w:rsidP="00C30182">
            <w:pPr>
              <w:jc w:val="both"/>
              <w:rPr>
                <w:sz w:val="20"/>
                <w:szCs w:val="20"/>
              </w:rPr>
            </w:pPr>
          </w:p>
        </w:tc>
      </w:tr>
      <w:tr w:rsidR="00C30182" w:rsidRPr="00956EBE" w14:paraId="71A71764" w14:textId="76D626F7" w:rsidTr="00C30182">
        <w:trPr>
          <w:trHeight w:val="259"/>
        </w:trPr>
        <w:tc>
          <w:tcPr>
            <w:tcW w:w="609" w:type="pct"/>
            <w:vMerge/>
          </w:tcPr>
          <w:p w14:paraId="20A9FFC5" w14:textId="77777777" w:rsidR="00C30182" w:rsidRPr="00956EBE" w:rsidRDefault="00C30182" w:rsidP="00C30182">
            <w:pPr>
              <w:jc w:val="both"/>
              <w:rPr>
                <w:sz w:val="20"/>
                <w:szCs w:val="20"/>
              </w:rPr>
            </w:pPr>
          </w:p>
        </w:tc>
        <w:tc>
          <w:tcPr>
            <w:tcW w:w="1039" w:type="pct"/>
            <w:vMerge/>
          </w:tcPr>
          <w:p w14:paraId="34C5D959" w14:textId="77777777" w:rsidR="00C30182" w:rsidRPr="00956EBE" w:rsidRDefault="00C30182" w:rsidP="00C30182">
            <w:pPr>
              <w:jc w:val="both"/>
              <w:rPr>
                <w:sz w:val="20"/>
                <w:szCs w:val="20"/>
              </w:rPr>
            </w:pPr>
          </w:p>
        </w:tc>
        <w:tc>
          <w:tcPr>
            <w:tcW w:w="611" w:type="pct"/>
          </w:tcPr>
          <w:p w14:paraId="252FE853" w14:textId="77777777" w:rsidR="00C30182" w:rsidRPr="00956EBE" w:rsidRDefault="00C30182" w:rsidP="00C30182">
            <w:pPr>
              <w:jc w:val="both"/>
              <w:rPr>
                <w:sz w:val="20"/>
                <w:szCs w:val="20"/>
              </w:rPr>
            </w:pPr>
            <w:r w:rsidRPr="00956EBE">
              <w:rPr>
                <w:sz w:val="20"/>
                <w:szCs w:val="20"/>
              </w:rPr>
              <w:t>35-44</w:t>
            </w:r>
          </w:p>
        </w:tc>
        <w:tc>
          <w:tcPr>
            <w:tcW w:w="1107" w:type="pct"/>
          </w:tcPr>
          <w:p w14:paraId="39F08C73" w14:textId="48D2D6D9" w:rsidR="00C30182" w:rsidRPr="00956EBE" w:rsidRDefault="00C30182" w:rsidP="00C30182">
            <w:pPr>
              <w:jc w:val="both"/>
              <w:rPr>
                <w:sz w:val="20"/>
                <w:szCs w:val="20"/>
              </w:rPr>
            </w:pPr>
            <w:r w:rsidRPr="00956EBE">
              <w:rPr>
                <w:sz w:val="20"/>
                <w:szCs w:val="20"/>
              </w:rPr>
              <w:t>0.115 (0.066 – 0.173)</w:t>
            </w:r>
          </w:p>
        </w:tc>
        <w:tc>
          <w:tcPr>
            <w:tcW w:w="1059" w:type="pct"/>
          </w:tcPr>
          <w:p w14:paraId="5C48D884" w14:textId="4B775DA2" w:rsidR="00C30182" w:rsidRPr="00956EBE" w:rsidRDefault="00C30182" w:rsidP="00C30182">
            <w:pPr>
              <w:jc w:val="both"/>
              <w:rPr>
                <w:sz w:val="20"/>
                <w:szCs w:val="20"/>
              </w:rPr>
            </w:pPr>
            <w:r w:rsidRPr="00956EBE">
              <w:rPr>
                <w:sz w:val="20"/>
                <w:szCs w:val="20"/>
              </w:rPr>
              <w:t>0.179 (0.103 – 0.269)</w:t>
            </w:r>
          </w:p>
        </w:tc>
        <w:tc>
          <w:tcPr>
            <w:tcW w:w="575" w:type="pct"/>
            <w:vMerge/>
          </w:tcPr>
          <w:p w14:paraId="10A1CC8B" w14:textId="77777777" w:rsidR="00C30182" w:rsidRPr="00956EBE" w:rsidRDefault="00C30182" w:rsidP="00C30182">
            <w:pPr>
              <w:jc w:val="both"/>
              <w:rPr>
                <w:sz w:val="20"/>
                <w:szCs w:val="20"/>
              </w:rPr>
            </w:pPr>
          </w:p>
        </w:tc>
      </w:tr>
      <w:tr w:rsidR="00C30182" w:rsidRPr="00956EBE" w14:paraId="5F3D06BC" w14:textId="2A3098E2" w:rsidTr="00C30182">
        <w:trPr>
          <w:trHeight w:val="259"/>
        </w:trPr>
        <w:tc>
          <w:tcPr>
            <w:tcW w:w="609" w:type="pct"/>
            <w:vMerge/>
          </w:tcPr>
          <w:p w14:paraId="3239568F" w14:textId="77777777" w:rsidR="00C30182" w:rsidRPr="00956EBE" w:rsidRDefault="00C30182" w:rsidP="00C30182">
            <w:pPr>
              <w:jc w:val="both"/>
              <w:rPr>
                <w:sz w:val="20"/>
                <w:szCs w:val="20"/>
              </w:rPr>
            </w:pPr>
          </w:p>
        </w:tc>
        <w:tc>
          <w:tcPr>
            <w:tcW w:w="1039" w:type="pct"/>
            <w:vMerge/>
          </w:tcPr>
          <w:p w14:paraId="5CBA6FE8" w14:textId="77777777" w:rsidR="00C30182" w:rsidRPr="00956EBE" w:rsidRDefault="00C30182" w:rsidP="00C30182">
            <w:pPr>
              <w:jc w:val="both"/>
              <w:rPr>
                <w:sz w:val="20"/>
                <w:szCs w:val="20"/>
              </w:rPr>
            </w:pPr>
          </w:p>
        </w:tc>
        <w:tc>
          <w:tcPr>
            <w:tcW w:w="611" w:type="pct"/>
          </w:tcPr>
          <w:p w14:paraId="77640DD1" w14:textId="77777777" w:rsidR="00C30182" w:rsidRPr="00956EBE" w:rsidRDefault="00C30182" w:rsidP="00C30182">
            <w:pPr>
              <w:jc w:val="both"/>
              <w:rPr>
                <w:sz w:val="20"/>
                <w:szCs w:val="20"/>
              </w:rPr>
            </w:pPr>
            <w:r w:rsidRPr="00956EBE">
              <w:rPr>
                <w:sz w:val="20"/>
                <w:szCs w:val="20"/>
              </w:rPr>
              <w:t>45-54</w:t>
            </w:r>
          </w:p>
        </w:tc>
        <w:tc>
          <w:tcPr>
            <w:tcW w:w="1107" w:type="pct"/>
          </w:tcPr>
          <w:p w14:paraId="5472F267" w14:textId="21F2DD3F" w:rsidR="00C30182" w:rsidRPr="00956EBE" w:rsidRDefault="00C30182" w:rsidP="00C30182">
            <w:pPr>
              <w:jc w:val="both"/>
              <w:rPr>
                <w:sz w:val="20"/>
                <w:szCs w:val="20"/>
              </w:rPr>
            </w:pPr>
            <w:r w:rsidRPr="00956EBE">
              <w:rPr>
                <w:sz w:val="20"/>
                <w:szCs w:val="20"/>
              </w:rPr>
              <w:t>0.115 (0.066 – 0.173)</w:t>
            </w:r>
          </w:p>
        </w:tc>
        <w:tc>
          <w:tcPr>
            <w:tcW w:w="1059" w:type="pct"/>
          </w:tcPr>
          <w:p w14:paraId="58CA2D69" w14:textId="63F36381" w:rsidR="00C30182" w:rsidRPr="00956EBE" w:rsidRDefault="00C30182" w:rsidP="00C30182">
            <w:pPr>
              <w:jc w:val="both"/>
              <w:rPr>
                <w:sz w:val="20"/>
                <w:szCs w:val="20"/>
              </w:rPr>
            </w:pPr>
            <w:r w:rsidRPr="00956EBE">
              <w:rPr>
                <w:sz w:val="20"/>
                <w:szCs w:val="20"/>
              </w:rPr>
              <w:t>0.179 (0.103 – 0.269)</w:t>
            </w:r>
          </w:p>
        </w:tc>
        <w:tc>
          <w:tcPr>
            <w:tcW w:w="575" w:type="pct"/>
            <w:vMerge/>
          </w:tcPr>
          <w:p w14:paraId="2565EC45" w14:textId="77777777" w:rsidR="00C30182" w:rsidRPr="00956EBE" w:rsidRDefault="00C30182" w:rsidP="00C30182">
            <w:pPr>
              <w:jc w:val="both"/>
              <w:rPr>
                <w:sz w:val="20"/>
                <w:szCs w:val="20"/>
              </w:rPr>
            </w:pPr>
          </w:p>
        </w:tc>
      </w:tr>
      <w:tr w:rsidR="00C30182" w:rsidRPr="00956EBE" w14:paraId="5C910FD1" w14:textId="5225E88F" w:rsidTr="00C30182">
        <w:trPr>
          <w:trHeight w:val="259"/>
        </w:trPr>
        <w:tc>
          <w:tcPr>
            <w:tcW w:w="609" w:type="pct"/>
            <w:vMerge/>
          </w:tcPr>
          <w:p w14:paraId="43384239" w14:textId="77777777" w:rsidR="00C30182" w:rsidRPr="00956EBE" w:rsidRDefault="00C30182" w:rsidP="00C30182">
            <w:pPr>
              <w:jc w:val="both"/>
              <w:rPr>
                <w:sz w:val="20"/>
                <w:szCs w:val="20"/>
              </w:rPr>
            </w:pPr>
          </w:p>
        </w:tc>
        <w:tc>
          <w:tcPr>
            <w:tcW w:w="1039" w:type="pct"/>
            <w:vMerge/>
          </w:tcPr>
          <w:p w14:paraId="60515C12" w14:textId="77777777" w:rsidR="00C30182" w:rsidRPr="00956EBE" w:rsidRDefault="00C30182" w:rsidP="00C30182">
            <w:pPr>
              <w:jc w:val="both"/>
              <w:rPr>
                <w:sz w:val="20"/>
                <w:szCs w:val="20"/>
              </w:rPr>
            </w:pPr>
          </w:p>
        </w:tc>
        <w:tc>
          <w:tcPr>
            <w:tcW w:w="611" w:type="pct"/>
          </w:tcPr>
          <w:p w14:paraId="2C4616CD" w14:textId="77777777" w:rsidR="00C30182" w:rsidRPr="00956EBE" w:rsidRDefault="00C30182" w:rsidP="00C30182">
            <w:pPr>
              <w:jc w:val="both"/>
              <w:rPr>
                <w:sz w:val="20"/>
                <w:szCs w:val="20"/>
              </w:rPr>
            </w:pPr>
            <w:r w:rsidRPr="00956EBE">
              <w:rPr>
                <w:sz w:val="20"/>
                <w:szCs w:val="20"/>
              </w:rPr>
              <w:t>55+</w:t>
            </w:r>
          </w:p>
        </w:tc>
        <w:tc>
          <w:tcPr>
            <w:tcW w:w="1107" w:type="pct"/>
          </w:tcPr>
          <w:p w14:paraId="17E57E68" w14:textId="1852B80B" w:rsidR="00C30182" w:rsidRPr="00956EBE" w:rsidRDefault="00C30182" w:rsidP="00C30182">
            <w:pPr>
              <w:jc w:val="both"/>
              <w:rPr>
                <w:sz w:val="20"/>
                <w:szCs w:val="20"/>
              </w:rPr>
            </w:pPr>
            <w:r w:rsidRPr="00956EBE">
              <w:rPr>
                <w:sz w:val="20"/>
                <w:szCs w:val="20"/>
              </w:rPr>
              <w:t>0.115 (0.066 – 0.173)</w:t>
            </w:r>
          </w:p>
        </w:tc>
        <w:tc>
          <w:tcPr>
            <w:tcW w:w="1059" w:type="pct"/>
          </w:tcPr>
          <w:p w14:paraId="5A2F1DA4" w14:textId="44BC71FA" w:rsidR="00C30182" w:rsidRPr="00956EBE" w:rsidRDefault="00C30182" w:rsidP="00C30182">
            <w:pPr>
              <w:jc w:val="both"/>
              <w:rPr>
                <w:sz w:val="20"/>
                <w:szCs w:val="20"/>
              </w:rPr>
            </w:pPr>
            <w:r w:rsidRPr="00956EBE">
              <w:rPr>
                <w:sz w:val="20"/>
                <w:szCs w:val="20"/>
              </w:rPr>
              <w:t>0.179 (0.103 – 0.269)</w:t>
            </w:r>
          </w:p>
        </w:tc>
        <w:tc>
          <w:tcPr>
            <w:tcW w:w="575" w:type="pct"/>
            <w:vMerge/>
          </w:tcPr>
          <w:p w14:paraId="13579975" w14:textId="77777777" w:rsidR="00C30182" w:rsidRPr="00956EBE" w:rsidRDefault="00C30182" w:rsidP="00C30182">
            <w:pPr>
              <w:jc w:val="both"/>
              <w:rPr>
                <w:sz w:val="20"/>
                <w:szCs w:val="20"/>
              </w:rPr>
            </w:pPr>
          </w:p>
        </w:tc>
      </w:tr>
      <w:tr w:rsidR="00C30182" w:rsidRPr="00956EBE" w14:paraId="67BA1758" w14:textId="22A6D960" w:rsidTr="00C30182">
        <w:trPr>
          <w:trHeight w:val="259"/>
        </w:trPr>
        <w:tc>
          <w:tcPr>
            <w:tcW w:w="609" w:type="pct"/>
            <w:vMerge w:val="restart"/>
          </w:tcPr>
          <w:p w14:paraId="421C55F5" w14:textId="66BC60FC" w:rsidR="00C30182" w:rsidRPr="00956EBE" w:rsidRDefault="00C30182" w:rsidP="00C30182">
            <w:pPr>
              <w:jc w:val="both"/>
              <w:rPr>
                <w:sz w:val="20"/>
                <w:szCs w:val="20"/>
              </w:rPr>
            </w:pPr>
            <w:r w:rsidRPr="00956EBE">
              <w:rPr>
                <w:sz w:val="20"/>
                <w:szCs w:val="20"/>
              </w:rPr>
              <w:t>Low-risk men</w:t>
            </w:r>
          </w:p>
        </w:tc>
        <w:tc>
          <w:tcPr>
            <w:tcW w:w="1039" w:type="pct"/>
            <w:vMerge w:val="restart"/>
          </w:tcPr>
          <w:p w14:paraId="64EC0599" w14:textId="77777777" w:rsidR="00C30182" w:rsidRPr="00956EBE" w:rsidRDefault="00C30182" w:rsidP="00C30182">
            <w:pPr>
              <w:rPr>
                <w:sz w:val="20"/>
                <w:szCs w:val="20"/>
              </w:rPr>
            </w:pPr>
          </w:p>
          <w:p w14:paraId="4D9FA11D" w14:textId="77777777" w:rsidR="00C30182" w:rsidRPr="00956EBE" w:rsidRDefault="00C30182" w:rsidP="00C30182">
            <w:pPr>
              <w:rPr>
                <w:sz w:val="20"/>
                <w:szCs w:val="20"/>
              </w:rPr>
            </w:pPr>
          </w:p>
          <w:p w14:paraId="541A6960" w14:textId="0F6E4CB7" w:rsidR="00C30182" w:rsidRPr="00956EBE" w:rsidRDefault="00C30182" w:rsidP="00C30182">
            <w:pPr>
              <w:rPr>
                <w:sz w:val="20"/>
                <w:szCs w:val="20"/>
              </w:rPr>
            </w:pPr>
            <w:r>
              <w:rPr>
                <w:sz w:val="20"/>
                <w:szCs w:val="20"/>
              </w:rPr>
              <w:t xml:space="preserve"> </w:t>
            </w:r>
            <w:r w:rsidRPr="00956EBE">
              <w:rPr>
                <w:sz w:val="20"/>
                <w:szCs w:val="20"/>
              </w:rPr>
              <w:t>200</w:t>
            </w:r>
            <w:r>
              <w:rPr>
                <w:sz w:val="20"/>
                <w:szCs w:val="20"/>
              </w:rPr>
              <w:t>4-2005</w:t>
            </w:r>
          </w:p>
        </w:tc>
        <w:tc>
          <w:tcPr>
            <w:tcW w:w="611" w:type="pct"/>
          </w:tcPr>
          <w:p w14:paraId="14496BC2" w14:textId="77777777" w:rsidR="00C30182" w:rsidRPr="00956EBE" w:rsidRDefault="00C30182" w:rsidP="00C30182">
            <w:pPr>
              <w:jc w:val="both"/>
              <w:rPr>
                <w:sz w:val="20"/>
                <w:szCs w:val="20"/>
              </w:rPr>
            </w:pPr>
            <w:r w:rsidRPr="00956EBE">
              <w:rPr>
                <w:sz w:val="20"/>
                <w:szCs w:val="20"/>
              </w:rPr>
              <w:t>15-24</w:t>
            </w:r>
          </w:p>
        </w:tc>
        <w:tc>
          <w:tcPr>
            <w:tcW w:w="1107" w:type="pct"/>
          </w:tcPr>
          <w:p w14:paraId="5FB7A9D2" w14:textId="3D3A376C" w:rsidR="00C30182" w:rsidRPr="00956EBE" w:rsidRDefault="00C30182" w:rsidP="00C30182">
            <w:pPr>
              <w:jc w:val="both"/>
              <w:rPr>
                <w:sz w:val="20"/>
                <w:szCs w:val="20"/>
              </w:rPr>
            </w:pPr>
            <w:r w:rsidRPr="00956EBE">
              <w:rPr>
                <w:sz w:val="20"/>
                <w:szCs w:val="20"/>
              </w:rPr>
              <w:t>0.018 (0.008 – 0.038)</w:t>
            </w:r>
          </w:p>
        </w:tc>
        <w:tc>
          <w:tcPr>
            <w:tcW w:w="1059" w:type="pct"/>
          </w:tcPr>
          <w:p w14:paraId="23FACDE9" w14:textId="132FF68B" w:rsidR="00C30182" w:rsidRPr="00956EBE" w:rsidRDefault="00C30182" w:rsidP="00C30182">
            <w:pPr>
              <w:jc w:val="both"/>
              <w:rPr>
                <w:sz w:val="20"/>
                <w:szCs w:val="20"/>
              </w:rPr>
            </w:pPr>
            <w:r w:rsidRPr="00956EBE">
              <w:rPr>
                <w:sz w:val="20"/>
                <w:szCs w:val="20"/>
              </w:rPr>
              <w:t>0.028 (0.012 – 0.059)</w:t>
            </w:r>
          </w:p>
        </w:tc>
        <w:tc>
          <w:tcPr>
            <w:tcW w:w="575" w:type="pct"/>
            <w:vMerge w:val="restart"/>
          </w:tcPr>
          <w:p w14:paraId="75EDF05E" w14:textId="4004887E" w:rsidR="00C30182" w:rsidRPr="00956EBE" w:rsidRDefault="00C30182" w:rsidP="00C30182">
            <w:pPr>
              <w:jc w:val="both"/>
              <w:rPr>
                <w:sz w:val="20"/>
                <w:szCs w:val="20"/>
              </w:rPr>
            </w:pPr>
            <w:r>
              <w:rPr>
                <w:sz w:val="20"/>
                <w:szCs w:val="20"/>
              </w:rPr>
              <w:t>DHS 2005</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Health","id":"ITEM-1","issued":{"date-parts":[["2005"]]},"title":"Demographic and Health Survey, 2005","type":"webpage"},"uris":["http://www.mendeley.com/documents/?uuid=6f21bb5a-4b85-490b-a1b4-bfcffbde8423"]}],"mendeley":{"formattedCitation":"&lt;sup&gt;22&lt;/sup&gt;","plainTextFormattedCitation":"22","previouslyFormattedCitation":"&lt;sup&gt;23&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22</w:t>
            </w:r>
            <w:r>
              <w:rPr>
                <w:sz w:val="20"/>
                <w:szCs w:val="20"/>
              </w:rPr>
              <w:fldChar w:fldCharType="end"/>
            </w:r>
          </w:p>
        </w:tc>
      </w:tr>
      <w:tr w:rsidR="00C30182" w:rsidRPr="00956EBE" w14:paraId="2821BABD" w14:textId="442B44B4" w:rsidTr="00C30182">
        <w:trPr>
          <w:trHeight w:val="259"/>
        </w:trPr>
        <w:tc>
          <w:tcPr>
            <w:tcW w:w="609" w:type="pct"/>
            <w:vMerge/>
          </w:tcPr>
          <w:p w14:paraId="691E718B" w14:textId="77777777" w:rsidR="00C30182" w:rsidRPr="00956EBE" w:rsidRDefault="00C30182" w:rsidP="00C30182">
            <w:pPr>
              <w:jc w:val="both"/>
              <w:rPr>
                <w:sz w:val="20"/>
                <w:szCs w:val="20"/>
              </w:rPr>
            </w:pPr>
          </w:p>
        </w:tc>
        <w:tc>
          <w:tcPr>
            <w:tcW w:w="1039" w:type="pct"/>
            <w:vMerge/>
          </w:tcPr>
          <w:p w14:paraId="4FF6D4E3" w14:textId="77777777" w:rsidR="00C30182" w:rsidRPr="00956EBE" w:rsidRDefault="00C30182" w:rsidP="00C30182">
            <w:pPr>
              <w:rPr>
                <w:sz w:val="20"/>
                <w:szCs w:val="20"/>
              </w:rPr>
            </w:pPr>
          </w:p>
        </w:tc>
        <w:tc>
          <w:tcPr>
            <w:tcW w:w="611" w:type="pct"/>
          </w:tcPr>
          <w:p w14:paraId="4B51D7D0" w14:textId="77777777" w:rsidR="00C30182" w:rsidRPr="00956EBE" w:rsidRDefault="00C30182" w:rsidP="00C30182">
            <w:pPr>
              <w:jc w:val="both"/>
              <w:rPr>
                <w:sz w:val="20"/>
                <w:szCs w:val="20"/>
              </w:rPr>
            </w:pPr>
            <w:r w:rsidRPr="00956EBE">
              <w:rPr>
                <w:sz w:val="20"/>
                <w:szCs w:val="20"/>
              </w:rPr>
              <w:t>25-34</w:t>
            </w:r>
          </w:p>
        </w:tc>
        <w:tc>
          <w:tcPr>
            <w:tcW w:w="1107" w:type="pct"/>
          </w:tcPr>
          <w:p w14:paraId="1DD12E1E" w14:textId="5B30B3D7" w:rsidR="00C30182" w:rsidRPr="00956EBE" w:rsidRDefault="00C30182" w:rsidP="00C30182">
            <w:pPr>
              <w:jc w:val="both"/>
              <w:rPr>
                <w:sz w:val="20"/>
                <w:szCs w:val="20"/>
              </w:rPr>
            </w:pPr>
            <w:r w:rsidRPr="00956EBE">
              <w:rPr>
                <w:sz w:val="20"/>
                <w:szCs w:val="20"/>
              </w:rPr>
              <w:t>0.018 (0.008 – 0.038)</w:t>
            </w:r>
          </w:p>
        </w:tc>
        <w:tc>
          <w:tcPr>
            <w:tcW w:w="1059" w:type="pct"/>
          </w:tcPr>
          <w:p w14:paraId="7CE2E96B" w14:textId="1FE3FA51" w:rsidR="00C30182" w:rsidRPr="00956EBE" w:rsidRDefault="00C30182" w:rsidP="00C30182">
            <w:pPr>
              <w:jc w:val="both"/>
              <w:rPr>
                <w:sz w:val="20"/>
                <w:szCs w:val="20"/>
              </w:rPr>
            </w:pPr>
            <w:r w:rsidRPr="00956EBE">
              <w:rPr>
                <w:sz w:val="20"/>
                <w:szCs w:val="20"/>
              </w:rPr>
              <w:t>0.028 (0.012 – 0.059)</w:t>
            </w:r>
          </w:p>
        </w:tc>
        <w:tc>
          <w:tcPr>
            <w:tcW w:w="575" w:type="pct"/>
            <w:vMerge/>
          </w:tcPr>
          <w:p w14:paraId="4AF77F49" w14:textId="77777777" w:rsidR="00C30182" w:rsidRPr="00956EBE" w:rsidRDefault="00C30182" w:rsidP="00C30182">
            <w:pPr>
              <w:jc w:val="both"/>
              <w:rPr>
                <w:sz w:val="20"/>
                <w:szCs w:val="20"/>
              </w:rPr>
            </w:pPr>
          </w:p>
        </w:tc>
      </w:tr>
      <w:tr w:rsidR="00C30182" w:rsidRPr="00956EBE" w14:paraId="491E5234" w14:textId="13DB01D1" w:rsidTr="00C30182">
        <w:trPr>
          <w:trHeight w:val="259"/>
        </w:trPr>
        <w:tc>
          <w:tcPr>
            <w:tcW w:w="609" w:type="pct"/>
            <w:vMerge/>
          </w:tcPr>
          <w:p w14:paraId="3105AAB8" w14:textId="77777777" w:rsidR="00C30182" w:rsidRPr="00956EBE" w:rsidRDefault="00C30182" w:rsidP="00C30182">
            <w:pPr>
              <w:jc w:val="both"/>
              <w:rPr>
                <w:sz w:val="20"/>
                <w:szCs w:val="20"/>
              </w:rPr>
            </w:pPr>
          </w:p>
        </w:tc>
        <w:tc>
          <w:tcPr>
            <w:tcW w:w="1039" w:type="pct"/>
            <w:vMerge/>
          </w:tcPr>
          <w:p w14:paraId="41732850" w14:textId="77777777" w:rsidR="00C30182" w:rsidRPr="00956EBE" w:rsidRDefault="00C30182" w:rsidP="00C30182">
            <w:pPr>
              <w:rPr>
                <w:sz w:val="20"/>
                <w:szCs w:val="20"/>
              </w:rPr>
            </w:pPr>
          </w:p>
        </w:tc>
        <w:tc>
          <w:tcPr>
            <w:tcW w:w="611" w:type="pct"/>
          </w:tcPr>
          <w:p w14:paraId="79DE6C3C" w14:textId="77777777" w:rsidR="00C30182" w:rsidRPr="00956EBE" w:rsidRDefault="00C30182" w:rsidP="00C30182">
            <w:pPr>
              <w:jc w:val="both"/>
              <w:rPr>
                <w:sz w:val="20"/>
                <w:szCs w:val="20"/>
              </w:rPr>
            </w:pPr>
            <w:r w:rsidRPr="00956EBE">
              <w:rPr>
                <w:sz w:val="20"/>
                <w:szCs w:val="20"/>
              </w:rPr>
              <w:t>35-44</w:t>
            </w:r>
          </w:p>
        </w:tc>
        <w:tc>
          <w:tcPr>
            <w:tcW w:w="1107" w:type="pct"/>
          </w:tcPr>
          <w:p w14:paraId="64EB3E91" w14:textId="7C76F6CB" w:rsidR="00C30182" w:rsidRPr="00956EBE" w:rsidRDefault="00C30182" w:rsidP="00C30182">
            <w:pPr>
              <w:jc w:val="both"/>
              <w:rPr>
                <w:sz w:val="20"/>
                <w:szCs w:val="20"/>
              </w:rPr>
            </w:pPr>
            <w:bookmarkStart w:id="168" w:name="OLE_LINK1"/>
            <w:bookmarkStart w:id="169" w:name="OLE_LINK2"/>
            <w:r w:rsidRPr="00956EBE">
              <w:rPr>
                <w:sz w:val="20"/>
                <w:szCs w:val="20"/>
              </w:rPr>
              <w:t>0.021 (0.012 – 0.037)</w:t>
            </w:r>
            <w:bookmarkEnd w:id="168"/>
            <w:bookmarkEnd w:id="169"/>
          </w:p>
        </w:tc>
        <w:tc>
          <w:tcPr>
            <w:tcW w:w="1059" w:type="pct"/>
          </w:tcPr>
          <w:p w14:paraId="2FCC3BC9" w14:textId="5E438552" w:rsidR="00C30182" w:rsidRPr="00956EBE" w:rsidRDefault="00C30182" w:rsidP="00C30182">
            <w:pPr>
              <w:jc w:val="both"/>
              <w:rPr>
                <w:sz w:val="20"/>
                <w:szCs w:val="20"/>
              </w:rPr>
            </w:pPr>
            <w:r w:rsidRPr="00956EBE">
              <w:rPr>
                <w:sz w:val="20"/>
                <w:szCs w:val="20"/>
              </w:rPr>
              <w:t>0.033 (0.018 – 0.058)</w:t>
            </w:r>
          </w:p>
        </w:tc>
        <w:tc>
          <w:tcPr>
            <w:tcW w:w="575" w:type="pct"/>
            <w:vMerge/>
          </w:tcPr>
          <w:p w14:paraId="53E170C9" w14:textId="77777777" w:rsidR="00C30182" w:rsidRPr="00956EBE" w:rsidRDefault="00C30182" w:rsidP="00C30182">
            <w:pPr>
              <w:jc w:val="both"/>
              <w:rPr>
                <w:sz w:val="20"/>
                <w:szCs w:val="20"/>
              </w:rPr>
            </w:pPr>
          </w:p>
        </w:tc>
      </w:tr>
      <w:tr w:rsidR="00C30182" w:rsidRPr="00956EBE" w14:paraId="455369FC" w14:textId="0AB0C243" w:rsidTr="00C30182">
        <w:trPr>
          <w:trHeight w:val="259"/>
        </w:trPr>
        <w:tc>
          <w:tcPr>
            <w:tcW w:w="609" w:type="pct"/>
            <w:vMerge/>
          </w:tcPr>
          <w:p w14:paraId="2B4479F8" w14:textId="77777777" w:rsidR="00C30182" w:rsidRPr="00956EBE" w:rsidRDefault="00C30182" w:rsidP="00C30182">
            <w:pPr>
              <w:jc w:val="both"/>
              <w:rPr>
                <w:sz w:val="20"/>
                <w:szCs w:val="20"/>
              </w:rPr>
            </w:pPr>
          </w:p>
        </w:tc>
        <w:tc>
          <w:tcPr>
            <w:tcW w:w="1039" w:type="pct"/>
            <w:vMerge/>
          </w:tcPr>
          <w:p w14:paraId="7D07FA34" w14:textId="77777777" w:rsidR="00C30182" w:rsidRPr="00956EBE" w:rsidRDefault="00C30182" w:rsidP="00C30182">
            <w:pPr>
              <w:rPr>
                <w:sz w:val="20"/>
                <w:szCs w:val="20"/>
              </w:rPr>
            </w:pPr>
          </w:p>
        </w:tc>
        <w:tc>
          <w:tcPr>
            <w:tcW w:w="611" w:type="pct"/>
          </w:tcPr>
          <w:p w14:paraId="3616984C" w14:textId="77777777" w:rsidR="00C30182" w:rsidRPr="00956EBE" w:rsidRDefault="00C30182" w:rsidP="00C30182">
            <w:pPr>
              <w:jc w:val="both"/>
              <w:rPr>
                <w:sz w:val="20"/>
                <w:szCs w:val="20"/>
              </w:rPr>
            </w:pPr>
            <w:r w:rsidRPr="00956EBE">
              <w:rPr>
                <w:sz w:val="20"/>
                <w:szCs w:val="20"/>
              </w:rPr>
              <w:t>45-54</w:t>
            </w:r>
          </w:p>
        </w:tc>
        <w:tc>
          <w:tcPr>
            <w:tcW w:w="1107" w:type="pct"/>
          </w:tcPr>
          <w:p w14:paraId="1BDD7BBF" w14:textId="1B3DE126" w:rsidR="00C30182" w:rsidRPr="00956EBE" w:rsidRDefault="00C30182" w:rsidP="00C30182">
            <w:pPr>
              <w:jc w:val="both"/>
              <w:rPr>
                <w:sz w:val="20"/>
                <w:szCs w:val="20"/>
              </w:rPr>
            </w:pPr>
            <w:r w:rsidRPr="00956EBE">
              <w:rPr>
                <w:sz w:val="20"/>
                <w:szCs w:val="20"/>
              </w:rPr>
              <w:t>0.021 (0.012 – 0.037)</w:t>
            </w:r>
          </w:p>
        </w:tc>
        <w:tc>
          <w:tcPr>
            <w:tcW w:w="1059" w:type="pct"/>
          </w:tcPr>
          <w:p w14:paraId="1AE10397" w14:textId="6ED86F2F" w:rsidR="00C30182" w:rsidRPr="00956EBE" w:rsidRDefault="00C30182" w:rsidP="00C30182">
            <w:pPr>
              <w:jc w:val="both"/>
              <w:rPr>
                <w:sz w:val="20"/>
                <w:szCs w:val="20"/>
              </w:rPr>
            </w:pPr>
            <w:r w:rsidRPr="00956EBE">
              <w:rPr>
                <w:sz w:val="20"/>
                <w:szCs w:val="20"/>
              </w:rPr>
              <w:t>0.033 (0.018 – 0.058)</w:t>
            </w:r>
          </w:p>
        </w:tc>
        <w:tc>
          <w:tcPr>
            <w:tcW w:w="575" w:type="pct"/>
            <w:vMerge/>
          </w:tcPr>
          <w:p w14:paraId="3A1945C1" w14:textId="77777777" w:rsidR="00C30182" w:rsidRPr="00956EBE" w:rsidRDefault="00C30182" w:rsidP="00C30182">
            <w:pPr>
              <w:jc w:val="both"/>
              <w:rPr>
                <w:sz w:val="20"/>
                <w:szCs w:val="20"/>
              </w:rPr>
            </w:pPr>
          </w:p>
        </w:tc>
      </w:tr>
      <w:tr w:rsidR="00C30182" w:rsidRPr="00956EBE" w14:paraId="0FE110C5" w14:textId="7695C68A" w:rsidTr="00C30182">
        <w:trPr>
          <w:trHeight w:val="259"/>
        </w:trPr>
        <w:tc>
          <w:tcPr>
            <w:tcW w:w="609" w:type="pct"/>
            <w:vMerge/>
          </w:tcPr>
          <w:p w14:paraId="2C15AFE1" w14:textId="77777777" w:rsidR="00C30182" w:rsidRPr="00956EBE" w:rsidRDefault="00C30182" w:rsidP="00C30182">
            <w:pPr>
              <w:jc w:val="both"/>
              <w:rPr>
                <w:sz w:val="20"/>
                <w:szCs w:val="20"/>
              </w:rPr>
            </w:pPr>
          </w:p>
        </w:tc>
        <w:tc>
          <w:tcPr>
            <w:tcW w:w="1039" w:type="pct"/>
            <w:vMerge/>
          </w:tcPr>
          <w:p w14:paraId="57092194" w14:textId="77777777" w:rsidR="00C30182" w:rsidRPr="00956EBE" w:rsidRDefault="00C30182" w:rsidP="00C30182">
            <w:pPr>
              <w:rPr>
                <w:sz w:val="20"/>
                <w:szCs w:val="20"/>
              </w:rPr>
            </w:pPr>
          </w:p>
        </w:tc>
        <w:tc>
          <w:tcPr>
            <w:tcW w:w="611" w:type="pct"/>
          </w:tcPr>
          <w:p w14:paraId="145A189D" w14:textId="77777777" w:rsidR="00C30182" w:rsidRPr="00956EBE" w:rsidRDefault="00C30182" w:rsidP="00C30182">
            <w:pPr>
              <w:jc w:val="both"/>
              <w:rPr>
                <w:sz w:val="20"/>
                <w:szCs w:val="20"/>
              </w:rPr>
            </w:pPr>
            <w:r w:rsidRPr="00956EBE">
              <w:rPr>
                <w:sz w:val="20"/>
                <w:szCs w:val="20"/>
              </w:rPr>
              <w:t>55+</w:t>
            </w:r>
          </w:p>
        </w:tc>
        <w:tc>
          <w:tcPr>
            <w:tcW w:w="1107" w:type="pct"/>
          </w:tcPr>
          <w:p w14:paraId="5F6EFD73" w14:textId="1EB3279B" w:rsidR="00C30182" w:rsidRPr="00956EBE" w:rsidRDefault="00C30182" w:rsidP="00C30182">
            <w:pPr>
              <w:jc w:val="both"/>
              <w:rPr>
                <w:sz w:val="20"/>
                <w:szCs w:val="20"/>
              </w:rPr>
            </w:pPr>
            <w:r w:rsidRPr="00956EBE">
              <w:rPr>
                <w:sz w:val="20"/>
                <w:szCs w:val="20"/>
              </w:rPr>
              <w:t>0.021 (0.012 – 0.037)</w:t>
            </w:r>
          </w:p>
        </w:tc>
        <w:tc>
          <w:tcPr>
            <w:tcW w:w="1059" w:type="pct"/>
          </w:tcPr>
          <w:p w14:paraId="3FFE0A61" w14:textId="0D1D448B" w:rsidR="00C30182" w:rsidRPr="00956EBE" w:rsidRDefault="00C30182" w:rsidP="00C30182">
            <w:pPr>
              <w:jc w:val="both"/>
              <w:rPr>
                <w:sz w:val="20"/>
                <w:szCs w:val="20"/>
              </w:rPr>
            </w:pPr>
            <w:r w:rsidRPr="00956EBE">
              <w:rPr>
                <w:sz w:val="20"/>
                <w:szCs w:val="20"/>
              </w:rPr>
              <w:t>0.033 (0.018 – 0.058)</w:t>
            </w:r>
          </w:p>
        </w:tc>
        <w:tc>
          <w:tcPr>
            <w:tcW w:w="575" w:type="pct"/>
            <w:vMerge/>
          </w:tcPr>
          <w:p w14:paraId="6AEE9CA2" w14:textId="77777777" w:rsidR="00C30182" w:rsidRPr="00956EBE" w:rsidRDefault="00C30182" w:rsidP="00C30182">
            <w:pPr>
              <w:jc w:val="both"/>
              <w:rPr>
                <w:sz w:val="20"/>
                <w:szCs w:val="20"/>
              </w:rPr>
            </w:pPr>
          </w:p>
        </w:tc>
      </w:tr>
      <w:tr w:rsidR="00C30182" w:rsidRPr="00956EBE" w14:paraId="20F5DF4C" w14:textId="5EFBE078" w:rsidTr="00C30182">
        <w:trPr>
          <w:trHeight w:val="259"/>
        </w:trPr>
        <w:tc>
          <w:tcPr>
            <w:tcW w:w="609" w:type="pct"/>
            <w:vMerge/>
          </w:tcPr>
          <w:p w14:paraId="484D0DC3" w14:textId="77777777" w:rsidR="00C30182" w:rsidRPr="00956EBE" w:rsidRDefault="00C30182" w:rsidP="00C30182">
            <w:pPr>
              <w:jc w:val="both"/>
              <w:rPr>
                <w:sz w:val="20"/>
                <w:szCs w:val="20"/>
              </w:rPr>
            </w:pPr>
          </w:p>
        </w:tc>
        <w:tc>
          <w:tcPr>
            <w:tcW w:w="1039" w:type="pct"/>
            <w:vMerge w:val="restart"/>
          </w:tcPr>
          <w:p w14:paraId="30101C07" w14:textId="77777777" w:rsidR="00C30182" w:rsidRPr="00956EBE" w:rsidRDefault="00C30182" w:rsidP="00C30182">
            <w:pPr>
              <w:rPr>
                <w:sz w:val="20"/>
                <w:szCs w:val="20"/>
              </w:rPr>
            </w:pPr>
          </w:p>
          <w:p w14:paraId="75100CE9" w14:textId="77777777" w:rsidR="00C30182" w:rsidRPr="00956EBE" w:rsidRDefault="00C30182" w:rsidP="00C30182">
            <w:pPr>
              <w:rPr>
                <w:sz w:val="20"/>
                <w:szCs w:val="20"/>
              </w:rPr>
            </w:pPr>
          </w:p>
          <w:p w14:paraId="4F15D485" w14:textId="30954F54" w:rsidR="00C30182" w:rsidRPr="00956EBE" w:rsidRDefault="00C30182" w:rsidP="00C30182">
            <w:pPr>
              <w:rPr>
                <w:sz w:val="20"/>
                <w:szCs w:val="20"/>
              </w:rPr>
            </w:pPr>
            <w:r w:rsidRPr="00956EBE">
              <w:rPr>
                <w:sz w:val="20"/>
                <w:szCs w:val="20"/>
              </w:rPr>
              <w:t>200</w:t>
            </w:r>
            <w:r>
              <w:rPr>
                <w:sz w:val="20"/>
                <w:szCs w:val="20"/>
              </w:rPr>
              <w:t>6-2010</w:t>
            </w:r>
          </w:p>
        </w:tc>
        <w:tc>
          <w:tcPr>
            <w:tcW w:w="611" w:type="pct"/>
          </w:tcPr>
          <w:p w14:paraId="1386D4A0" w14:textId="77777777" w:rsidR="00C30182" w:rsidRPr="00956EBE" w:rsidRDefault="00C30182" w:rsidP="00C30182">
            <w:pPr>
              <w:jc w:val="both"/>
              <w:rPr>
                <w:sz w:val="20"/>
                <w:szCs w:val="20"/>
              </w:rPr>
            </w:pPr>
            <w:r w:rsidRPr="00956EBE">
              <w:rPr>
                <w:sz w:val="20"/>
                <w:szCs w:val="20"/>
              </w:rPr>
              <w:t>15-24</w:t>
            </w:r>
          </w:p>
        </w:tc>
        <w:tc>
          <w:tcPr>
            <w:tcW w:w="1107" w:type="pct"/>
          </w:tcPr>
          <w:p w14:paraId="3697BD97" w14:textId="128918E6" w:rsidR="00C30182" w:rsidRPr="00956EBE" w:rsidRDefault="00C30182" w:rsidP="00C30182">
            <w:pPr>
              <w:jc w:val="both"/>
              <w:rPr>
                <w:sz w:val="20"/>
                <w:szCs w:val="20"/>
              </w:rPr>
            </w:pPr>
            <w:r w:rsidRPr="00956EBE">
              <w:rPr>
                <w:sz w:val="20"/>
                <w:szCs w:val="20"/>
              </w:rPr>
              <w:t>0.071 (0.024 – 0.226)</w:t>
            </w:r>
          </w:p>
        </w:tc>
        <w:tc>
          <w:tcPr>
            <w:tcW w:w="1059" w:type="pct"/>
          </w:tcPr>
          <w:p w14:paraId="76511DEC" w14:textId="319D7AD5" w:rsidR="00C30182" w:rsidRPr="00956EBE" w:rsidRDefault="00C30182" w:rsidP="00C30182">
            <w:pPr>
              <w:jc w:val="both"/>
              <w:rPr>
                <w:sz w:val="20"/>
                <w:szCs w:val="20"/>
              </w:rPr>
            </w:pPr>
            <w:r w:rsidRPr="00956EBE">
              <w:rPr>
                <w:sz w:val="20"/>
                <w:szCs w:val="20"/>
              </w:rPr>
              <w:t>0.111 (0.038 – 0.353)</w:t>
            </w:r>
          </w:p>
        </w:tc>
        <w:tc>
          <w:tcPr>
            <w:tcW w:w="575" w:type="pct"/>
            <w:vMerge w:val="restart"/>
          </w:tcPr>
          <w:p w14:paraId="7FDF51E7" w14:textId="48F7A2AD" w:rsidR="00C30182" w:rsidRPr="00956EBE" w:rsidRDefault="00C30182" w:rsidP="00C30182">
            <w:pPr>
              <w:jc w:val="both"/>
              <w:rPr>
                <w:sz w:val="20"/>
                <w:szCs w:val="20"/>
              </w:rPr>
            </w:pPr>
            <w:r>
              <w:rPr>
                <w:sz w:val="20"/>
                <w:szCs w:val="20"/>
              </w:rPr>
              <w:t>DHS 2010</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Health","id":"ITEM-1","issued":{"date-parts":[["2010"]]},"title":"Demographic and Health Survey, 2010","type":"webpage"},"uris":["http://www.mendeley.com/documents/?uuid=ad9040c2-d770-4441-b0a2-11a1c9d3664f"]}],"mendeley":{"formattedCitation":"&lt;sup&gt;43&lt;/sup&gt;","plainTextFormattedCitation":"43","previouslyFormattedCitation":"&lt;sup&gt;41&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43</w:t>
            </w:r>
            <w:r>
              <w:rPr>
                <w:sz w:val="20"/>
                <w:szCs w:val="20"/>
              </w:rPr>
              <w:fldChar w:fldCharType="end"/>
            </w:r>
          </w:p>
        </w:tc>
      </w:tr>
      <w:tr w:rsidR="00C30182" w:rsidRPr="00956EBE" w14:paraId="284B48D6" w14:textId="355603DA" w:rsidTr="00C30182">
        <w:trPr>
          <w:trHeight w:val="259"/>
        </w:trPr>
        <w:tc>
          <w:tcPr>
            <w:tcW w:w="609" w:type="pct"/>
            <w:vMerge/>
          </w:tcPr>
          <w:p w14:paraId="13842421" w14:textId="77777777" w:rsidR="00C30182" w:rsidRPr="00956EBE" w:rsidRDefault="00C30182" w:rsidP="00C30182">
            <w:pPr>
              <w:jc w:val="both"/>
              <w:rPr>
                <w:sz w:val="20"/>
                <w:szCs w:val="20"/>
              </w:rPr>
            </w:pPr>
          </w:p>
        </w:tc>
        <w:tc>
          <w:tcPr>
            <w:tcW w:w="1039" w:type="pct"/>
            <w:vMerge/>
          </w:tcPr>
          <w:p w14:paraId="4F6ABE55" w14:textId="77777777" w:rsidR="00C30182" w:rsidRPr="00956EBE" w:rsidRDefault="00C30182" w:rsidP="00C30182">
            <w:pPr>
              <w:rPr>
                <w:sz w:val="20"/>
                <w:szCs w:val="20"/>
              </w:rPr>
            </w:pPr>
          </w:p>
        </w:tc>
        <w:tc>
          <w:tcPr>
            <w:tcW w:w="611" w:type="pct"/>
          </w:tcPr>
          <w:p w14:paraId="4D14B37F" w14:textId="77777777" w:rsidR="00C30182" w:rsidRPr="00956EBE" w:rsidRDefault="00C30182" w:rsidP="00C30182">
            <w:pPr>
              <w:jc w:val="both"/>
              <w:rPr>
                <w:sz w:val="20"/>
                <w:szCs w:val="20"/>
              </w:rPr>
            </w:pPr>
            <w:r w:rsidRPr="00956EBE">
              <w:rPr>
                <w:sz w:val="20"/>
                <w:szCs w:val="20"/>
              </w:rPr>
              <w:t>25-34</w:t>
            </w:r>
          </w:p>
        </w:tc>
        <w:tc>
          <w:tcPr>
            <w:tcW w:w="1107" w:type="pct"/>
          </w:tcPr>
          <w:p w14:paraId="2E36E934" w14:textId="7D5FEC6A" w:rsidR="00C30182" w:rsidRPr="00956EBE" w:rsidRDefault="00C30182" w:rsidP="00C30182">
            <w:pPr>
              <w:jc w:val="both"/>
              <w:rPr>
                <w:sz w:val="20"/>
                <w:szCs w:val="20"/>
              </w:rPr>
            </w:pPr>
            <w:r w:rsidRPr="00956EBE">
              <w:rPr>
                <w:sz w:val="20"/>
                <w:szCs w:val="20"/>
              </w:rPr>
              <w:t>0.071 (0.024 – 0.226)</w:t>
            </w:r>
          </w:p>
        </w:tc>
        <w:tc>
          <w:tcPr>
            <w:tcW w:w="1059" w:type="pct"/>
          </w:tcPr>
          <w:p w14:paraId="0B9D301C" w14:textId="2A285379" w:rsidR="00C30182" w:rsidRPr="00956EBE" w:rsidRDefault="00C30182" w:rsidP="00C30182">
            <w:pPr>
              <w:jc w:val="both"/>
              <w:rPr>
                <w:sz w:val="20"/>
                <w:szCs w:val="20"/>
              </w:rPr>
            </w:pPr>
            <w:r w:rsidRPr="00956EBE">
              <w:rPr>
                <w:sz w:val="20"/>
                <w:szCs w:val="20"/>
              </w:rPr>
              <w:t>0.111 (0.038 – 0.353)</w:t>
            </w:r>
          </w:p>
        </w:tc>
        <w:tc>
          <w:tcPr>
            <w:tcW w:w="575" w:type="pct"/>
            <w:vMerge/>
          </w:tcPr>
          <w:p w14:paraId="3FDEA2A1" w14:textId="77777777" w:rsidR="00C30182" w:rsidRPr="00956EBE" w:rsidRDefault="00C30182" w:rsidP="00C30182">
            <w:pPr>
              <w:jc w:val="both"/>
              <w:rPr>
                <w:sz w:val="20"/>
                <w:szCs w:val="20"/>
              </w:rPr>
            </w:pPr>
          </w:p>
        </w:tc>
      </w:tr>
      <w:tr w:rsidR="00C30182" w:rsidRPr="00956EBE" w14:paraId="67BF8B86" w14:textId="5B11CB8F" w:rsidTr="00C30182">
        <w:trPr>
          <w:trHeight w:val="259"/>
        </w:trPr>
        <w:tc>
          <w:tcPr>
            <w:tcW w:w="609" w:type="pct"/>
            <w:vMerge/>
          </w:tcPr>
          <w:p w14:paraId="6B360917" w14:textId="77777777" w:rsidR="00C30182" w:rsidRPr="00956EBE" w:rsidRDefault="00C30182" w:rsidP="00C30182">
            <w:pPr>
              <w:jc w:val="both"/>
              <w:rPr>
                <w:sz w:val="20"/>
                <w:szCs w:val="20"/>
              </w:rPr>
            </w:pPr>
          </w:p>
        </w:tc>
        <w:tc>
          <w:tcPr>
            <w:tcW w:w="1039" w:type="pct"/>
            <w:vMerge/>
          </w:tcPr>
          <w:p w14:paraId="13079EE9" w14:textId="77777777" w:rsidR="00C30182" w:rsidRPr="00956EBE" w:rsidRDefault="00C30182" w:rsidP="00C30182">
            <w:pPr>
              <w:rPr>
                <w:sz w:val="20"/>
                <w:szCs w:val="20"/>
              </w:rPr>
            </w:pPr>
          </w:p>
        </w:tc>
        <w:tc>
          <w:tcPr>
            <w:tcW w:w="611" w:type="pct"/>
          </w:tcPr>
          <w:p w14:paraId="26680552" w14:textId="77777777" w:rsidR="00C30182" w:rsidRPr="00956EBE" w:rsidRDefault="00C30182" w:rsidP="00C30182">
            <w:pPr>
              <w:jc w:val="both"/>
              <w:rPr>
                <w:sz w:val="20"/>
                <w:szCs w:val="20"/>
              </w:rPr>
            </w:pPr>
            <w:r w:rsidRPr="00956EBE">
              <w:rPr>
                <w:sz w:val="20"/>
                <w:szCs w:val="20"/>
              </w:rPr>
              <w:t>35-44</w:t>
            </w:r>
          </w:p>
        </w:tc>
        <w:tc>
          <w:tcPr>
            <w:tcW w:w="1107" w:type="pct"/>
          </w:tcPr>
          <w:p w14:paraId="7FA0E8DC" w14:textId="58AAE093" w:rsidR="00C30182" w:rsidRPr="00956EBE" w:rsidRDefault="00C30182" w:rsidP="00C30182">
            <w:pPr>
              <w:jc w:val="both"/>
              <w:rPr>
                <w:sz w:val="20"/>
                <w:szCs w:val="20"/>
              </w:rPr>
            </w:pPr>
            <w:r w:rsidRPr="00956EBE">
              <w:rPr>
                <w:sz w:val="20"/>
                <w:szCs w:val="20"/>
              </w:rPr>
              <w:t>0.139 (0.076 – 0.210)</w:t>
            </w:r>
          </w:p>
        </w:tc>
        <w:tc>
          <w:tcPr>
            <w:tcW w:w="1059" w:type="pct"/>
          </w:tcPr>
          <w:p w14:paraId="5B124A77" w14:textId="56D8A40C" w:rsidR="00C30182" w:rsidRPr="00956EBE" w:rsidRDefault="00C30182" w:rsidP="00C30182">
            <w:pPr>
              <w:jc w:val="both"/>
              <w:rPr>
                <w:sz w:val="20"/>
                <w:szCs w:val="20"/>
              </w:rPr>
            </w:pPr>
            <w:r w:rsidRPr="00956EBE">
              <w:rPr>
                <w:sz w:val="20"/>
                <w:szCs w:val="20"/>
              </w:rPr>
              <w:t>0.217 (0.119 – 0.328)</w:t>
            </w:r>
          </w:p>
        </w:tc>
        <w:tc>
          <w:tcPr>
            <w:tcW w:w="575" w:type="pct"/>
            <w:vMerge/>
          </w:tcPr>
          <w:p w14:paraId="54BB1B51" w14:textId="77777777" w:rsidR="00C30182" w:rsidRPr="00956EBE" w:rsidRDefault="00C30182" w:rsidP="00C30182">
            <w:pPr>
              <w:jc w:val="both"/>
              <w:rPr>
                <w:sz w:val="20"/>
                <w:szCs w:val="20"/>
              </w:rPr>
            </w:pPr>
          </w:p>
        </w:tc>
      </w:tr>
      <w:tr w:rsidR="00C30182" w:rsidRPr="00956EBE" w14:paraId="7250FB39" w14:textId="2913E19F" w:rsidTr="00C30182">
        <w:trPr>
          <w:trHeight w:val="259"/>
        </w:trPr>
        <w:tc>
          <w:tcPr>
            <w:tcW w:w="609" w:type="pct"/>
            <w:vMerge/>
          </w:tcPr>
          <w:p w14:paraId="3A587AC8" w14:textId="77777777" w:rsidR="00C30182" w:rsidRPr="00956EBE" w:rsidRDefault="00C30182" w:rsidP="00C30182">
            <w:pPr>
              <w:jc w:val="both"/>
              <w:rPr>
                <w:sz w:val="20"/>
                <w:szCs w:val="20"/>
              </w:rPr>
            </w:pPr>
          </w:p>
        </w:tc>
        <w:tc>
          <w:tcPr>
            <w:tcW w:w="1039" w:type="pct"/>
            <w:vMerge/>
          </w:tcPr>
          <w:p w14:paraId="6F6B2218" w14:textId="77777777" w:rsidR="00C30182" w:rsidRPr="00956EBE" w:rsidRDefault="00C30182" w:rsidP="00C30182">
            <w:pPr>
              <w:rPr>
                <w:sz w:val="20"/>
                <w:szCs w:val="20"/>
              </w:rPr>
            </w:pPr>
          </w:p>
        </w:tc>
        <w:tc>
          <w:tcPr>
            <w:tcW w:w="611" w:type="pct"/>
          </w:tcPr>
          <w:p w14:paraId="7C07F1F2" w14:textId="77777777" w:rsidR="00C30182" w:rsidRPr="00956EBE" w:rsidRDefault="00C30182" w:rsidP="00C30182">
            <w:pPr>
              <w:jc w:val="both"/>
              <w:rPr>
                <w:sz w:val="20"/>
                <w:szCs w:val="20"/>
              </w:rPr>
            </w:pPr>
            <w:r w:rsidRPr="00956EBE">
              <w:rPr>
                <w:sz w:val="20"/>
                <w:szCs w:val="20"/>
              </w:rPr>
              <w:t>45-54</w:t>
            </w:r>
          </w:p>
        </w:tc>
        <w:tc>
          <w:tcPr>
            <w:tcW w:w="1107" w:type="pct"/>
          </w:tcPr>
          <w:p w14:paraId="57D9BB3C" w14:textId="2202C6E2" w:rsidR="00C30182" w:rsidRPr="00956EBE" w:rsidRDefault="00C30182" w:rsidP="00C30182">
            <w:pPr>
              <w:jc w:val="both"/>
              <w:rPr>
                <w:sz w:val="20"/>
                <w:szCs w:val="20"/>
              </w:rPr>
            </w:pPr>
            <w:r w:rsidRPr="00956EBE">
              <w:rPr>
                <w:sz w:val="20"/>
                <w:szCs w:val="20"/>
              </w:rPr>
              <w:t>0.139 (0.076 – 0.210)</w:t>
            </w:r>
          </w:p>
        </w:tc>
        <w:tc>
          <w:tcPr>
            <w:tcW w:w="1059" w:type="pct"/>
          </w:tcPr>
          <w:p w14:paraId="56F0E368" w14:textId="394224DD" w:rsidR="00C30182" w:rsidRPr="00956EBE" w:rsidRDefault="00C30182" w:rsidP="00C30182">
            <w:pPr>
              <w:jc w:val="both"/>
              <w:rPr>
                <w:sz w:val="20"/>
                <w:szCs w:val="20"/>
              </w:rPr>
            </w:pPr>
            <w:r w:rsidRPr="00956EBE">
              <w:rPr>
                <w:sz w:val="20"/>
                <w:szCs w:val="20"/>
              </w:rPr>
              <w:t>0.217 (0.119 – 0.328)</w:t>
            </w:r>
          </w:p>
        </w:tc>
        <w:tc>
          <w:tcPr>
            <w:tcW w:w="575" w:type="pct"/>
            <w:vMerge/>
          </w:tcPr>
          <w:p w14:paraId="7AC35984" w14:textId="77777777" w:rsidR="00C30182" w:rsidRPr="00956EBE" w:rsidRDefault="00C30182" w:rsidP="00C30182">
            <w:pPr>
              <w:jc w:val="both"/>
              <w:rPr>
                <w:sz w:val="20"/>
                <w:szCs w:val="20"/>
              </w:rPr>
            </w:pPr>
          </w:p>
        </w:tc>
      </w:tr>
      <w:tr w:rsidR="00C30182" w:rsidRPr="00956EBE" w14:paraId="53A0FF9E" w14:textId="334E051B" w:rsidTr="00C30182">
        <w:trPr>
          <w:trHeight w:val="259"/>
        </w:trPr>
        <w:tc>
          <w:tcPr>
            <w:tcW w:w="609" w:type="pct"/>
            <w:vMerge/>
          </w:tcPr>
          <w:p w14:paraId="27C2AFDF" w14:textId="77777777" w:rsidR="00C30182" w:rsidRPr="00956EBE" w:rsidRDefault="00C30182" w:rsidP="00C30182">
            <w:pPr>
              <w:jc w:val="both"/>
              <w:rPr>
                <w:sz w:val="20"/>
                <w:szCs w:val="20"/>
              </w:rPr>
            </w:pPr>
          </w:p>
        </w:tc>
        <w:tc>
          <w:tcPr>
            <w:tcW w:w="1039" w:type="pct"/>
            <w:vMerge/>
          </w:tcPr>
          <w:p w14:paraId="72E1C2B8" w14:textId="77777777" w:rsidR="00C30182" w:rsidRPr="00956EBE" w:rsidRDefault="00C30182" w:rsidP="00C30182">
            <w:pPr>
              <w:rPr>
                <w:sz w:val="20"/>
                <w:szCs w:val="20"/>
              </w:rPr>
            </w:pPr>
          </w:p>
        </w:tc>
        <w:tc>
          <w:tcPr>
            <w:tcW w:w="611" w:type="pct"/>
          </w:tcPr>
          <w:p w14:paraId="59F7FC56" w14:textId="77777777" w:rsidR="00C30182" w:rsidRPr="00956EBE" w:rsidRDefault="00C30182" w:rsidP="00C30182">
            <w:pPr>
              <w:jc w:val="both"/>
              <w:rPr>
                <w:sz w:val="20"/>
                <w:szCs w:val="20"/>
              </w:rPr>
            </w:pPr>
            <w:r w:rsidRPr="00956EBE">
              <w:rPr>
                <w:sz w:val="20"/>
                <w:szCs w:val="20"/>
              </w:rPr>
              <w:t>55+</w:t>
            </w:r>
          </w:p>
        </w:tc>
        <w:tc>
          <w:tcPr>
            <w:tcW w:w="1107" w:type="pct"/>
          </w:tcPr>
          <w:p w14:paraId="199853E0" w14:textId="60E06C10" w:rsidR="00C30182" w:rsidRPr="00956EBE" w:rsidRDefault="00C30182" w:rsidP="00C30182">
            <w:pPr>
              <w:jc w:val="both"/>
              <w:rPr>
                <w:sz w:val="20"/>
                <w:szCs w:val="20"/>
              </w:rPr>
            </w:pPr>
            <w:r w:rsidRPr="00956EBE">
              <w:rPr>
                <w:sz w:val="20"/>
                <w:szCs w:val="20"/>
              </w:rPr>
              <w:t>0.139 (0.076 – 0.210)</w:t>
            </w:r>
          </w:p>
        </w:tc>
        <w:tc>
          <w:tcPr>
            <w:tcW w:w="1059" w:type="pct"/>
          </w:tcPr>
          <w:p w14:paraId="03D669AF" w14:textId="743C2C1A" w:rsidR="00C30182" w:rsidRPr="00956EBE" w:rsidRDefault="00C30182" w:rsidP="00C30182">
            <w:pPr>
              <w:jc w:val="both"/>
              <w:rPr>
                <w:sz w:val="20"/>
                <w:szCs w:val="20"/>
              </w:rPr>
            </w:pPr>
            <w:r w:rsidRPr="00956EBE">
              <w:rPr>
                <w:sz w:val="20"/>
                <w:szCs w:val="20"/>
              </w:rPr>
              <w:t>0.217 (0.119 – 0.328)</w:t>
            </w:r>
          </w:p>
        </w:tc>
        <w:tc>
          <w:tcPr>
            <w:tcW w:w="575" w:type="pct"/>
            <w:vMerge/>
          </w:tcPr>
          <w:p w14:paraId="5326A2DE" w14:textId="77777777" w:rsidR="00C30182" w:rsidRPr="00956EBE" w:rsidRDefault="00C30182" w:rsidP="00C30182">
            <w:pPr>
              <w:jc w:val="both"/>
              <w:rPr>
                <w:sz w:val="20"/>
                <w:szCs w:val="20"/>
              </w:rPr>
            </w:pPr>
          </w:p>
        </w:tc>
      </w:tr>
      <w:tr w:rsidR="00C30182" w:rsidRPr="00956EBE" w14:paraId="2C08B585" w14:textId="0C42F21F" w:rsidTr="00C30182">
        <w:trPr>
          <w:trHeight w:val="259"/>
        </w:trPr>
        <w:tc>
          <w:tcPr>
            <w:tcW w:w="609" w:type="pct"/>
            <w:vMerge/>
          </w:tcPr>
          <w:p w14:paraId="627B2E35" w14:textId="77777777" w:rsidR="00C30182" w:rsidRPr="00956EBE" w:rsidRDefault="00C30182" w:rsidP="00C30182">
            <w:pPr>
              <w:jc w:val="both"/>
              <w:rPr>
                <w:sz w:val="20"/>
                <w:szCs w:val="20"/>
              </w:rPr>
            </w:pPr>
          </w:p>
        </w:tc>
        <w:tc>
          <w:tcPr>
            <w:tcW w:w="1039" w:type="pct"/>
            <w:vMerge w:val="restart"/>
          </w:tcPr>
          <w:p w14:paraId="497C2DD7" w14:textId="77777777" w:rsidR="00C30182" w:rsidRPr="00956EBE" w:rsidRDefault="00C30182" w:rsidP="00C30182">
            <w:pPr>
              <w:rPr>
                <w:sz w:val="20"/>
                <w:szCs w:val="20"/>
              </w:rPr>
            </w:pPr>
          </w:p>
          <w:p w14:paraId="3BF75FC8" w14:textId="77777777" w:rsidR="00C30182" w:rsidRPr="00956EBE" w:rsidRDefault="00C30182" w:rsidP="00C30182">
            <w:pPr>
              <w:rPr>
                <w:sz w:val="20"/>
                <w:szCs w:val="20"/>
              </w:rPr>
            </w:pPr>
          </w:p>
          <w:p w14:paraId="2AA890FB" w14:textId="087E0EA7" w:rsidR="00C30182" w:rsidRPr="00956EBE" w:rsidRDefault="00C30182" w:rsidP="00C30182">
            <w:pPr>
              <w:rPr>
                <w:sz w:val="20"/>
                <w:szCs w:val="20"/>
              </w:rPr>
            </w:pPr>
            <w:r w:rsidRPr="00956EBE">
              <w:rPr>
                <w:sz w:val="20"/>
                <w:szCs w:val="20"/>
              </w:rPr>
              <w:t>201</w:t>
            </w:r>
            <w:r>
              <w:rPr>
                <w:sz w:val="20"/>
                <w:szCs w:val="20"/>
              </w:rPr>
              <w:t>1- End of projection period</w:t>
            </w:r>
          </w:p>
        </w:tc>
        <w:tc>
          <w:tcPr>
            <w:tcW w:w="611" w:type="pct"/>
          </w:tcPr>
          <w:p w14:paraId="1FCEABFA" w14:textId="77777777" w:rsidR="00C30182" w:rsidRPr="00956EBE" w:rsidRDefault="00C30182" w:rsidP="00C30182">
            <w:pPr>
              <w:jc w:val="both"/>
              <w:rPr>
                <w:sz w:val="20"/>
                <w:szCs w:val="20"/>
              </w:rPr>
            </w:pPr>
            <w:r w:rsidRPr="00956EBE">
              <w:rPr>
                <w:sz w:val="20"/>
                <w:szCs w:val="20"/>
              </w:rPr>
              <w:t>15-24</w:t>
            </w:r>
          </w:p>
        </w:tc>
        <w:tc>
          <w:tcPr>
            <w:tcW w:w="1107" w:type="pct"/>
          </w:tcPr>
          <w:p w14:paraId="56A85189" w14:textId="3806B182" w:rsidR="00C30182" w:rsidRPr="00956EBE" w:rsidRDefault="00C30182" w:rsidP="00C30182">
            <w:pPr>
              <w:jc w:val="both"/>
              <w:rPr>
                <w:sz w:val="20"/>
                <w:szCs w:val="20"/>
              </w:rPr>
            </w:pPr>
            <w:r w:rsidRPr="00956EBE">
              <w:rPr>
                <w:sz w:val="20"/>
                <w:szCs w:val="20"/>
              </w:rPr>
              <w:t>0.045 (0.037 – 0.111)</w:t>
            </w:r>
          </w:p>
        </w:tc>
        <w:tc>
          <w:tcPr>
            <w:tcW w:w="1059" w:type="pct"/>
          </w:tcPr>
          <w:p w14:paraId="124CEC0F" w14:textId="4AF29785" w:rsidR="00C30182" w:rsidRPr="00956EBE" w:rsidRDefault="00C30182" w:rsidP="00C30182">
            <w:pPr>
              <w:jc w:val="both"/>
              <w:rPr>
                <w:sz w:val="20"/>
                <w:szCs w:val="20"/>
              </w:rPr>
            </w:pPr>
            <w:r w:rsidRPr="00956EBE">
              <w:rPr>
                <w:sz w:val="20"/>
                <w:szCs w:val="20"/>
              </w:rPr>
              <w:t>0.071 (0.058 – 0.173)</w:t>
            </w:r>
          </w:p>
        </w:tc>
        <w:tc>
          <w:tcPr>
            <w:tcW w:w="575" w:type="pct"/>
            <w:vMerge w:val="restart"/>
          </w:tcPr>
          <w:p w14:paraId="7F4F5012" w14:textId="229E4712" w:rsidR="00C30182" w:rsidRPr="00956EBE" w:rsidRDefault="00C30182" w:rsidP="00C30182">
            <w:pPr>
              <w:jc w:val="both"/>
              <w:rPr>
                <w:sz w:val="20"/>
                <w:szCs w:val="20"/>
              </w:rPr>
            </w:pPr>
            <w:r>
              <w:rPr>
                <w:sz w:val="20"/>
                <w:szCs w:val="20"/>
              </w:rPr>
              <w:t>DHS 2015</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Health","id":"ITEM-1","issued":{"date-parts":[["2015"]]},"title":"Demographic and Health Survey, 2015","type":"webpage"},"uris":["http://www.mendeley.com/documents/?uuid=a01ee458-5ceb-42cb-9802-8a0c4cfbc426"]}],"mendeley":{"formattedCitation":"&lt;sup&gt;29&lt;/sup&gt;","plainTextFormattedCitation":"29","previouslyFormattedCitation":"&lt;sup&gt;30&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29</w:t>
            </w:r>
            <w:r>
              <w:rPr>
                <w:sz w:val="20"/>
                <w:szCs w:val="20"/>
              </w:rPr>
              <w:fldChar w:fldCharType="end"/>
            </w:r>
          </w:p>
        </w:tc>
      </w:tr>
      <w:tr w:rsidR="00C30182" w:rsidRPr="00956EBE" w14:paraId="130FBAFC" w14:textId="20BFC750" w:rsidTr="00C30182">
        <w:trPr>
          <w:trHeight w:val="259"/>
        </w:trPr>
        <w:tc>
          <w:tcPr>
            <w:tcW w:w="609" w:type="pct"/>
            <w:vMerge/>
          </w:tcPr>
          <w:p w14:paraId="65288063" w14:textId="77777777" w:rsidR="00C30182" w:rsidRPr="00956EBE" w:rsidRDefault="00C30182" w:rsidP="00C30182">
            <w:pPr>
              <w:jc w:val="both"/>
              <w:rPr>
                <w:sz w:val="20"/>
                <w:szCs w:val="20"/>
              </w:rPr>
            </w:pPr>
          </w:p>
        </w:tc>
        <w:tc>
          <w:tcPr>
            <w:tcW w:w="1039" w:type="pct"/>
            <w:vMerge/>
          </w:tcPr>
          <w:p w14:paraId="5DD24455" w14:textId="77777777" w:rsidR="00C30182" w:rsidRPr="00956EBE" w:rsidRDefault="00C30182" w:rsidP="00C30182">
            <w:pPr>
              <w:rPr>
                <w:sz w:val="20"/>
                <w:szCs w:val="20"/>
              </w:rPr>
            </w:pPr>
          </w:p>
        </w:tc>
        <w:tc>
          <w:tcPr>
            <w:tcW w:w="611" w:type="pct"/>
          </w:tcPr>
          <w:p w14:paraId="66946012" w14:textId="77777777" w:rsidR="00C30182" w:rsidRPr="00956EBE" w:rsidRDefault="00C30182" w:rsidP="00C30182">
            <w:pPr>
              <w:jc w:val="both"/>
              <w:rPr>
                <w:sz w:val="20"/>
                <w:szCs w:val="20"/>
              </w:rPr>
            </w:pPr>
            <w:r w:rsidRPr="00956EBE">
              <w:rPr>
                <w:sz w:val="20"/>
                <w:szCs w:val="20"/>
              </w:rPr>
              <w:t>25-34</w:t>
            </w:r>
          </w:p>
        </w:tc>
        <w:tc>
          <w:tcPr>
            <w:tcW w:w="1107" w:type="pct"/>
          </w:tcPr>
          <w:p w14:paraId="653681A8" w14:textId="65B64A0F" w:rsidR="00C30182" w:rsidRPr="00956EBE" w:rsidRDefault="00C30182" w:rsidP="00C30182">
            <w:pPr>
              <w:jc w:val="both"/>
              <w:rPr>
                <w:sz w:val="20"/>
                <w:szCs w:val="20"/>
              </w:rPr>
            </w:pPr>
            <w:r w:rsidRPr="00956EBE">
              <w:rPr>
                <w:sz w:val="20"/>
                <w:szCs w:val="20"/>
              </w:rPr>
              <w:t>0.045 (0.037 – 0.111)</w:t>
            </w:r>
          </w:p>
        </w:tc>
        <w:tc>
          <w:tcPr>
            <w:tcW w:w="1059" w:type="pct"/>
          </w:tcPr>
          <w:p w14:paraId="7718F22E" w14:textId="55C2B130" w:rsidR="00C30182" w:rsidRPr="00956EBE" w:rsidRDefault="00C30182" w:rsidP="00C30182">
            <w:pPr>
              <w:jc w:val="both"/>
              <w:rPr>
                <w:sz w:val="20"/>
                <w:szCs w:val="20"/>
              </w:rPr>
            </w:pPr>
            <w:r w:rsidRPr="00956EBE">
              <w:rPr>
                <w:sz w:val="20"/>
                <w:szCs w:val="20"/>
              </w:rPr>
              <w:t>0.071 (0.058 – 0.173)</w:t>
            </w:r>
          </w:p>
        </w:tc>
        <w:tc>
          <w:tcPr>
            <w:tcW w:w="575" w:type="pct"/>
            <w:vMerge/>
          </w:tcPr>
          <w:p w14:paraId="784E1CCE" w14:textId="77777777" w:rsidR="00C30182" w:rsidRPr="00956EBE" w:rsidRDefault="00C30182" w:rsidP="00C30182">
            <w:pPr>
              <w:jc w:val="both"/>
              <w:rPr>
                <w:sz w:val="20"/>
                <w:szCs w:val="20"/>
              </w:rPr>
            </w:pPr>
          </w:p>
        </w:tc>
      </w:tr>
      <w:tr w:rsidR="00C30182" w:rsidRPr="00956EBE" w14:paraId="3CE4F6FE" w14:textId="67B3F562" w:rsidTr="00C30182">
        <w:trPr>
          <w:trHeight w:val="259"/>
        </w:trPr>
        <w:tc>
          <w:tcPr>
            <w:tcW w:w="609" w:type="pct"/>
            <w:vMerge/>
          </w:tcPr>
          <w:p w14:paraId="5D851B27" w14:textId="77777777" w:rsidR="00C30182" w:rsidRPr="00956EBE" w:rsidRDefault="00C30182" w:rsidP="00C30182">
            <w:pPr>
              <w:jc w:val="both"/>
              <w:rPr>
                <w:sz w:val="20"/>
                <w:szCs w:val="20"/>
              </w:rPr>
            </w:pPr>
          </w:p>
        </w:tc>
        <w:tc>
          <w:tcPr>
            <w:tcW w:w="1039" w:type="pct"/>
            <w:vMerge/>
          </w:tcPr>
          <w:p w14:paraId="566F9D8E" w14:textId="77777777" w:rsidR="00C30182" w:rsidRPr="00956EBE" w:rsidRDefault="00C30182" w:rsidP="00C30182">
            <w:pPr>
              <w:rPr>
                <w:sz w:val="20"/>
                <w:szCs w:val="20"/>
              </w:rPr>
            </w:pPr>
          </w:p>
        </w:tc>
        <w:tc>
          <w:tcPr>
            <w:tcW w:w="611" w:type="pct"/>
          </w:tcPr>
          <w:p w14:paraId="12FC2A21" w14:textId="77777777" w:rsidR="00C30182" w:rsidRPr="00956EBE" w:rsidRDefault="00C30182" w:rsidP="00C30182">
            <w:pPr>
              <w:jc w:val="both"/>
              <w:rPr>
                <w:sz w:val="20"/>
                <w:szCs w:val="20"/>
              </w:rPr>
            </w:pPr>
            <w:r w:rsidRPr="00956EBE">
              <w:rPr>
                <w:sz w:val="20"/>
                <w:szCs w:val="20"/>
              </w:rPr>
              <w:t>35-44</w:t>
            </w:r>
          </w:p>
        </w:tc>
        <w:tc>
          <w:tcPr>
            <w:tcW w:w="1107" w:type="pct"/>
          </w:tcPr>
          <w:p w14:paraId="6EE8E9C9" w14:textId="3C2295B2" w:rsidR="00C30182" w:rsidRPr="00956EBE" w:rsidRDefault="00C30182" w:rsidP="00C30182">
            <w:pPr>
              <w:jc w:val="both"/>
              <w:rPr>
                <w:sz w:val="20"/>
                <w:szCs w:val="20"/>
              </w:rPr>
            </w:pPr>
            <w:r w:rsidRPr="00956EBE">
              <w:rPr>
                <w:sz w:val="20"/>
                <w:szCs w:val="20"/>
              </w:rPr>
              <w:t>0.146 (0.098 – 0.198)</w:t>
            </w:r>
          </w:p>
        </w:tc>
        <w:tc>
          <w:tcPr>
            <w:tcW w:w="1059" w:type="pct"/>
          </w:tcPr>
          <w:p w14:paraId="785DADE4" w14:textId="41AADED8" w:rsidR="00C30182" w:rsidRPr="00956EBE" w:rsidRDefault="00C30182" w:rsidP="00C30182">
            <w:pPr>
              <w:jc w:val="both"/>
              <w:rPr>
                <w:sz w:val="20"/>
                <w:szCs w:val="20"/>
              </w:rPr>
            </w:pPr>
            <w:r w:rsidRPr="00956EBE">
              <w:rPr>
                <w:sz w:val="20"/>
                <w:szCs w:val="20"/>
              </w:rPr>
              <w:t>0.228 (0.153 – 0.309)</w:t>
            </w:r>
          </w:p>
        </w:tc>
        <w:tc>
          <w:tcPr>
            <w:tcW w:w="575" w:type="pct"/>
            <w:vMerge/>
          </w:tcPr>
          <w:p w14:paraId="7DD995D4" w14:textId="77777777" w:rsidR="00C30182" w:rsidRPr="00956EBE" w:rsidRDefault="00C30182" w:rsidP="00C30182">
            <w:pPr>
              <w:jc w:val="both"/>
              <w:rPr>
                <w:sz w:val="20"/>
                <w:szCs w:val="20"/>
              </w:rPr>
            </w:pPr>
          </w:p>
        </w:tc>
      </w:tr>
      <w:tr w:rsidR="00C30182" w:rsidRPr="00956EBE" w14:paraId="3830FEF3" w14:textId="1F55CF11" w:rsidTr="00C30182">
        <w:trPr>
          <w:trHeight w:val="259"/>
        </w:trPr>
        <w:tc>
          <w:tcPr>
            <w:tcW w:w="609" w:type="pct"/>
            <w:vMerge/>
          </w:tcPr>
          <w:p w14:paraId="36E44F28" w14:textId="77777777" w:rsidR="00C30182" w:rsidRPr="00956EBE" w:rsidRDefault="00C30182" w:rsidP="00C30182">
            <w:pPr>
              <w:jc w:val="both"/>
              <w:rPr>
                <w:sz w:val="20"/>
                <w:szCs w:val="20"/>
              </w:rPr>
            </w:pPr>
          </w:p>
        </w:tc>
        <w:tc>
          <w:tcPr>
            <w:tcW w:w="1039" w:type="pct"/>
            <w:vMerge/>
          </w:tcPr>
          <w:p w14:paraId="6FBD860C" w14:textId="77777777" w:rsidR="00C30182" w:rsidRPr="00956EBE" w:rsidRDefault="00C30182" w:rsidP="00C30182">
            <w:pPr>
              <w:rPr>
                <w:sz w:val="20"/>
                <w:szCs w:val="20"/>
              </w:rPr>
            </w:pPr>
          </w:p>
        </w:tc>
        <w:tc>
          <w:tcPr>
            <w:tcW w:w="611" w:type="pct"/>
          </w:tcPr>
          <w:p w14:paraId="54CC765D" w14:textId="77777777" w:rsidR="00C30182" w:rsidRPr="00956EBE" w:rsidRDefault="00C30182" w:rsidP="00C30182">
            <w:pPr>
              <w:jc w:val="both"/>
              <w:rPr>
                <w:sz w:val="20"/>
                <w:szCs w:val="20"/>
              </w:rPr>
            </w:pPr>
            <w:r w:rsidRPr="00956EBE">
              <w:rPr>
                <w:sz w:val="20"/>
                <w:szCs w:val="20"/>
              </w:rPr>
              <w:t>45-54</w:t>
            </w:r>
          </w:p>
        </w:tc>
        <w:tc>
          <w:tcPr>
            <w:tcW w:w="1107" w:type="pct"/>
          </w:tcPr>
          <w:p w14:paraId="42E5BF4D" w14:textId="130ED6D1" w:rsidR="00C30182" w:rsidRPr="00956EBE" w:rsidRDefault="00C30182" w:rsidP="00C30182">
            <w:pPr>
              <w:jc w:val="both"/>
              <w:rPr>
                <w:sz w:val="20"/>
                <w:szCs w:val="20"/>
              </w:rPr>
            </w:pPr>
            <w:r w:rsidRPr="00956EBE">
              <w:rPr>
                <w:sz w:val="20"/>
                <w:szCs w:val="20"/>
              </w:rPr>
              <w:t>0.146 (0.098 – 0.198)</w:t>
            </w:r>
          </w:p>
        </w:tc>
        <w:tc>
          <w:tcPr>
            <w:tcW w:w="1059" w:type="pct"/>
          </w:tcPr>
          <w:p w14:paraId="02E8CDEF" w14:textId="0589056F" w:rsidR="00C30182" w:rsidRPr="00956EBE" w:rsidRDefault="00C30182" w:rsidP="00C30182">
            <w:pPr>
              <w:jc w:val="both"/>
              <w:rPr>
                <w:sz w:val="20"/>
                <w:szCs w:val="20"/>
              </w:rPr>
            </w:pPr>
            <w:r w:rsidRPr="00956EBE">
              <w:rPr>
                <w:sz w:val="20"/>
                <w:szCs w:val="20"/>
              </w:rPr>
              <w:t>0.228 (0.153 – 0.309)</w:t>
            </w:r>
          </w:p>
        </w:tc>
        <w:tc>
          <w:tcPr>
            <w:tcW w:w="575" w:type="pct"/>
            <w:vMerge/>
          </w:tcPr>
          <w:p w14:paraId="39F58C21" w14:textId="77777777" w:rsidR="00C30182" w:rsidRPr="00956EBE" w:rsidRDefault="00C30182" w:rsidP="00C30182">
            <w:pPr>
              <w:jc w:val="both"/>
              <w:rPr>
                <w:sz w:val="20"/>
                <w:szCs w:val="20"/>
              </w:rPr>
            </w:pPr>
          </w:p>
        </w:tc>
      </w:tr>
      <w:tr w:rsidR="00C30182" w:rsidRPr="00956EBE" w14:paraId="72161E71" w14:textId="1C0D965F" w:rsidTr="00C30182">
        <w:trPr>
          <w:trHeight w:val="259"/>
        </w:trPr>
        <w:tc>
          <w:tcPr>
            <w:tcW w:w="609" w:type="pct"/>
            <w:vMerge/>
          </w:tcPr>
          <w:p w14:paraId="4AB181CD" w14:textId="77777777" w:rsidR="00C30182" w:rsidRPr="00956EBE" w:rsidRDefault="00C30182" w:rsidP="00C30182">
            <w:pPr>
              <w:jc w:val="both"/>
              <w:rPr>
                <w:sz w:val="20"/>
                <w:szCs w:val="20"/>
              </w:rPr>
            </w:pPr>
          </w:p>
        </w:tc>
        <w:tc>
          <w:tcPr>
            <w:tcW w:w="1039" w:type="pct"/>
            <w:vMerge/>
          </w:tcPr>
          <w:p w14:paraId="16CD77EE" w14:textId="77777777" w:rsidR="00C30182" w:rsidRPr="00956EBE" w:rsidRDefault="00C30182" w:rsidP="00C30182">
            <w:pPr>
              <w:rPr>
                <w:sz w:val="20"/>
                <w:szCs w:val="20"/>
              </w:rPr>
            </w:pPr>
          </w:p>
        </w:tc>
        <w:tc>
          <w:tcPr>
            <w:tcW w:w="611" w:type="pct"/>
          </w:tcPr>
          <w:p w14:paraId="637EB2DC" w14:textId="77777777" w:rsidR="00C30182" w:rsidRPr="00956EBE" w:rsidRDefault="00C30182" w:rsidP="00C30182">
            <w:pPr>
              <w:jc w:val="both"/>
              <w:rPr>
                <w:sz w:val="20"/>
                <w:szCs w:val="20"/>
              </w:rPr>
            </w:pPr>
            <w:r w:rsidRPr="00956EBE">
              <w:rPr>
                <w:sz w:val="20"/>
                <w:szCs w:val="20"/>
              </w:rPr>
              <w:t>55+</w:t>
            </w:r>
          </w:p>
        </w:tc>
        <w:tc>
          <w:tcPr>
            <w:tcW w:w="1107" w:type="pct"/>
          </w:tcPr>
          <w:p w14:paraId="0EA0941E" w14:textId="1B394D07" w:rsidR="00C30182" w:rsidRPr="00956EBE" w:rsidRDefault="00C30182" w:rsidP="00C30182">
            <w:pPr>
              <w:jc w:val="both"/>
              <w:rPr>
                <w:sz w:val="20"/>
                <w:szCs w:val="20"/>
              </w:rPr>
            </w:pPr>
            <w:r w:rsidRPr="00956EBE">
              <w:rPr>
                <w:sz w:val="20"/>
                <w:szCs w:val="20"/>
              </w:rPr>
              <w:t>0.146 (0.098 – 0.198)</w:t>
            </w:r>
          </w:p>
        </w:tc>
        <w:tc>
          <w:tcPr>
            <w:tcW w:w="1059" w:type="pct"/>
          </w:tcPr>
          <w:p w14:paraId="415EEF7B" w14:textId="0A082B8C" w:rsidR="00C30182" w:rsidRPr="00956EBE" w:rsidRDefault="00C30182" w:rsidP="00C30182">
            <w:pPr>
              <w:jc w:val="both"/>
              <w:rPr>
                <w:sz w:val="20"/>
                <w:szCs w:val="20"/>
              </w:rPr>
            </w:pPr>
            <w:r w:rsidRPr="00956EBE">
              <w:rPr>
                <w:sz w:val="20"/>
                <w:szCs w:val="20"/>
              </w:rPr>
              <w:t>0.228 (0.153 – 0.309)</w:t>
            </w:r>
          </w:p>
        </w:tc>
        <w:tc>
          <w:tcPr>
            <w:tcW w:w="575" w:type="pct"/>
            <w:vMerge/>
          </w:tcPr>
          <w:p w14:paraId="504E7FD2" w14:textId="77777777" w:rsidR="00C30182" w:rsidRPr="00956EBE" w:rsidRDefault="00C30182" w:rsidP="00C30182">
            <w:pPr>
              <w:jc w:val="both"/>
              <w:rPr>
                <w:sz w:val="20"/>
                <w:szCs w:val="20"/>
              </w:rPr>
            </w:pPr>
          </w:p>
        </w:tc>
      </w:tr>
      <w:tr w:rsidR="00C30182" w:rsidRPr="00956EBE" w14:paraId="284AA56B" w14:textId="6E8A75CD" w:rsidTr="00C30182">
        <w:trPr>
          <w:trHeight w:val="259"/>
        </w:trPr>
        <w:tc>
          <w:tcPr>
            <w:tcW w:w="609" w:type="pct"/>
            <w:vMerge w:val="restart"/>
          </w:tcPr>
          <w:p w14:paraId="0B34F081" w14:textId="77777777" w:rsidR="00C30182" w:rsidRPr="00956EBE" w:rsidRDefault="00C30182" w:rsidP="00C30182">
            <w:pPr>
              <w:jc w:val="both"/>
              <w:rPr>
                <w:sz w:val="20"/>
                <w:szCs w:val="20"/>
              </w:rPr>
            </w:pPr>
            <w:r w:rsidRPr="00956EBE">
              <w:rPr>
                <w:sz w:val="20"/>
                <w:szCs w:val="20"/>
              </w:rPr>
              <w:t>High-risk urban women</w:t>
            </w:r>
          </w:p>
        </w:tc>
        <w:tc>
          <w:tcPr>
            <w:tcW w:w="1039" w:type="pct"/>
            <w:vMerge w:val="restart"/>
          </w:tcPr>
          <w:p w14:paraId="08FB4E60" w14:textId="3EA66DA2" w:rsidR="00C30182" w:rsidRPr="00956EBE" w:rsidRDefault="00C30182" w:rsidP="00C30182">
            <w:pPr>
              <w:rPr>
                <w:sz w:val="20"/>
                <w:szCs w:val="20"/>
              </w:rPr>
            </w:pPr>
            <w:r w:rsidRPr="00956EBE">
              <w:rPr>
                <w:sz w:val="20"/>
                <w:szCs w:val="20"/>
              </w:rPr>
              <w:t>20</w:t>
            </w:r>
            <w:r>
              <w:rPr>
                <w:sz w:val="20"/>
                <w:szCs w:val="20"/>
              </w:rPr>
              <w:t>04- End of projection period</w:t>
            </w:r>
          </w:p>
        </w:tc>
        <w:tc>
          <w:tcPr>
            <w:tcW w:w="611" w:type="pct"/>
          </w:tcPr>
          <w:p w14:paraId="2BFA6440" w14:textId="77777777" w:rsidR="00C30182" w:rsidRPr="00956EBE" w:rsidRDefault="00C30182" w:rsidP="00C30182">
            <w:pPr>
              <w:jc w:val="both"/>
              <w:rPr>
                <w:sz w:val="20"/>
                <w:szCs w:val="20"/>
              </w:rPr>
            </w:pPr>
            <w:r w:rsidRPr="00956EBE">
              <w:rPr>
                <w:sz w:val="20"/>
                <w:szCs w:val="20"/>
              </w:rPr>
              <w:t>15-24</w:t>
            </w:r>
          </w:p>
        </w:tc>
        <w:tc>
          <w:tcPr>
            <w:tcW w:w="1107" w:type="pct"/>
          </w:tcPr>
          <w:p w14:paraId="3FE4BC5A" w14:textId="77777777" w:rsidR="00C30182" w:rsidRPr="00956EBE" w:rsidRDefault="00C30182" w:rsidP="00C30182">
            <w:pPr>
              <w:jc w:val="both"/>
              <w:rPr>
                <w:sz w:val="20"/>
                <w:szCs w:val="20"/>
              </w:rPr>
            </w:pPr>
            <w:r w:rsidRPr="00956EBE">
              <w:rPr>
                <w:sz w:val="20"/>
                <w:szCs w:val="20"/>
              </w:rPr>
              <w:t>0.168 (0.088 – 0.241)</w:t>
            </w:r>
          </w:p>
        </w:tc>
        <w:tc>
          <w:tcPr>
            <w:tcW w:w="1059" w:type="pct"/>
          </w:tcPr>
          <w:p w14:paraId="451A981F" w14:textId="77777777" w:rsidR="00C30182" w:rsidRPr="00956EBE" w:rsidRDefault="00C30182" w:rsidP="00C30182">
            <w:pPr>
              <w:jc w:val="both"/>
              <w:rPr>
                <w:sz w:val="20"/>
                <w:szCs w:val="20"/>
              </w:rPr>
            </w:pPr>
            <w:r w:rsidRPr="00956EBE">
              <w:rPr>
                <w:sz w:val="20"/>
                <w:szCs w:val="20"/>
              </w:rPr>
              <w:t>0.241 (0.129 – 0.339)</w:t>
            </w:r>
          </w:p>
        </w:tc>
        <w:tc>
          <w:tcPr>
            <w:tcW w:w="575" w:type="pct"/>
            <w:vMerge w:val="restart"/>
          </w:tcPr>
          <w:p w14:paraId="50D6237F" w14:textId="572ADE63" w:rsidR="00C30182" w:rsidRPr="00956EBE" w:rsidRDefault="00C30182" w:rsidP="00C30182">
            <w:pPr>
              <w:jc w:val="both"/>
              <w:rPr>
                <w:sz w:val="20"/>
                <w:szCs w:val="20"/>
              </w:rPr>
            </w:pPr>
            <w:r>
              <w:rPr>
                <w:sz w:val="20"/>
                <w:szCs w:val="20"/>
              </w:rPr>
              <w:t>DHS 2005</w:t>
            </w:r>
            <w:r>
              <w:rPr>
                <w:sz w:val="20"/>
                <w:szCs w:val="20"/>
              </w:rPr>
              <w:fldChar w:fldCharType="begin" w:fldLock="1"/>
            </w:r>
            <w:r w:rsidR="007527CC">
              <w:rPr>
                <w:sz w:val="20"/>
                <w:szCs w:val="20"/>
              </w:rPr>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Health","id":"ITEM-1","issued":{"date-parts":[["2005"]]},"title":"Demographic and Health Survey, 2005","type":"webpage"},"uris":["http://www.mendeley.com/documents/?uuid=6f21bb5a-4b85-490b-a1b4-bfcffbde8423"]}],"mendeley":{"formattedCitation":"&lt;sup&gt;22&lt;/sup&gt;","plainTextFormattedCitation":"22","previouslyFormattedCitation":"&lt;sup&gt;23&lt;/sup&gt;"},"properties":{"noteIndex":0},"schema":"https://github.com/citation-style-language/schema/raw/master/csl-citation.json"}</w:instrText>
            </w:r>
            <w:r>
              <w:rPr>
                <w:sz w:val="20"/>
                <w:szCs w:val="20"/>
              </w:rPr>
              <w:fldChar w:fldCharType="separate"/>
            </w:r>
            <w:r w:rsidR="007527CC" w:rsidRPr="007527CC">
              <w:rPr>
                <w:noProof/>
                <w:sz w:val="20"/>
                <w:szCs w:val="20"/>
                <w:vertAlign w:val="superscript"/>
              </w:rPr>
              <w:t>22</w:t>
            </w:r>
            <w:r>
              <w:rPr>
                <w:sz w:val="20"/>
                <w:szCs w:val="20"/>
              </w:rPr>
              <w:fldChar w:fldCharType="end"/>
            </w:r>
          </w:p>
        </w:tc>
      </w:tr>
      <w:tr w:rsidR="00C30182" w:rsidRPr="00956EBE" w14:paraId="3144E555" w14:textId="421C99E0" w:rsidTr="00C30182">
        <w:trPr>
          <w:trHeight w:val="259"/>
        </w:trPr>
        <w:tc>
          <w:tcPr>
            <w:tcW w:w="609" w:type="pct"/>
            <w:vMerge/>
          </w:tcPr>
          <w:p w14:paraId="52B8D0A3" w14:textId="77777777" w:rsidR="005F7B0F" w:rsidRPr="00956EBE" w:rsidRDefault="005F7B0F">
            <w:pPr>
              <w:jc w:val="both"/>
              <w:rPr>
                <w:sz w:val="20"/>
                <w:szCs w:val="20"/>
              </w:rPr>
            </w:pPr>
          </w:p>
        </w:tc>
        <w:tc>
          <w:tcPr>
            <w:tcW w:w="1039" w:type="pct"/>
            <w:vMerge/>
          </w:tcPr>
          <w:p w14:paraId="1728E418" w14:textId="77777777" w:rsidR="005F7B0F" w:rsidRPr="00956EBE" w:rsidRDefault="005F7B0F">
            <w:pPr>
              <w:jc w:val="both"/>
              <w:rPr>
                <w:sz w:val="20"/>
                <w:szCs w:val="20"/>
              </w:rPr>
            </w:pPr>
          </w:p>
        </w:tc>
        <w:tc>
          <w:tcPr>
            <w:tcW w:w="611" w:type="pct"/>
          </w:tcPr>
          <w:p w14:paraId="16C32F42" w14:textId="77777777" w:rsidR="005F7B0F" w:rsidRPr="00956EBE" w:rsidRDefault="005F7B0F">
            <w:pPr>
              <w:jc w:val="both"/>
              <w:rPr>
                <w:sz w:val="20"/>
                <w:szCs w:val="20"/>
              </w:rPr>
            </w:pPr>
            <w:r w:rsidRPr="00956EBE">
              <w:rPr>
                <w:sz w:val="20"/>
                <w:szCs w:val="20"/>
              </w:rPr>
              <w:t>25-34</w:t>
            </w:r>
          </w:p>
        </w:tc>
        <w:tc>
          <w:tcPr>
            <w:tcW w:w="1107" w:type="pct"/>
          </w:tcPr>
          <w:p w14:paraId="58F8B5D7" w14:textId="77777777" w:rsidR="005F7B0F" w:rsidRPr="00956EBE" w:rsidRDefault="005F7B0F">
            <w:pPr>
              <w:jc w:val="both"/>
              <w:rPr>
                <w:sz w:val="20"/>
                <w:szCs w:val="20"/>
              </w:rPr>
            </w:pPr>
            <w:r w:rsidRPr="00956EBE">
              <w:rPr>
                <w:sz w:val="20"/>
                <w:szCs w:val="20"/>
              </w:rPr>
              <w:t>0.168 (0.088 – 0.241)</w:t>
            </w:r>
          </w:p>
        </w:tc>
        <w:tc>
          <w:tcPr>
            <w:tcW w:w="1059" w:type="pct"/>
          </w:tcPr>
          <w:p w14:paraId="5864E227" w14:textId="77777777" w:rsidR="005F7B0F" w:rsidRPr="00956EBE" w:rsidRDefault="005F7B0F">
            <w:pPr>
              <w:jc w:val="both"/>
              <w:rPr>
                <w:sz w:val="20"/>
                <w:szCs w:val="20"/>
              </w:rPr>
            </w:pPr>
            <w:r w:rsidRPr="00956EBE">
              <w:rPr>
                <w:sz w:val="20"/>
                <w:szCs w:val="20"/>
              </w:rPr>
              <w:t>0.241 (0.12 – -0.339)</w:t>
            </w:r>
          </w:p>
        </w:tc>
        <w:tc>
          <w:tcPr>
            <w:tcW w:w="575" w:type="pct"/>
            <w:vMerge/>
          </w:tcPr>
          <w:p w14:paraId="5E47FEF0" w14:textId="77777777" w:rsidR="005F7B0F" w:rsidRPr="00956EBE" w:rsidRDefault="005F7B0F">
            <w:pPr>
              <w:jc w:val="both"/>
              <w:rPr>
                <w:sz w:val="20"/>
                <w:szCs w:val="20"/>
              </w:rPr>
            </w:pPr>
          </w:p>
        </w:tc>
      </w:tr>
      <w:tr w:rsidR="00C30182" w:rsidRPr="00956EBE" w14:paraId="77BC48A5" w14:textId="0B0C31DB" w:rsidTr="00C30182">
        <w:trPr>
          <w:trHeight w:val="259"/>
        </w:trPr>
        <w:tc>
          <w:tcPr>
            <w:tcW w:w="609" w:type="pct"/>
            <w:vMerge/>
          </w:tcPr>
          <w:p w14:paraId="3B1ECEB0" w14:textId="77777777" w:rsidR="005F7B0F" w:rsidRPr="00956EBE" w:rsidRDefault="005F7B0F">
            <w:pPr>
              <w:jc w:val="both"/>
              <w:rPr>
                <w:sz w:val="20"/>
                <w:szCs w:val="20"/>
              </w:rPr>
            </w:pPr>
          </w:p>
        </w:tc>
        <w:tc>
          <w:tcPr>
            <w:tcW w:w="1039" w:type="pct"/>
            <w:vMerge/>
          </w:tcPr>
          <w:p w14:paraId="27EC037D" w14:textId="77777777" w:rsidR="005F7B0F" w:rsidRPr="00956EBE" w:rsidRDefault="005F7B0F">
            <w:pPr>
              <w:jc w:val="both"/>
              <w:rPr>
                <w:sz w:val="20"/>
                <w:szCs w:val="20"/>
              </w:rPr>
            </w:pPr>
          </w:p>
        </w:tc>
        <w:tc>
          <w:tcPr>
            <w:tcW w:w="611" w:type="pct"/>
          </w:tcPr>
          <w:p w14:paraId="244EAC2D" w14:textId="77777777" w:rsidR="005F7B0F" w:rsidRPr="00956EBE" w:rsidRDefault="005F7B0F">
            <w:pPr>
              <w:jc w:val="both"/>
              <w:rPr>
                <w:sz w:val="20"/>
                <w:szCs w:val="20"/>
              </w:rPr>
            </w:pPr>
            <w:r w:rsidRPr="00956EBE">
              <w:rPr>
                <w:sz w:val="20"/>
                <w:szCs w:val="20"/>
              </w:rPr>
              <w:t>35-44</w:t>
            </w:r>
          </w:p>
        </w:tc>
        <w:tc>
          <w:tcPr>
            <w:tcW w:w="1107" w:type="pct"/>
          </w:tcPr>
          <w:p w14:paraId="7930050C" w14:textId="77777777" w:rsidR="005F7B0F" w:rsidRPr="00956EBE" w:rsidRDefault="005F7B0F">
            <w:pPr>
              <w:jc w:val="both"/>
              <w:rPr>
                <w:sz w:val="20"/>
                <w:szCs w:val="20"/>
              </w:rPr>
            </w:pPr>
            <w:r w:rsidRPr="00956EBE">
              <w:rPr>
                <w:sz w:val="20"/>
                <w:szCs w:val="20"/>
              </w:rPr>
              <w:t>0.168 (0.088 – 0.241)</w:t>
            </w:r>
          </w:p>
        </w:tc>
        <w:tc>
          <w:tcPr>
            <w:tcW w:w="1059" w:type="pct"/>
          </w:tcPr>
          <w:p w14:paraId="423EA13C" w14:textId="77777777" w:rsidR="005F7B0F" w:rsidRPr="00956EBE" w:rsidRDefault="005F7B0F">
            <w:pPr>
              <w:jc w:val="both"/>
              <w:rPr>
                <w:sz w:val="20"/>
                <w:szCs w:val="20"/>
              </w:rPr>
            </w:pPr>
            <w:r w:rsidRPr="00956EBE">
              <w:rPr>
                <w:sz w:val="20"/>
                <w:szCs w:val="20"/>
              </w:rPr>
              <w:t>0.241 (0.129 – 0.339)</w:t>
            </w:r>
          </w:p>
        </w:tc>
        <w:tc>
          <w:tcPr>
            <w:tcW w:w="575" w:type="pct"/>
            <w:vMerge/>
          </w:tcPr>
          <w:p w14:paraId="6DE14AEA" w14:textId="77777777" w:rsidR="005F7B0F" w:rsidRPr="00956EBE" w:rsidRDefault="005F7B0F">
            <w:pPr>
              <w:jc w:val="both"/>
              <w:rPr>
                <w:sz w:val="20"/>
                <w:szCs w:val="20"/>
              </w:rPr>
            </w:pPr>
          </w:p>
        </w:tc>
      </w:tr>
      <w:tr w:rsidR="00C30182" w:rsidRPr="00956EBE" w14:paraId="5EF45230" w14:textId="7703E139" w:rsidTr="00C30182">
        <w:trPr>
          <w:trHeight w:val="259"/>
        </w:trPr>
        <w:tc>
          <w:tcPr>
            <w:tcW w:w="609" w:type="pct"/>
            <w:vMerge/>
          </w:tcPr>
          <w:p w14:paraId="0D3BD795" w14:textId="77777777" w:rsidR="005F7B0F" w:rsidRPr="00956EBE" w:rsidRDefault="005F7B0F">
            <w:pPr>
              <w:jc w:val="both"/>
              <w:rPr>
                <w:sz w:val="20"/>
                <w:szCs w:val="20"/>
              </w:rPr>
            </w:pPr>
          </w:p>
        </w:tc>
        <w:tc>
          <w:tcPr>
            <w:tcW w:w="1039" w:type="pct"/>
            <w:vMerge/>
          </w:tcPr>
          <w:p w14:paraId="4BCA297F" w14:textId="77777777" w:rsidR="005F7B0F" w:rsidRPr="00956EBE" w:rsidRDefault="005F7B0F">
            <w:pPr>
              <w:jc w:val="both"/>
              <w:rPr>
                <w:sz w:val="20"/>
                <w:szCs w:val="20"/>
              </w:rPr>
            </w:pPr>
          </w:p>
        </w:tc>
        <w:tc>
          <w:tcPr>
            <w:tcW w:w="611" w:type="pct"/>
          </w:tcPr>
          <w:p w14:paraId="25A6DA16" w14:textId="77777777" w:rsidR="005F7B0F" w:rsidRPr="00956EBE" w:rsidRDefault="005F7B0F">
            <w:pPr>
              <w:jc w:val="both"/>
              <w:rPr>
                <w:sz w:val="20"/>
                <w:szCs w:val="20"/>
              </w:rPr>
            </w:pPr>
            <w:r w:rsidRPr="00956EBE">
              <w:rPr>
                <w:sz w:val="20"/>
                <w:szCs w:val="20"/>
              </w:rPr>
              <w:t>45-54</w:t>
            </w:r>
          </w:p>
        </w:tc>
        <w:tc>
          <w:tcPr>
            <w:tcW w:w="1107" w:type="pct"/>
          </w:tcPr>
          <w:p w14:paraId="0D093584" w14:textId="77777777" w:rsidR="005F7B0F" w:rsidRPr="00956EBE" w:rsidRDefault="005F7B0F">
            <w:pPr>
              <w:jc w:val="both"/>
              <w:rPr>
                <w:sz w:val="20"/>
                <w:szCs w:val="20"/>
              </w:rPr>
            </w:pPr>
            <w:r w:rsidRPr="00956EBE">
              <w:rPr>
                <w:sz w:val="20"/>
                <w:szCs w:val="20"/>
              </w:rPr>
              <w:t>0.168 (0.088 – 0.241)</w:t>
            </w:r>
          </w:p>
        </w:tc>
        <w:tc>
          <w:tcPr>
            <w:tcW w:w="1059" w:type="pct"/>
          </w:tcPr>
          <w:p w14:paraId="3556D348" w14:textId="77777777" w:rsidR="005F7B0F" w:rsidRPr="00956EBE" w:rsidRDefault="005F7B0F">
            <w:pPr>
              <w:jc w:val="both"/>
              <w:rPr>
                <w:sz w:val="20"/>
                <w:szCs w:val="20"/>
              </w:rPr>
            </w:pPr>
            <w:r w:rsidRPr="00956EBE">
              <w:rPr>
                <w:sz w:val="20"/>
                <w:szCs w:val="20"/>
              </w:rPr>
              <w:t>0.241 (0.129 – 0.339)</w:t>
            </w:r>
          </w:p>
        </w:tc>
        <w:tc>
          <w:tcPr>
            <w:tcW w:w="575" w:type="pct"/>
            <w:vMerge/>
          </w:tcPr>
          <w:p w14:paraId="6AE44F66" w14:textId="77777777" w:rsidR="005F7B0F" w:rsidRPr="00956EBE" w:rsidRDefault="005F7B0F">
            <w:pPr>
              <w:jc w:val="both"/>
              <w:rPr>
                <w:sz w:val="20"/>
                <w:szCs w:val="20"/>
              </w:rPr>
            </w:pPr>
          </w:p>
        </w:tc>
      </w:tr>
      <w:tr w:rsidR="00C30182" w:rsidRPr="00956EBE" w14:paraId="40E099FA" w14:textId="53C6FA75" w:rsidTr="00C30182">
        <w:trPr>
          <w:trHeight w:val="259"/>
        </w:trPr>
        <w:tc>
          <w:tcPr>
            <w:tcW w:w="609" w:type="pct"/>
            <w:vMerge/>
          </w:tcPr>
          <w:p w14:paraId="5E01DDE4" w14:textId="77777777" w:rsidR="005F7B0F" w:rsidRPr="00956EBE" w:rsidRDefault="005F7B0F">
            <w:pPr>
              <w:jc w:val="both"/>
              <w:rPr>
                <w:sz w:val="20"/>
                <w:szCs w:val="20"/>
              </w:rPr>
            </w:pPr>
          </w:p>
        </w:tc>
        <w:tc>
          <w:tcPr>
            <w:tcW w:w="1039" w:type="pct"/>
            <w:vMerge/>
          </w:tcPr>
          <w:p w14:paraId="08AA6799" w14:textId="77777777" w:rsidR="005F7B0F" w:rsidRPr="00956EBE" w:rsidRDefault="005F7B0F">
            <w:pPr>
              <w:jc w:val="both"/>
              <w:rPr>
                <w:sz w:val="20"/>
                <w:szCs w:val="20"/>
              </w:rPr>
            </w:pPr>
          </w:p>
        </w:tc>
        <w:tc>
          <w:tcPr>
            <w:tcW w:w="611" w:type="pct"/>
          </w:tcPr>
          <w:p w14:paraId="0C54FE0D" w14:textId="77777777" w:rsidR="005F7B0F" w:rsidRPr="00956EBE" w:rsidRDefault="005F7B0F">
            <w:pPr>
              <w:jc w:val="both"/>
              <w:rPr>
                <w:sz w:val="20"/>
                <w:szCs w:val="20"/>
              </w:rPr>
            </w:pPr>
            <w:r w:rsidRPr="00956EBE">
              <w:rPr>
                <w:sz w:val="20"/>
                <w:szCs w:val="20"/>
              </w:rPr>
              <w:t>55+</w:t>
            </w:r>
          </w:p>
        </w:tc>
        <w:tc>
          <w:tcPr>
            <w:tcW w:w="1107" w:type="pct"/>
          </w:tcPr>
          <w:p w14:paraId="33A2E54E" w14:textId="77777777" w:rsidR="005F7B0F" w:rsidRPr="00956EBE" w:rsidRDefault="005F7B0F">
            <w:pPr>
              <w:jc w:val="both"/>
              <w:rPr>
                <w:sz w:val="20"/>
                <w:szCs w:val="20"/>
              </w:rPr>
            </w:pPr>
            <w:r w:rsidRPr="00956EBE">
              <w:rPr>
                <w:sz w:val="20"/>
                <w:szCs w:val="20"/>
              </w:rPr>
              <w:t>0.168 (0.088 – 0.241)</w:t>
            </w:r>
          </w:p>
        </w:tc>
        <w:tc>
          <w:tcPr>
            <w:tcW w:w="1059" w:type="pct"/>
          </w:tcPr>
          <w:p w14:paraId="0B43BE1A" w14:textId="77777777" w:rsidR="005F7B0F" w:rsidRPr="00956EBE" w:rsidRDefault="005F7B0F">
            <w:pPr>
              <w:jc w:val="both"/>
              <w:rPr>
                <w:sz w:val="20"/>
                <w:szCs w:val="20"/>
              </w:rPr>
            </w:pPr>
            <w:r w:rsidRPr="00956EBE">
              <w:rPr>
                <w:sz w:val="20"/>
                <w:szCs w:val="20"/>
              </w:rPr>
              <w:t>0.241 (0.129 – 0.339)</w:t>
            </w:r>
          </w:p>
        </w:tc>
        <w:tc>
          <w:tcPr>
            <w:tcW w:w="575" w:type="pct"/>
            <w:vMerge/>
          </w:tcPr>
          <w:p w14:paraId="138344D5" w14:textId="77777777" w:rsidR="005F7B0F" w:rsidRPr="00956EBE" w:rsidRDefault="005F7B0F">
            <w:pPr>
              <w:jc w:val="both"/>
              <w:rPr>
                <w:sz w:val="20"/>
                <w:szCs w:val="20"/>
              </w:rPr>
            </w:pPr>
          </w:p>
        </w:tc>
      </w:tr>
    </w:tbl>
    <w:p w14:paraId="6E8A5C02" w14:textId="4D69F016" w:rsidR="00DF7239" w:rsidRPr="0030080E" w:rsidRDefault="003F2CC5" w:rsidP="00122CDD">
      <w:pPr>
        <w:jc w:val="both"/>
        <w:rPr>
          <w:sz w:val="20"/>
          <w:szCs w:val="20"/>
        </w:rPr>
      </w:pPr>
      <w:r>
        <w:rPr>
          <w:bCs/>
          <w:sz w:val="20"/>
          <w:szCs w:val="20"/>
        </w:rPr>
        <w:t>*</w:t>
      </w:r>
      <w:r w:rsidR="00956EBE" w:rsidRPr="0030080E">
        <w:rPr>
          <w:bCs/>
          <w:sz w:val="20"/>
          <w:szCs w:val="20"/>
        </w:rPr>
        <w:t xml:space="preserve"> CD4 &gt;200 represents the following CD4 strata: &gt;</w:t>
      </w:r>
      <w:proofErr w:type="gramStart"/>
      <w:r w:rsidR="00956EBE" w:rsidRPr="0030080E">
        <w:rPr>
          <w:bCs/>
          <w:sz w:val="20"/>
          <w:szCs w:val="20"/>
        </w:rPr>
        <w:t>500,  &gt;</w:t>
      </w:r>
      <w:proofErr w:type="gramEnd"/>
      <w:r w:rsidR="00956EBE" w:rsidRPr="0030080E">
        <w:rPr>
          <w:bCs/>
          <w:sz w:val="20"/>
          <w:szCs w:val="20"/>
        </w:rPr>
        <w:t>350–500, and &gt;200–350.</w:t>
      </w:r>
    </w:p>
    <w:p w14:paraId="42B2ED5B" w14:textId="3933EF15" w:rsidR="00F8228A" w:rsidRPr="006A02D8" w:rsidRDefault="00F8228A" w:rsidP="001D10D4">
      <w:pPr>
        <w:jc w:val="both"/>
      </w:pPr>
    </w:p>
    <w:p w14:paraId="1867C0CA" w14:textId="0A0986F1" w:rsidR="00F8228A" w:rsidRPr="006A02D8" w:rsidRDefault="00F8228A" w:rsidP="00527179">
      <w:pPr>
        <w:jc w:val="both"/>
      </w:pPr>
    </w:p>
    <w:p w14:paraId="2A8A74EA" w14:textId="6902A287" w:rsidR="00F8228A" w:rsidRDefault="00F8228A" w:rsidP="00527179">
      <w:pPr>
        <w:jc w:val="both"/>
        <w:rPr>
          <w:b/>
        </w:rPr>
      </w:pPr>
    </w:p>
    <w:p w14:paraId="2522146C" w14:textId="43A24D2B" w:rsidR="00F8228A" w:rsidRDefault="00F8228A" w:rsidP="00527179">
      <w:pPr>
        <w:jc w:val="both"/>
        <w:rPr>
          <w:b/>
        </w:rPr>
      </w:pPr>
    </w:p>
    <w:p w14:paraId="4477370C" w14:textId="665EFC01" w:rsidR="00F8228A" w:rsidRDefault="00F8228A" w:rsidP="00E71320">
      <w:pPr>
        <w:jc w:val="both"/>
        <w:rPr>
          <w:b/>
        </w:rPr>
      </w:pPr>
    </w:p>
    <w:p w14:paraId="64F68EF9" w14:textId="77777777" w:rsidR="00F8228A" w:rsidRDefault="00F8228A">
      <w:pPr>
        <w:jc w:val="both"/>
        <w:rPr>
          <w:b/>
        </w:rPr>
        <w:sectPr w:rsidR="00F8228A" w:rsidSect="00956EBE">
          <w:pgSz w:w="12240" w:h="15840"/>
          <w:pgMar w:top="1440" w:right="1440" w:bottom="1440" w:left="1440" w:header="720" w:footer="720" w:gutter="0"/>
          <w:cols w:space="720"/>
          <w:docGrid w:linePitch="326"/>
        </w:sectPr>
      </w:pPr>
    </w:p>
    <w:p w14:paraId="73C002D7" w14:textId="021C2FEE" w:rsidR="00C9678A" w:rsidRPr="00615E45" w:rsidRDefault="00C9678A">
      <w:pPr>
        <w:pStyle w:val="Heading2"/>
        <w:spacing w:before="0"/>
        <w:rPr>
          <w:rFonts w:cs="Times New Roman"/>
          <w:szCs w:val="24"/>
        </w:rPr>
      </w:pPr>
      <w:bookmarkStart w:id="170" w:name="_Natural__"/>
      <w:bookmarkStart w:id="171" w:name="_Toc82592659"/>
      <w:bookmarkEnd w:id="170"/>
      <w:commentRangeStart w:id="172"/>
      <w:commentRangeStart w:id="173"/>
      <w:commentRangeStart w:id="174"/>
      <w:r w:rsidRPr="00615E45">
        <w:rPr>
          <w:rFonts w:cs="Times New Roman"/>
          <w:szCs w:val="24"/>
        </w:rPr>
        <w:lastRenderedPageBreak/>
        <w:t>Natural</w:t>
      </w:r>
      <w:commentRangeEnd w:id="172"/>
      <w:r w:rsidR="003410A3">
        <w:rPr>
          <w:rStyle w:val="CommentReference"/>
          <w:rFonts w:eastAsia="Times New Roman" w:cs="Times New Roman"/>
          <w:b w:val="0"/>
          <w:bCs w:val="0"/>
          <w:color w:val="auto"/>
          <w:lang w:eastAsia="zh-CN"/>
        </w:rPr>
        <w:commentReference w:id="172"/>
      </w:r>
      <w:commentRangeEnd w:id="173"/>
      <w:r w:rsidR="0054705D">
        <w:rPr>
          <w:rStyle w:val="CommentReference"/>
          <w:rFonts w:eastAsia="Times New Roman" w:cs="Times New Roman"/>
          <w:b w:val="0"/>
          <w:bCs w:val="0"/>
          <w:color w:val="auto"/>
          <w:lang w:eastAsia="zh-CN"/>
        </w:rPr>
        <w:commentReference w:id="173"/>
      </w:r>
      <w:commentRangeEnd w:id="174"/>
      <w:r w:rsidR="000A43E5">
        <w:rPr>
          <w:rStyle w:val="CommentReference"/>
          <w:rFonts w:eastAsia="Times New Roman" w:cs="Times New Roman"/>
          <w:b w:val="0"/>
          <w:bCs w:val="0"/>
          <w:color w:val="auto"/>
          <w:lang w:eastAsia="zh-CN"/>
        </w:rPr>
        <w:commentReference w:id="174"/>
      </w:r>
      <w:r w:rsidRPr="00615E45">
        <w:rPr>
          <w:rFonts w:cs="Times New Roman"/>
          <w:szCs w:val="24"/>
        </w:rPr>
        <w:t xml:space="preserve"> history</w:t>
      </w:r>
      <w:bookmarkEnd w:id="171"/>
      <w:r w:rsidR="00675361">
        <w:rPr>
          <w:rFonts w:cs="Times New Roman"/>
          <w:szCs w:val="24"/>
        </w:rPr>
        <w:t xml:space="preserve"> </w:t>
      </w:r>
    </w:p>
    <w:p w14:paraId="420CF19C" w14:textId="77777777" w:rsidR="00981DDB" w:rsidRDefault="00981DDB">
      <w:pPr>
        <w:jc w:val="both"/>
      </w:pPr>
    </w:p>
    <w:p w14:paraId="6B46E81A" w14:textId="6E1F8D97" w:rsidR="00C9678A" w:rsidRDefault="00675361">
      <w:pPr>
        <w:jc w:val="both"/>
      </w:pPr>
      <w:r>
        <w:t xml:space="preserve">The natural history of HIV </w:t>
      </w:r>
      <w:r w:rsidR="00495065">
        <w:t xml:space="preserve">is </w:t>
      </w:r>
      <w:r>
        <w:t>defined</w:t>
      </w:r>
      <w:r w:rsidR="003410A3">
        <w:t xml:space="preserve"> as advancing through CD4 count strata (&gt;500, &gt;350-500, &gt;200-350, </w:t>
      </w:r>
      <w:r w:rsidR="003410A3">
        <w:rPr>
          <w:u w:val="single"/>
        </w:rPr>
        <w:t>&lt;</w:t>
      </w:r>
      <w:r w:rsidR="003410A3">
        <w:t>200). Progression</w:t>
      </w:r>
      <w:r w:rsidR="00495065">
        <w:t xml:space="preserve"> to the next disease stage </w:t>
      </w:r>
      <w:r w:rsidR="003410A3">
        <w:t xml:space="preserve">occurs </w:t>
      </w:r>
      <w:r w:rsidR="00495065">
        <w:t xml:space="preserve">if </w:t>
      </w:r>
      <w:r w:rsidR="00C9678A" w:rsidRPr="005E7705">
        <w:t>the estimated CD4</w:t>
      </w:r>
      <w:r w:rsidR="003410A3">
        <w:t xml:space="preserve"> cell count falls</w:t>
      </w:r>
      <w:r w:rsidR="00C9678A" w:rsidRPr="005E7705">
        <w:t xml:space="preserve"> below the threshold of a given CD4 </w:t>
      </w:r>
      <w:r w:rsidR="003410A3">
        <w:t xml:space="preserve">count </w:t>
      </w:r>
      <w:r w:rsidR="00C9678A" w:rsidRPr="005E7705">
        <w:t xml:space="preserve">stratum. </w:t>
      </w:r>
    </w:p>
    <w:p w14:paraId="4B87CCB8" w14:textId="33C59A38" w:rsidR="00675361" w:rsidRDefault="00675361">
      <w:pPr>
        <w:jc w:val="both"/>
      </w:pPr>
    </w:p>
    <w:p w14:paraId="1E11D8A0" w14:textId="77777777" w:rsidR="00665C6D" w:rsidRDefault="00675361">
      <w:pPr>
        <w:jc w:val="both"/>
        <w:rPr>
          <w:b/>
          <w:bCs/>
          <w:i/>
          <w:iCs/>
        </w:rPr>
      </w:pPr>
      <w:r w:rsidRPr="00675361">
        <w:rPr>
          <w:b/>
          <w:bCs/>
          <w:i/>
          <w:iCs/>
        </w:rPr>
        <w:t>Data source</w:t>
      </w:r>
      <w:r>
        <w:rPr>
          <w:b/>
          <w:bCs/>
          <w:i/>
          <w:iCs/>
        </w:rPr>
        <w:t xml:space="preserve">. </w:t>
      </w:r>
    </w:p>
    <w:p w14:paraId="3EBA14FC" w14:textId="5D7F2B3D" w:rsidR="00675361" w:rsidRDefault="00665C6D" w:rsidP="002E50FA">
      <w:pPr>
        <w:pStyle w:val="ListParagraph"/>
        <w:numPr>
          <w:ilvl w:val="0"/>
          <w:numId w:val="28"/>
        </w:numPr>
        <w:jc w:val="both"/>
      </w:pPr>
      <w:r>
        <w:t>To estimate natural history of HIV, w</w:t>
      </w:r>
      <w:r w:rsidR="00675361">
        <w:t>e will use the International epidemiology databases to evaluate AIDS (</w:t>
      </w:r>
      <w:proofErr w:type="spellStart"/>
      <w:r w:rsidR="00675361">
        <w:t>IeDEA</w:t>
      </w:r>
      <w:proofErr w:type="spellEnd"/>
      <w:r w:rsidR="00675361">
        <w:t>) consortium</w:t>
      </w:r>
      <w:r w:rsidR="00C573B0">
        <w:t xml:space="preserve"> in Rwanda from 2004 to most current data</w:t>
      </w:r>
      <w:r w:rsidR="00675361">
        <w:t>.</w:t>
      </w:r>
      <w:r w:rsidR="00675361">
        <w:fldChar w:fldCharType="begin" w:fldLock="1"/>
      </w:r>
      <w:r w:rsidR="007527CC">
        <w:instrText>ADDIN CSL_CITATION {"citationItems":[{"id":"ITEM-1","itemData":{"author":[{"dropping-particle":"","family":"National Institute of Allergy and Infectious Diseases","given":"","non-dropping-particle":"","parse-names":false,"suffix":""}],"id":"ITEM-1","issued":{"date-parts":[["0"]]},"title":"International Epidemiological Databases to Evaluate AIDS","type":"article"},"uris":["http://www.mendeley.com/documents/?uuid=666acb78-cec1-4b66-b410-933fc01451ce"]}],"mendeley":{"formattedCitation":"&lt;sup&gt;51&lt;/sup&gt;","plainTextFormattedCitation":"51","previouslyFormattedCitation":"&lt;sup&gt;51&lt;/sup&gt;"},"properties":{"noteIndex":0},"schema":"https://github.com/citation-style-language/schema/raw/master/csl-citation.json"}</w:instrText>
      </w:r>
      <w:r w:rsidR="00675361">
        <w:fldChar w:fldCharType="separate"/>
      </w:r>
      <w:r w:rsidR="00036C3E" w:rsidRPr="00036C3E">
        <w:rPr>
          <w:noProof/>
          <w:vertAlign w:val="superscript"/>
        </w:rPr>
        <w:t>51</w:t>
      </w:r>
      <w:r w:rsidR="00675361">
        <w:fldChar w:fldCharType="end"/>
      </w:r>
      <w:r w:rsidR="00675361">
        <w:t xml:space="preserve">  </w:t>
      </w:r>
    </w:p>
    <w:p w14:paraId="691A18A8" w14:textId="0238C7A3" w:rsidR="00665C6D" w:rsidRPr="00675361" w:rsidRDefault="00665C6D" w:rsidP="002E50FA">
      <w:pPr>
        <w:pStyle w:val="BodyText"/>
        <w:numPr>
          <w:ilvl w:val="0"/>
          <w:numId w:val="28"/>
        </w:numPr>
        <w:spacing w:before="0" w:after="0"/>
        <w:jc w:val="both"/>
      </w:pPr>
      <w:commentRangeStart w:id="175"/>
      <w:commentRangeStart w:id="176"/>
      <w:r>
        <w:t xml:space="preserve">To </w:t>
      </w:r>
      <w:r w:rsidR="00DD6E5B">
        <w:t xml:space="preserve">estimate the weights applied to the competing risks model, we will use </w:t>
      </w:r>
      <w:r>
        <w:t>a retrospective study from Kenya (2009-2011)</w:t>
      </w:r>
      <w:r w:rsidR="00DD6E5B">
        <w:t>, which describes the underestimation of death due to</w:t>
      </w:r>
      <w:r w:rsidR="00257FB0">
        <w:t xml:space="preserve"> </w:t>
      </w:r>
      <w:proofErr w:type="gramStart"/>
      <w:r w:rsidR="00257FB0">
        <w:t xml:space="preserve">the </w:t>
      </w:r>
      <w:r w:rsidR="00DD6E5B">
        <w:t xml:space="preserve"> misclassification</w:t>
      </w:r>
      <w:proofErr w:type="gramEnd"/>
      <w:r w:rsidR="00DD6E5B">
        <w:t xml:space="preserve"> of loss to follow-up (LTFU) in the </w:t>
      </w:r>
      <w:proofErr w:type="spellStart"/>
      <w:r w:rsidR="00DD6E5B">
        <w:t>IeDEA</w:t>
      </w:r>
      <w:proofErr w:type="spellEnd"/>
      <w:r w:rsidR="00DD6E5B">
        <w:t xml:space="preserve"> data. The</w:t>
      </w:r>
      <w:r w:rsidRPr="005E7705">
        <w:rPr>
          <w:color w:val="000000"/>
        </w:rPr>
        <w:t xml:space="preserve"> proportion of patients </w:t>
      </w:r>
      <w:r>
        <w:rPr>
          <w:color w:val="000000"/>
        </w:rPr>
        <w:t>who have died but coded as LTFU is 17%</w:t>
      </w:r>
      <w:r w:rsidRPr="005E7705">
        <w:t>.</w:t>
      </w:r>
      <w:r w:rsidRPr="005E7705">
        <w:fldChar w:fldCharType="begin" w:fldLock="1"/>
      </w:r>
      <w:r w:rsidR="007527CC">
        <w:instrText>ADDIN CSL_CITATION {"citationItems":[{"id":"ITEM-1","itemData":{"DOI":"10.1097/QAI.0000000000000492","ISBN":"0000000000000","ISSN":"10779450","abstract":"© 2014 Wolters Kluwer Health, Inc. Background: Academic Model Providing Access To Healthcare (AMPATH) program provides comprehensive HIV care and treatment services. Approximately, 30% of patients have become lost to follow-up (LTFU). We sought to actively trace and identify outcomes for a sample of these patients. Methods: LTFU was defined as missing a scheduled visit by $3 months. A randomly selected sample of 17% of patients identified as LTFU between January 2009 and June 2011 was generated, with sample stratification on age, antiretroviral therapy (ART) status at last visit, and facility. Chart reviews were conducted followed by active tracing. Tracing was completed by trained HIV-positive outreach workers July 2011 to February 2012. Outcomes were compared between adults and children and by ART status. Results: Of 14,811 LTFU patients, 2540 were randomly selected for tracing (2179 adults, 1071 on ART). The chart reviews indicated that 326 (12.8%) patients were not actually LTFU. Outcomes for 71% of sampled patients were determined including 85% of those physically traced. Of those with known outcomes, 21% had died, whereas 29% had disengaged from care for various reasons. The remaining patients had moved away (n = 458, 25%) or were still receiving HIV care (n = 443 total, 25%). Conclusions: Our findings demonstrate the feasibility of a largescale sampling-based approach. A significant proportion of patients were found not to be LTFU, and further, high numbers of patients who were LTFU could not be located. Over a quarter of patients disengaged from care for various reasons including access challenges and familial influences.","author":[{"dropping-particle":"","family":"Rachlis","given":"Beth","non-dropping-particle":"","parse-names":false,"suffix":""},{"dropping-particle":"","family":"Ochieng","given":"Daniel","non-dropping-particle":"","parse-names":false,"suffix":""},{"dropping-particle":"","family":"Geng","given":"Elvin","non-dropping-particle":"","parse-names":false,"suffix":""},{"dropping-particle":"","family":"Rotich","given":"Elyne","non-dropping-particle":"","parse-names":false,"suffix":""},{"dropping-particle":"","family":"Ochieng","given":"Vincent","non-dropping-particle":"","parse-names":false,"suffix":""},{"dropping-particle":"","family":"Maritim","given":"Beryl","non-dropping-particle":"","parse-names":false,"suffix":""},{"dropping-particle":"","family":"Ndege","given":"Samson","non-dropping-particle":"","parse-names":false,"suffix":""},{"dropping-particle":"","family":"Naanyu","given":"Violet","non-dropping-particle":"","parse-names":false,"suffix":""},{"dropping-particle":"","family":"Martin","given":"Jeffrey N.","non-dropping-particle":"","parse-names":false,"suffix":""},{"dropping-particle":"","family":"Keter","given":"Alfred","non-dropping-particle":"","parse-names":false,"suffix":""},{"dropping-particle":"","family":"Ayuo","given":"Paul","non-dropping-particle":"","parse-names":false,"suffix":""},{"dropping-particle":"","family":"Diero","given":"Lameck","non-dropping-particle":"","parse-names":false,"suffix":""},{"dropping-particle":"","family":"Nyambura","given":"Monicah","non-dropping-particle":"","parse-names":false,"suffix":""},{"dropping-particle":"","family":"Braitstein","given":"Paula","non-dropping-particle":"","parse-names":false,"suffix":""}],"container-title":"Journal of Acquired Immune Deficiency Syndromes","id":"ITEM-1","issue":"4","issued":{"date-parts":[["2015"]]},"page":"e46-e55","title":"Evaluating outcomes of patients lost to follow-up in a large comprehensive care treatment program in Western Kenya","type":"article-journal","volume":"68"},"uris":["http://www.mendeley.com/documents/?uuid=46dfb1ee-def0-49a8-aeda-dbe712f30a4f"]}],"mendeley":{"formattedCitation":"&lt;sup&gt;54&lt;/sup&gt;","plainTextFormattedCitation":"54","previouslyFormattedCitation":"&lt;sup&gt;54&lt;/sup&gt;"},"properties":{"noteIndex":0},"schema":"https://github.com/citation-style-language/schema/raw/master/csl-citation.json"}</w:instrText>
      </w:r>
      <w:r w:rsidRPr="005E7705">
        <w:fldChar w:fldCharType="separate"/>
      </w:r>
      <w:r w:rsidR="00036C3E" w:rsidRPr="00036C3E">
        <w:rPr>
          <w:noProof/>
          <w:vertAlign w:val="superscript"/>
        </w:rPr>
        <w:t>54</w:t>
      </w:r>
      <w:r w:rsidRPr="005E7705">
        <w:fldChar w:fldCharType="end"/>
      </w:r>
      <w:commentRangeEnd w:id="175"/>
      <w:r w:rsidR="0050135C">
        <w:rPr>
          <w:rStyle w:val="CommentReference"/>
          <w:rFonts w:eastAsia="Times New Roman"/>
          <w:lang w:eastAsia="zh-CN"/>
        </w:rPr>
        <w:commentReference w:id="175"/>
      </w:r>
      <w:commentRangeEnd w:id="176"/>
      <w:r w:rsidR="00DD6E5B">
        <w:rPr>
          <w:rStyle w:val="CommentReference"/>
          <w:rFonts w:eastAsia="Times New Roman"/>
          <w:lang w:eastAsia="zh-CN"/>
        </w:rPr>
        <w:commentReference w:id="176"/>
      </w:r>
      <w:r w:rsidRPr="005E7705">
        <w:t xml:space="preserve"> </w:t>
      </w:r>
    </w:p>
    <w:p w14:paraId="21511BB2" w14:textId="77777777" w:rsidR="00675361" w:rsidRPr="005E7705" w:rsidRDefault="00675361">
      <w:pPr>
        <w:jc w:val="both"/>
      </w:pPr>
    </w:p>
    <w:p w14:paraId="1A431B71" w14:textId="079C0E94" w:rsidR="00C9678A" w:rsidRDefault="00675361">
      <w:pPr>
        <w:jc w:val="both"/>
        <w:rPr>
          <w:b/>
          <w:bCs/>
          <w:i/>
          <w:iCs/>
        </w:rPr>
      </w:pPr>
      <w:r>
        <w:rPr>
          <w:b/>
          <w:bCs/>
          <w:i/>
          <w:iCs/>
        </w:rPr>
        <w:t xml:space="preserve">Assumptions. </w:t>
      </w:r>
    </w:p>
    <w:p w14:paraId="08E7FAD7" w14:textId="6938E052" w:rsidR="00675361" w:rsidRPr="00675361" w:rsidRDefault="0003541D" w:rsidP="002E50FA">
      <w:pPr>
        <w:pStyle w:val="ListParagraph"/>
        <w:numPr>
          <w:ilvl w:val="0"/>
          <w:numId w:val="27"/>
        </w:numPr>
        <w:jc w:val="both"/>
      </w:pPr>
      <w:r>
        <w:t xml:space="preserve">We assume a linear trend in the decrease of CD4 level for individuals living with HIV. </w:t>
      </w:r>
    </w:p>
    <w:p w14:paraId="76D59D6B" w14:textId="77777777" w:rsidR="00C9678A" w:rsidRPr="005E7705" w:rsidRDefault="00C9678A" w:rsidP="00527179">
      <w:pPr>
        <w:jc w:val="both"/>
        <w:rPr>
          <w:b/>
          <w:bCs/>
        </w:rPr>
      </w:pPr>
    </w:p>
    <w:p w14:paraId="7C04F7EC" w14:textId="727694B6" w:rsidR="00C9678A" w:rsidRPr="002F5853" w:rsidRDefault="00C9678A" w:rsidP="00527179">
      <w:pPr>
        <w:jc w:val="both"/>
        <w:rPr>
          <w:b/>
          <w:bCs/>
          <w:i/>
          <w:iCs/>
        </w:rPr>
      </w:pPr>
      <w:commentRangeStart w:id="177"/>
      <w:r w:rsidRPr="002F5853">
        <w:rPr>
          <w:b/>
          <w:bCs/>
          <w:i/>
          <w:iCs/>
        </w:rPr>
        <w:t>Estimati</w:t>
      </w:r>
      <w:r w:rsidR="00675361">
        <w:rPr>
          <w:b/>
          <w:bCs/>
          <w:i/>
          <w:iCs/>
        </w:rPr>
        <w:t>on</w:t>
      </w:r>
      <w:commentRangeEnd w:id="177"/>
      <w:r w:rsidR="00D410A2">
        <w:rPr>
          <w:rStyle w:val="CommentReference"/>
        </w:rPr>
        <w:commentReference w:id="177"/>
      </w:r>
    </w:p>
    <w:p w14:paraId="65A801DB" w14:textId="574F6B3D" w:rsidR="00C9678A" w:rsidRDefault="00C9678A" w:rsidP="00527179">
      <w:pPr>
        <w:jc w:val="both"/>
      </w:pPr>
      <w:r w:rsidRPr="005E7705">
        <w:t xml:space="preserve">The </w:t>
      </w:r>
      <w:commentRangeStart w:id="178"/>
      <w:commentRangeStart w:id="179"/>
      <w:r w:rsidRPr="005E7705">
        <w:t>probability of disease progression will be estimated using a weighted competing risk model</w:t>
      </w:r>
      <w:r w:rsidR="0003541D">
        <w:t xml:space="preserve"> </w:t>
      </w:r>
      <w:commentRangeEnd w:id="178"/>
      <w:r w:rsidR="005F66A3">
        <w:rPr>
          <w:rStyle w:val="CommentReference"/>
        </w:rPr>
        <w:commentReference w:id="178"/>
      </w:r>
      <w:commentRangeEnd w:id="179"/>
      <w:r w:rsidR="00DD6E5B">
        <w:rPr>
          <w:rStyle w:val="CommentReference"/>
        </w:rPr>
        <w:commentReference w:id="179"/>
      </w:r>
      <w:r w:rsidR="0003541D">
        <w:t>for each sub-population</w:t>
      </w:r>
      <w:r w:rsidR="00665C6D">
        <w:t xml:space="preserve"> (</w:t>
      </w:r>
      <w:r w:rsidR="00BB226C">
        <w:fldChar w:fldCharType="begin"/>
      </w:r>
      <w:r w:rsidR="00BB226C">
        <w:instrText xml:space="preserve"> REF _Ref82431934 \h </w:instrText>
      </w:r>
      <w:r w:rsidR="00BB226C">
        <w:fldChar w:fldCharType="separate"/>
      </w:r>
      <w:r w:rsidR="001E49BE" w:rsidRPr="00BA25B2">
        <w:rPr>
          <w:b/>
          <w:bCs/>
          <w:color w:val="000000" w:themeColor="text1"/>
        </w:rPr>
        <w:t xml:space="preserve">Table </w:t>
      </w:r>
      <w:r w:rsidR="001E49BE">
        <w:rPr>
          <w:b/>
          <w:bCs/>
          <w:noProof/>
          <w:color w:val="000000" w:themeColor="text1"/>
        </w:rPr>
        <w:t>10</w:t>
      </w:r>
      <w:r w:rsidR="00BB226C">
        <w:fldChar w:fldCharType="end"/>
      </w:r>
      <w:r w:rsidR="00665C6D">
        <w:rPr>
          <w:b/>
          <w:bCs/>
        </w:rPr>
        <w:t>)</w:t>
      </w:r>
      <w:r w:rsidRPr="005E7705">
        <w:t xml:space="preserve">. </w:t>
      </w:r>
      <w:r w:rsidR="003410A3">
        <w:t xml:space="preserve">This model is selected </w:t>
      </w:r>
      <w:r w:rsidR="00275E75">
        <w:t>because</w:t>
      </w:r>
      <w:r w:rsidR="00675361">
        <w:t xml:space="preserve"> the probability of disease progression will be affected depending on the whether the patient has initiated ART or died</w:t>
      </w:r>
      <w:r w:rsidR="00665C6D">
        <w:t>. ART initiation and death will be modeled as the competing risks</w:t>
      </w:r>
      <w:r w:rsidR="00675361">
        <w:t xml:space="preserve">. </w:t>
      </w:r>
      <w:r w:rsidR="00665C6D">
        <w:t>The competing risk model is presented as follows.</w:t>
      </w:r>
    </w:p>
    <w:p w14:paraId="39E682F0" w14:textId="77777777" w:rsidR="00665C6D" w:rsidRDefault="00665C6D" w:rsidP="00527179">
      <w:pPr>
        <w:jc w:val="both"/>
      </w:pPr>
    </w:p>
    <w:p w14:paraId="5BB9823D" w14:textId="1CD1F7C1" w:rsidR="00665C6D" w:rsidRDefault="00000000" w:rsidP="00665C6D">
      <w:pPr>
        <w:pStyle w:val="BodyText"/>
        <w:spacing w:before="0" w:after="0"/>
        <w:jc w:val="both"/>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p</m:t>
            </m:r>
          </m:sub>
          <m:sup>
            <m:r>
              <w:rPr>
                <w:rFonts w:ascii="Cambria Math" w:hAnsi="Cambria Math"/>
              </w:rPr>
              <m:t>w</m:t>
            </m:r>
          </m:sup>
        </m:sSubSup>
        <m:d>
          <m:dPr>
            <m:ctrlPr>
              <w:rPr>
                <w:rFonts w:ascii="Cambria Math" w:hAnsi="Cambria Math"/>
                <w:i/>
              </w:rPr>
            </m:ctrlPr>
          </m:dPr>
          <m:e>
            <m:r>
              <w:rPr>
                <w:rFonts w:ascii="Cambria Math" w:hAnsi="Cambria Math"/>
              </w:rPr>
              <m:t>t</m:t>
            </m:r>
          </m:e>
          <m:e>
            <m:r>
              <m:rPr>
                <m:sty m:val="bi"/>
              </m:rPr>
              <w:rPr>
                <w:rFonts w:ascii="Cambria Math" w:hAnsi="Cambria Math"/>
              </w:rPr>
              <m:t>X</m:t>
            </m:r>
          </m:e>
        </m:d>
        <m:r>
          <w:rPr>
            <w:rFonts w:ascii="Cambria Math" w:hAnsi="Cambria Math"/>
          </w:rPr>
          <m:t xml:space="preserve">= </m:t>
        </m:r>
        <m:nary>
          <m:naryPr>
            <m:limLoc m:val="subSup"/>
            <m:ctrlPr>
              <w:rPr>
                <w:rFonts w:ascii="Cambria Math" w:hAnsi="Cambria Math"/>
                <w:i/>
              </w:rPr>
            </m:ctrlPr>
          </m:naryPr>
          <m:sub>
            <m:r>
              <w:rPr>
                <w:rFonts w:ascii="Cambria Math" w:hAnsi="Cambria Math"/>
              </w:rPr>
              <m:t>o</m:t>
            </m:r>
          </m:sub>
          <m:sup>
            <m:r>
              <w:rPr>
                <w:rFonts w:ascii="Cambria Math" w:hAnsi="Cambria Math"/>
              </w:rPr>
              <m:t>t</m:t>
            </m:r>
          </m:sup>
          <m:e>
            <m:sSup>
              <m:sSupPr>
                <m:ctrlPr>
                  <w:rPr>
                    <w:rFonts w:ascii="Cambria Math" w:hAnsi="Cambria Math"/>
                    <w:i/>
                  </w:rPr>
                </m:ctrlPr>
              </m:sSupPr>
              <m:e>
                <m:r>
                  <w:rPr>
                    <w:rFonts w:ascii="Cambria Math" w:hAnsi="Cambria Math"/>
                  </w:rPr>
                  <m:t>S</m:t>
                </m:r>
              </m:e>
              <m:sup>
                <m:r>
                  <w:rPr>
                    <w:rFonts w:ascii="Cambria Math" w:hAnsi="Cambria Math"/>
                  </w:rPr>
                  <m:t>w</m:t>
                </m:r>
              </m:sup>
            </m:sSup>
            <m:d>
              <m:dPr>
                <m:ctrlPr>
                  <w:rPr>
                    <w:rFonts w:ascii="Cambria Math" w:hAnsi="Cambria Math"/>
                    <w:i/>
                  </w:rPr>
                </m:ctrlPr>
              </m:dPr>
              <m:e>
                <m:r>
                  <w:rPr>
                    <w:rFonts w:ascii="Cambria Math" w:hAnsi="Cambria Math"/>
                  </w:rPr>
                  <m:t>s</m:t>
                </m:r>
              </m:e>
              <m:e>
                <m:r>
                  <m:rPr>
                    <m:sty m:val="bi"/>
                  </m:rPr>
                  <w:rPr>
                    <w:rFonts w:ascii="Cambria Math" w:hAnsi="Cambria Math"/>
                  </w:rPr>
                  <m:t>X</m:t>
                </m:r>
              </m:e>
            </m:d>
            <m:r>
              <w:rPr>
                <w:rFonts w:ascii="Cambria Math" w:hAnsi="Cambria Math"/>
              </w:rPr>
              <m:t xml:space="preserve"> </m:t>
            </m:r>
            <m:sSubSup>
              <m:sSubSupPr>
                <m:ctrlPr>
                  <w:rPr>
                    <w:rFonts w:ascii="Cambria Math" w:hAnsi="Cambria Math"/>
                    <w:i/>
                    <w:iCs/>
                  </w:rPr>
                </m:ctrlPr>
              </m:sSubSupPr>
              <m:e>
                <m:r>
                  <w:rPr>
                    <w:rFonts w:ascii="Cambria Math" w:hAnsi="Cambria Math"/>
                  </w:rPr>
                  <m:t>h</m:t>
                </m:r>
              </m:e>
              <m:sub>
                <m:r>
                  <w:rPr>
                    <w:rFonts w:ascii="Cambria Math" w:hAnsi="Cambria Math"/>
                  </w:rPr>
                  <m:t>p</m:t>
                </m:r>
              </m:sub>
              <m:sup>
                <m:r>
                  <w:rPr>
                    <w:rFonts w:ascii="Cambria Math" w:hAnsi="Cambria Math"/>
                  </w:rPr>
                  <m:t>w</m:t>
                </m:r>
              </m:sup>
            </m:sSubSup>
            <m:d>
              <m:dPr>
                <m:ctrlPr>
                  <w:rPr>
                    <w:rFonts w:ascii="Cambria Math" w:hAnsi="Cambria Math"/>
                    <w:i/>
                  </w:rPr>
                </m:ctrlPr>
              </m:dPr>
              <m:e>
                <m:r>
                  <w:rPr>
                    <w:rFonts w:ascii="Cambria Math" w:hAnsi="Cambria Math"/>
                  </w:rPr>
                  <m:t>s</m:t>
                </m:r>
              </m:e>
              <m:e>
                <m:r>
                  <m:rPr>
                    <m:sty m:val="bi"/>
                  </m:rPr>
                  <w:rPr>
                    <w:rFonts w:ascii="Cambria Math" w:hAnsi="Cambria Math"/>
                  </w:rPr>
                  <m:t>X</m:t>
                </m:r>
              </m:e>
            </m:d>
            <m:r>
              <w:rPr>
                <w:rFonts w:ascii="Cambria Math" w:hAnsi="Cambria Math"/>
              </w:rPr>
              <m:t xml:space="preserve"> ds</m:t>
            </m:r>
          </m:e>
        </m:nary>
      </m:oMath>
      <w:r w:rsidR="0089750E">
        <w:rPr>
          <w:rFonts w:eastAsiaTheme="minorEastAsia"/>
        </w:rPr>
        <w:tab/>
      </w:r>
      <w:r w:rsidR="0089750E">
        <w:rPr>
          <w:rFonts w:eastAsiaTheme="minorEastAsia"/>
        </w:rPr>
        <w:tab/>
      </w:r>
      <w:r w:rsidR="0089750E">
        <w:rPr>
          <w:rFonts w:eastAsiaTheme="minorEastAsia"/>
        </w:rPr>
        <w:tab/>
      </w:r>
      <w:r w:rsidR="0089750E">
        <w:rPr>
          <w:rFonts w:eastAsiaTheme="minorEastAsia"/>
        </w:rPr>
        <w:tab/>
      </w:r>
      <w:r w:rsidR="0089750E">
        <w:rPr>
          <w:rFonts w:eastAsiaTheme="minorEastAsia"/>
        </w:rPr>
        <w:tab/>
      </w:r>
      <w:r w:rsidR="0089750E">
        <w:rPr>
          <w:rFonts w:eastAsiaTheme="minorEastAsia"/>
        </w:rPr>
        <w:tab/>
      </w:r>
      <w:r w:rsidR="0089750E">
        <w:rPr>
          <w:rFonts w:eastAsiaTheme="minorEastAsia"/>
        </w:rPr>
        <w:tab/>
      </w:r>
      <w:r w:rsidR="0089750E">
        <w:rPr>
          <w:rFonts w:eastAsiaTheme="minorEastAsia"/>
        </w:rPr>
        <w:tab/>
        <w:t>(</w:t>
      </w:r>
      <w:r w:rsidR="00FA0F83">
        <w:rPr>
          <w:rFonts w:eastAsiaTheme="minorEastAsia"/>
        </w:rPr>
        <w:t>8</w:t>
      </w:r>
      <w:r w:rsidR="0089750E">
        <w:rPr>
          <w:rFonts w:eastAsiaTheme="minorEastAsia"/>
        </w:rPr>
        <w:t>)</w:t>
      </w:r>
    </w:p>
    <w:p w14:paraId="4135D50E" w14:textId="77777777" w:rsidR="0089750E" w:rsidRPr="0089750E" w:rsidRDefault="0089750E" w:rsidP="00665C6D">
      <w:pPr>
        <w:pStyle w:val="BodyText"/>
        <w:spacing w:before="0" w:after="0"/>
        <w:jc w:val="both"/>
      </w:pPr>
    </w:p>
    <w:p w14:paraId="76C64110" w14:textId="2AF1F1F2" w:rsidR="00665C6D" w:rsidRDefault="00665C6D" w:rsidP="00665C6D">
      <w:pPr>
        <w:pStyle w:val="BodyText"/>
        <w:spacing w:before="0" w:after="0"/>
        <w:jc w:val="both"/>
        <w:rPr>
          <w:iCs/>
        </w:rPr>
      </w:pPr>
      <w:r w:rsidRPr="005E7705">
        <w:rPr>
          <w:iCs/>
        </w:rPr>
        <w:t>Where,</w:t>
      </w:r>
      <w:r w:rsidRPr="005E7705">
        <w:rPr>
          <w:i/>
        </w:rPr>
        <w:t xml:space="preserve"> p</w:t>
      </w:r>
      <w:r w:rsidRPr="005E7705">
        <w:rPr>
          <w:iCs/>
        </w:rPr>
        <w:t xml:space="preserve"> = </w:t>
      </w:r>
      <w:commentRangeStart w:id="180"/>
      <w:commentRangeStart w:id="181"/>
      <w:r w:rsidRPr="005E7705">
        <w:rPr>
          <w:iCs/>
        </w:rPr>
        <w:t>disease progress</w:t>
      </w:r>
      <w:commentRangeEnd w:id="180"/>
      <w:r w:rsidR="005F66A3">
        <w:rPr>
          <w:rStyle w:val="CommentReference"/>
          <w:rFonts w:eastAsia="Times New Roman"/>
          <w:lang w:eastAsia="zh-CN"/>
        </w:rPr>
        <w:commentReference w:id="180"/>
      </w:r>
      <w:commentRangeEnd w:id="181"/>
      <w:r w:rsidR="00A61A5A">
        <w:rPr>
          <w:rStyle w:val="CommentReference"/>
          <w:rFonts w:eastAsia="Times New Roman"/>
          <w:lang w:eastAsia="zh-CN"/>
        </w:rPr>
        <w:commentReference w:id="181"/>
      </w:r>
      <w:r w:rsidR="00D410A2">
        <w:rPr>
          <w:iCs/>
        </w:rPr>
        <w:t>ed (i.e., reaching the CD4 threshold)</w:t>
      </w:r>
      <w:r w:rsidRPr="005E7705">
        <w:t xml:space="preserve">, w = weight to account for underestimation of disease progression stopped (i.e. death or ART initiation), </w:t>
      </w:r>
      <w:r w:rsidRPr="005E7705">
        <w:rPr>
          <w:i/>
          <w:iCs/>
        </w:rPr>
        <w:t xml:space="preserve">S </w:t>
      </w:r>
      <w:r w:rsidRPr="005E7705">
        <w:t>= event-free function (survival from competing events, or disease progression),</w:t>
      </w:r>
      <w:r w:rsidRPr="005E7705">
        <w:rPr>
          <w:iCs/>
        </w:rP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p</m:t>
            </m:r>
          </m:sub>
          <m:sup>
            <m:r>
              <w:rPr>
                <w:rFonts w:ascii="Cambria Math" w:hAnsi="Cambria Math"/>
              </w:rPr>
              <m:t>w</m:t>
            </m:r>
          </m:sup>
        </m:sSubSup>
        <m:d>
          <m:dPr>
            <m:ctrlPr>
              <w:rPr>
                <w:rFonts w:ascii="Cambria Math" w:hAnsi="Cambria Math"/>
                <w:i/>
              </w:rPr>
            </m:ctrlPr>
          </m:dPr>
          <m:e>
            <m:r>
              <w:rPr>
                <w:rFonts w:ascii="Cambria Math" w:hAnsi="Cambria Math"/>
              </w:rPr>
              <m:t>t</m:t>
            </m:r>
          </m:e>
          <m:e>
            <m:r>
              <m:rPr>
                <m:sty m:val="bi"/>
              </m:rPr>
              <w:rPr>
                <w:rFonts w:ascii="Cambria Math" w:hAnsi="Cambria Math"/>
              </w:rPr>
              <m:t>X</m:t>
            </m:r>
          </m:e>
        </m:d>
      </m:oMath>
      <w:r w:rsidRPr="005E7705">
        <w:rPr>
          <w:iCs/>
        </w:rPr>
        <w:t xml:space="preserve"> = weighted probability of being disease progression before time</w:t>
      </w:r>
      <m:oMath>
        <m:r>
          <w:rPr>
            <w:rFonts w:ascii="Cambria Math" w:hAnsi="Cambria Math"/>
          </w:rPr>
          <m:t xml:space="preserve"> t</m:t>
        </m:r>
      </m:oMath>
      <w:r w:rsidRPr="005E7705">
        <w:rPr>
          <w:iCs/>
        </w:rPr>
        <w:t xml:space="preserve">, </w:t>
      </w:r>
      <w:r w:rsidRPr="005E7705">
        <w:rPr>
          <w:b/>
          <w:bCs/>
          <w:i/>
        </w:rPr>
        <w:t>X</w:t>
      </w:r>
      <w:r w:rsidRPr="005E7705">
        <w:rPr>
          <w:b/>
          <w:bCs/>
          <w:iCs/>
        </w:rPr>
        <w:t xml:space="preserve"> </w:t>
      </w:r>
      <w:r w:rsidRPr="005E7705">
        <w:rPr>
          <w:iCs/>
        </w:rPr>
        <w:t xml:space="preserve">= vector of predictor variables (e.g., site) for patient </w:t>
      </w:r>
      <m:oMath>
        <m:r>
          <w:rPr>
            <w:rFonts w:ascii="Cambria Math" w:hAnsi="Cambria Math"/>
          </w:rPr>
          <m:t>i</m:t>
        </m:r>
      </m:oMath>
      <w:r w:rsidRPr="005E7705">
        <w:rPr>
          <w:iCs/>
        </w:rPr>
        <w:t xml:space="preserve">, </w:t>
      </w:r>
      <m:oMath>
        <m:sSubSup>
          <m:sSubSupPr>
            <m:ctrlPr>
              <w:rPr>
                <w:rFonts w:ascii="Cambria Math" w:hAnsi="Cambria Math"/>
                <w:i/>
                <w:iCs/>
              </w:rPr>
            </m:ctrlPr>
          </m:sSubSupPr>
          <m:e>
            <m:r>
              <w:rPr>
                <w:rFonts w:ascii="Cambria Math" w:hAnsi="Cambria Math"/>
              </w:rPr>
              <m:t>h</m:t>
            </m:r>
          </m:e>
          <m:sub>
            <m:r>
              <w:rPr>
                <w:rFonts w:ascii="Cambria Math" w:hAnsi="Cambria Math"/>
              </w:rPr>
              <m:t>p</m:t>
            </m:r>
          </m:sub>
          <m:sup>
            <m:r>
              <w:rPr>
                <w:rFonts w:ascii="Cambria Math" w:hAnsi="Cambria Math"/>
              </w:rPr>
              <m:t>w</m:t>
            </m:r>
          </m:sup>
        </m:sSubSup>
        <m:d>
          <m:dPr>
            <m:ctrlPr>
              <w:rPr>
                <w:rFonts w:ascii="Cambria Math" w:hAnsi="Cambria Math"/>
                <w:i/>
              </w:rPr>
            </m:ctrlPr>
          </m:dPr>
          <m:e>
            <m:r>
              <w:rPr>
                <w:rFonts w:ascii="Cambria Math" w:hAnsi="Cambria Math"/>
              </w:rPr>
              <m:t>s</m:t>
            </m:r>
          </m:e>
          <m:e>
            <m:r>
              <m:rPr>
                <m:sty m:val="bi"/>
              </m:rPr>
              <w:rPr>
                <w:rFonts w:ascii="Cambria Math" w:hAnsi="Cambria Math"/>
              </w:rPr>
              <m:t>X</m:t>
            </m:r>
          </m:e>
        </m:d>
      </m:oMath>
      <w:r w:rsidRPr="005E7705">
        <w:rPr>
          <w:iCs/>
        </w:rPr>
        <w:t xml:space="preserve"> = cause-specific weighted hazard function for disease progression, and </w:t>
      </w:r>
      <m:oMath>
        <m:sSup>
          <m:sSupPr>
            <m:ctrlPr>
              <w:rPr>
                <w:rFonts w:ascii="Cambria Math" w:hAnsi="Cambria Math"/>
                <w:i/>
              </w:rPr>
            </m:ctrlPr>
          </m:sSupPr>
          <m:e>
            <m:r>
              <w:rPr>
                <w:rFonts w:ascii="Cambria Math" w:hAnsi="Cambria Math"/>
              </w:rPr>
              <m:t>S</m:t>
            </m:r>
          </m:e>
          <m:sup>
            <m:r>
              <w:rPr>
                <w:rFonts w:ascii="Cambria Math" w:hAnsi="Cambria Math"/>
              </w:rPr>
              <m:t>w</m:t>
            </m:r>
          </m:sup>
        </m:sSup>
        <m:d>
          <m:dPr>
            <m:ctrlPr>
              <w:rPr>
                <w:rFonts w:ascii="Cambria Math" w:hAnsi="Cambria Math"/>
                <w:i/>
              </w:rPr>
            </m:ctrlPr>
          </m:dPr>
          <m:e>
            <m:r>
              <w:rPr>
                <w:rFonts w:ascii="Cambria Math" w:hAnsi="Cambria Math"/>
              </w:rPr>
              <m:t>s</m:t>
            </m:r>
          </m:e>
          <m:e>
            <m:r>
              <m:rPr>
                <m:sty m:val="bi"/>
              </m:rPr>
              <w:rPr>
                <w:rFonts w:ascii="Cambria Math" w:hAnsi="Cambria Math"/>
              </w:rPr>
              <m:t>X</m:t>
            </m:r>
          </m:e>
        </m:d>
      </m:oMath>
      <w:r w:rsidRPr="005E7705">
        <w:rPr>
          <w:iCs/>
        </w:rPr>
        <w:t xml:space="preserve"> = time-dependent weighted probability that the patient with factors </w:t>
      </w:r>
      <w:r w:rsidRPr="005E7705">
        <w:rPr>
          <w:b/>
          <w:bCs/>
          <w:i/>
        </w:rPr>
        <w:t>X</w:t>
      </w:r>
      <w:r w:rsidRPr="005E7705">
        <w:rPr>
          <w:iCs/>
        </w:rPr>
        <w:t xml:space="preserve"> is event-free.</w:t>
      </w:r>
    </w:p>
    <w:p w14:paraId="6D4F6805" w14:textId="1A5671D8" w:rsidR="00675361" w:rsidRDefault="00675361" w:rsidP="00527179">
      <w:pPr>
        <w:jc w:val="both"/>
      </w:pPr>
    </w:p>
    <w:p w14:paraId="61DE8ED3" w14:textId="59CB616C" w:rsidR="0003541D" w:rsidRPr="00665C6D" w:rsidRDefault="0003541D" w:rsidP="00665C6D">
      <w:pPr>
        <w:pStyle w:val="BodyText"/>
        <w:spacing w:before="0" w:after="0"/>
        <w:jc w:val="both"/>
        <w:rPr>
          <w:iCs/>
        </w:rPr>
      </w:pPr>
      <w:r>
        <w:t>In the weighted competing risk model, we will calculate time at risk for each individual</w:t>
      </w:r>
      <w:r w:rsidR="00665C6D">
        <w:t xml:space="preserve"> to estimate the hazard function of disease progression</w:t>
      </w:r>
      <w:r>
        <w:t xml:space="preserve">, which is based on the residence time within a CD4 cell count stratum. The process for estimating the time-at-risk can be found in </w:t>
      </w:r>
      <w:r w:rsidR="00BB226C">
        <w:rPr>
          <w:b/>
          <w:bCs/>
        </w:rPr>
        <w:t xml:space="preserve">Section </w:t>
      </w:r>
      <w:r w:rsidR="00BB226C">
        <w:rPr>
          <w:b/>
          <w:bCs/>
        </w:rPr>
        <w:fldChar w:fldCharType="begin"/>
      </w:r>
      <w:r w:rsidR="00BB226C">
        <w:rPr>
          <w:b/>
          <w:bCs/>
        </w:rPr>
        <w:instrText xml:space="preserve"> REF _Ref82431964 \r \h </w:instrText>
      </w:r>
      <w:r w:rsidR="00BB226C">
        <w:rPr>
          <w:b/>
          <w:bCs/>
        </w:rPr>
      </w:r>
      <w:r w:rsidR="00BB226C">
        <w:rPr>
          <w:b/>
          <w:bCs/>
        </w:rPr>
        <w:fldChar w:fldCharType="separate"/>
      </w:r>
      <w:r w:rsidR="001E49BE">
        <w:rPr>
          <w:b/>
          <w:bCs/>
        </w:rPr>
        <w:t>11.4</w:t>
      </w:r>
      <w:r w:rsidR="00BB226C">
        <w:rPr>
          <w:b/>
          <w:bCs/>
        </w:rPr>
        <w:fldChar w:fldCharType="end"/>
      </w:r>
      <w:r>
        <w:rPr>
          <w:b/>
          <w:bCs/>
        </w:rPr>
        <w:t xml:space="preserve">. </w:t>
      </w:r>
      <w:r>
        <w:t xml:space="preserve">We will control for site-level factors only (i.e. clinics) </w:t>
      </w:r>
      <w:r w:rsidR="00665C6D">
        <w:t xml:space="preserve">since </w:t>
      </w:r>
      <w:r w:rsidR="00665C6D" w:rsidRPr="005E7705">
        <w:t>clinic- or site-level factors can be associated with disease progression</w:t>
      </w:r>
      <w:r w:rsidR="00665C6D">
        <w:t xml:space="preserve"> </w:t>
      </w:r>
      <w:r w:rsidR="00665C6D" w:rsidRPr="005E7705">
        <w:t>(e.g. nutrition support programs).</w:t>
      </w:r>
      <w:r w:rsidR="00665C6D" w:rsidRPr="005E7705">
        <w:fldChar w:fldCharType="begin" w:fldLock="1"/>
      </w:r>
      <w:r w:rsidR="007527CC">
        <w:instrText>ADDIN CSL_CITATION {"citationItems":[{"id":"ITEM-1","itemData":{"DOI":"10.1186/1742-6405-4-11","ISSN":"17426405","abstract":"During the extended clinically latent period associated with Human Immunodeficiency Virus (HIV) infection the virus itself is far from latent. This phase of infection generally comes to an end with the development of symptomatic illness. Understanding the factors affecting disease progression can aid treatment commencement and therapeutic monitoring decisions. An example of this is the clear utility of CD4+ T-cell count and HIV-RNA for disease stage and progression assessment. Elements of the immune response such as the diversity of HIV-specific cytotoxic lymphocyte responses and cell-surface CD38 expression correlate significantly with the control of viral replication. However, the relationship between soluble markers of immune activation and disease progression remains inconclusive. In patients on treatment, sustained virological rebound to &gt;10 000 copies/mL is associated with poor clinical outcome. However, the same is not true of transient elevations of HIV RNA (blips). Another virological factor, drug resistance, is becoming a growing problem around the globe and monitoring must play a part in the surveillance and control of the epidemic worldwide. The links between chemokine receptor tropism and rate of disease progression remain uncertain and the clinical utility of monitoring viral strain is yet to be determined. The large number of confounding factors has made investigation of the roles of race and viral subtype difficult, and further research is needed to elucidate their significance. Host actors such as age, HLA and CYP polymorphisms and psychosocial factors remain important, though often unalterable, predictors of disease progression. Although gender and mode of transmission have a lesser role in disease progression, they may impact other markers such as viral load. Finally, readily measurable markers of disease such as total lymphocyte count, haemoglobin, body mass index and delayed type hypersensitivity may come into favour as ART becomes increasingly available in resource-limited parts of the world. The influence of these, and other factors, on the clinical progression of HIV infection are reviewed in detail, both preceding and following treatment initiation. © 2007 Langford et al; licensee BioMed Central Ltd.","author":[{"dropping-particle":"","family":"Langford","given":"Simone E.","non-dropping-particle":"","parse-names":false,"suffix":""},{"dropping-particle":"","family":"Ananworanich","given":"Jintanat","non-dropping-particle":"","parse-names":false,"suffix":""},{"dropping-particle":"","family":"Cooper","given":"David A.","non-dropping-particle":"","parse-names":false,"suffix":""}],"container-title":"AIDS Research and Therapy","id":"ITEM-1","issued":{"date-parts":[["2007"]]},"title":"Predictors of disease progression in HIV infection: A review","type":"article"},"uris":["http://www.mendeley.com/documents/?uuid=4a0d521d-4a7b-404e-bf76-154daa1c3363"]}],"mendeley":{"formattedCitation":"&lt;sup&gt;62&lt;/sup&gt;","plainTextFormattedCitation":"62","previouslyFormattedCitation":"&lt;sup&gt;62&lt;/sup&gt;"},"properties":{"noteIndex":0},"schema":"https://github.com/citation-style-language/schema/raw/master/csl-citation.json"}</w:instrText>
      </w:r>
      <w:r w:rsidR="00665C6D" w:rsidRPr="005E7705">
        <w:fldChar w:fldCharType="separate"/>
      </w:r>
      <w:r w:rsidR="00036C3E" w:rsidRPr="00036C3E">
        <w:rPr>
          <w:noProof/>
          <w:vertAlign w:val="superscript"/>
        </w:rPr>
        <w:t>62</w:t>
      </w:r>
      <w:r w:rsidR="00665C6D" w:rsidRPr="005E7705">
        <w:fldChar w:fldCharType="end"/>
      </w:r>
      <w:r w:rsidR="00665C6D" w:rsidRPr="005E7705">
        <w:t xml:space="preserve"> </w:t>
      </w:r>
      <w:r w:rsidR="00665C6D">
        <w:t xml:space="preserve">We did not control for demographic characteristics or disease stage since the model is applied to each sub-population by CD4 stratum. </w:t>
      </w:r>
      <w:r w:rsidR="00665C6D">
        <w:rPr>
          <w:iCs/>
        </w:rPr>
        <w:t xml:space="preserve">The variables created for the model and </w:t>
      </w:r>
      <w:proofErr w:type="spellStart"/>
      <w:r w:rsidR="00665C6D">
        <w:rPr>
          <w:iCs/>
        </w:rPr>
        <w:t>IeDEA</w:t>
      </w:r>
      <w:proofErr w:type="spellEnd"/>
      <w:r w:rsidR="00665C6D">
        <w:rPr>
          <w:iCs/>
        </w:rPr>
        <w:t xml:space="preserve"> data used is presented in</w:t>
      </w:r>
      <w:r w:rsidR="00BB226C">
        <w:rPr>
          <w:iCs/>
        </w:rPr>
        <w:t xml:space="preserve"> </w:t>
      </w:r>
      <w:r w:rsidR="00BB226C">
        <w:rPr>
          <w:iCs/>
        </w:rPr>
        <w:fldChar w:fldCharType="begin"/>
      </w:r>
      <w:r w:rsidR="00BB226C">
        <w:rPr>
          <w:iCs/>
        </w:rPr>
        <w:instrText xml:space="preserve"> REF _Ref82432028 \h </w:instrText>
      </w:r>
      <w:r w:rsidR="00BB226C">
        <w:rPr>
          <w:iCs/>
        </w:rPr>
      </w:r>
      <w:r w:rsidR="00BB226C">
        <w:rPr>
          <w:iCs/>
        </w:rPr>
        <w:fldChar w:fldCharType="separate"/>
      </w:r>
      <w:r w:rsidR="001E49BE" w:rsidRPr="004F6186">
        <w:rPr>
          <w:b/>
          <w:bCs/>
          <w:color w:val="000000" w:themeColor="text1"/>
        </w:rPr>
        <w:t xml:space="preserve">Table </w:t>
      </w:r>
      <w:r w:rsidR="001E49BE">
        <w:rPr>
          <w:b/>
          <w:bCs/>
          <w:noProof/>
          <w:color w:val="000000" w:themeColor="text1"/>
        </w:rPr>
        <w:t>13</w:t>
      </w:r>
      <w:r w:rsidR="00BB226C">
        <w:rPr>
          <w:iCs/>
        </w:rPr>
        <w:fldChar w:fldCharType="end"/>
      </w:r>
      <w:r w:rsidR="00665C6D">
        <w:rPr>
          <w:iCs/>
        </w:rPr>
        <w:t>.</w:t>
      </w:r>
    </w:p>
    <w:p w14:paraId="015A1FD9" w14:textId="2DE9DB17" w:rsidR="00675361" w:rsidRDefault="00675361" w:rsidP="00527179">
      <w:pPr>
        <w:jc w:val="both"/>
      </w:pPr>
    </w:p>
    <w:p w14:paraId="7954AC5D" w14:textId="6A6540AD" w:rsidR="00C9678A" w:rsidRPr="005E7705" w:rsidRDefault="00C9678A" w:rsidP="00270BEB">
      <w:pPr>
        <w:pStyle w:val="BodyText"/>
        <w:spacing w:before="0" w:after="0"/>
        <w:jc w:val="both"/>
      </w:pPr>
      <w:r w:rsidRPr="005E7705">
        <w:t xml:space="preserve">The model </w:t>
      </w:r>
      <w:r w:rsidR="00665C6D">
        <w:t xml:space="preserve">will </w:t>
      </w:r>
      <w:r w:rsidRPr="005E7705">
        <w:t>adjust for misclassification of competing risks (due to death or ART initiation) and censoring events</w:t>
      </w:r>
      <w:r w:rsidR="00665C6D">
        <w:t xml:space="preserve"> (</w:t>
      </w:r>
      <w:proofErr w:type="gramStart"/>
      <w:r w:rsidR="00665C6D">
        <w:t>e.g.</w:t>
      </w:r>
      <w:proofErr w:type="gramEnd"/>
      <w:r w:rsidR="00665C6D">
        <w:t xml:space="preserve"> LTFU)</w:t>
      </w:r>
      <w:r w:rsidRPr="005E7705">
        <w:t>. Evidence from sub-Saharan Africa suggests that some patients recorded as LTFU had died</w:t>
      </w:r>
      <w:r w:rsidR="00257FB0">
        <w:t>,</w:t>
      </w:r>
      <w:r w:rsidR="00665C6D" w:rsidRPr="00050905">
        <w:fldChar w:fldCharType="begin" w:fldLock="1"/>
      </w:r>
      <w:r w:rsidR="007527CC">
        <w:instrText>ADDIN CSL_CITATION {"citationItems":[{"id":"ITEM-1","itemData":{"DOI":"10.2471/BLT.07.044248","ISSN":"00429686","PMID":"18670668","abstract":"Objective: To analyse the early loss of patients to antiretroviral therapy (ART) programmes in resource-limited settings. Methods: Using data on 5491 adult patients starting ART (median age 35 years, 46% female) in 15 treatment programmes in Africa, Asia and South America with ≥ 12 months of follow-up, we investigated risk factors for no follow-up after treatment initiation, and loss to follow-up or death in the first 6 months. Findings: Overall, 211 patients (3.8%) had no follow-up, 880 (16.0%) were lost to follow-up and 141 (2.6%) were known to have died in the first 6 months. The probability of no follow-up was higher in 2003-2004 than in 2000 or earlier (odds ratio, OR: 5.06; 95% confidence interval, CI: 1.28-20.0), as was loss to follow-up (hazard ratio, HR: 7.62; 95% CI: 4.55-12.8) but not recorded death (HR: 1.02; 95% CI: 0.44-2.36). Compared with a baseline CD4-cell count ≥ 50 cells/μl, a count &lt; 25 cells/μl was associated with a higher probability of no follow-up (OR: 2.49; 95% CI: 1.43-4.33), loss to follow-up (HR: 1.48; 95% CI: 1.23-1.77) and death (HR: 3.34; 95% CI: 2.10-5.30). Compared to free treatment, fee-for-service programmes were associated with a higher probability of no follow-up (OR: 3.71; 95% CI: 0.97-16.05) and higher mortality (HR: 4.64; 95% CI: 1.11-19.41). Conclusion: Early patient losses were increasingly common when programmes were scaled up and were associated with a fee for service and advanced immunodeficiency at baseline. Measures to maximize ART programme retention are required in resource-poor countries.","author":[{"dropping-particle":"","family":"Brinkhof","given":"Martin W.G.","non-dropping-particle":"","parse-names":false,"suffix":""},{"dropping-particle":"","family":"Dabis","given":"François","non-dropping-particle":"","parse-names":false,"suffix":""},{"dropping-particle":"","family":"Myer","given":"Landon","non-dropping-particle":"","parse-names":false,"suffix":""},{"dropping-particle":"","family":"Bangsberg","given":"David R.","non-dropping-particle":"","parse-names":false,"suffix":""},{"dropping-particle":"","family":"Boulle","given":"Andrew","non-dropping-particle":"","parse-names":false,"suffix":""},{"dropping-particle":"","family":"Nash","given":"Denis","non-dropping-particle":"","parse-names":false,"suffix":""},{"dropping-particle":"","family":"Schechter","given":"Mauro","non-dropping-particle":"","parse-names":false,"suffix":""},{"dropping-particle":"","family":"Laurent","given":"Christian","non-dropping-particle":"","parse-names":false,"suffix":""},{"dropping-particle":"","family":"Keiser","given":"Olivia","non-dropping-particle":"","parse-names":false,"suffix":""},{"dropping-particle":"","family":"May","given":"Margaret","non-dropping-particle":"","parse-names":false,"suffix":""},{"dropping-particle":"","family":"Sprinz","given":"Eduardo","non-dropping-particle":"","parse-names":false,"suffix":""},{"dropping-particle":"","family":"Egger","given":"Matthias","non-dropping-particle":"","parse-names":false,"suffix":""},{"dropping-particle":"","family":"Anglaret","given":"Xavier","non-dropping-particle":"","parse-names":false,"suffix":""}],"container-title":"Bulletin of the World Health Organization","id":"ITEM-1","issue":"7","issued":{"date-parts":[["2008"]]},"page":"559-567","title":"Early loss of HIV-infected patients on potent antiretroviral therapy programmes in lower-income countries","type":"article-journal","volume":"86"},"uris":["http://www.mendeley.com/documents/?uuid=d04be326-fec1-4921-8606-5c9a05fdd889"]},{"id":"ITEM-2","itemData":{"DOI":"10.1002/jia2.25178","ISSN":"17582652","abstract":"Introduction: Adolescence and pregnancy are potential risk factors for loss to follow-up (LTFU) while on antiretroviral therapy (ART). We compared adolescent and adult LTFU after ART initiation to quantify the impact of age, pregnancy, and site-level factors on LTFU. Methods: We used routine clinical data for patients initiating ART as young adolescents (YA; 10 to 14 years), older adolescents (OA; 15 to 19 years) and adults (≥20 years) from 2000 to 2014 at 52 health facilities affiliated with the International epidemiology Databases to Evaluate AIDS (IeDEA) East Africa collaboration. We estimated cumulative incidence (95% confidence interval, CI) of LTFU (no clinic visit for ≥6 months after ART initiation) and identified patient and site-level correlates of LTFU, using multivariable Cox proportional hazards models for all patients as well as individual age groups. Results: A total of 138,387 patients initiated ART, including 2496 YA, 2955 OA and 132,936 adults. Of these, 55%, 78% and 66%, respectively, were female and 0.7% of YA, 22.3% of OA and 8.3% of adults were pregnant at ART initiation. Cumulative incidence of LTFU at five years was 26.6% (24.6 to 28.6) among YA, 44.1% (41.8 to 46.3) among OA and 29.3% (29.1 to 29.6) among adults. Overall, compared to adults, the adjusted hazard ratio, aHR, (95% CI) of LTFU for OA was 1.54 (1.41 to 1.68) and 0.77 (0.69 to 0.86) for YA. Compared to males, pregnant females had higher hazard of LTFU, aHR 1.20 (1.14 to 1.27), and nonpregnant women had lower hazard aHR 0.90 (0.88 to 0.93). LTFU hazard among the OA was primarily driven by both pregnant and nonpregnant females, aHR 2.42 (1.98 to 2.95) and 1.51 (1.27 to 1.80), respectively, compared to men. The LTFU hazard ratio varied by IeDEA program. Site-level factors associated with overall lower LTFU hazard included receiving care in tertiary versus primary-care clinics aHR 0.61 (0.56 to 0.67), integrated adult and adolescent services and food ration provision aHR 0.93 (0.89 to 0.97) versus nonintegrated clinics with food ration provision, having patient support groups aHR 0.77 (0.66 to 0.90) and group adherence counselling aHR 0.61 (0.57 to 0.67). Conclusions: Older adolescents experienced higher risk of LTFU compared to YA and adults. Interventions to prevent LTFU among older adolescents are critically needed, particularly for female and/or pregnant adolescents.","author":[{"dropping-particle":"","family":"Nuwagaba-Biribonwoha","given":"Harriet","non-dropping-particle":"","parse-names":false,"suffix":""},{"dropping-particle":"","family":"Kiragga","given":"Agnes N.","non-dropping-particle":"","parse-names":false,"suffix":""},{"dropping-particle":"","family":"Yiannoutsos","given":"Constantin T.","non-dropping-particle":"","parse-names":false,"suffix":""},{"dropping-particle":"","family":"Musick","given":"Beverly S.","non-dropping-particle":"","parse-names":false,"suffix":""},{"dropping-particle":"","family":"Wools-Kaloustian","given":"Kara K.","non-dropping-particle":"","parse-names":false,"suffix":""},{"dropping-particle":"","family":"Ayaya","given":"Samuel","non-dropping-particle":"","parse-names":false,"suffix":""},{"dropping-particle":"","family":"Wolf","given":"Hilary","non-dropping-particle":"","parse-names":false,"suffix":""},{"dropping-particle":"","family":"Lugina","given":"Emmanuel","non-dropping-particle":"","parse-names":false,"suffix":""},{"dropping-particle":"","family":"Ssali","given":"John","non-dropping-particle":"","parse-names":false,"suffix":""},{"dropping-particle":"","family":"Abrams","given":"Elaine J.","non-dropping-particle":"","parse-names":false,"suffix":""},{"dropping-particle":"","family":"Elul","given":"Batya","non-dropping-particle":"","parse-names":false,"suffix":""}],"container-title":"Journal of the International AIDS Society","id":"ITEM-2","issue":"9","issued":{"date-parts":[["2018"]]},"page":"1-9","title":"Adolescent pregnancy at antiretroviral therapy (ART) initiation: a critical barrier to retention on ART","type":"article-journal","volume":"21"},"uris":["http://www.mendeley.com/documents/?uuid=1b82c4e5-769a-415f-84c8-2b40f42a726e"]},{"id":"ITEM-3","itemData":{"DOI":"10.1002/jia2.25084","ISSN":"17582652","abstract":"Introduction: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Society","id":"ITEM-3","issue":"2","issued":{"date-parts":[["2018"]]},"page":"1-7","title":"Retention and mortality on antiretroviral therapy in sub-Saharan Africa: Collaborative analyses of HIV treatment programmes: Collaborative","type":"article-journal","volume":"21"},"uris":["http://www.mendeley.com/documents/?uuid=973be433-f329-438c-a007-d6d819f544b0"]},{"id":"ITEM-4","itemData":{"DOI":"10.1136/jech-2015-206629.CD4","author":[{"dropping-particle":"","family":"Grimsrud","given":"Anna","non-dropping-particle":"","parse-names":false,"suffix":""},{"dropping-particle":"","family":"Cornell","given":"Morna","non-dropping-particle":"","parse-names":false,"suffix":""},{"dropping-particle":"","family":"Schomaker","given":"Michael","non-dropping-particle":"","parse-names":false,"suffix":""},{"dropping-particle":"","family":"Fox","given":"Matthew P","non-dropping-particle":"","parse-names":false,"suffix":""}],"container-title":"Journal of Epidemiology and Community Health","id":"ITEM-4","issue":"6","issued":{"date-parts":[["2016"]]},"page":"549-555","title":"CD4 count at antiretroviral therapy initiation and the risk of loss to follow-up: results from a multicentre cohort study","type":"article-journal","volume":"70"},"uris":["http://www.mendeley.com/documents/?uuid=7ad9f40a-96ee-4706-828a-d6e25db87d45"]},{"id":"ITEM-5","itemData":{"DOI":"10.1097/QAD.0000000000002358","ISBN":"0000000000","ISSN":"14735571","abstract":"Background:UNAIDS models use data from the International epidemiology Databases to Evaluate AIDS (IeDEA) collaboration in setting assumptions about mortality rates after antiretroviral treatment (ART) initiation. This study aims to update these assumptions with new data, to quantify the extent of regional variation in ART mortality and to assess trends in ART mortality.Methods:Adult ART patients from Africa, Asia and the Americas were included if they had a known date of ART initiation during 2001-2017 and a baseline CD4+ cell count. In cohorts that relied only on passive follow-up (no patient tracing or linkage to vital registration systems), mortality outcomes were imputed in patients lost to follow-up based on a meta-analysis of tracing study data. Poisson regression models were fitted to the mortality data.Results:464 048 ART patients were included. In multivariable analysis, mortality rates were lowest in Asia and highest in Africa, with no significant differences between African regions. Adjusted mortality rates varied significantly between programmes within regions. Mortality rates in the first 12 months after ART initiation were significantly higher during 2001-2006 than during 2010-2014, although the difference was more substantial in Asia and the Americas [adjusted incidence rate ratio (aIRR) 1.43, 95% CI: 1.22-1.66] than in Africa (aIRR 1.07, 95% CI: 1.04-1.11).Conclusion:There is substantial variation in ART mortality between and within regions, even after controlling for differences in mortality by age, sex, baseline CD4 category and calendar period. ART mortality rates have declined substantially over time, although declines have been slower in Africa.","author":[{"dropping-particle":"","family":"Johnson","given":"Leigh F.","non-dropping-particle":"","parse-names":false,"suffix":""},{"dropping-particle":"","family":"Anderegg","given":"Nanina","non-dropping-particle":"","parse-names":false,"suffix":""},{"dropping-particle":"","family":"Zaniewski","given":"Elizabeth","non-dropping-particle":"","parse-names":false,"suffix":""},{"dropping-particle":"","family":"Eaton","given":"Jeffrey W.","non-dropping-particle":"","parse-names":false,"suffix":""},{"dropping-particle":"","family":"Rebeiro","given":"Peter F.","non-dropping-particle":"","parse-names":false,"suffix":""},{"dropping-particle":"","family":"Carriquiry","given":"Gabriela","non-dropping-particle":"","parse-names":false,"suffix":""},{"dropping-particle":"","family":"Nash","given":"Denis","non-dropping-particle":"","parse-names":false,"suffix":""},{"dropping-particle":"","family":"Yotebieng","given":"Marcel","non-dropping-particle":"","parse-names":false,"suffix":""},{"dropping-particle":"","family":"Ekouevi","given":"Didier K.","non-dropping-particle":"","parse-names":false,"suffix":""},{"dropping-particle":"","family":"Holmes","given":"Charles B.","non-dropping-particle":"","parse-names":false,"suffix":""},{"dropping-particle":"","family":"Choi","given":"Jun Y.","non-dropping-particle":"","parse-names":false,"suffix":""},{"dropping-particle":"","family":"Jiamsakul","given":"Awachana","non-dropping-particle":"","parse-names":false,"suffix":""},{"dropping-particle":"","family":"Bakoyannis","given":"Giorgos","non-dropping-particle":"","parse-names":false,"suffix":""},{"dropping-particle":"","family":"Althoff","given":"Keri N.","non-dropping-particle":"","parse-names":false,"suffix":""},{"dropping-particle":"","family":"Sohn","given":"Annette H.","non-dropping-particle":"","parse-names":false,"suffix":""},{"dropping-particle":"","family":"Yiannoutsos","given":"Constantin","non-dropping-particle":"","parse-names":false,"suffix":""},{"dropping-particle":"","family":"Egger","given":"Matthias","non-dropping-particle":"","parse-names":false,"suffix":""}],"container-title":"Aids","id":"ITEM-5","issue":"July","issued":{"date-parts":[["2019"]]},"page":"S283-S294","title":"Global variations in mortality in adults after initiating antiretroviral treatment: An updated analysis of the International epidemiology Databases to Evaluate AIDS cohort collaboration","type":"article-journal","volume":"33"},"uris":["http://www.mendeley.com/documents/?uuid=650a724a-f89a-4c70-b7a0-59378177b12b"]}],"mendeley":{"formattedCitation":"&lt;sup&gt;56,63–66&lt;/sup&gt;","plainTextFormattedCitation":"56,63–66","previouslyFormattedCitation":"&lt;sup&gt;56,63–66&lt;/sup&gt;"},"properties":{"noteIndex":0},"schema":"https://github.com/citation-style-language/schema/raw/master/csl-citation.json"}</w:instrText>
      </w:r>
      <w:r w:rsidR="00665C6D" w:rsidRPr="00050905">
        <w:fldChar w:fldCharType="separate"/>
      </w:r>
      <w:r w:rsidR="00036C3E" w:rsidRPr="00036C3E">
        <w:rPr>
          <w:noProof/>
          <w:vertAlign w:val="superscript"/>
        </w:rPr>
        <w:t>56,63–66</w:t>
      </w:r>
      <w:r w:rsidR="00665C6D" w:rsidRPr="00050905">
        <w:fldChar w:fldCharType="end"/>
      </w:r>
      <w:r w:rsidR="00257FB0">
        <w:t xml:space="preserve"> which suggests a potential underestimation of the competing risks. </w:t>
      </w:r>
      <w:r w:rsidRPr="005E7705">
        <w:t xml:space="preserve"> </w:t>
      </w:r>
      <w:r w:rsidR="00665C6D">
        <w:t>Thus, w</w:t>
      </w:r>
      <w:r w:rsidRPr="005E7705">
        <w:t xml:space="preserve">e adjust for the probability of competing risks and the probability of censoring </w:t>
      </w:r>
      <w:r w:rsidRPr="005E7705">
        <w:lastRenderedPageBreak/>
        <w:t xml:space="preserve">considering patient </w:t>
      </w:r>
      <w:r w:rsidR="00665C6D">
        <w:t xml:space="preserve">who is </w:t>
      </w:r>
      <w:r w:rsidR="00105F57">
        <w:t>misclassifi</w:t>
      </w:r>
      <w:r w:rsidR="00665C6D">
        <w:t>ed</w:t>
      </w:r>
      <w:r w:rsidR="00105F57">
        <w:t xml:space="preserve"> </w:t>
      </w:r>
      <w:r w:rsidRPr="005E7705">
        <w:t xml:space="preserve">as LTFU. The function for deriving weights </w:t>
      </w:r>
      <w:r w:rsidR="00105F57">
        <w:t xml:space="preserve">is </w:t>
      </w:r>
      <w:r w:rsidRPr="005E7705">
        <w:t xml:space="preserve">adapted from Haas </w:t>
      </w:r>
      <w:r w:rsidR="00AB26A8">
        <w:t>et al.</w:t>
      </w:r>
      <w:r w:rsidR="00105F57">
        <w:t>,</w:t>
      </w:r>
      <w:r w:rsidRPr="005E7705">
        <w:fldChar w:fldCharType="begin" w:fldLock="1"/>
      </w:r>
      <w:r w:rsidR="007527CC">
        <w:instrText>ADDIN CSL_CITATION {"citationItems":[{"id":"ITEM-1","itemData":{"DOI":"10.1002/jia2.25084","ISSN":"17582652","abstract":"Introduction: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Society","id":"ITEM-1","issue":"2","issued":{"date-parts":[["2018"]]},"page":"1-7","title":"Retention and mortality on antiretroviral therapy in sub-Saharan Africa: Collaborative analyses of HIV treatment programmes: Collaborative","type":"article-journal","volume":"21"},"uris":["http://www.mendeley.com/documents/?uuid=973be433-f329-438c-a007-d6d819f544b0"]}],"mendeley":{"formattedCitation":"&lt;sup&gt;56&lt;/sup&gt;","plainTextFormattedCitation":"56","previouslyFormattedCitation":"&lt;sup&gt;56&lt;/sup&gt;"},"properties":{"noteIndex":0},"schema":"https://github.com/citation-style-language/schema/raw/master/csl-citation.json"}</w:instrText>
      </w:r>
      <w:r w:rsidRPr="005E7705">
        <w:fldChar w:fldCharType="separate"/>
      </w:r>
      <w:r w:rsidR="00036C3E" w:rsidRPr="00036C3E">
        <w:rPr>
          <w:noProof/>
          <w:vertAlign w:val="superscript"/>
        </w:rPr>
        <w:t>56</w:t>
      </w:r>
      <w:r w:rsidRPr="005E7705">
        <w:fldChar w:fldCharType="end"/>
      </w:r>
      <w:r w:rsidRPr="005E7705">
        <w:t xml:space="preserve"> </w:t>
      </w:r>
      <w:r w:rsidR="00105F57">
        <w:t xml:space="preserve">with the </w:t>
      </w:r>
      <w:r w:rsidRPr="005E7705">
        <w:t xml:space="preserve">probability </w:t>
      </w:r>
      <w:r w:rsidRPr="005E7705">
        <w:rPr>
          <w:color w:val="000000"/>
        </w:rPr>
        <w:t xml:space="preserve">weight calculated as: </w:t>
      </w:r>
    </w:p>
    <w:p w14:paraId="4065658B" w14:textId="77777777" w:rsidR="00C9678A" w:rsidRPr="005E7705" w:rsidRDefault="00C9678A" w:rsidP="00122CDD">
      <w:pPr>
        <w:jc w:val="both"/>
      </w:pPr>
    </w:p>
    <w:p w14:paraId="0CF565C8" w14:textId="496F21E3" w:rsidR="00C9678A" w:rsidRPr="005F66A3" w:rsidRDefault="00000000" w:rsidP="001D10D4">
      <w:pPr>
        <w:jc w:val="both"/>
      </w:pPr>
      <m:oMath>
        <m:sSub>
          <m:sSubPr>
            <m:ctrlPr>
              <w:rPr>
                <w:rFonts w:ascii="Cambria Math" w:hAnsi="Cambria Math"/>
                <w:i/>
              </w:rPr>
            </m:ctrlPr>
          </m:sSubPr>
          <m:e>
            <m:r>
              <w:rPr>
                <w:rFonts w:ascii="Cambria Math" w:hAnsi="Cambria Math"/>
              </w:rPr>
              <m:t>w</m:t>
            </m:r>
          </m:e>
          <m:sub>
            <m:r>
              <w:rPr>
                <w:rFonts w:ascii="Cambria Math" w:hAnsi="Cambria Math"/>
              </w:rPr>
              <m:t>competing risk</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ART</m:t>
                    </m:r>
                  </m:sub>
                </m:sSub>
              </m:num>
              <m:den>
                <m:sSub>
                  <m:sSubPr>
                    <m:ctrlPr>
                      <w:rPr>
                        <w:rFonts w:ascii="Cambria Math" w:hAnsi="Cambria Math"/>
                        <w:i/>
                      </w:rPr>
                    </m:ctrlPr>
                  </m:sSubPr>
                  <m:e>
                    <m:r>
                      <w:rPr>
                        <w:rFonts w:ascii="Cambria Math" w:hAnsi="Cambria Math"/>
                      </w:rPr>
                      <m:t>n</m:t>
                    </m:r>
                  </m:e>
                  <m:sub>
                    <m:r>
                      <w:rPr>
                        <w:rFonts w:ascii="Cambria Math" w:hAnsi="Cambria Math"/>
                      </w:rPr>
                      <m:t>dead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LTFU</m:t>
                    </m:r>
                  </m:sub>
                </m:sSub>
              </m:den>
            </m:f>
          </m:den>
        </m:f>
        <m:r>
          <w:rPr>
            <w:rFonts w:ascii="Cambria Math" w:hAnsi="Cambria Math"/>
          </w:rPr>
          <m:t>,   &gt;1</m:t>
        </m:r>
      </m:oMath>
      <w:r w:rsidR="005F66A3">
        <w:tab/>
      </w:r>
      <w:r w:rsidR="005F66A3">
        <w:tab/>
      </w:r>
      <w:r w:rsidR="005F66A3">
        <w:tab/>
      </w:r>
      <w:r w:rsidR="005F66A3">
        <w:tab/>
      </w:r>
      <w:r w:rsidR="005F66A3">
        <w:tab/>
      </w:r>
      <w:r w:rsidR="005F66A3">
        <w:tab/>
        <w:t>(</w:t>
      </w:r>
      <w:r w:rsidR="00FA0F83">
        <w:t>9</w:t>
      </w:r>
      <w:r w:rsidR="005F66A3">
        <w:t>)</w:t>
      </w:r>
    </w:p>
    <w:p w14:paraId="3D4E6CCB" w14:textId="77777777" w:rsidR="00C9678A" w:rsidRPr="005E7705" w:rsidRDefault="00C9678A" w:rsidP="00527179">
      <w:pPr>
        <w:jc w:val="both"/>
      </w:pPr>
    </w:p>
    <w:p w14:paraId="04B07800" w14:textId="554F3668" w:rsidR="00C9678A" w:rsidRPr="005F66A3" w:rsidRDefault="00000000" w:rsidP="00527179">
      <w:pPr>
        <w:jc w:val="both"/>
      </w:pPr>
      <m:oMath>
        <m:sSub>
          <m:sSubPr>
            <m:ctrlPr>
              <w:rPr>
                <w:rFonts w:ascii="Cambria Math" w:hAnsi="Cambria Math"/>
                <w:i/>
              </w:rPr>
            </m:ctrlPr>
          </m:sSubPr>
          <m:e>
            <m:r>
              <w:rPr>
                <w:rFonts w:ascii="Cambria Math" w:hAnsi="Cambria Math"/>
              </w:rPr>
              <m:t>w</m:t>
            </m:r>
          </m:e>
          <m:sub>
            <m:r>
              <w:rPr>
                <w:rFonts w:ascii="Cambria Math" w:hAnsi="Cambria Math"/>
              </w:rPr>
              <m:t>censor</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database closer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transfer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LTFU</m:t>
                    </m:r>
                  </m:sub>
                </m:sSub>
              </m:num>
              <m:den>
                <w:commentRangeStart w:id="182"/>
                <w:commentRangeStart w:id="183"/>
                <w:commentRangeStart w:id="184"/>
                <m:sSub>
                  <m:sSubPr>
                    <m:ctrlPr>
                      <w:rPr>
                        <w:rFonts w:ascii="Cambria Math" w:hAnsi="Cambria Math"/>
                        <w:i/>
                      </w:rPr>
                    </m:ctrlPr>
                  </m:sSubPr>
                  <m:e>
                    <m:r>
                      <w:rPr>
                        <w:rFonts w:ascii="Cambria Math" w:hAnsi="Cambria Math"/>
                      </w:rPr>
                      <m:t>n</m:t>
                    </m:r>
                  </m:e>
                  <m:sub>
                    <m:r>
                      <w:rPr>
                        <w:rFonts w:ascii="Cambria Math" w:hAnsi="Cambria Math"/>
                      </w:rPr>
                      <m:t>database closure</m:t>
                    </m:r>
                  </m:sub>
                </m:sSub>
                <w:commentRangeEnd w:id="182"/>
                <m:r>
                  <m:rPr>
                    <m:sty m:val="p"/>
                  </m:rPr>
                  <w:rPr>
                    <w:rStyle w:val="CommentReference"/>
                  </w:rPr>
                  <w:commentReference w:id="182"/>
                </m:r>
                <w:commentRangeEnd w:id="183"/>
                <m:r>
                  <m:rPr>
                    <m:sty m:val="p"/>
                  </m:rPr>
                  <w:rPr>
                    <w:rStyle w:val="CommentReference"/>
                  </w:rPr>
                  <w:commentReference w:id="183"/>
                </m:r>
                <w:commentRangeEnd w:id="184"/>
                <m:r>
                  <m:rPr>
                    <m:sty m:val="p"/>
                  </m:rPr>
                  <w:rPr>
                    <w:rStyle w:val="CommentReference"/>
                  </w:rPr>
                  <w:commentReference w:id="184"/>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transfer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LTFU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LTFU</m:t>
                    </m:r>
                  </m:sub>
                </m:sSub>
              </m:den>
            </m:f>
          </m:den>
        </m:f>
        <m:r>
          <w:rPr>
            <w:rFonts w:ascii="Cambria Math" w:hAnsi="Cambria Math"/>
          </w:rPr>
          <m:t>,   &lt;1</m:t>
        </m:r>
      </m:oMath>
      <w:r w:rsidR="005F66A3">
        <w:tab/>
      </w:r>
      <w:r w:rsidR="005F66A3">
        <w:tab/>
      </w:r>
      <w:r w:rsidR="005F66A3">
        <w:tab/>
      </w:r>
      <w:r w:rsidR="005F66A3">
        <w:tab/>
      </w:r>
      <w:r w:rsidR="005F66A3">
        <w:tab/>
      </w:r>
    </w:p>
    <w:p w14:paraId="455A28DC" w14:textId="77777777" w:rsidR="00C9678A" w:rsidRDefault="00C9678A">
      <w:pPr>
        <w:jc w:val="both"/>
      </w:pPr>
    </w:p>
    <w:p w14:paraId="68E40876" w14:textId="77777777" w:rsidR="00A61A5A" w:rsidRDefault="00A61A5A" w:rsidP="00A61A5A">
      <w:pPr>
        <w:pStyle w:val="BodyText"/>
        <w:spacing w:before="0" w:after="0"/>
        <w:jc w:val="both"/>
      </w:pPr>
      <w:r>
        <w:t>We parameterize this expression as follows:</w:t>
      </w:r>
    </w:p>
    <w:p w14:paraId="0F257C19" w14:textId="77777777" w:rsidR="00A61A5A" w:rsidRPr="00050905" w:rsidRDefault="00A61A5A" w:rsidP="00A61A5A">
      <w:pPr>
        <w:pStyle w:val="BodyText"/>
        <w:spacing w:before="0" w:after="0"/>
        <w:jc w:val="both"/>
      </w:pPr>
    </w:p>
    <w:p w14:paraId="69EEA54C" w14:textId="13725B21" w:rsidR="00A61A5A" w:rsidRDefault="00A61A5A" w:rsidP="00D410A2">
      <w:pPr>
        <w:pStyle w:val="BodyText"/>
        <w:numPr>
          <w:ilvl w:val="0"/>
          <w:numId w:val="16"/>
        </w:numPr>
        <w:spacing w:before="0" w:after="0"/>
        <w:jc w:val="both"/>
        <w:sectPr w:rsidR="00A61A5A" w:rsidSect="0078139D">
          <w:headerReference w:type="even" r:id="rId46"/>
          <w:headerReference w:type="default" r:id="rId47"/>
          <w:footerReference w:type="even" r:id="rId48"/>
          <w:headerReference w:type="first" r:id="rId49"/>
          <w:pgSz w:w="12240" w:h="15840"/>
          <w:pgMar w:top="1440" w:right="1440" w:bottom="1440" w:left="1440" w:header="720" w:footer="720" w:gutter="0"/>
          <w:cols w:space="720"/>
          <w:docGrid w:linePitch="360"/>
        </w:sectPr>
      </w:pPr>
      <w:r w:rsidRPr="00A61A5A">
        <w:rPr>
          <w:color w:val="000000"/>
          <w:u w:val="single"/>
        </w:rPr>
        <w:t>Proportion of death among LTFU</w:t>
      </w:r>
      <w:r w:rsidRPr="00A61A5A">
        <w:rPr>
          <w:color w:val="000000"/>
        </w:rPr>
        <w:t xml:space="preserve">. The proportion of patients LTFU but who have died is based on a retrospective study from Kenya that </w:t>
      </w:r>
      <w:r w:rsidRPr="00D410A2">
        <w:rPr>
          <w:color w:val="000000"/>
        </w:rPr>
        <w:t>evaluated outcomes of people living with HIV in the general population and LTFU (data from 2009-2011); the study</w:t>
      </w:r>
      <w:r w:rsidRPr="00050905">
        <w:t xml:space="preserve"> found that 17% of pre-ART patients classified as LTFU had died.</w:t>
      </w:r>
      <w:r w:rsidRPr="00050905">
        <w:fldChar w:fldCharType="begin" w:fldLock="1"/>
      </w:r>
      <w:r w:rsidR="007527CC">
        <w:instrText>ADDIN CSL_CITATION {"citationItems":[{"id":"ITEM-1","itemData":{"DOI":"10.1097/QAI.0000000000000492","ISBN":"0000000000000","ISSN":"10779450","abstract":"© 2014 Wolters Kluwer Health, Inc. Background: Academic Model Providing Access To Healthcare (AMPATH) program provides comprehensive HIV care and treatment services. Approximately, 30% of patients have become lost to follow-up (LTFU). We sought to actively trace and identify outcomes for a sample of these patients. Methods: LTFU was defined as missing a scheduled visit by $3 months. A randomly selected sample of 17% of patients identified as LTFU between January 2009 and June 2011 was generated, with sample stratification on age, antiretroviral therapy (ART) status at last visit, and facility. Chart reviews were conducted followed by active tracing. Tracing was completed by trained HIV-positive outreach workers July 2011 to February 2012. Outcomes were compared between adults and children and by ART status. Results: Of 14,811 LTFU patients, 2540 were randomly selected for tracing (2179 adults, 1071 on ART). The chart reviews indicated that 326 (12.8%) patients were not actually LTFU. Outcomes for 71% of sampled patients were determined including 85% of those physically traced. Of those with known outcomes, 21% had died, whereas 29% had disengaged from care for various reasons. The remaining patients had moved away (n = 458, 25%) or were still receiving HIV care (n = 443 total, 25%). Conclusions: Our findings demonstrate the feasibility of a largescale sampling-based approach. A significant proportion of patients were found not to be LTFU, and further, high numbers of patients who were LTFU could not be located. Over a quarter of patients disengaged from care for various reasons including access challenges and familial influences.","author":[{"dropping-particle":"","family":"Rachlis","given":"Beth","non-dropping-particle":"","parse-names":false,"suffix":""},{"dropping-particle":"","family":"Ochieng","given":"Daniel","non-dropping-particle":"","parse-names":false,"suffix":""},{"dropping-particle":"","family":"Geng","given":"Elvin","non-dropping-particle":"","parse-names":false,"suffix":""},{"dropping-particle":"","family":"Rotich","given":"Elyne","non-dropping-particle":"","parse-names":false,"suffix":""},{"dropping-particle":"","family":"Ochieng","given":"Vincent","non-dropping-particle":"","parse-names":false,"suffix":""},{"dropping-particle":"","family":"Maritim","given":"Beryl","non-dropping-particle":"","parse-names":false,"suffix":""},{"dropping-particle":"","family":"Ndege","given":"Samson","non-dropping-particle":"","parse-names":false,"suffix":""},{"dropping-particle":"","family":"Naanyu","given":"Violet","non-dropping-particle":"","parse-names":false,"suffix":""},{"dropping-particle":"","family":"Martin","given":"Jeffrey N.","non-dropping-particle":"","parse-names":false,"suffix":""},{"dropping-particle":"","family":"Keter","given":"Alfred","non-dropping-particle":"","parse-names":false,"suffix":""},{"dropping-particle":"","family":"Ayuo","given":"Paul","non-dropping-particle":"","parse-names":false,"suffix":""},{"dropping-particle":"","family":"Diero","given":"Lameck","non-dropping-particle":"","parse-names":false,"suffix":""},{"dropping-particle":"","family":"Nyambura","given":"Monicah","non-dropping-particle":"","parse-names":false,"suffix":""},{"dropping-particle":"","family":"Braitstein","given":"Paula","non-dropping-particle":"","parse-names":false,"suffix":""}],"container-title":"Journal of Acquired Immune Deficiency Syndromes","id":"ITEM-1","issue":"4","issued":{"date-parts":[["2015"]]},"page":"e46-e55","title":"Evaluating outcomes of patients lost to follow-up in a large comprehensive care treatment program in Western Kenya","type":"article-journal","volume":"68"},"uris":["http://www.mendeley.com/documents/?uuid=46dfb1ee-def0-49a8-aeda-dbe712f30a4f"]}],"mendeley":{"formattedCitation":"&lt;sup&gt;54&lt;/sup&gt;","plainTextFormattedCitation":"54","previouslyFormattedCitation":"&lt;sup&gt;54&lt;/sup&gt;"},"properties":{"noteIndex":0},"schema":"https://github.com/citation-style-language/schema/raw/master/csl-citation.json"}</w:instrText>
      </w:r>
      <w:r w:rsidRPr="00050905">
        <w:fldChar w:fldCharType="separate"/>
      </w:r>
      <w:r w:rsidR="00036C3E" w:rsidRPr="00036C3E">
        <w:rPr>
          <w:noProof/>
          <w:vertAlign w:val="superscript"/>
        </w:rPr>
        <w:t>54</w:t>
      </w:r>
      <w:r w:rsidRPr="00050905">
        <w:fldChar w:fldCharType="end"/>
      </w:r>
      <w:r w:rsidRPr="00050905">
        <w:t xml:space="preserve"> </w:t>
      </w:r>
    </w:p>
    <w:p w14:paraId="0348503F" w14:textId="645E265A" w:rsidR="00C9678A" w:rsidRDefault="00C9678A">
      <w:pPr>
        <w:keepNext/>
        <w:rPr>
          <w:b/>
          <w:bCs/>
          <w:color w:val="000000" w:themeColor="text1"/>
        </w:rPr>
      </w:pPr>
      <w:bookmarkStart w:id="185" w:name="_Ref82431934"/>
      <w:bookmarkStart w:id="186" w:name="_Toc82448073"/>
      <w:bookmarkStart w:id="187" w:name="_Toc82592504"/>
      <w:bookmarkStart w:id="188" w:name="_Toc82599269"/>
      <w:r w:rsidRPr="00BA25B2">
        <w:rPr>
          <w:b/>
          <w:bCs/>
          <w:color w:val="000000" w:themeColor="text1"/>
        </w:rPr>
        <w:lastRenderedPageBreak/>
        <w:t xml:space="preserve">Table </w:t>
      </w:r>
      <w:r w:rsidRPr="00BA25B2">
        <w:rPr>
          <w:b/>
          <w:bCs/>
          <w:color w:val="000000" w:themeColor="text1"/>
        </w:rPr>
        <w:fldChar w:fldCharType="begin"/>
      </w:r>
      <w:r w:rsidRPr="00BA25B2">
        <w:rPr>
          <w:b/>
          <w:bCs/>
          <w:color w:val="000000" w:themeColor="text1"/>
        </w:rPr>
        <w:instrText xml:space="preserve"> SEQ Table \* ARABIC </w:instrText>
      </w:r>
      <w:r w:rsidRPr="00BA25B2">
        <w:rPr>
          <w:b/>
          <w:bCs/>
          <w:color w:val="000000" w:themeColor="text1"/>
        </w:rPr>
        <w:fldChar w:fldCharType="separate"/>
      </w:r>
      <w:r w:rsidR="001E49BE">
        <w:rPr>
          <w:b/>
          <w:bCs/>
          <w:noProof/>
          <w:color w:val="000000" w:themeColor="text1"/>
        </w:rPr>
        <w:t>10</w:t>
      </w:r>
      <w:r w:rsidRPr="00BA25B2">
        <w:rPr>
          <w:b/>
          <w:bCs/>
          <w:color w:val="000000" w:themeColor="text1"/>
        </w:rPr>
        <w:fldChar w:fldCharType="end"/>
      </w:r>
      <w:bookmarkEnd w:id="185"/>
      <w:r w:rsidR="00F27F9F">
        <w:rPr>
          <w:b/>
          <w:bCs/>
          <w:color w:val="000000" w:themeColor="text1"/>
        </w:rPr>
        <w:t>.</w:t>
      </w:r>
      <w:r w:rsidR="00F27F9F" w:rsidRPr="00BA25B2">
        <w:rPr>
          <w:b/>
          <w:bCs/>
          <w:color w:val="000000" w:themeColor="text1"/>
        </w:rPr>
        <w:t xml:space="preserve"> </w:t>
      </w:r>
      <w:bookmarkStart w:id="189" w:name="_Hlk74741541"/>
      <w:r w:rsidR="00C569A0">
        <w:rPr>
          <w:b/>
          <w:bCs/>
          <w:color w:val="000000" w:themeColor="text1"/>
        </w:rPr>
        <w:t>Sub-population m</w:t>
      </w:r>
      <w:r w:rsidR="00180D28">
        <w:rPr>
          <w:b/>
          <w:bCs/>
          <w:color w:val="000000" w:themeColor="text1"/>
        </w:rPr>
        <w:t xml:space="preserve">onthly probability of </w:t>
      </w:r>
      <w:r w:rsidR="00C569A0">
        <w:rPr>
          <w:b/>
          <w:bCs/>
          <w:color w:val="000000" w:themeColor="text1"/>
        </w:rPr>
        <w:t>disease progression, by CD4 stratum and engagement in care</w:t>
      </w:r>
      <w:bookmarkEnd w:id="186"/>
      <w:bookmarkEnd w:id="187"/>
      <w:bookmarkEnd w:id="188"/>
      <w:bookmarkEnd w:id="189"/>
    </w:p>
    <w:tbl>
      <w:tblPr>
        <w:tblW w:w="10704"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4"/>
        <w:gridCol w:w="1057"/>
        <w:gridCol w:w="1329"/>
        <w:gridCol w:w="1349"/>
        <w:gridCol w:w="1171"/>
        <w:gridCol w:w="1556"/>
        <w:gridCol w:w="1498"/>
      </w:tblGrid>
      <w:tr w:rsidR="00665C6D" w:rsidDel="000F1C47" w14:paraId="30ABBFAD" w14:textId="77777777" w:rsidTr="0050135C">
        <w:trPr>
          <w:trHeight w:val="242"/>
        </w:trPr>
        <w:tc>
          <w:tcPr>
            <w:tcW w:w="0" w:type="auto"/>
            <w:vMerge w:val="restart"/>
            <w:shd w:val="clear" w:color="auto" w:fill="auto"/>
            <w:noWrap/>
            <w:vAlign w:val="bottom"/>
            <w:hideMark/>
          </w:tcPr>
          <w:p w14:paraId="7650CC78" w14:textId="77777777" w:rsidR="00665C6D" w:rsidRPr="00596193" w:rsidRDefault="00665C6D" w:rsidP="00303804">
            <w:pPr>
              <w:rPr>
                <w:color w:val="000000"/>
                <w:sz w:val="20"/>
                <w:szCs w:val="20"/>
              </w:rPr>
            </w:pPr>
            <w:r w:rsidRPr="00596193">
              <w:rPr>
                <w:color w:val="000000"/>
                <w:sz w:val="20"/>
                <w:szCs w:val="20"/>
              </w:rPr>
              <w:t>Sub-population</w:t>
            </w:r>
          </w:p>
        </w:tc>
        <w:tc>
          <w:tcPr>
            <w:tcW w:w="3735" w:type="dxa"/>
            <w:gridSpan w:val="3"/>
            <w:shd w:val="clear" w:color="auto" w:fill="auto"/>
            <w:noWrap/>
            <w:vAlign w:val="center"/>
            <w:hideMark/>
          </w:tcPr>
          <w:p w14:paraId="3C3E87FA" w14:textId="41F69A87" w:rsidR="00665C6D" w:rsidDel="000F1C47" w:rsidRDefault="00665C6D" w:rsidP="00303804">
            <w:pPr>
              <w:jc w:val="center"/>
              <w:rPr>
                <w:color w:val="000000"/>
                <w:sz w:val="20"/>
                <w:szCs w:val="20"/>
              </w:rPr>
            </w:pPr>
            <w:r>
              <w:rPr>
                <w:color w:val="000000"/>
                <w:sz w:val="20"/>
                <w:szCs w:val="20"/>
              </w:rPr>
              <w:t>Linked</w:t>
            </w:r>
          </w:p>
        </w:tc>
        <w:tc>
          <w:tcPr>
            <w:tcW w:w="4225" w:type="dxa"/>
            <w:gridSpan w:val="3"/>
            <w:vAlign w:val="center"/>
          </w:tcPr>
          <w:p w14:paraId="0BF425A6" w14:textId="2AE61CA1" w:rsidR="00665C6D" w:rsidDel="000F1C47" w:rsidRDefault="00665C6D" w:rsidP="00665C6D">
            <w:pPr>
              <w:rPr>
                <w:color w:val="000000"/>
                <w:sz w:val="20"/>
                <w:szCs w:val="20"/>
              </w:rPr>
            </w:pPr>
            <w:r w:rsidRPr="00981DDB">
              <w:rPr>
                <w:color w:val="000000"/>
                <w:sz w:val="20"/>
                <w:szCs w:val="20"/>
              </w:rPr>
              <w:t xml:space="preserve"> Undiagnosed, Diagnosed, </w:t>
            </w:r>
            <w:r w:rsidR="0050135C">
              <w:rPr>
                <w:color w:val="000000"/>
                <w:sz w:val="20"/>
                <w:szCs w:val="20"/>
              </w:rPr>
              <w:t xml:space="preserve">and </w:t>
            </w:r>
            <w:r w:rsidRPr="00981DDB">
              <w:rPr>
                <w:color w:val="000000"/>
                <w:sz w:val="20"/>
                <w:szCs w:val="20"/>
              </w:rPr>
              <w:t>Lost to follow-up</w:t>
            </w:r>
          </w:p>
        </w:tc>
      </w:tr>
      <w:tr w:rsidR="00665C6D" w:rsidDel="000F1C47" w14:paraId="433474B4" w14:textId="77777777" w:rsidTr="0050135C">
        <w:trPr>
          <w:trHeight w:val="179"/>
        </w:trPr>
        <w:tc>
          <w:tcPr>
            <w:tcW w:w="0" w:type="auto"/>
            <w:vMerge/>
            <w:shd w:val="clear" w:color="auto" w:fill="auto"/>
            <w:noWrap/>
            <w:vAlign w:val="bottom"/>
          </w:tcPr>
          <w:p w14:paraId="47E52BA2" w14:textId="77777777" w:rsidR="00665C6D" w:rsidRPr="00596193" w:rsidRDefault="00665C6D" w:rsidP="00303804">
            <w:pPr>
              <w:rPr>
                <w:color w:val="000000"/>
                <w:sz w:val="20"/>
                <w:szCs w:val="20"/>
              </w:rPr>
            </w:pPr>
          </w:p>
        </w:tc>
        <w:tc>
          <w:tcPr>
            <w:tcW w:w="0" w:type="auto"/>
            <w:shd w:val="clear" w:color="auto" w:fill="auto"/>
            <w:noWrap/>
            <w:vAlign w:val="bottom"/>
          </w:tcPr>
          <w:p w14:paraId="35FFF938" w14:textId="6C6DBE59" w:rsidR="00665C6D" w:rsidDel="000F1C47" w:rsidRDefault="00665C6D" w:rsidP="00303804">
            <w:pPr>
              <w:rPr>
                <w:color w:val="000000"/>
                <w:sz w:val="20"/>
                <w:szCs w:val="20"/>
              </w:rPr>
            </w:pPr>
            <w:r>
              <w:rPr>
                <w:color w:val="000000"/>
                <w:sz w:val="20"/>
                <w:szCs w:val="20"/>
              </w:rPr>
              <w:t>CD4 &gt;500</w:t>
            </w:r>
          </w:p>
        </w:tc>
        <w:tc>
          <w:tcPr>
            <w:tcW w:w="1329" w:type="dxa"/>
          </w:tcPr>
          <w:p w14:paraId="3808B14F" w14:textId="492C4CF3" w:rsidR="00665C6D" w:rsidDel="000F1C47" w:rsidRDefault="00665C6D" w:rsidP="00303804">
            <w:pPr>
              <w:rPr>
                <w:color w:val="000000"/>
                <w:sz w:val="20"/>
                <w:szCs w:val="20"/>
              </w:rPr>
            </w:pPr>
            <w:r>
              <w:rPr>
                <w:color w:val="000000"/>
                <w:sz w:val="20"/>
                <w:szCs w:val="20"/>
              </w:rPr>
              <w:t>CD4 350-500</w:t>
            </w:r>
          </w:p>
        </w:tc>
        <w:tc>
          <w:tcPr>
            <w:tcW w:w="1349" w:type="dxa"/>
          </w:tcPr>
          <w:p w14:paraId="408706FB" w14:textId="4390E06B" w:rsidR="00665C6D" w:rsidDel="000F1C47" w:rsidRDefault="00665C6D" w:rsidP="00303804">
            <w:pPr>
              <w:rPr>
                <w:color w:val="000000"/>
                <w:sz w:val="20"/>
                <w:szCs w:val="20"/>
              </w:rPr>
            </w:pPr>
            <w:r>
              <w:rPr>
                <w:color w:val="000000"/>
                <w:sz w:val="20"/>
                <w:szCs w:val="20"/>
              </w:rPr>
              <w:t>CD4 200-350</w:t>
            </w:r>
          </w:p>
        </w:tc>
        <w:tc>
          <w:tcPr>
            <w:tcW w:w="1171" w:type="dxa"/>
            <w:vAlign w:val="bottom"/>
          </w:tcPr>
          <w:p w14:paraId="47F5D2DB" w14:textId="27FE300E" w:rsidR="00665C6D" w:rsidDel="000F1C47" w:rsidRDefault="00665C6D" w:rsidP="00303804">
            <w:pPr>
              <w:rPr>
                <w:color w:val="000000"/>
                <w:sz w:val="20"/>
                <w:szCs w:val="20"/>
              </w:rPr>
            </w:pPr>
            <w:r>
              <w:rPr>
                <w:color w:val="000000"/>
                <w:sz w:val="20"/>
                <w:szCs w:val="20"/>
              </w:rPr>
              <w:t>CD4 &gt;500</w:t>
            </w:r>
          </w:p>
        </w:tc>
        <w:tc>
          <w:tcPr>
            <w:tcW w:w="1556" w:type="dxa"/>
          </w:tcPr>
          <w:p w14:paraId="3CA6F3F9" w14:textId="46BDEF93" w:rsidR="00665C6D" w:rsidDel="000F1C47" w:rsidRDefault="00665C6D" w:rsidP="00303804">
            <w:pPr>
              <w:rPr>
                <w:color w:val="000000"/>
                <w:sz w:val="20"/>
                <w:szCs w:val="20"/>
              </w:rPr>
            </w:pPr>
            <w:r>
              <w:rPr>
                <w:color w:val="000000"/>
                <w:sz w:val="20"/>
                <w:szCs w:val="20"/>
              </w:rPr>
              <w:t>CD4 350-500</w:t>
            </w:r>
          </w:p>
        </w:tc>
        <w:tc>
          <w:tcPr>
            <w:tcW w:w="1497" w:type="dxa"/>
          </w:tcPr>
          <w:p w14:paraId="6BEA7E2E" w14:textId="1ABA2B6C" w:rsidR="00665C6D" w:rsidDel="000F1C47" w:rsidRDefault="00665C6D" w:rsidP="00303804">
            <w:pPr>
              <w:rPr>
                <w:color w:val="000000"/>
                <w:sz w:val="20"/>
                <w:szCs w:val="20"/>
              </w:rPr>
            </w:pPr>
            <w:r>
              <w:rPr>
                <w:color w:val="000000"/>
                <w:sz w:val="20"/>
                <w:szCs w:val="20"/>
              </w:rPr>
              <w:t>CD4 200-350</w:t>
            </w:r>
          </w:p>
        </w:tc>
      </w:tr>
      <w:tr w:rsidR="00665C6D" w:rsidRPr="00596193" w14:paraId="56425228" w14:textId="77777777" w:rsidTr="0050135C">
        <w:trPr>
          <w:trHeight w:val="300"/>
        </w:trPr>
        <w:tc>
          <w:tcPr>
            <w:tcW w:w="0" w:type="auto"/>
            <w:shd w:val="clear" w:color="auto" w:fill="auto"/>
            <w:noWrap/>
            <w:vAlign w:val="bottom"/>
            <w:hideMark/>
          </w:tcPr>
          <w:p w14:paraId="4E6DE8FE" w14:textId="77777777" w:rsidR="00665C6D" w:rsidRPr="00596193" w:rsidRDefault="00665C6D" w:rsidP="00303804">
            <w:pPr>
              <w:jc w:val="both"/>
              <w:rPr>
                <w:color w:val="000000"/>
                <w:sz w:val="20"/>
                <w:szCs w:val="20"/>
              </w:rPr>
            </w:pPr>
            <w:r w:rsidRPr="00596193">
              <w:rPr>
                <w:color w:val="000000"/>
                <w:sz w:val="20"/>
                <w:szCs w:val="20"/>
              </w:rPr>
              <w:t>Low-risk urban women (15-24)</w:t>
            </w:r>
          </w:p>
        </w:tc>
        <w:tc>
          <w:tcPr>
            <w:tcW w:w="0" w:type="auto"/>
            <w:shd w:val="clear" w:color="auto" w:fill="auto"/>
            <w:noWrap/>
            <w:vAlign w:val="center"/>
            <w:hideMark/>
          </w:tcPr>
          <w:p w14:paraId="69903CAD" w14:textId="20E32D9C" w:rsidR="00665C6D" w:rsidRPr="00596193" w:rsidRDefault="00665C6D" w:rsidP="00303804">
            <w:pPr>
              <w:rPr>
                <w:color w:val="000000"/>
                <w:sz w:val="20"/>
                <w:szCs w:val="20"/>
              </w:rPr>
            </w:pPr>
          </w:p>
        </w:tc>
        <w:tc>
          <w:tcPr>
            <w:tcW w:w="1329" w:type="dxa"/>
          </w:tcPr>
          <w:p w14:paraId="5D74A1F8" w14:textId="77777777" w:rsidR="00665C6D" w:rsidDel="000F1C47" w:rsidRDefault="00665C6D" w:rsidP="00303804">
            <w:pPr>
              <w:rPr>
                <w:color w:val="000000"/>
                <w:sz w:val="20"/>
                <w:szCs w:val="20"/>
              </w:rPr>
            </w:pPr>
          </w:p>
        </w:tc>
        <w:tc>
          <w:tcPr>
            <w:tcW w:w="1349" w:type="dxa"/>
          </w:tcPr>
          <w:p w14:paraId="5E76A13A" w14:textId="77777777" w:rsidR="00665C6D" w:rsidDel="000F1C47" w:rsidRDefault="00665C6D" w:rsidP="00303804">
            <w:pPr>
              <w:rPr>
                <w:color w:val="000000"/>
                <w:sz w:val="20"/>
                <w:szCs w:val="20"/>
              </w:rPr>
            </w:pPr>
          </w:p>
        </w:tc>
        <w:tc>
          <w:tcPr>
            <w:tcW w:w="1171" w:type="dxa"/>
            <w:vAlign w:val="bottom"/>
          </w:tcPr>
          <w:p w14:paraId="03ED8268" w14:textId="77777777" w:rsidR="00665C6D" w:rsidRPr="00596193" w:rsidRDefault="00665C6D" w:rsidP="00303804">
            <w:pPr>
              <w:jc w:val="both"/>
              <w:rPr>
                <w:color w:val="000000"/>
                <w:sz w:val="20"/>
                <w:szCs w:val="20"/>
              </w:rPr>
            </w:pPr>
          </w:p>
        </w:tc>
        <w:tc>
          <w:tcPr>
            <w:tcW w:w="1556" w:type="dxa"/>
          </w:tcPr>
          <w:p w14:paraId="49B07FA9" w14:textId="77777777" w:rsidR="00665C6D" w:rsidRPr="00596193" w:rsidRDefault="00665C6D" w:rsidP="00303804">
            <w:pPr>
              <w:jc w:val="both"/>
              <w:rPr>
                <w:color w:val="000000"/>
                <w:sz w:val="20"/>
                <w:szCs w:val="20"/>
              </w:rPr>
            </w:pPr>
          </w:p>
        </w:tc>
        <w:tc>
          <w:tcPr>
            <w:tcW w:w="1497" w:type="dxa"/>
          </w:tcPr>
          <w:p w14:paraId="131E52DC" w14:textId="77777777" w:rsidR="00665C6D" w:rsidRPr="00596193" w:rsidRDefault="00665C6D" w:rsidP="00303804">
            <w:pPr>
              <w:jc w:val="both"/>
              <w:rPr>
                <w:color w:val="000000"/>
                <w:sz w:val="20"/>
                <w:szCs w:val="20"/>
              </w:rPr>
            </w:pPr>
          </w:p>
        </w:tc>
      </w:tr>
      <w:tr w:rsidR="00665C6D" w:rsidRPr="00596193" w14:paraId="29F5D5F1" w14:textId="77777777" w:rsidTr="0050135C">
        <w:trPr>
          <w:trHeight w:val="300"/>
        </w:trPr>
        <w:tc>
          <w:tcPr>
            <w:tcW w:w="0" w:type="auto"/>
            <w:shd w:val="clear" w:color="auto" w:fill="auto"/>
            <w:noWrap/>
            <w:vAlign w:val="bottom"/>
            <w:hideMark/>
          </w:tcPr>
          <w:p w14:paraId="4956A3DE" w14:textId="77777777" w:rsidR="00665C6D" w:rsidRPr="00596193" w:rsidRDefault="00665C6D" w:rsidP="00303804">
            <w:pPr>
              <w:jc w:val="both"/>
              <w:rPr>
                <w:color w:val="000000"/>
                <w:sz w:val="20"/>
                <w:szCs w:val="20"/>
              </w:rPr>
            </w:pPr>
            <w:r w:rsidRPr="00596193">
              <w:rPr>
                <w:color w:val="000000"/>
                <w:sz w:val="20"/>
                <w:szCs w:val="20"/>
              </w:rPr>
              <w:t>Low-risk urban women (25-34)</w:t>
            </w:r>
          </w:p>
        </w:tc>
        <w:tc>
          <w:tcPr>
            <w:tcW w:w="0" w:type="auto"/>
            <w:shd w:val="clear" w:color="auto" w:fill="auto"/>
            <w:noWrap/>
            <w:vAlign w:val="bottom"/>
            <w:hideMark/>
          </w:tcPr>
          <w:p w14:paraId="1BD96599" w14:textId="77777777" w:rsidR="00665C6D" w:rsidRPr="00596193" w:rsidRDefault="00665C6D" w:rsidP="00303804">
            <w:pPr>
              <w:jc w:val="both"/>
              <w:rPr>
                <w:color w:val="000000"/>
                <w:sz w:val="20"/>
                <w:szCs w:val="20"/>
              </w:rPr>
            </w:pPr>
          </w:p>
        </w:tc>
        <w:tc>
          <w:tcPr>
            <w:tcW w:w="1329" w:type="dxa"/>
          </w:tcPr>
          <w:p w14:paraId="7E1B7246" w14:textId="77777777" w:rsidR="00665C6D" w:rsidRPr="00596193" w:rsidRDefault="00665C6D" w:rsidP="00303804">
            <w:pPr>
              <w:jc w:val="both"/>
              <w:rPr>
                <w:color w:val="000000"/>
                <w:sz w:val="20"/>
                <w:szCs w:val="20"/>
              </w:rPr>
            </w:pPr>
          </w:p>
        </w:tc>
        <w:tc>
          <w:tcPr>
            <w:tcW w:w="1349" w:type="dxa"/>
          </w:tcPr>
          <w:p w14:paraId="7DFBE382" w14:textId="77777777" w:rsidR="00665C6D" w:rsidRPr="00596193" w:rsidRDefault="00665C6D" w:rsidP="00303804">
            <w:pPr>
              <w:jc w:val="both"/>
              <w:rPr>
                <w:color w:val="000000"/>
                <w:sz w:val="20"/>
                <w:szCs w:val="20"/>
              </w:rPr>
            </w:pPr>
          </w:p>
        </w:tc>
        <w:tc>
          <w:tcPr>
            <w:tcW w:w="1171" w:type="dxa"/>
            <w:vAlign w:val="bottom"/>
          </w:tcPr>
          <w:p w14:paraId="055D4529" w14:textId="77777777" w:rsidR="00665C6D" w:rsidRPr="00596193" w:rsidRDefault="00665C6D" w:rsidP="00303804">
            <w:pPr>
              <w:jc w:val="both"/>
              <w:rPr>
                <w:color w:val="000000"/>
                <w:sz w:val="20"/>
                <w:szCs w:val="20"/>
              </w:rPr>
            </w:pPr>
          </w:p>
        </w:tc>
        <w:tc>
          <w:tcPr>
            <w:tcW w:w="1556" w:type="dxa"/>
          </w:tcPr>
          <w:p w14:paraId="6632F67B" w14:textId="77777777" w:rsidR="00665C6D" w:rsidRPr="00596193" w:rsidRDefault="00665C6D" w:rsidP="00303804">
            <w:pPr>
              <w:jc w:val="both"/>
              <w:rPr>
                <w:color w:val="000000"/>
                <w:sz w:val="20"/>
                <w:szCs w:val="20"/>
              </w:rPr>
            </w:pPr>
          </w:p>
        </w:tc>
        <w:tc>
          <w:tcPr>
            <w:tcW w:w="1497" w:type="dxa"/>
          </w:tcPr>
          <w:p w14:paraId="4C26BC8D" w14:textId="77777777" w:rsidR="00665C6D" w:rsidRPr="00596193" w:rsidRDefault="00665C6D" w:rsidP="00303804">
            <w:pPr>
              <w:jc w:val="both"/>
              <w:rPr>
                <w:color w:val="000000"/>
                <w:sz w:val="20"/>
                <w:szCs w:val="20"/>
              </w:rPr>
            </w:pPr>
          </w:p>
        </w:tc>
      </w:tr>
      <w:tr w:rsidR="00665C6D" w:rsidRPr="00596193" w14:paraId="0DC6A8B8" w14:textId="77777777" w:rsidTr="0050135C">
        <w:trPr>
          <w:trHeight w:val="300"/>
        </w:trPr>
        <w:tc>
          <w:tcPr>
            <w:tcW w:w="0" w:type="auto"/>
            <w:shd w:val="clear" w:color="auto" w:fill="auto"/>
            <w:noWrap/>
            <w:vAlign w:val="bottom"/>
            <w:hideMark/>
          </w:tcPr>
          <w:p w14:paraId="571D47D4" w14:textId="77777777" w:rsidR="00665C6D" w:rsidRPr="00596193" w:rsidRDefault="00665C6D" w:rsidP="00303804">
            <w:pPr>
              <w:jc w:val="both"/>
              <w:rPr>
                <w:color w:val="000000"/>
                <w:sz w:val="20"/>
                <w:szCs w:val="20"/>
              </w:rPr>
            </w:pPr>
            <w:r w:rsidRPr="00596193">
              <w:rPr>
                <w:color w:val="000000"/>
                <w:sz w:val="20"/>
                <w:szCs w:val="20"/>
              </w:rPr>
              <w:t>Low-risk urban women (35-44)</w:t>
            </w:r>
          </w:p>
        </w:tc>
        <w:tc>
          <w:tcPr>
            <w:tcW w:w="0" w:type="auto"/>
            <w:shd w:val="clear" w:color="auto" w:fill="auto"/>
            <w:noWrap/>
            <w:vAlign w:val="bottom"/>
            <w:hideMark/>
          </w:tcPr>
          <w:p w14:paraId="19598295" w14:textId="77777777" w:rsidR="00665C6D" w:rsidRPr="00596193" w:rsidRDefault="00665C6D" w:rsidP="00303804">
            <w:pPr>
              <w:jc w:val="both"/>
              <w:rPr>
                <w:color w:val="000000"/>
                <w:sz w:val="20"/>
                <w:szCs w:val="20"/>
              </w:rPr>
            </w:pPr>
          </w:p>
        </w:tc>
        <w:tc>
          <w:tcPr>
            <w:tcW w:w="1329" w:type="dxa"/>
          </w:tcPr>
          <w:p w14:paraId="19F35D8E" w14:textId="77777777" w:rsidR="00665C6D" w:rsidRPr="00596193" w:rsidRDefault="00665C6D" w:rsidP="00303804">
            <w:pPr>
              <w:jc w:val="both"/>
              <w:rPr>
                <w:color w:val="000000"/>
                <w:sz w:val="20"/>
                <w:szCs w:val="20"/>
              </w:rPr>
            </w:pPr>
          </w:p>
        </w:tc>
        <w:tc>
          <w:tcPr>
            <w:tcW w:w="1349" w:type="dxa"/>
          </w:tcPr>
          <w:p w14:paraId="2858D8BE" w14:textId="77777777" w:rsidR="00665C6D" w:rsidRPr="00596193" w:rsidRDefault="00665C6D" w:rsidP="00303804">
            <w:pPr>
              <w:jc w:val="both"/>
              <w:rPr>
                <w:color w:val="000000"/>
                <w:sz w:val="20"/>
                <w:szCs w:val="20"/>
              </w:rPr>
            </w:pPr>
          </w:p>
        </w:tc>
        <w:tc>
          <w:tcPr>
            <w:tcW w:w="1171" w:type="dxa"/>
            <w:vAlign w:val="bottom"/>
          </w:tcPr>
          <w:p w14:paraId="08207743" w14:textId="77777777" w:rsidR="00665C6D" w:rsidRPr="00596193" w:rsidRDefault="00665C6D" w:rsidP="00303804">
            <w:pPr>
              <w:jc w:val="both"/>
              <w:rPr>
                <w:color w:val="000000"/>
                <w:sz w:val="20"/>
                <w:szCs w:val="20"/>
              </w:rPr>
            </w:pPr>
          </w:p>
        </w:tc>
        <w:tc>
          <w:tcPr>
            <w:tcW w:w="1556" w:type="dxa"/>
          </w:tcPr>
          <w:p w14:paraId="608C07F3" w14:textId="77777777" w:rsidR="00665C6D" w:rsidRPr="00596193" w:rsidRDefault="00665C6D" w:rsidP="00303804">
            <w:pPr>
              <w:jc w:val="both"/>
              <w:rPr>
                <w:color w:val="000000"/>
                <w:sz w:val="20"/>
                <w:szCs w:val="20"/>
              </w:rPr>
            </w:pPr>
          </w:p>
        </w:tc>
        <w:tc>
          <w:tcPr>
            <w:tcW w:w="1497" w:type="dxa"/>
          </w:tcPr>
          <w:p w14:paraId="7719E179" w14:textId="77777777" w:rsidR="00665C6D" w:rsidRPr="00596193" w:rsidRDefault="00665C6D" w:rsidP="00303804">
            <w:pPr>
              <w:jc w:val="both"/>
              <w:rPr>
                <w:color w:val="000000"/>
                <w:sz w:val="20"/>
                <w:szCs w:val="20"/>
              </w:rPr>
            </w:pPr>
          </w:p>
        </w:tc>
      </w:tr>
      <w:tr w:rsidR="00665C6D" w:rsidRPr="00596193" w14:paraId="4FDA48CC" w14:textId="77777777" w:rsidTr="0050135C">
        <w:trPr>
          <w:trHeight w:val="300"/>
        </w:trPr>
        <w:tc>
          <w:tcPr>
            <w:tcW w:w="0" w:type="auto"/>
            <w:shd w:val="clear" w:color="auto" w:fill="auto"/>
            <w:noWrap/>
            <w:vAlign w:val="bottom"/>
            <w:hideMark/>
          </w:tcPr>
          <w:p w14:paraId="194358BD" w14:textId="77777777" w:rsidR="00665C6D" w:rsidRPr="00596193" w:rsidRDefault="00665C6D" w:rsidP="00303804">
            <w:pPr>
              <w:jc w:val="both"/>
              <w:rPr>
                <w:color w:val="000000"/>
                <w:sz w:val="20"/>
                <w:szCs w:val="20"/>
              </w:rPr>
            </w:pPr>
            <w:r w:rsidRPr="00596193">
              <w:rPr>
                <w:color w:val="000000"/>
                <w:sz w:val="20"/>
                <w:szCs w:val="20"/>
              </w:rPr>
              <w:t>Low-risk urban women (45-54)</w:t>
            </w:r>
          </w:p>
        </w:tc>
        <w:tc>
          <w:tcPr>
            <w:tcW w:w="0" w:type="auto"/>
            <w:shd w:val="clear" w:color="auto" w:fill="auto"/>
            <w:noWrap/>
            <w:vAlign w:val="bottom"/>
            <w:hideMark/>
          </w:tcPr>
          <w:p w14:paraId="47AFFF7C" w14:textId="77777777" w:rsidR="00665C6D" w:rsidRPr="00596193" w:rsidRDefault="00665C6D" w:rsidP="00303804">
            <w:pPr>
              <w:jc w:val="both"/>
              <w:rPr>
                <w:color w:val="000000"/>
                <w:sz w:val="20"/>
                <w:szCs w:val="20"/>
              </w:rPr>
            </w:pPr>
          </w:p>
        </w:tc>
        <w:tc>
          <w:tcPr>
            <w:tcW w:w="1329" w:type="dxa"/>
          </w:tcPr>
          <w:p w14:paraId="45E9140F" w14:textId="77777777" w:rsidR="00665C6D" w:rsidRPr="00596193" w:rsidRDefault="00665C6D" w:rsidP="00303804">
            <w:pPr>
              <w:jc w:val="both"/>
              <w:rPr>
                <w:color w:val="000000"/>
                <w:sz w:val="20"/>
                <w:szCs w:val="20"/>
              </w:rPr>
            </w:pPr>
          </w:p>
        </w:tc>
        <w:tc>
          <w:tcPr>
            <w:tcW w:w="1349" w:type="dxa"/>
          </w:tcPr>
          <w:p w14:paraId="19B35F64" w14:textId="77777777" w:rsidR="00665C6D" w:rsidRPr="00596193" w:rsidRDefault="00665C6D" w:rsidP="00303804">
            <w:pPr>
              <w:jc w:val="both"/>
              <w:rPr>
                <w:color w:val="000000"/>
                <w:sz w:val="20"/>
                <w:szCs w:val="20"/>
              </w:rPr>
            </w:pPr>
          </w:p>
        </w:tc>
        <w:tc>
          <w:tcPr>
            <w:tcW w:w="1171" w:type="dxa"/>
            <w:vAlign w:val="bottom"/>
          </w:tcPr>
          <w:p w14:paraId="0B7202EB" w14:textId="77777777" w:rsidR="00665C6D" w:rsidRPr="00596193" w:rsidRDefault="00665C6D" w:rsidP="00303804">
            <w:pPr>
              <w:jc w:val="both"/>
              <w:rPr>
                <w:color w:val="000000"/>
                <w:sz w:val="20"/>
                <w:szCs w:val="20"/>
              </w:rPr>
            </w:pPr>
          </w:p>
        </w:tc>
        <w:tc>
          <w:tcPr>
            <w:tcW w:w="1556" w:type="dxa"/>
          </w:tcPr>
          <w:p w14:paraId="2FE6A3B9" w14:textId="77777777" w:rsidR="00665C6D" w:rsidRPr="00596193" w:rsidRDefault="00665C6D" w:rsidP="00303804">
            <w:pPr>
              <w:jc w:val="both"/>
              <w:rPr>
                <w:color w:val="000000"/>
                <w:sz w:val="20"/>
                <w:szCs w:val="20"/>
              </w:rPr>
            </w:pPr>
          </w:p>
        </w:tc>
        <w:tc>
          <w:tcPr>
            <w:tcW w:w="1497" w:type="dxa"/>
          </w:tcPr>
          <w:p w14:paraId="3E23CC72" w14:textId="77777777" w:rsidR="00665C6D" w:rsidRPr="00596193" w:rsidRDefault="00665C6D" w:rsidP="00303804">
            <w:pPr>
              <w:jc w:val="both"/>
              <w:rPr>
                <w:color w:val="000000"/>
                <w:sz w:val="20"/>
                <w:szCs w:val="20"/>
              </w:rPr>
            </w:pPr>
          </w:p>
        </w:tc>
      </w:tr>
      <w:tr w:rsidR="00665C6D" w:rsidRPr="00596193" w14:paraId="74366555" w14:textId="77777777" w:rsidTr="0050135C">
        <w:trPr>
          <w:trHeight w:val="300"/>
        </w:trPr>
        <w:tc>
          <w:tcPr>
            <w:tcW w:w="0" w:type="auto"/>
            <w:shd w:val="clear" w:color="auto" w:fill="auto"/>
            <w:noWrap/>
            <w:vAlign w:val="bottom"/>
            <w:hideMark/>
          </w:tcPr>
          <w:p w14:paraId="04279467" w14:textId="77777777" w:rsidR="00665C6D" w:rsidRPr="00596193" w:rsidRDefault="00665C6D" w:rsidP="00303804">
            <w:pPr>
              <w:jc w:val="both"/>
              <w:rPr>
                <w:color w:val="000000"/>
                <w:sz w:val="20"/>
                <w:szCs w:val="20"/>
              </w:rPr>
            </w:pPr>
            <w:r w:rsidRPr="00596193">
              <w:rPr>
                <w:color w:val="000000"/>
                <w:sz w:val="20"/>
                <w:szCs w:val="20"/>
              </w:rPr>
              <w:t>Low-risk urban women (55-64)</w:t>
            </w:r>
          </w:p>
        </w:tc>
        <w:tc>
          <w:tcPr>
            <w:tcW w:w="0" w:type="auto"/>
            <w:shd w:val="clear" w:color="auto" w:fill="auto"/>
            <w:noWrap/>
            <w:vAlign w:val="bottom"/>
            <w:hideMark/>
          </w:tcPr>
          <w:p w14:paraId="7D74E22B" w14:textId="77777777" w:rsidR="00665C6D" w:rsidRPr="00596193" w:rsidRDefault="00665C6D" w:rsidP="00303804">
            <w:pPr>
              <w:jc w:val="both"/>
              <w:rPr>
                <w:color w:val="000000"/>
                <w:sz w:val="20"/>
                <w:szCs w:val="20"/>
              </w:rPr>
            </w:pPr>
          </w:p>
        </w:tc>
        <w:tc>
          <w:tcPr>
            <w:tcW w:w="1329" w:type="dxa"/>
          </w:tcPr>
          <w:p w14:paraId="08159904" w14:textId="77777777" w:rsidR="00665C6D" w:rsidRPr="00596193" w:rsidRDefault="00665C6D" w:rsidP="00303804">
            <w:pPr>
              <w:jc w:val="both"/>
              <w:rPr>
                <w:color w:val="000000"/>
                <w:sz w:val="20"/>
                <w:szCs w:val="20"/>
              </w:rPr>
            </w:pPr>
          </w:p>
        </w:tc>
        <w:tc>
          <w:tcPr>
            <w:tcW w:w="1349" w:type="dxa"/>
          </w:tcPr>
          <w:p w14:paraId="3F9BD8A3" w14:textId="77777777" w:rsidR="00665C6D" w:rsidRPr="00596193" w:rsidRDefault="00665C6D" w:rsidP="00303804">
            <w:pPr>
              <w:jc w:val="both"/>
              <w:rPr>
                <w:color w:val="000000"/>
                <w:sz w:val="20"/>
                <w:szCs w:val="20"/>
              </w:rPr>
            </w:pPr>
          </w:p>
        </w:tc>
        <w:tc>
          <w:tcPr>
            <w:tcW w:w="1171" w:type="dxa"/>
            <w:vAlign w:val="bottom"/>
          </w:tcPr>
          <w:p w14:paraId="297C5C4D" w14:textId="77777777" w:rsidR="00665C6D" w:rsidRPr="00596193" w:rsidRDefault="00665C6D" w:rsidP="00303804">
            <w:pPr>
              <w:jc w:val="both"/>
              <w:rPr>
                <w:color w:val="000000"/>
                <w:sz w:val="20"/>
                <w:szCs w:val="20"/>
              </w:rPr>
            </w:pPr>
          </w:p>
        </w:tc>
        <w:tc>
          <w:tcPr>
            <w:tcW w:w="1556" w:type="dxa"/>
          </w:tcPr>
          <w:p w14:paraId="22EDBC1C" w14:textId="77777777" w:rsidR="00665C6D" w:rsidRPr="00596193" w:rsidRDefault="00665C6D" w:rsidP="00303804">
            <w:pPr>
              <w:jc w:val="both"/>
              <w:rPr>
                <w:color w:val="000000"/>
                <w:sz w:val="20"/>
                <w:szCs w:val="20"/>
              </w:rPr>
            </w:pPr>
          </w:p>
        </w:tc>
        <w:tc>
          <w:tcPr>
            <w:tcW w:w="1497" w:type="dxa"/>
          </w:tcPr>
          <w:p w14:paraId="15563240" w14:textId="77777777" w:rsidR="00665C6D" w:rsidRPr="00596193" w:rsidRDefault="00665C6D" w:rsidP="00303804">
            <w:pPr>
              <w:jc w:val="both"/>
              <w:rPr>
                <w:color w:val="000000"/>
                <w:sz w:val="20"/>
                <w:szCs w:val="20"/>
              </w:rPr>
            </w:pPr>
          </w:p>
        </w:tc>
      </w:tr>
      <w:tr w:rsidR="00665C6D" w:rsidRPr="00596193" w14:paraId="7A590275" w14:textId="77777777" w:rsidTr="0050135C">
        <w:trPr>
          <w:trHeight w:val="300"/>
        </w:trPr>
        <w:tc>
          <w:tcPr>
            <w:tcW w:w="0" w:type="auto"/>
            <w:shd w:val="clear" w:color="auto" w:fill="auto"/>
            <w:noWrap/>
            <w:vAlign w:val="bottom"/>
            <w:hideMark/>
          </w:tcPr>
          <w:p w14:paraId="65DA6576" w14:textId="77777777" w:rsidR="00665C6D" w:rsidRPr="00596193" w:rsidRDefault="00665C6D" w:rsidP="00303804">
            <w:pPr>
              <w:jc w:val="both"/>
              <w:rPr>
                <w:color w:val="000000"/>
                <w:sz w:val="20"/>
                <w:szCs w:val="20"/>
              </w:rPr>
            </w:pPr>
            <w:r w:rsidRPr="00596193">
              <w:rPr>
                <w:color w:val="000000"/>
                <w:sz w:val="20"/>
                <w:szCs w:val="20"/>
              </w:rPr>
              <w:t>Low-risk rural women (15-24)</w:t>
            </w:r>
          </w:p>
        </w:tc>
        <w:tc>
          <w:tcPr>
            <w:tcW w:w="0" w:type="auto"/>
            <w:shd w:val="clear" w:color="auto" w:fill="auto"/>
            <w:noWrap/>
            <w:vAlign w:val="bottom"/>
            <w:hideMark/>
          </w:tcPr>
          <w:p w14:paraId="06735C2D" w14:textId="77777777" w:rsidR="00665C6D" w:rsidRPr="00596193" w:rsidRDefault="00665C6D" w:rsidP="00303804">
            <w:pPr>
              <w:jc w:val="both"/>
              <w:rPr>
                <w:color w:val="000000"/>
                <w:sz w:val="20"/>
                <w:szCs w:val="20"/>
              </w:rPr>
            </w:pPr>
          </w:p>
        </w:tc>
        <w:tc>
          <w:tcPr>
            <w:tcW w:w="1329" w:type="dxa"/>
          </w:tcPr>
          <w:p w14:paraId="12A3EAF0" w14:textId="77777777" w:rsidR="00665C6D" w:rsidRPr="00596193" w:rsidRDefault="00665C6D" w:rsidP="00303804">
            <w:pPr>
              <w:jc w:val="both"/>
              <w:rPr>
                <w:color w:val="000000"/>
                <w:sz w:val="20"/>
                <w:szCs w:val="20"/>
              </w:rPr>
            </w:pPr>
          </w:p>
        </w:tc>
        <w:tc>
          <w:tcPr>
            <w:tcW w:w="1349" w:type="dxa"/>
          </w:tcPr>
          <w:p w14:paraId="3578C2B1" w14:textId="77777777" w:rsidR="00665C6D" w:rsidRPr="00596193" w:rsidRDefault="00665C6D" w:rsidP="00303804">
            <w:pPr>
              <w:jc w:val="both"/>
              <w:rPr>
                <w:color w:val="000000"/>
                <w:sz w:val="20"/>
                <w:szCs w:val="20"/>
              </w:rPr>
            </w:pPr>
          </w:p>
        </w:tc>
        <w:tc>
          <w:tcPr>
            <w:tcW w:w="1171" w:type="dxa"/>
            <w:vAlign w:val="bottom"/>
          </w:tcPr>
          <w:p w14:paraId="32C13C35" w14:textId="77777777" w:rsidR="00665C6D" w:rsidRPr="00596193" w:rsidRDefault="00665C6D" w:rsidP="00303804">
            <w:pPr>
              <w:jc w:val="both"/>
              <w:rPr>
                <w:color w:val="000000"/>
                <w:sz w:val="20"/>
                <w:szCs w:val="20"/>
              </w:rPr>
            </w:pPr>
          </w:p>
        </w:tc>
        <w:tc>
          <w:tcPr>
            <w:tcW w:w="1556" w:type="dxa"/>
          </w:tcPr>
          <w:p w14:paraId="3A2F869C" w14:textId="77777777" w:rsidR="00665C6D" w:rsidRPr="00596193" w:rsidRDefault="00665C6D" w:rsidP="00303804">
            <w:pPr>
              <w:jc w:val="both"/>
              <w:rPr>
                <w:color w:val="000000"/>
                <w:sz w:val="20"/>
                <w:szCs w:val="20"/>
              </w:rPr>
            </w:pPr>
          </w:p>
        </w:tc>
        <w:tc>
          <w:tcPr>
            <w:tcW w:w="1497" w:type="dxa"/>
          </w:tcPr>
          <w:p w14:paraId="4C4BE1D8" w14:textId="77777777" w:rsidR="00665C6D" w:rsidRPr="00596193" w:rsidRDefault="00665C6D" w:rsidP="00303804">
            <w:pPr>
              <w:jc w:val="both"/>
              <w:rPr>
                <w:color w:val="000000"/>
                <w:sz w:val="20"/>
                <w:szCs w:val="20"/>
              </w:rPr>
            </w:pPr>
          </w:p>
        </w:tc>
      </w:tr>
      <w:tr w:rsidR="00665C6D" w:rsidRPr="00596193" w14:paraId="61EFFB04" w14:textId="77777777" w:rsidTr="0050135C">
        <w:trPr>
          <w:trHeight w:val="300"/>
        </w:trPr>
        <w:tc>
          <w:tcPr>
            <w:tcW w:w="0" w:type="auto"/>
            <w:shd w:val="clear" w:color="auto" w:fill="auto"/>
            <w:noWrap/>
            <w:vAlign w:val="bottom"/>
            <w:hideMark/>
          </w:tcPr>
          <w:p w14:paraId="43C03C1D" w14:textId="77777777" w:rsidR="00665C6D" w:rsidRPr="00596193" w:rsidRDefault="00665C6D" w:rsidP="00303804">
            <w:pPr>
              <w:jc w:val="both"/>
              <w:rPr>
                <w:color w:val="000000"/>
                <w:sz w:val="20"/>
                <w:szCs w:val="20"/>
              </w:rPr>
            </w:pPr>
            <w:r w:rsidRPr="00596193">
              <w:rPr>
                <w:color w:val="000000"/>
                <w:sz w:val="20"/>
                <w:szCs w:val="20"/>
              </w:rPr>
              <w:t>Low-risk rural women (25-34)</w:t>
            </w:r>
          </w:p>
        </w:tc>
        <w:tc>
          <w:tcPr>
            <w:tcW w:w="0" w:type="auto"/>
            <w:shd w:val="clear" w:color="auto" w:fill="auto"/>
            <w:noWrap/>
            <w:vAlign w:val="bottom"/>
            <w:hideMark/>
          </w:tcPr>
          <w:p w14:paraId="40CEF6E2" w14:textId="77777777" w:rsidR="00665C6D" w:rsidRPr="00596193" w:rsidRDefault="00665C6D" w:rsidP="00303804">
            <w:pPr>
              <w:jc w:val="both"/>
              <w:rPr>
                <w:color w:val="000000"/>
                <w:sz w:val="20"/>
                <w:szCs w:val="20"/>
              </w:rPr>
            </w:pPr>
          </w:p>
        </w:tc>
        <w:tc>
          <w:tcPr>
            <w:tcW w:w="1329" w:type="dxa"/>
          </w:tcPr>
          <w:p w14:paraId="5EE2077A" w14:textId="77777777" w:rsidR="00665C6D" w:rsidRPr="00596193" w:rsidRDefault="00665C6D" w:rsidP="00303804">
            <w:pPr>
              <w:jc w:val="both"/>
              <w:rPr>
                <w:color w:val="000000"/>
                <w:sz w:val="20"/>
                <w:szCs w:val="20"/>
              </w:rPr>
            </w:pPr>
          </w:p>
        </w:tc>
        <w:tc>
          <w:tcPr>
            <w:tcW w:w="1349" w:type="dxa"/>
          </w:tcPr>
          <w:p w14:paraId="2045C92F" w14:textId="77777777" w:rsidR="00665C6D" w:rsidRPr="00596193" w:rsidRDefault="00665C6D" w:rsidP="00303804">
            <w:pPr>
              <w:jc w:val="both"/>
              <w:rPr>
                <w:color w:val="000000"/>
                <w:sz w:val="20"/>
                <w:szCs w:val="20"/>
              </w:rPr>
            </w:pPr>
          </w:p>
        </w:tc>
        <w:tc>
          <w:tcPr>
            <w:tcW w:w="1171" w:type="dxa"/>
            <w:vAlign w:val="bottom"/>
          </w:tcPr>
          <w:p w14:paraId="36D67A2D" w14:textId="77777777" w:rsidR="00665C6D" w:rsidRPr="00596193" w:rsidRDefault="00665C6D" w:rsidP="00303804">
            <w:pPr>
              <w:jc w:val="both"/>
              <w:rPr>
                <w:color w:val="000000"/>
                <w:sz w:val="20"/>
                <w:szCs w:val="20"/>
              </w:rPr>
            </w:pPr>
          </w:p>
        </w:tc>
        <w:tc>
          <w:tcPr>
            <w:tcW w:w="1556" w:type="dxa"/>
          </w:tcPr>
          <w:p w14:paraId="5D19D13C" w14:textId="77777777" w:rsidR="00665C6D" w:rsidRPr="00596193" w:rsidRDefault="00665C6D" w:rsidP="00303804">
            <w:pPr>
              <w:jc w:val="both"/>
              <w:rPr>
                <w:color w:val="000000"/>
                <w:sz w:val="20"/>
                <w:szCs w:val="20"/>
              </w:rPr>
            </w:pPr>
          </w:p>
        </w:tc>
        <w:tc>
          <w:tcPr>
            <w:tcW w:w="1497" w:type="dxa"/>
          </w:tcPr>
          <w:p w14:paraId="427CD02D" w14:textId="77777777" w:rsidR="00665C6D" w:rsidRPr="00596193" w:rsidRDefault="00665C6D" w:rsidP="00303804">
            <w:pPr>
              <w:jc w:val="both"/>
              <w:rPr>
                <w:color w:val="000000"/>
                <w:sz w:val="20"/>
                <w:szCs w:val="20"/>
              </w:rPr>
            </w:pPr>
          </w:p>
        </w:tc>
      </w:tr>
      <w:tr w:rsidR="00665C6D" w:rsidRPr="00596193" w14:paraId="6BBB6069" w14:textId="77777777" w:rsidTr="0050135C">
        <w:trPr>
          <w:trHeight w:val="300"/>
        </w:trPr>
        <w:tc>
          <w:tcPr>
            <w:tcW w:w="0" w:type="auto"/>
            <w:shd w:val="clear" w:color="auto" w:fill="auto"/>
            <w:noWrap/>
            <w:vAlign w:val="bottom"/>
            <w:hideMark/>
          </w:tcPr>
          <w:p w14:paraId="4E7DAA02" w14:textId="77777777" w:rsidR="00665C6D" w:rsidRPr="00596193" w:rsidRDefault="00665C6D" w:rsidP="00303804">
            <w:pPr>
              <w:jc w:val="both"/>
              <w:rPr>
                <w:color w:val="000000"/>
                <w:sz w:val="20"/>
                <w:szCs w:val="20"/>
              </w:rPr>
            </w:pPr>
            <w:r w:rsidRPr="00596193">
              <w:rPr>
                <w:color w:val="000000"/>
                <w:sz w:val="20"/>
                <w:szCs w:val="20"/>
              </w:rPr>
              <w:t>Low-risk rural women (35-44)</w:t>
            </w:r>
          </w:p>
        </w:tc>
        <w:tc>
          <w:tcPr>
            <w:tcW w:w="0" w:type="auto"/>
            <w:shd w:val="clear" w:color="auto" w:fill="auto"/>
            <w:noWrap/>
            <w:vAlign w:val="bottom"/>
            <w:hideMark/>
          </w:tcPr>
          <w:p w14:paraId="45EFFB99" w14:textId="77777777" w:rsidR="00665C6D" w:rsidRPr="00596193" w:rsidRDefault="00665C6D" w:rsidP="00303804">
            <w:pPr>
              <w:jc w:val="both"/>
              <w:rPr>
                <w:color w:val="000000"/>
                <w:sz w:val="20"/>
                <w:szCs w:val="20"/>
              </w:rPr>
            </w:pPr>
          </w:p>
        </w:tc>
        <w:tc>
          <w:tcPr>
            <w:tcW w:w="1329" w:type="dxa"/>
          </w:tcPr>
          <w:p w14:paraId="2293F380" w14:textId="77777777" w:rsidR="00665C6D" w:rsidRPr="00596193" w:rsidRDefault="00665C6D" w:rsidP="00303804">
            <w:pPr>
              <w:jc w:val="both"/>
              <w:rPr>
                <w:color w:val="000000"/>
                <w:sz w:val="20"/>
                <w:szCs w:val="20"/>
              </w:rPr>
            </w:pPr>
          </w:p>
        </w:tc>
        <w:tc>
          <w:tcPr>
            <w:tcW w:w="1349" w:type="dxa"/>
          </w:tcPr>
          <w:p w14:paraId="20F143F4" w14:textId="77777777" w:rsidR="00665C6D" w:rsidRPr="00596193" w:rsidRDefault="00665C6D" w:rsidP="00303804">
            <w:pPr>
              <w:jc w:val="both"/>
              <w:rPr>
                <w:color w:val="000000"/>
                <w:sz w:val="20"/>
                <w:szCs w:val="20"/>
              </w:rPr>
            </w:pPr>
          </w:p>
        </w:tc>
        <w:tc>
          <w:tcPr>
            <w:tcW w:w="1171" w:type="dxa"/>
            <w:vAlign w:val="bottom"/>
          </w:tcPr>
          <w:p w14:paraId="45F933CD" w14:textId="77777777" w:rsidR="00665C6D" w:rsidRPr="00596193" w:rsidRDefault="00665C6D" w:rsidP="00303804">
            <w:pPr>
              <w:jc w:val="both"/>
              <w:rPr>
                <w:color w:val="000000"/>
                <w:sz w:val="20"/>
                <w:szCs w:val="20"/>
              </w:rPr>
            </w:pPr>
          </w:p>
        </w:tc>
        <w:tc>
          <w:tcPr>
            <w:tcW w:w="1556" w:type="dxa"/>
          </w:tcPr>
          <w:p w14:paraId="0445217C" w14:textId="77777777" w:rsidR="00665C6D" w:rsidRPr="00596193" w:rsidRDefault="00665C6D" w:rsidP="00303804">
            <w:pPr>
              <w:jc w:val="both"/>
              <w:rPr>
                <w:color w:val="000000"/>
                <w:sz w:val="20"/>
                <w:szCs w:val="20"/>
              </w:rPr>
            </w:pPr>
          </w:p>
        </w:tc>
        <w:tc>
          <w:tcPr>
            <w:tcW w:w="1497" w:type="dxa"/>
          </w:tcPr>
          <w:p w14:paraId="6B2235A3" w14:textId="77777777" w:rsidR="00665C6D" w:rsidRPr="00596193" w:rsidRDefault="00665C6D" w:rsidP="00303804">
            <w:pPr>
              <w:jc w:val="both"/>
              <w:rPr>
                <w:color w:val="000000"/>
                <w:sz w:val="20"/>
                <w:szCs w:val="20"/>
              </w:rPr>
            </w:pPr>
          </w:p>
        </w:tc>
      </w:tr>
      <w:tr w:rsidR="00665C6D" w:rsidRPr="00596193" w14:paraId="0C842523" w14:textId="77777777" w:rsidTr="0050135C">
        <w:trPr>
          <w:trHeight w:val="300"/>
        </w:trPr>
        <w:tc>
          <w:tcPr>
            <w:tcW w:w="0" w:type="auto"/>
            <w:shd w:val="clear" w:color="auto" w:fill="auto"/>
            <w:noWrap/>
            <w:vAlign w:val="bottom"/>
            <w:hideMark/>
          </w:tcPr>
          <w:p w14:paraId="0E6E9BFA" w14:textId="77777777" w:rsidR="00665C6D" w:rsidRPr="00596193" w:rsidRDefault="00665C6D" w:rsidP="00303804">
            <w:pPr>
              <w:jc w:val="both"/>
              <w:rPr>
                <w:color w:val="000000"/>
                <w:sz w:val="20"/>
                <w:szCs w:val="20"/>
              </w:rPr>
            </w:pPr>
            <w:r w:rsidRPr="00596193">
              <w:rPr>
                <w:color w:val="000000"/>
                <w:sz w:val="20"/>
                <w:szCs w:val="20"/>
              </w:rPr>
              <w:t>Low-risk rural women (45-54)</w:t>
            </w:r>
          </w:p>
        </w:tc>
        <w:tc>
          <w:tcPr>
            <w:tcW w:w="0" w:type="auto"/>
            <w:shd w:val="clear" w:color="auto" w:fill="auto"/>
            <w:noWrap/>
            <w:vAlign w:val="bottom"/>
            <w:hideMark/>
          </w:tcPr>
          <w:p w14:paraId="446274CD" w14:textId="77777777" w:rsidR="00665C6D" w:rsidRPr="00596193" w:rsidRDefault="00665C6D" w:rsidP="00303804">
            <w:pPr>
              <w:jc w:val="both"/>
              <w:rPr>
                <w:color w:val="000000"/>
                <w:sz w:val="20"/>
                <w:szCs w:val="20"/>
              </w:rPr>
            </w:pPr>
          </w:p>
        </w:tc>
        <w:tc>
          <w:tcPr>
            <w:tcW w:w="1329" w:type="dxa"/>
          </w:tcPr>
          <w:p w14:paraId="1027B20B" w14:textId="77777777" w:rsidR="00665C6D" w:rsidRPr="00596193" w:rsidRDefault="00665C6D" w:rsidP="00303804">
            <w:pPr>
              <w:jc w:val="both"/>
              <w:rPr>
                <w:color w:val="000000"/>
                <w:sz w:val="20"/>
                <w:szCs w:val="20"/>
              </w:rPr>
            </w:pPr>
          </w:p>
        </w:tc>
        <w:tc>
          <w:tcPr>
            <w:tcW w:w="1349" w:type="dxa"/>
          </w:tcPr>
          <w:p w14:paraId="5DE6141B" w14:textId="77777777" w:rsidR="00665C6D" w:rsidRPr="00596193" w:rsidRDefault="00665C6D" w:rsidP="00303804">
            <w:pPr>
              <w:jc w:val="both"/>
              <w:rPr>
                <w:color w:val="000000"/>
                <w:sz w:val="20"/>
                <w:szCs w:val="20"/>
              </w:rPr>
            </w:pPr>
          </w:p>
        </w:tc>
        <w:tc>
          <w:tcPr>
            <w:tcW w:w="1171" w:type="dxa"/>
            <w:vAlign w:val="bottom"/>
          </w:tcPr>
          <w:p w14:paraId="75546F9A" w14:textId="77777777" w:rsidR="00665C6D" w:rsidRPr="00596193" w:rsidRDefault="00665C6D" w:rsidP="00303804">
            <w:pPr>
              <w:jc w:val="both"/>
              <w:rPr>
                <w:color w:val="000000"/>
                <w:sz w:val="20"/>
                <w:szCs w:val="20"/>
              </w:rPr>
            </w:pPr>
          </w:p>
        </w:tc>
        <w:tc>
          <w:tcPr>
            <w:tcW w:w="1556" w:type="dxa"/>
          </w:tcPr>
          <w:p w14:paraId="434A61FA" w14:textId="77777777" w:rsidR="00665C6D" w:rsidRPr="00596193" w:rsidRDefault="00665C6D" w:rsidP="00303804">
            <w:pPr>
              <w:jc w:val="both"/>
              <w:rPr>
                <w:color w:val="000000"/>
                <w:sz w:val="20"/>
                <w:szCs w:val="20"/>
              </w:rPr>
            </w:pPr>
          </w:p>
        </w:tc>
        <w:tc>
          <w:tcPr>
            <w:tcW w:w="1497" w:type="dxa"/>
          </w:tcPr>
          <w:p w14:paraId="179D978D" w14:textId="77777777" w:rsidR="00665C6D" w:rsidRPr="00596193" w:rsidRDefault="00665C6D" w:rsidP="00303804">
            <w:pPr>
              <w:jc w:val="both"/>
              <w:rPr>
                <w:color w:val="000000"/>
                <w:sz w:val="20"/>
                <w:szCs w:val="20"/>
              </w:rPr>
            </w:pPr>
          </w:p>
        </w:tc>
      </w:tr>
      <w:tr w:rsidR="00665C6D" w:rsidRPr="00596193" w14:paraId="18B0839E" w14:textId="77777777" w:rsidTr="0050135C">
        <w:trPr>
          <w:trHeight w:val="300"/>
        </w:trPr>
        <w:tc>
          <w:tcPr>
            <w:tcW w:w="0" w:type="auto"/>
            <w:shd w:val="clear" w:color="auto" w:fill="auto"/>
            <w:noWrap/>
            <w:vAlign w:val="bottom"/>
            <w:hideMark/>
          </w:tcPr>
          <w:p w14:paraId="449162AB" w14:textId="77777777" w:rsidR="00665C6D" w:rsidRPr="00596193" w:rsidRDefault="00665C6D" w:rsidP="00303804">
            <w:pPr>
              <w:jc w:val="both"/>
              <w:rPr>
                <w:color w:val="000000"/>
                <w:sz w:val="20"/>
                <w:szCs w:val="20"/>
              </w:rPr>
            </w:pPr>
            <w:r w:rsidRPr="00596193">
              <w:rPr>
                <w:color w:val="000000"/>
                <w:sz w:val="20"/>
                <w:szCs w:val="20"/>
              </w:rPr>
              <w:t>Low-risk rural women (55-64)</w:t>
            </w:r>
          </w:p>
        </w:tc>
        <w:tc>
          <w:tcPr>
            <w:tcW w:w="0" w:type="auto"/>
            <w:shd w:val="clear" w:color="auto" w:fill="auto"/>
            <w:noWrap/>
            <w:vAlign w:val="bottom"/>
            <w:hideMark/>
          </w:tcPr>
          <w:p w14:paraId="18830161" w14:textId="77777777" w:rsidR="00665C6D" w:rsidRPr="00596193" w:rsidRDefault="00665C6D" w:rsidP="00303804">
            <w:pPr>
              <w:jc w:val="both"/>
              <w:rPr>
                <w:color w:val="000000"/>
                <w:sz w:val="20"/>
                <w:szCs w:val="20"/>
              </w:rPr>
            </w:pPr>
          </w:p>
        </w:tc>
        <w:tc>
          <w:tcPr>
            <w:tcW w:w="1329" w:type="dxa"/>
          </w:tcPr>
          <w:p w14:paraId="74D8B61C" w14:textId="77777777" w:rsidR="00665C6D" w:rsidRPr="00596193" w:rsidRDefault="00665C6D" w:rsidP="00303804">
            <w:pPr>
              <w:jc w:val="both"/>
              <w:rPr>
                <w:color w:val="000000"/>
                <w:sz w:val="20"/>
                <w:szCs w:val="20"/>
              </w:rPr>
            </w:pPr>
          </w:p>
        </w:tc>
        <w:tc>
          <w:tcPr>
            <w:tcW w:w="1349" w:type="dxa"/>
          </w:tcPr>
          <w:p w14:paraId="38CF4223" w14:textId="77777777" w:rsidR="00665C6D" w:rsidRPr="00596193" w:rsidRDefault="00665C6D" w:rsidP="00303804">
            <w:pPr>
              <w:jc w:val="both"/>
              <w:rPr>
                <w:color w:val="000000"/>
                <w:sz w:val="20"/>
                <w:szCs w:val="20"/>
              </w:rPr>
            </w:pPr>
          </w:p>
        </w:tc>
        <w:tc>
          <w:tcPr>
            <w:tcW w:w="1171" w:type="dxa"/>
            <w:vAlign w:val="bottom"/>
          </w:tcPr>
          <w:p w14:paraId="7E51D0E4" w14:textId="77777777" w:rsidR="00665C6D" w:rsidRPr="00596193" w:rsidRDefault="00665C6D" w:rsidP="00303804">
            <w:pPr>
              <w:jc w:val="both"/>
              <w:rPr>
                <w:color w:val="000000"/>
                <w:sz w:val="20"/>
                <w:szCs w:val="20"/>
              </w:rPr>
            </w:pPr>
          </w:p>
        </w:tc>
        <w:tc>
          <w:tcPr>
            <w:tcW w:w="1556" w:type="dxa"/>
          </w:tcPr>
          <w:p w14:paraId="23C7B0D8" w14:textId="77777777" w:rsidR="00665C6D" w:rsidRPr="00596193" w:rsidRDefault="00665C6D" w:rsidP="00303804">
            <w:pPr>
              <w:jc w:val="both"/>
              <w:rPr>
                <w:color w:val="000000"/>
                <w:sz w:val="20"/>
                <w:szCs w:val="20"/>
              </w:rPr>
            </w:pPr>
          </w:p>
        </w:tc>
        <w:tc>
          <w:tcPr>
            <w:tcW w:w="1497" w:type="dxa"/>
          </w:tcPr>
          <w:p w14:paraId="3ED81C2B" w14:textId="77777777" w:rsidR="00665C6D" w:rsidRPr="00596193" w:rsidRDefault="00665C6D" w:rsidP="00303804">
            <w:pPr>
              <w:jc w:val="both"/>
              <w:rPr>
                <w:color w:val="000000"/>
                <w:sz w:val="20"/>
                <w:szCs w:val="20"/>
              </w:rPr>
            </w:pPr>
          </w:p>
        </w:tc>
      </w:tr>
      <w:tr w:rsidR="00665C6D" w:rsidRPr="00596193" w14:paraId="1E0176A0" w14:textId="77777777" w:rsidTr="0050135C">
        <w:trPr>
          <w:trHeight w:val="300"/>
        </w:trPr>
        <w:tc>
          <w:tcPr>
            <w:tcW w:w="0" w:type="auto"/>
            <w:shd w:val="clear" w:color="auto" w:fill="auto"/>
            <w:noWrap/>
            <w:vAlign w:val="bottom"/>
            <w:hideMark/>
          </w:tcPr>
          <w:p w14:paraId="46B5FC4B" w14:textId="77777777" w:rsidR="00665C6D" w:rsidRPr="00596193" w:rsidRDefault="00665C6D" w:rsidP="00303804">
            <w:pPr>
              <w:jc w:val="both"/>
              <w:rPr>
                <w:color w:val="000000"/>
                <w:sz w:val="20"/>
                <w:szCs w:val="20"/>
              </w:rPr>
            </w:pPr>
            <w:r w:rsidRPr="00596193">
              <w:rPr>
                <w:color w:val="000000"/>
                <w:sz w:val="20"/>
                <w:szCs w:val="20"/>
              </w:rPr>
              <w:t>Urban men (15-24)</w:t>
            </w:r>
          </w:p>
        </w:tc>
        <w:tc>
          <w:tcPr>
            <w:tcW w:w="0" w:type="auto"/>
            <w:shd w:val="clear" w:color="auto" w:fill="auto"/>
            <w:noWrap/>
            <w:vAlign w:val="bottom"/>
            <w:hideMark/>
          </w:tcPr>
          <w:p w14:paraId="4E9CB66B" w14:textId="77777777" w:rsidR="00665C6D" w:rsidRPr="00596193" w:rsidRDefault="00665C6D" w:rsidP="00303804">
            <w:pPr>
              <w:jc w:val="both"/>
              <w:rPr>
                <w:color w:val="000000"/>
                <w:sz w:val="20"/>
                <w:szCs w:val="20"/>
              </w:rPr>
            </w:pPr>
          </w:p>
        </w:tc>
        <w:tc>
          <w:tcPr>
            <w:tcW w:w="1329" w:type="dxa"/>
          </w:tcPr>
          <w:p w14:paraId="6D0EF34C" w14:textId="77777777" w:rsidR="00665C6D" w:rsidRPr="00596193" w:rsidRDefault="00665C6D" w:rsidP="00303804">
            <w:pPr>
              <w:jc w:val="both"/>
              <w:rPr>
                <w:color w:val="000000"/>
                <w:sz w:val="20"/>
                <w:szCs w:val="20"/>
              </w:rPr>
            </w:pPr>
          </w:p>
        </w:tc>
        <w:tc>
          <w:tcPr>
            <w:tcW w:w="1349" w:type="dxa"/>
          </w:tcPr>
          <w:p w14:paraId="71988EF0" w14:textId="77777777" w:rsidR="00665C6D" w:rsidRPr="00596193" w:rsidRDefault="00665C6D" w:rsidP="00303804">
            <w:pPr>
              <w:jc w:val="both"/>
              <w:rPr>
                <w:color w:val="000000"/>
                <w:sz w:val="20"/>
                <w:szCs w:val="20"/>
              </w:rPr>
            </w:pPr>
          </w:p>
        </w:tc>
        <w:tc>
          <w:tcPr>
            <w:tcW w:w="1171" w:type="dxa"/>
            <w:vAlign w:val="bottom"/>
          </w:tcPr>
          <w:p w14:paraId="7FAF3ACD" w14:textId="77777777" w:rsidR="00665C6D" w:rsidRPr="00596193" w:rsidRDefault="00665C6D" w:rsidP="00303804">
            <w:pPr>
              <w:jc w:val="both"/>
              <w:rPr>
                <w:color w:val="000000"/>
                <w:sz w:val="20"/>
                <w:szCs w:val="20"/>
              </w:rPr>
            </w:pPr>
          </w:p>
        </w:tc>
        <w:tc>
          <w:tcPr>
            <w:tcW w:w="1556" w:type="dxa"/>
          </w:tcPr>
          <w:p w14:paraId="006FD000" w14:textId="77777777" w:rsidR="00665C6D" w:rsidRPr="00596193" w:rsidRDefault="00665C6D" w:rsidP="00303804">
            <w:pPr>
              <w:jc w:val="both"/>
              <w:rPr>
                <w:color w:val="000000"/>
                <w:sz w:val="20"/>
                <w:szCs w:val="20"/>
              </w:rPr>
            </w:pPr>
          </w:p>
        </w:tc>
        <w:tc>
          <w:tcPr>
            <w:tcW w:w="1497" w:type="dxa"/>
          </w:tcPr>
          <w:p w14:paraId="5C8B377C" w14:textId="77777777" w:rsidR="00665C6D" w:rsidRPr="00596193" w:rsidRDefault="00665C6D" w:rsidP="00303804">
            <w:pPr>
              <w:jc w:val="both"/>
              <w:rPr>
                <w:color w:val="000000"/>
                <w:sz w:val="20"/>
                <w:szCs w:val="20"/>
              </w:rPr>
            </w:pPr>
          </w:p>
        </w:tc>
      </w:tr>
      <w:tr w:rsidR="00665C6D" w:rsidRPr="00596193" w14:paraId="183394CF" w14:textId="77777777" w:rsidTr="0050135C">
        <w:trPr>
          <w:trHeight w:val="300"/>
        </w:trPr>
        <w:tc>
          <w:tcPr>
            <w:tcW w:w="0" w:type="auto"/>
            <w:shd w:val="clear" w:color="auto" w:fill="auto"/>
            <w:noWrap/>
            <w:vAlign w:val="bottom"/>
            <w:hideMark/>
          </w:tcPr>
          <w:p w14:paraId="393088C1" w14:textId="77777777" w:rsidR="00665C6D" w:rsidRPr="00596193" w:rsidRDefault="00665C6D" w:rsidP="00303804">
            <w:pPr>
              <w:jc w:val="both"/>
              <w:rPr>
                <w:color w:val="000000"/>
                <w:sz w:val="20"/>
                <w:szCs w:val="20"/>
              </w:rPr>
            </w:pPr>
            <w:r w:rsidRPr="00596193">
              <w:rPr>
                <w:color w:val="000000"/>
                <w:sz w:val="20"/>
                <w:szCs w:val="20"/>
              </w:rPr>
              <w:t>Urban men (25-34)</w:t>
            </w:r>
          </w:p>
        </w:tc>
        <w:tc>
          <w:tcPr>
            <w:tcW w:w="0" w:type="auto"/>
            <w:shd w:val="clear" w:color="auto" w:fill="auto"/>
            <w:noWrap/>
            <w:vAlign w:val="bottom"/>
            <w:hideMark/>
          </w:tcPr>
          <w:p w14:paraId="15FB2989" w14:textId="77777777" w:rsidR="00665C6D" w:rsidRPr="00596193" w:rsidRDefault="00665C6D" w:rsidP="00303804">
            <w:pPr>
              <w:jc w:val="both"/>
              <w:rPr>
                <w:color w:val="000000"/>
                <w:sz w:val="20"/>
                <w:szCs w:val="20"/>
              </w:rPr>
            </w:pPr>
          </w:p>
        </w:tc>
        <w:tc>
          <w:tcPr>
            <w:tcW w:w="1329" w:type="dxa"/>
          </w:tcPr>
          <w:p w14:paraId="5F7522F1" w14:textId="77777777" w:rsidR="00665C6D" w:rsidRPr="00596193" w:rsidRDefault="00665C6D" w:rsidP="00303804">
            <w:pPr>
              <w:jc w:val="both"/>
              <w:rPr>
                <w:color w:val="000000"/>
                <w:sz w:val="20"/>
                <w:szCs w:val="20"/>
              </w:rPr>
            </w:pPr>
          </w:p>
        </w:tc>
        <w:tc>
          <w:tcPr>
            <w:tcW w:w="1349" w:type="dxa"/>
          </w:tcPr>
          <w:p w14:paraId="2BCA5DE8" w14:textId="77777777" w:rsidR="00665C6D" w:rsidRPr="00596193" w:rsidRDefault="00665C6D" w:rsidP="00303804">
            <w:pPr>
              <w:jc w:val="both"/>
              <w:rPr>
                <w:color w:val="000000"/>
                <w:sz w:val="20"/>
                <w:szCs w:val="20"/>
              </w:rPr>
            </w:pPr>
          </w:p>
        </w:tc>
        <w:tc>
          <w:tcPr>
            <w:tcW w:w="1171" w:type="dxa"/>
            <w:vAlign w:val="bottom"/>
          </w:tcPr>
          <w:p w14:paraId="33505C22" w14:textId="77777777" w:rsidR="00665C6D" w:rsidRPr="00596193" w:rsidRDefault="00665C6D" w:rsidP="00303804">
            <w:pPr>
              <w:jc w:val="both"/>
              <w:rPr>
                <w:color w:val="000000"/>
                <w:sz w:val="20"/>
                <w:szCs w:val="20"/>
              </w:rPr>
            </w:pPr>
          </w:p>
        </w:tc>
        <w:tc>
          <w:tcPr>
            <w:tcW w:w="1556" w:type="dxa"/>
          </w:tcPr>
          <w:p w14:paraId="2CEB446B" w14:textId="77777777" w:rsidR="00665C6D" w:rsidRPr="00596193" w:rsidRDefault="00665C6D" w:rsidP="00303804">
            <w:pPr>
              <w:jc w:val="both"/>
              <w:rPr>
                <w:color w:val="000000"/>
                <w:sz w:val="20"/>
                <w:szCs w:val="20"/>
              </w:rPr>
            </w:pPr>
          </w:p>
        </w:tc>
        <w:tc>
          <w:tcPr>
            <w:tcW w:w="1497" w:type="dxa"/>
          </w:tcPr>
          <w:p w14:paraId="58AC7BF6" w14:textId="77777777" w:rsidR="00665C6D" w:rsidRPr="00596193" w:rsidRDefault="00665C6D" w:rsidP="00303804">
            <w:pPr>
              <w:jc w:val="both"/>
              <w:rPr>
                <w:color w:val="000000"/>
                <w:sz w:val="20"/>
                <w:szCs w:val="20"/>
              </w:rPr>
            </w:pPr>
          </w:p>
        </w:tc>
      </w:tr>
      <w:tr w:rsidR="00665C6D" w:rsidRPr="00596193" w14:paraId="3CC2D085" w14:textId="77777777" w:rsidTr="0050135C">
        <w:trPr>
          <w:trHeight w:val="300"/>
        </w:trPr>
        <w:tc>
          <w:tcPr>
            <w:tcW w:w="0" w:type="auto"/>
            <w:shd w:val="clear" w:color="auto" w:fill="auto"/>
            <w:noWrap/>
            <w:vAlign w:val="bottom"/>
            <w:hideMark/>
          </w:tcPr>
          <w:p w14:paraId="0DE084C5" w14:textId="77777777" w:rsidR="00665C6D" w:rsidRPr="00596193" w:rsidRDefault="00665C6D" w:rsidP="00303804">
            <w:pPr>
              <w:jc w:val="both"/>
              <w:rPr>
                <w:color w:val="000000"/>
                <w:sz w:val="20"/>
                <w:szCs w:val="20"/>
              </w:rPr>
            </w:pPr>
            <w:r w:rsidRPr="00596193">
              <w:rPr>
                <w:color w:val="000000"/>
                <w:sz w:val="20"/>
                <w:szCs w:val="20"/>
              </w:rPr>
              <w:t>Urban men (35-44)</w:t>
            </w:r>
          </w:p>
        </w:tc>
        <w:tc>
          <w:tcPr>
            <w:tcW w:w="0" w:type="auto"/>
            <w:shd w:val="clear" w:color="auto" w:fill="auto"/>
            <w:noWrap/>
            <w:vAlign w:val="bottom"/>
            <w:hideMark/>
          </w:tcPr>
          <w:p w14:paraId="79523C8D" w14:textId="77777777" w:rsidR="00665C6D" w:rsidRPr="00596193" w:rsidRDefault="00665C6D" w:rsidP="00303804">
            <w:pPr>
              <w:jc w:val="both"/>
              <w:rPr>
                <w:color w:val="000000"/>
                <w:sz w:val="20"/>
                <w:szCs w:val="20"/>
              </w:rPr>
            </w:pPr>
          </w:p>
        </w:tc>
        <w:tc>
          <w:tcPr>
            <w:tcW w:w="1329" w:type="dxa"/>
          </w:tcPr>
          <w:p w14:paraId="62E9D5E5" w14:textId="77777777" w:rsidR="00665C6D" w:rsidRPr="00596193" w:rsidRDefault="00665C6D" w:rsidP="00303804">
            <w:pPr>
              <w:jc w:val="both"/>
              <w:rPr>
                <w:color w:val="000000"/>
                <w:sz w:val="20"/>
                <w:szCs w:val="20"/>
              </w:rPr>
            </w:pPr>
          </w:p>
        </w:tc>
        <w:tc>
          <w:tcPr>
            <w:tcW w:w="1349" w:type="dxa"/>
          </w:tcPr>
          <w:p w14:paraId="3FBFA8F4" w14:textId="77777777" w:rsidR="00665C6D" w:rsidRPr="00596193" w:rsidRDefault="00665C6D" w:rsidP="00303804">
            <w:pPr>
              <w:jc w:val="both"/>
              <w:rPr>
                <w:color w:val="000000"/>
                <w:sz w:val="20"/>
                <w:szCs w:val="20"/>
              </w:rPr>
            </w:pPr>
          </w:p>
        </w:tc>
        <w:tc>
          <w:tcPr>
            <w:tcW w:w="1171" w:type="dxa"/>
            <w:vAlign w:val="bottom"/>
          </w:tcPr>
          <w:p w14:paraId="35BF10F4" w14:textId="77777777" w:rsidR="00665C6D" w:rsidRPr="00596193" w:rsidRDefault="00665C6D" w:rsidP="00303804">
            <w:pPr>
              <w:jc w:val="both"/>
              <w:rPr>
                <w:color w:val="000000"/>
                <w:sz w:val="20"/>
                <w:szCs w:val="20"/>
              </w:rPr>
            </w:pPr>
          </w:p>
        </w:tc>
        <w:tc>
          <w:tcPr>
            <w:tcW w:w="1556" w:type="dxa"/>
          </w:tcPr>
          <w:p w14:paraId="7DFA2605" w14:textId="77777777" w:rsidR="00665C6D" w:rsidRPr="00596193" w:rsidRDefault="00665C6D" w:rsidP="00303804">
            <w:pPr>
              <w:jc w:val="both"/>
              <w:rPr>
                <w:color w:val="000000"/>
                <w:sz w:val="20"/>
                <w:szCs w:val="20"/>
              </w:rPr>
            </w:pPr>
          </w:p>
        </w:tc>
        <w:tc>
          <w:tcPr>
            <w:tcW w:w="1497" w:type="dxa"/>
          </w:tcPr>
          <w:p w14:paraId="009195AA" w14:textId="77777777" w:rsidR="00665C6D" w:rsidRPr="00596193" w:rsidRDefault="00665C6D" w:rsidP="00303804">
            <w:pPr>
              <w:jc w:val="both"/>
              <w:rPr>
                <w:color w:val="000000"/>
                <w:sz w:val="20"/>
                <w:szCs w:val="20"/>
              </w:rPr>
            </w:pPr>
          </w:p>
        </w:tc>
      </w:tr>
      <w:tr w:rsidR="00665C6D" w:rsidRPr="00596193" w14:paraId="700A37A3" w14:textId="77777777" w:rsidTr="0050135C">
        <w:trPr>
          <w:trHeight w:val="300"/>
        </w:trPr>
        <w:tc>
          <w:tcPr>
            <w:tcW w:w="0" w:type="auto"/>
            <w:shd w:val="clear" w:color="auto" w:fill="auto"/>
            <w:noWrap/>
            <w:vAlign w:val="bottom"/>
            <w:hideMark/>
          </w:tcPr>
          <w:p w14:paraId="18C653D0" w14:textId="77777777" w:rsidR="00665C6D" w:rsidRPr="00596193" w:rsidRDefault="00665C6D" w:rsidP="00303804">
            <w:pPr>
              <w:jc w:val="both"/>
              <w:rPr>
                <w:color w:val="000000"/>
                <w:sz w:val="20"/>
                <w:szCs w:val="20"/>
              </w:rPr>
            </w:pPr>
            <w:r w:rsidRPr="00596193">
              <w:rPr>
                <w:color w:val="000000"/>
                <w:sz w:val="20"/>
                <w:szCs w:val="20"/>
              </w:rPr>
              <w:t>Urban men (45-54)</w:t>
            </w:r>
          </w:p>
        </w:tc>
        <w:tc>
          <w:tcPr>
            <w:tcW w:w="0" w:type="auto"/>
            <w:shd w:val="clear" w:color="auto" w:fill="auto"/>
            <w:noWrap/>
            <w:vAlign w:val="bottom"/>
            <w:hideMark/>
          </w:tcPr>
          <w:p w14:paraId="0B8A0FB5" w14:textId="77777777" w:rsidR="00665C6D" w:rsidRPr="00596193" w:rsidRDefault="00665C6D" w:rsidP="00303804">
            <w:pPr>
              <w:jc w:val="both"/>
              <w:rPr>
                <w:color w:val="000000"/>
                <w:sz w:val="20"/>
                <w:szCs w:val="20"/>
              </w:rPr>
            </w:pPr>
          </w:p>
        </w:tc>
        <w:tc>
          <w:tcPr>
            <w:tcW w:w="1329" w:type="dxa"/>
          </w:tcPr>
          <w:p w14:paraId="4A894E9F" w14:textId="77777777" w:rsidR="00665C6D" w:rsidRPr="00596193" w:rsidRDefault="00665C6D" w:rsidP="00303804">
            <w:pPr>
              <w:jc w:val="both"/>
              <w:rPr>
                <w:color w:val="000000"/>
                <w:sz w:val="20"/>
                <w:szCs w:val="20"/>
              </w:rPr>
            </w:pPr>
          </w:p>
        </w:tc>
        <w:tc>
          <w:tcPr>
            <w:tcW w:w="1349" w:type="dxa"/>
          </w:tcPr>
          <w:p w14:paraId="109A08A0" w14:textId="77777777" w:rsidR="00665C6D" w:rsidRPr="00596193" w:rsidRDefault="00665C6D" w:rsidP="00303804">
            <w:pPr>
              <w:jc w:val="both"/>
              <w:rPr>
                <w:color w:val="000000"/>
                <w:sz w:val="20"/>
                <w:szCs w:val="20"/>
              </w:rPr>
            </w:pPr>
          </w:p>
        </w:tc>
        <w:tc>
          <w:tcPr>
            <w:tcW w:w="1171" w:type="dxa"/>
            <w:vAlign w:val="bottom"/>
          </w:tcPr>
          <w:p w14:paraId="21BDC977" w14:textId="77777777" w:rsidR="00665C6D" w:rsidRPr="00596193" w:rsidRDefault="00665C6D" w:rsidP="00303804">
            <w:pPr>
              <w:jc w:val="both"/>
              <w:rPr>
                <w:color w:val="000000"/>
                <w:sz w:val="20"/>
                <w:szCs w:val="20"/>
              </w:rPr>
            </w:pPr>
          </w:p>
        </w:tc>
        <w:tc>
          <w:tcPr>
            <w:tcW w:w="1556" w:type="dxa"/>
          </w:tcPr>
          <w:p w14:paraId="08E69B33" w14:textId="77777777" w:rsidR="00665C6D" w:rsidRPr="00596193" w:rsidRDefault="00665C6D" w:rsidP="00303804">
            <w:pPr>
              <w:jc w:val="both"/>
              <w:rPr>
                <w:color w:val="000000"/>
                <w:sz w:val="20"/>
                <w:szCs w:val="20"/>
              </w:rPr>
            </w:pPr>
          </w:p>
        </w:tc>
        <w:tc>
          <w:tcPr>
            <w:tcW w:w="1497" w:type="dxa"/>
          </w:tcPr>
          <w:p w14:paraId="11DCA189" w14:textId="77777777" w:rsidR="00665C6D" w:rsidRPr="00596193" w:rsidRDefault="00665C6D" w:rsidP="00303804">
            <w:pPr>
              <w:jc w:val="both"/>
              <w:rPr>
                <w:color w:val="000000"/>
                <w:sz w:val="20"/>
                <w:szCs w:val="20"/>
              </w:rPr>
            </w:pPr>
          </w:p>
        </w:tc>
      </w:tr>
      <w:tr w:rsidR="00665C6D" w:rsidRPr="00596193" w14:paraId="07195AEC" w14:textId="77777777" w:rsidTr="0050135C">
        <w:trPr>
          <w:trHeight w:val="300"/>
        </w:trPr>
        <w:tc>
          <w:tcPr>
            <w:tcW w:w="0" w:type="auto"/>
            <w:shd w:val="clear" w:color="auto" w:fill="auto"/>
            <w:noWrap/>
            <w:vAlign w:val="bottom"/>
            <w:hideMark/>
          </w:tcPr>
          <w:p w14:paraId="530567D1" w14:textId="77777777" w:rsidR="00665C6D" w:rsidRPr="00596193" w:rsidRDefault="00665C6D" w:rsidP="00303804">
            <w:pPr>
              <w:jc w:val="both"/>
              <w:rPr>
                <w:color w:val="000000"/>
                <w:sz w:val="20"/>
                <w:szCs w:val="20"/>
              </w:rPr>
            </w:pPr>
            <w:r w:rsidRPr="00596193">
              <w:rPr>
                <w:color w:val="000000"/>
                <w:sz w:val="20"/>
                <w:szCs w:val="20"/>
              </w:rPr>
              <w:t>Urban men (55-64)</w:t>
            </w:r>
          </w:p>
        </w:tc>
        <w:tc>
          <w:tcPr>
            <w:tcW w:w="0" w:type="auto"/>
            <w:shd w:val="clear" w:color="auto" w:fill="auto"/>
            <w:noWrap/>
            <w:vAlign w:val="bottom"/>
            <w:hideMark/>
          </w:tcPr>
          <w:p w14:paraId="116CA3A8" w14:textId="77777777" w:rsidR="00665C6D" w:rsidRPr="00596193" w:rsidRDefault="00665C6D" w:rsidP="00303804">
            <w:pPr>
              <w:jc w:val="both"/>
              <w:rPr>
                <w:color w:val="000000"/>
                <w:sz w:val="20"/>
                <w:szCs w:val="20"/>
              </w:rPr>
            </w:pPr>
          </w:p>
        </w:tc>
        <w:tc>
          <w:tcPr>
            <w:tcW w:w="1329" w:type="dxa"/>
          </w:tcPr>
          <w:p w14:paraId="0FCF18A2" w14:textId="77777777" w:rsidR="00665C6D" w:rsidRPr="00596193" w:rsidRDefault="00665C6D" w:rsidP="00303804">
            <w:pPr>
              <w:jc w:val="both"/>
              <w:rPr>
                <w:color w:val="000000"/>
                <w:sz w:val="20"/>
                <w:szCs w:val="20"/>
              </w:rPr>
            </w:pPr>
          </w:p>
        </w:tc>
        <w:tc>
          <w:tcPr>
            <w:tcW w:w="1349" w:type="dxa"/>
          </w:tcPr>
          <w:p w14:paraId="16F0C5F6" w14:textId="77777777" w:rsidR="00665C6D" w:rsidRPr="00596193" w:rsidRDefault="00665C6D" w:rsidP="00303804">
            <w:pPr>
              <w:jc w:val="both"/>
              <w:rPr>
                <w:color w:val="000000"/>
                <w:sz w:val="20"/>
                <w:szCs w:val="20"/>
              </w:rPr>
            </w:pPr>
          </w:p>
        </w:tc>
        <w:tc>
          <w:tcPr>
            <w:tcW w:w="1171" w:type="dxa"/>
            <w:vAlign w:val="bottom"/>
          </w:tcPr>
          <w:p w14:paraId="1934F42F" w14:textId="77777777" w:rsidR="00665C6D" w:rsidRPr="00596193" w:rsidRDefault="00665C6D" w:rsidP="00303804">
            <w:pPr>
              <w:jc w:val="both"/>
              <w:rPr>
                <w:color w:val="000000"/>
                <w:sz w:val="20"/>
                <w:szCs w:val="20"/>
              </w:rPr>
            </w:pPr>
          </w:p>
        </w:tc>
        <w:tc>
          <w:tcPr>
            <w:tcW w:w="1556" w:type="dxa"/>
          </w:tcPr>
          <w:p w14:paraId="1F886C5E" w14:textId="77777777" w:rsidR="00665C6D" w:rsidRPr="00596193" w:rsidRDefault="00665C6D" w:rsidP="00303804">
            <w:pPr>
              <w:jc w:val="both"/>
              <w:rPr>
                <w:color w:val="000000"/>
                <w:sz w:val="20"/>
                <w:szCs w:val="20"/>
              </w:rPr>
            </w:pPr>
          </w:p>
        </w:tc>
        <w:tc>
          <w:tcPr>
            <w:tcW w:w="1497" w:type="dxa"/>
          </w:tcPr>
          <w:p w14:paraId="4FB21BF4" w14:textId="77777777" w:rsidR="00665C6D" w:rsidRPr="00596193" w:rsidRDefault="00665C6D" w:rsidP="00303804">
            <w:pPr>
              <w:jc w:val="both"/>
              <w:rPr>
                <w:color w:val="000000"/>
                <w:sz w:val="20"/>
                <w:szCs w:val="20"/>
              </w:rPr>
            </w:pPr>
          </w:p>
        </w:tc>
      </w:tr>
      <w:tr w:rsidR="00665C6D" w:rsidRPr="00596193" w14:paraId="26DC50CF" w14:textId="77777777" w:rsidTr="0050135C">
        <w:trPr>
          <w:trHeight w:val="300"/>
        </w:trPr>
        <w:tc>
          <w:tcPr>
            <w:tcW w:w="0" w:type="auto"/>
            <w:shd w:val="clear" w:color="auto" w:fill="auto"/>
            <w:noWrap/>
            <w:vAlign w:val="bottom"/>
            <w:hideMark/>
          </w:tcPr>
          <w:p w14:paraId="72C1B439" w14:textId="77777777" w:rsidR="00665C6D" w:rsidRPr="00596193" w:rsidRDefault="00665C6D" w:rsidP="00303804">
            <w:pPr>
              <w:jc w:val="both"/>
              <w:rPr>
                <w:color w:val="000000"/>
                <w:sz w:val="20"/>
                <w:szCs w:val="20"/>
              </w:rPr>
            </w:pPr>
            <w:r w:rsidRPr="00596193">
              <w:rPr>
                <w:color w:val="000000"/>
                <w:sz w:val="20"/>
                <w:szCs w:val="20"/>
              </w:rPr>
              <w:t>Rural men (15-24)</w:t>
            </w:r>
          </w:p>
        </w:tc>
        <w:tc>
          <w:tcPr>
            <w:tcW w:w="0" w:type="auto"/>
            <w:shd w:val="clear" w:color="auto" w:fill="auto"/>
            <w:noWrap/>
            <w:vAlign w:val="bottom"/>
            <w:hideMark/>
          </w:tcPr>
          <w:p w14:paraId="0C2BDA28" w14:textId="77777777" w:rsidR="00665C6D" w:rsidRPr="00596193" w:rsidRDefault="00665C6D" w:rsidP="00303804">
            <w:pPr>
              <w:jc w:val="both"/>
              <w:rPr>
                <w:color w:val="000000"/>
                <w:sz w:val="20"/>
                <w:szCs w:val="20"/>
              </w:rPr>
            </w:pPr>
          </w:p>
        </w:tc>
        <w:tc>
          <w:tcPr>
            <w:tcW w:w="1329" w:type="dxa"/>
          </w:tcPr>
          <w:p w14:paraId="095CF64B" w14:textId="77777777" w:rsidR="00665C6D" w:rsidRPr="00596193" w:rsidRDefault="00665C6D" w:rsidP="00303804">
            <w:pPr>
              <w:jc w:val="both"/>
              <w:rPr>
                <w:color w:val="000000"/>
                <w:sz w:val="20"/>
                <w:szCs w:val="20"/>
              </w:rPr>
            </w:pPr>
          </w:p>
        </w:tc>
        <w:tc>
          <w:tcPr>
            <w:tcW w:w="1349" w:type="dxa"/>
          </w:tcPr>
          <w:p w14:paraId="4E6152D8" w14:textId="77777777" w:rsidR="00665C6D" w:rsidRPr="00596193" w:rsidRDefault="00665C6D" w:rsidP="00303804">
            <w:pPr>
              <w:jc w:val="both"/>
              <w:rPr>
                <w:color w:val="000000"/>
                <w:sz w:val="20"/>
                <w:szCs w:val="20"/>
              </w:rPr>
            </w:pPr>
          </w:p>
        </w:tc>
        <w:tc>
          <w:tcPr>
            <w:tcW w:w="1171" w:type="dxa"/>
            <w:vAlign w:val="bottom"/>
          </w:tcPr>
          <w:p w14:paraId="4181B11D" w14:textId="77777777" w:rsidR="00665C6D" w:rsidRPr="00596193" w:rsidRDefault="00665C6D" w:rsidP="00303804">
            <w:pPr>
              <w:jc w:val="both"/>
              <w:rPr>
                <w:color w:val="000000"/>
                <w:sz w:val="20"/>
                <w:szCs w:val="20"/>
              </w:rPr>
            </w:pPr>
          </w:p>
        </w:tc>
        <w:tc>
          <w:tcPr>
            <w:tcW w:w="1556" w:type="dxa"/>
          </w:tcPr>
          <w:p w14:paraId="2774885E" w14:textId="77777777" w:rsidR="00665C6D" w:rsidRPr="00596193" w:rsidRDefault="00665C6D" w:rsidP="00303804">
            <w:pPr>
              <w:jc w:val="both"/>
              <w:rPr>
                <w:color w:val="000000"/>
                <w:sz w:val="20"/>
                <w:szCs w:val="20"/>
              </w:rPr>
            </w:pPr>
          </w:p>
        </w:tc>
        <w:tc>
          <w:tcPr>
            <w:tcW w:w="1497" w:type="dxa"/>
          </w:tcPr>
          <w:p w14:paraId="3CA04807" w14:textId="77777777" w:rsidR="00665C6D" w:rsidRPr="00596193" w:rsidRDefault="00665C6D" w:rsidP="00303804">
            <w:pPr>
              <w:jc w:val="both"/>
              <w:rPr>
                <w:color w:val="000000"/>
                <w:sz w:val="20"/>
                <w:szCs w:val="20"/>
              </w:rPr>
            </w:pPr>
          </w:p>
        </w:tc>
      </w:tr>
      <w:tr w:rsidR="00665C6D" w:rsidRPr="00596193" w14:paraId="4809C94D" w14:textId="77777777" w:rsidTr="0050135C">
        <w:trPr>
          <w:trHeight w:val="300"/>
        </w:trPr>
        <w:tc>
          <w:tcPr>
            <w:tcW w:w="0" w:type="auto"/>
            <w:shd w:val="clear" w:color="auto" w:fill="auto"/>
            <w:noWrap/>
            <w:vAlign w:val="bottom"/>
            <w:hideMark/>
          </w:tcPr>
          <w:p w14:paraId="6D14E05A" w14:textId="77777777" w:rsidR="00665C6D" w:rsidRPr="00596193" w:rsidRDefault="00665C6D" w:rsidP="00303804">
            <w:pPr>
              <w:jc w:val="both"/>
              <w:rPr>
                <w:color w:val="000000"/>
                <w:sz w:val="20"/>
                <w:szCs w:val="20"/>
              </w:rPr>
            </w:pPr>
            <w:r w:rsidRPr="00596193">
              <w:rPr>
                <w:color w:val="000000"/>
                <w:sz w:val="20"/>
                <w:szCs w:val="20"/>
              </w:rPr>
              <w:t>Rural men (25-34)</w:t>
            </w:r>
          </w:p>
        </w:tc>
        <w:tc>
          <w:tcPr>
            <w:tcW w:w="0" w:type="auto"/>
            <w:shd w:val="clear" w:color="auto" w:fill="auto"/>
            <w:noWrap/>
            <w:vAlign w:val="bottom"/>
            <w:hideMark/>
          </w:tcPr>
          <w:p w14:paraId="54EFBDA7" w14:textId="77777777" w:rsidR="00665C6D" w:rsidRPr="00596193" w:rsidRDefault="00665C6D" w:rsidP="00303804">
            <w:pPr>
              <w:jc w:val="both"/>
              <w:rPr>
                <w:color w:val="000000"/>
                <w:sz w:val="20"/>
                <w:szCs w:val="20"/>
              </w:rPr>
            </w:pPr>
          </w:p>
        </w:tc>
        <w:tc>
          <w:tcPr>
            <w:tcW w:w="1329" w:type="dxa"/>
          </w:tcPr>
          <w:p w14:paraId="0C4B8B4F" w14:textId="77777777" w:rsidR="00665C6D" w:rsidRPr="00596193" w:rsidRDefault="00665C6D" w:rsidP="00303804">
            <w:pPr>
              <w:jc w:val="both"/>
              <w:rPr>
                <w:color w:val="000000"/>
                <w:sz w:val="20"/>
                <w:szCs w:val="20"/>
              </w:rPr>
            </w:pPr>
          </w:p>
        </w:tc>
        <w:tc>
          <w:tcPr>
            <w:tcW w:w="1349" w:type="dxa"/>
          </w:tcPr>
          <w:p w14:paraId="492C0ECB" w14:textId="77777777" w:rsidR="00665C6D" w:rsidRPr="00596193" w:rsidRDefault="00665C6D" w:rsidP="00303804">
            <w:pPr>
              <w:jc w:val="both"/>
              <w:rPr>
                <w:color w:val="000000"/>
                <w:sz w:val="20"/>
                <w:szCs w:val="20"/>
              </w:rPr>
            </w:pPr>
          </w:p>
        </w:tc>
        <w:tc>
          <w:tcPr>
            <w:tcW w:w="1171" w:type="dxa"/>
            <w:vAlign w:val="bottom"/>
          </w:tcPr>
          <w:p w14:paraId="54620001" w14:textId="77777777" w:rsidR="00665C6D" w:rsidRPr="00596193" w:rsidRDefault="00665C6D" w:rsidP="00303804">
            <w:pPr>
              <w:jc w:val="both"/>
              <w:rPr>
                <w:color w:val="000000"/>
                <w:sz w:val="20"/>
                <w:szCs w:val="20"/>
              </w:rPr>
            </w:pPr>
          </w:p>
        </w:tc>
        <w:tc>
          <w:tcPr>
            <w:tcW w:w="1556" w:type="dxa"/>
          </w:tcPr>
          <w:p w14:paraId="4EA710B0" w14:textId="77777777" w:rsidR="00665C6D" w:rsidRPr="00596193" w:rsidRDefault="00665C6D" w:rsidP="00303804">
            <w:pPr>
              <w:jc w:val="both"/>
              <w:rPr>
                <w:color w:val="000000"/>
                <w:sz w:val="20"/>
                <w:szCs w:val="20"/>
              </w:rPr>
            </w:pPr>
          </w:p>
        </w:tc>
        <w:tc>
          <w:tcPr>
            <w:tcW w:w="1497" w:type="dxa"/>
          </w:tcPr>
          <w:p w14:paraId="7A38001C" w14:textId="77777777" w:rsidR="00665C6D" w:rsidRPr="00596193" w:rsidRDefault="00665C6D" w:rsidP="00303804">
            <w:pPr>
              <w:jc w:val="both"/>
              <w:rPr>
                <w:color w:val="000000"/>
                <w:sz w:val="20"/>
                <w:szCs w:val="20"/>
              </w:rPr>
            </w:pPr>
          </w:p>
        </w:tc>
      </w:tr>
      <w:tr w:rsidR="00665C6D" w:rsidRPr="00596193" w14:paraId="379C4189" w14:textId="77777777" w:rsidTr="0050135C">
        <w:trPr>
          <w:trHeight w:val="300"/>
        </w:trPr>
        <w:tc>
          <w:tcPr>
            <w:tcW w:w="0" w:type="auto"/>
            <w:shd w:val="clear" w:color="auto" w:fill="auto"/>
            <w:noWrap/>
            <w:vAlign w:val="bottom"/>
            <w:hideMark/>
          </w:tcPr>
          <w:p w14:paraId="3A7C5A34" w14:textId="77777777" w:rsidR="00665C6D" w:rsidRPr="00596193" w:rsidRDefault="00665C6D" w:rsidP="00303804">
            <w:pPr>
              <w:jc w:val="both"/>
              <w:rPr>
                <w:color w:val="000000"/>
                <w:sz w:val="20"/>
                <w:szCs w:val="20"/>
              </w:rPr>
            </w:pPr>
            <w:r w:rsidRPr="00596193">
              <w:rPr>
                <w:color w:val="000000"/>
                <w:sz w:val="20"/>
                <w:szCs w:val="20"/>
              </w:rPr>
              <w:t>Rural men (35-44)</w:t>
            </w:r>
          </w:p>
        </w:tc>
        <w:tc>
          <w:tcPr>
            <w:tcW w:w="0" w:type="auto"/>
            <w:shd w:val="clear" w:color="auto" w:fill="auto"/>
            <w:noWrap/>
            <w:vAlign w:val="bottom"/>
            <w:hideMark/>
          </w:tcPr>
          <w:p w14:paraId="4F9D3E74" w14:textId="77777777" w:rsidR="00665C6D" w:rsidRPr="00596193" w:rsidRDefault="00665C6D" w:rsidP="00303804">
            <w:pPr>
              <w:jc w:val="both"/>
              <w:rPr>
                <w:color w:val="000000"/>
                <w:sz w:val="20"/>
                <w:szCs w:val="20"/>
              </w:rPr>
            </w:pPr>
          </w:p>
        </w:tc>
        <w:tc>
          <w:tcPr>
            <w:tcW w:w="1329" w:type="dxa"/>
          </w:tcPr>
          <w:p w14:paraId="5E71BF81" w14:textId="77777777" w:rsidR="00665C6D" w:rsidRPr="00596193" w:rsidRDefault="00665C6D" w:rsidP="00303804">
            <w:pPr>
              <w:jc w:val="both"/>
              <w:rPr>
                <w:color w:val="000000"/>
                <w:sz w:val="20"/>
                <w:szCs w:val="20"/>
              </w:rPr>
            </w:pPr>
          </w:p>
        </w:tc>
        <w:tc>
          <w:tcPr>
            <w:tcW w:w="1349" w:type="dxa"/>
          </w:tcPr>
          <w:p w14:paraId="4CCCB01F" w14:textId="77777777" w:rsidR="00665C6D" w:rsidRPr="00596193" w:rsidRDefault="00665C6D" w:rsidP="00303804">
            <w:pPr>
              <w:jc w:val="both"/>
              <w:rPr>
                <w:color w:val="000000"/>
                <w:sz w:val="20"/>
                <w:szCs w:val="20"/>
              </w:rPr>
            </w:pPr>
          </w:p>
        </w:tc>
        <w:tc>
          <w:tcPr>
            <w:tcW w:w="1171" w:type="dxa"/>
            <w:vAlign w:val="bottom"/>
          </w:tcPr>
          <w:p w14:paraId="46FCC6D0" w14:textId="77777777" w:rsidR="00665C6D" w:rsidRPr="00596193" w:rsidRDefault="00665C6D" w:rsidP="00303804">
            <w:pPr>
              <w:jc w:val="both"/>
              <w:rPr>
                <w:color w:val="000000"/>
                <w:sz w:val="20"/>
                <w:szCs w:val="20"/>
              </w:rPr>
            </w:pPr>
          </w:p>
        </w:tc>
        <w:tc>
          <w:tcPr>
            <w:tcW w:w="1556" w:type="dxa"/>
          </w:tcPr>
          <w:p w14:paraId="6A63E670" w14:textId="77777777" w:rsidR="00665C6D" w:rsidRPr="00596193" w:rsidRDefault="00665C6D" w:rsidP="00303804">
            <w:pPr>
              <w:jc w:val="both"/>
              <w:rPr>
                <w:color w:val="000000"/>
                <w:sz w:val="20"/>
                <w:szCs w:val="20"/>
              </w:rPr>
            </w:pPr>
          </w:p>
        </w:tc>
        <w:tc>
          <w:tcPr>
            <w:tcW w:w="1497" w:type="dxa"/>
          </w:tcPr>
          <w:p w14:paraId="158C3E77" w14:textId="77777777" w:rsidR="00665C6D" w:rsidRPr="00596193" w:rsidRDefault="00665C6D" w:rsidP="00303804">
            <w:pPr>
              <w:jc w:val="both"/>
              <w:rPr>
                <w:color w:val="000000"/>
                <w:sz w:val="20"/>
                <w:szCs w:val="20"/>
              </w:rPr>
            </w:pPr>
          </w:p>
        </w:tc>
      </w:tr>
      <w:tr w:rsidR="00665C6D" w:rsidRPr="00596193" w14:paraId="448EFC42" w14:textId="77777777" w:rsidTr="0050135C">
        <w:trPr>
          <w:trHeight w:val="300"/>
        </w:trPr>
        <w:tc>
          <w:tcPr>
            <w:tcW w:w="0" w:type="auto"/>
            <w:shd w:val="clear" w:color="auto" w:fill="auto"/>
            <w:noWrap/>
            <w:vAlign w:val="bottom"/>
            <w:hideMark/>
          </w:tcPr>
          <w:p w14:paraId="008AEBF5" w14:textId="77777777" w:rsidR="00665C6D" w:rsidRPr="00596193" w:rsidRDefault="00665C6D" w:rsidP="00303804">
            <w:pPr>
              <w:jc w:val="both"/>
              <w:rPr>
                <w:color w:val="000000"/>
                <w:sz w:val="20"/>
                <w:szCs w:val="20"/>
              </w:rPr>
            </w:pPr>
            <w:r w:rsidRPr="00596193">
              <w:rPr>
                <w:color w:val="000000"/>
                <w:sz w:val="20"/>
                <w:szCs w:val="20"/>
              </w:rPr>
              <w:t>Rural men (45-54)</w:t>
            </w:r>
          </w:p>
        </w:tc>
        <w:tc>
          <w:tcPr>
            <w:tcW w:w="0" w:type="auto"/>
            <w:shd w:val="clear" w:color="auto" w:fill="auto"/>
            <w:noWrap/>
            <w:vAlign w:val="bottom"/>
            <w:hideMark/>
          </w:tcPr>
          <w:p w14:paraId="6C8AB88B" w14:textId="77777777" w:rsidR="00665C6D" w:rsidRPr="00596193" w:rsidRDefault="00665C6D" w:rsidP="00303804">
            <w:pPr>
              <w:jc w:val="both"/>
              <w:rPr>
                <w:color w:val="000000"/>
                <w:sz w:val="20"/>
                <w:szCs w:val="20"/>
              </w:rPr>
            </w:pPr>
          </w:p>
        </w:tc>
        <w:tc>
          <w:tcPr>
            <w:tcW w:w="1329" w:type="dxa"/>
          </w:tcPr>
          <w:p w14:paraId="20D6A296" w14:textId="77777777" w:rsidR="00665C6D" w:rsidRPr="00596193" w:rsidRDefault="00665C6D" w:rsidP="00303804">
            <w:pPr>
              <w:jc w:val="both"/>
              <w:rPr>
                <w:color w:val="000000"/>
                <w:sz w:val="20"/>
                <w:szCs w:val="20"/>
              </w:rPr>
            </w:pPr>
          </w:p>
        </w:tc>
        <w:tc>
          <w:tcPr>
            <w:tcW w:w="1349" w:type="dxa"/>
          </w:tcPr>
          <w:p w14:paraId="65281DB2" w14:textId="77777777" w:rsidR="00665C6D" w:rsidRPr="00596193" w:rsidRDefault="00665C6D" w:rsidP="00303804">
            <w:pPr>
              <w:jc w:val="both"/>
              <w:rPr>
                <w:color w:val="000000"/>
                <w:sz w:val="20"/>
                <w:szCs w:val="20"/>
              </w:rPr>
            </w:pPr>
          </w:p>
        </w:tc>
        <w:tc>
          <w:tcPr>
            <w:tcW w:w="1171" w:type="dxa"/>
            <w:vAlign w:val="bottom"/>
          </w:tcPr>
          <w:p w14:paraId="05F0DAE4" w14:textId="77777777" w:rsidR="00665C6D" w:rsidRPr="00596193" w:rsidRDefault="00665C6D" w:rsidP="00303804">
            <w:pPr>
              <w:jc w:val="both"/>
              <w:rPr>
                <w:color w:val="000000"/>
                <w:sz w:val="20"/>
                <w:szCs w:val="20"/>
              </w:rPr>
            </w:pPr>
          </w:p>
        </w:tc>
        <w:tc>
          <w:tcPr>
            <w:tcW w:w="1556" w:type="dxa"/>
          </w:tcPr>
          <w:p w14:paraId="0409FE40" w14:textId="77777777" w:rsidR="00665C6D" w:rsidRPr="00596193" w:rsidRDefault="00665C6D" w:rsidP="00303804">
            <w:pPr>
              <w:jc w:val="both"/>
              <w:rPr>
                <w:color w:val="000000"/>
                <w:sz w:val="20"/>
                <w:szCs w:val="20"/>
              </w:rPr>
            </w:pPr>
          </w:p>
        </w:tc>
        <w:tc>
          <w:tcPr>
            <w:tcW w:w="1497" w:type="dxa"/>
          </w:tcPr>
          <w:p w14:paraId="0E6B912E" w14:textId="77777777" w:rsidR="00665C6D" w:rsidRPr="00596193" w:rsidRDefault="00665C6D" w:rsidP="00303804">
            <w:pPr>
              <w:jc w:val="both"/>
              <w:rPr>
                <w:color w:val="000000"/>
                <w:sz w:val="20"/>
                <w:szCs w:val="20"/>
              </w:rPr>
            </w:pPr>
          </w:p>
        </w:tc>
      </w:tr>
      <w:tr w:rsidR="00665C6D" w:rsidRPr="00596193" w14:paraId="2287BD76" w14:textId="77777777" w:rsidTr="0050135C">
        <w:trPr>
          <w:trHeight w:val="300"/>
        </w:trPr>
        <w:tc>
          <w:tcPr>
            <w:tcW w:w="0" w:type="auto"/>
            <w:shd w:val="clear" w:color="auto" w:fill="auto"/>
            <w:noWrap/>
            <w:vAlign w:val="bottom"/>
            <w:hideMark/>
          </w:tcPr>
          <w:p w14:paraId="3C704073" w14:textId="77777777" w:rsidR="00665C6D" w:rsidRPr="00596193" w:rsidRDefault="00665C6D" w:rsidP="00303804">
            <w:pPr>
              <w:jc w:val="both"/>
              <w:rPr>
                <w:color w:val="000000"/>
                <w:sz w:val="20"/>
                <w:szCs w:val="20"/>
              </w:rPr>
            </w:pPr>
            <w:r w:rsidRPr="00596193">
              <w:rPr>
                <w:color w:val="000000"/>
                <w:sz w:val="20"/>
                <w:szCs w:val="20"/>
              </w:rPr>
              <w:t>Rural men (55-64)</w:t>
            </w:r>
          </w:p>
        </w:tc>
        <w:tc>
          <w:tcPr>
            <w:tcW w:w="0" w:type="auto"/>
            <w:shd w:val="clear" w:color="auto" w:fill="auto"/>
            <w:noWrap/>
            <w:vAlign w:val="bottom"/>
            <w:hideMark/>
          </w:tcPr>
          <w:p w14:paraId="396558C4" w14:textId="77777777" w:rsidR="00665C6D" w:rsidRPr="00596193" w:rsidRDefault="00665C6D" w:rsidP="00303804">
            <w:pPr>
              <w:jc w:val="both"/>
              <w:rPr>
                <w:color w:val="000000"/>
                <w:sz w:val="20"/>
                <w:szCs w:val="20"/>
              </w:rPr>
            </w:pPr>
          </w:p>
        </w:tc>
        <w:tc>
          <w:tcPr>
            <w:tcW w:w="1329" w:type="dxa"/>
          </w:tcPr>
          <w:p w14:paraId="000B1AA5" w14:textId="77777777" w:rsidR="00665C6D" w:rsidRPr="00596193" w:rsidRDefault="00665C6D" w:rsidP="00303804">
            <w:pPr>
              <w:jc w:val="both"/>
              <w:rPr>
                <w:color w:val="000000"/>
                <w:sz w:val="20"/>
                <w:szCs w:val="20"/>
              </w:rPr>
            </w:pPr>
          </w:p>
        </w:tc>
        <w:tc>
          <w:tcPr>
            <w:tcW w:w="1349" w:type="dxa"/>
          </w:tcPr>
          <w:p w14:paraId="4509CB56" w14:textId="77777777" w:rsidR="00665C6D" w:rsidRPr="00596193" w:rsidRDefault="00665C6D" w:rsidP="00303804">
            <w:pPr>
              <w:jc w:val="both"/>
              <w:rPr>
                <w:color w:val="000000"/>
                <w:sz w:val="20"/>
                <w:szCs w:val="20"/>
              </w:rPr>
            </w:pPr>
          </w:p>
        </w:tc>
        <w:tc>
          <w:tcPr>
            <w:tcW w:w="1171" w:type="dxa"/>
            <w:vAlign w:val="bottom"/>
          </w:tcPr>
          <w:p w14:paraId="2AA529D4" w14:textId="77777777" w:rsidR="00665C6D" w:rsidRPr="00596193" w:rsidRDefault="00665C6D" w:rsidP="00303804">
            <w:pPr>
              <w:jc w:val="both"/>
              <w:rPr>
                <w:color w:val="000000"/>
                <w:sz w:val="20"/>
                <w:szCs w:val="20"/>
              </w:rPr>
            </w:pPr>
          </w:p>
        </w:tc>
        <w:tc>
          <w:tcPr>
            <w:tcW w:w="1556" w:type="dxa"/>
          </w:tcPr>
          <w:p w14:paraId="1D4262D0" w14:textId="77777777" w:rsidR="00665C6D" w:rsidRPr="00596193" w:rsidRDefault="00665C6D" w:rsidP="00303804">
            <w:pPr>
              <w:jc w:val="both"/>
              <w:rPr>
                <w:color w:val="000000"/>
                <w:sz w:val="20"/>
                <w:szCs w:val="20"/>
              </w:rPr>
            </w:pPr>
          </w:p>
        </w:tc>
        <w:tc>
          <w:tcPr>
            <w:tcW w:w="1497" w:type="dxa"/>
          </w:tcPr>
          <w:p w14:paraId="16D59344" w14:textId="77777777" w:rsidR="00665C6D" w:rsidRPr="00596193" w:rsidRDefault="00665C6D" w:rsidP="00303804">
            <w:pPr>
              <w:jc w:val="both"/>
              <w:rPr>
                <w:color w:val="000000"/>
                <w:sz w:val="20"/>
                <w:szCs w:val="20"/>
              </w:rPr>
            </w:pPr>
          </w:p>
        </w:tc>
      </w:tr>
      <w:tr w:rsidR="00665C6D" w:rsidRPr="00596193" w14:paraId="189065BB" w14:textId="77777777" w:rsidTr="0050135C">
        <w:trPr>
          <w:trHeight w:val="300"/>
        </w:trPr>
        <w:tc>
          <w:tcPr>
            <w:tcW w:w="0" w:type="auto"/>
            <w:shd w:val="clear" w:color="auto" w:fill="auto"/>
            <w:noWrap/>
            <w:vAlign w:val="bottom"/>
            <w:hideMark/>
          </w:tcPr>
          <w:p w14:paraId="4C7C0FC3" w14:textId="19CA2C1F" w:rsidR="00665C6D" w:rsidRPr="00665C6D" w:rsidRDefault="00665C6D" w:rsidP="00303804">
            <w:pPr>
              <w:jc w:val="both"/>
              <w:rPr>
                <w:color w:val="000000"/>
                <w:sz w:val="20"/>
                <w:szCs w:val="20"/>
                <w:vertAlign w:val="superscript"/>
              </w:rPr>
            </w:pPr>
            <w:r w:rsidRPr="00596193">
              <w:rPr>
                <w:color w:val="000000"/>
                <w:sz w:val="20"/>
                <w:szCs w:val="20"/>
              </w:rPr>
              <w:t>High risk women (15-</w:t>
            </w:r>
            <w:proofErr w:type="gramStart"/>
            <w:r w:rsidRPr="00596193">
              <w:rPr>
                <w:color w:val="000000"/>
                <w:sz w:val="20"/>
                <w:szCs w:val="20"/>
              </w:rPr>
              <w:t>24)</w:t>
            </w:r>
            <w:r>
              <w:rPr>
                <w:color w:val="000000"/>
                <w:sz w:val="20"/>
                <w:szCs w:val="20"/>
                <w:vertAlign w:val="superscript"/>
              </w:rPr>
              <w:t>a</w:t>
            </w:r>
            <w:proofErr w:type="gramEnd"/>
          </w:p>
        </w:tc>
        <w:tc>
          <w:tcPr>
            <w:tcW w:w="0" w:type="auto"/>
            <w:shd w:val="clear" w:color="auto" w:fill="auto"/>
            <w:noWrap/>
            <w:vAlign w:val="bottom"/>
            <w:hideMark/>
          </w:tcPr>
          <w:p w14:paraId="4E759903" w14:textId="77777777" w:rsidR="00665C6D" w:rsidRPr="00596193" w:rsidRDefault="00665C6D" w:rsidP="00303804">
            <w:pPr>
              <w:jc w:val="both"/>
              <w:rPr>
                <w:color w:val="000000"/>
                <w:sz w:val="20"/>
                <w:szCs w:val="20"/>
              </w:rPr>
            </w:pPr>
          </w:p>
        </w:tc>
        <w:tc>
          <w:tcPr>
            <w:tcW w:w="1329" w:type="dxa"/>
          </w:tcPr>
          <w:p w14:paraId="107BD485" w14:textId="77777777" w:rsidR="00665C6D" w:rsidRPr="00596193" w:rsidRDefault="00665C6D" w:rsidP="00303804">
            <w:pPr>
              <w:jc w:val="both"/>
              <w:rPr>
                <w:color w:val="000000"/>
                <w:sz w:val="20"/>
                <w:szCs w:val="20"/>
              </w:rPr>
            </w:pPr>
          </w:p>
        </w:tc>
        <w:tc>
          <w:tcPr>
            <w:tcW w:w="1349" w:type="dxa"/>
          </w:tcPr>
          <w:p w14:paraId="7994B047" w14:textId="77777777" w:rsidR="00665C6D" w:rsidRPr="00596193" w:rsidRDefault="00665C6D" w:rsidP="00303804">
            <w:pPr>
              <w:jc w:val="both"/>
              <w:rPr>
                <w:color w:val="000000"/>
                <w:sz w:val="20"/>
                <w:szCs w:val="20"/>
              </w:rPr>
            </w:pPr>
          </w:p>
        </w:tc>
        <w:tc>
          <w:tcPr>
            <w:tcW w:w="1171" w:type="dxa"/>
            <w:vAlign w:val="bottom"/>
          </w:tcPr>
          <w:p w14:paraId="01E8811B" w14:textId="77777777" w:rsidR="00665C6D" w:rsidRPr="00596193" w:rsidRDefault="00665C6D" w:rsidP="00303804">
            <w:pPr>
              <w:jc w:val="both"/>
              <w:rPr>
                <w:color w:val="000000"/>
                <w:sz w:val="20"/>
                <w:szCs w:val="20"/>
              </w:rPr>
            </w:pPr>
          </w:p>
        </w:tc>
        <w:tc>
          <w:tcPr>
            <w:tcW w:w="1556" w:type="dxa"/>
          </w:tcPr>
          <w:p w14:paraId="4FADACB1" w14:textId="77777777" w:rsidR="00665C6D" w:rsidRPr="00596193" w:rsidRDefault="00665C6D" w:rsidP="00303804">
            <w:pPr>
              <w:jc w:val="both"/>
              <w:rPr>
                <w:color w:val="000000"/>
                <w:sz w:val="20"/>
                <w:szCs w:val="20"/>
              </w:rPr>
            </w:pPr>
          </w:p>
        </w:tc>
        <w:tc>
          <w:tcPr>
            <w:tcW w:w="1497" w:type="dxa"/>
          </w:tcPr>
          <w:p w14:paraId="54C6F1DF" w14:textId="77777777" w:rsidR="00665C6D" w:rsidRPr="00596193" w:rsidRDefault="00665C6D" w:rsidP="00303804">
            <w:pPr>
              <w:jc w:val="both"/>
              <w:rPr>
                <w:color w:val="000000"/>
                <w:sz w:val="20"/>
                <w:szCs w:val="20"/>
              </w:rPr>
            </w:pPr>
          </w:p>
        </w:tc>
      </w:tr>
      <w:tr w:rsidR="00665C6D" w:rsidRPr="00596193" w14:paraId="103558B3" w14:textId="77777777" w:rsidTr="0050135C">
        <w:trPr>
          <w:trHeight w:val="300"/>
        </w:trPr>
        <w:tc>
          <w:tcPr>
            <w:tcW w:w="0" w:type="auto"/>
            <w:shd w:val="clear" w:color="auto" w:fill="auto"/>
            <w:noWrap/>
            <w:vAlign w:val="bottom"/>
            <w:hideMark/>
          </w:tcPr>
          <w:p w14:paraId="769B7FB0" w14:textId="7C0B5209" w:rsidR="00665C6D" w:rsidRPr="00665C6D" w:rsidRDefault="00665C6D" w:rsidP="00303804">
            <w:pPr>
              <w:jc w:val="both"/>
              <w:rPr>
                <w:color w:val="000000"/>
                <w:sz w:val="20"/>
                <w:szCs w:val="20"/>
                <w:vertAlign w:val="superscript"/>
              </w:rPr>
            </w:pPr>
            <w:r w:rsidRPr="00596193">
              <w:rPr>
                <w:color w:val="000000"/>
                <w:sz w:val="20"/>
                <w:szCs w:val="20"/>
              </w:rPr>
              <w:t>High risk women (25-</w:t>
            </w:r>
            <w:proofErr w:type="gramStart"/>
            <w:r w:rsidRPr="00596193">
              <w:rPr>
                <w:color w:val="000000"/>
                <w:sz w:val="20"/>
                <w:szCs w:val="20"/>
              </w:rPr>
              <w:t>34)</w:t>
            </w:r>
            <w:r>
              <w:rPr>
                <w:color w:val="000000"/>
                <w:sz w:val="20"/>
                <w:szCs w:val="20"/>
                <w:vertAlign w:val="superscript"/>
              </w:rPr>
              <w:t>a</w:t>
            </w:r>
            <w:proofErr w:type="gramEnd"/>
          </w:p>
        </w:tc>
        <w:tc>
          <w:tcPr>
            <w:tcW w:w="0" w:type="auto"/>
            <w:shd w:val="clear" w:color="auto" w:fill="auto"/>
            <w:noWrap/>
            <w:vAlign w:val="bottom"/>
            <w:hideMark/>
          </w:tcPr>
          <w:p w14:paraId="467E6B16" w14:textId="77777777" w:rsidR="00665C6D" w:rsidRPr="00596193" w:rsidRDefault="00665C6D" w:rsidP="00303804">
            <w:pPr>
              <w:jc w:val="both"/>
              <w:rPr>
                <w:color w:val="000000"/>
                <w:sz w:val="20"/>
                <w:szCs w:val="20"/>
              </w:rPr>
            </w:pPr>
          </w:p>
        </w:tc>
        <w:tc>
          <w:tcPr>
            <w:tcW w:w="1329" w:type="dxa"/>
          </w:tcPr>
          <w:p w14:paraId="7ADF1769" w14:textId="77777777" w:rsidR="00665C6D" w:rsidRPr="00596193" w:rsidRDefault="00665C6D" w:rsidP="00303804">
            <w:pPr>
              <w:jc w:val="both"/>
              <w:rPr>
                <w:color w:val="000000"/>
                <w:sz w:val="20"/>
                <w:szCs w:val="20"/>
              </w:rPr>
            </w:pPr>
          </w:p>
        </w:tc>
        <w:tc>
          <w:tcPr>
            <w:tcW w:w="1349" w:type="dxa"/>
          </w:tcPr>
          <w:p w14:paraId="5B9210FA" w14:textId="77777777" w:rsidR="00665C6D" w:rsidRPr="00596193" w:rsidRDefault="00665C6D" w:rsidP="00303804">
            <w:pPr>
              <w:jc w:val="both"/>
              <w:rPr>
                <w:color w:val="000000"/>
                <w:sz w:val="20"/>
                <w:szCs w:val="20"/>
              </w:rPr>
            </w:pPr>
          </w:p>
        </w:tc>
        <w:tc>
          <w:tcPr>
            <w:tcW w:w="1171" w:type="dxa"/>
            <w:vAlign w:val="bottom"/>
          </w:tcPr>
          <w:p w14:paraId="21D12DCA" w14:textId="77777777" w:rsidR="00665C6D" w:rsidRPr="00596193" w:rsidRDefault="00665C6D" w:rsidP="00303804">
            <w:pPr>
              <w:jc w:val="both"/>
              <w:rPr>
                <w:color w:val="000000"/>
                <w:sz w:val="20"/>
                <w:szCs w:val="20"/>
              </w:rPr>
            </w:pPr>
          </w:p>
        </w:tc>
        <w:tc>
          <w:tcPr>
            <w:tcW w:w="1556" w:type="dxa"/>
          </w:tcPr>
          <w:p w14:paraId="70D66AE2" w14:textId="77777777" w:rsidR="00665C6D" w:rsidRPr="00596193" w:rsidRDefault="00665C6D" w:rsidP="00303804">
            <w:pPr>
              <w:jc w:val="both"/>
              <w:rPr>
                <w:color w:val="000000"/>
                <w:sz w:val="20"/>
                <w:szCs w:val="20"/>
              </w:rPr>
            </w:pPr>
          </w:p>
        </w:tc>
        <w:tc>
          <w:tcPr>
            <w:tcW w:w="1497" w:type="dxa"/>
          </w:tcPr>
          <w:p w14:paraId="6CCF4B65" w14:textId="77777777" w:rsidR="00665C6D" w:rsidRPr="00596193" w:rsidRDefault="00665C6D" w:rsidP="00303804">
            <w:pPr>
              <w:jc w:val="both"/>
              <w:rPr>
                <w:color w:val="000000"/>
                <w:sz w:val="20"/>
                <w:szCs w:val="20"/>
              </w:rPr>
            </w:pPr>
          </w:p>
        </w:tc>
      </w:tr>
      <w:tr w:rsidR="00665C6D" w:rsidRPr="00596193" w14:paraId="62CFCB38" w14:textId="77777777" w:rsidTr="0050135C">
        <w:trPr>
          <w:trHeight w:val="300"/>
        </w:trPr>
        <w:tc>
          <w:tcPr>
            <w:tcW w:w="0" w:type="auto"/>
            <w:shd w:val="clear" w:color="auto" w:fill="auto"/>
            <w:noWrap/>
            <w:vAlign w:val="bottom"/>
            <w:hideMark/>
          </w:tcPr>
          <w:p w14:paraId="6998846C" w14:textId="59572CFD" w:rsidR="00665C6D" w:rsidRPr="00665C6D" w:rsidRDefault="00665C6D" w:rsidP="00303804">
            <w:pPr>
              <w:jc w:val="both"/>
              <w:rPr>
                <w:color w:val="000000"/>
                <w:sz w:val="20"/>
                <w:szCs w:val="20"/>
                <w:vertAlign w:val="superscript"/>
              </w:rPr>
            </w:pPr>
            <w:r w:rsidRPr="00596193">
              <w:rPr>
                <w:color w:val="000000"/>
                <w:sz w:val="20"/>
                <w:szCs w:val="20"/>
              </w:rPr>
              <w:t>High risk women (35-</w:t>
            </w:r>
            <w:proofErr w:type="gramStart"/>
            <w:r w:rsidRPr="00596193">
              <w:rPr>
                <w:color w:val="000000"/>
                <w:sz w:val="20"/>
                <w:szCs w:val="20"/>
              </w:rPr>
              <w:t>44)</w:t>
            </w:r>
            <w:r>
              <w:rPr>
                <w:color w:val="000000"/>
                <w:sz w:val="20"/>
                <w:szCs w:val="20"/>
                <w:vertAlign w:val="superscript"/>
              </w:rPr>
              <w:t>a</w:t>
            </w:r>
            <w:proofErr w:type="gramEnd"/>
          </w:p>
        </w:tc>
        <w:tc>
          <w:tcPr>
            <w:tcW w:w="0" w:type="auto"/>
            <w:shd w:val="clear" w:color="auto" w:fill="auto"/>
            <w:noWrap/>
            <w:vAlign w:val="bottom"/>
            <w:hideMark/>
          </w:tcPr>
          <w:p w14:paraId="1B1D0252" w14:textId="77777777" w:rsidR="00665C6D" w:rsidRPr="00596193" w:rsidRDefault="00665C6D" w:rsidP="00303804">
            <w:pPr>
              <w:jc w:val="both"/>
              <w:rPr>
                <w:color w:val="000000"/>
                <w:sz w:val="20"/>
                <w:szCs w:val="20"/>
              </w:rPr>
            </w:pPr>
          </w:p>
        </w:tc>
        <w:tc>
          <w:tcPr>
            <w:tcW w:w="1329" w:type="dxa"/>
          </w:tcPr>
          <w:p w14:paraId="42EECA86" w14:textId="77777777" w:rsidR="00665C6D" w:rsidRPr="00596193" w:rsidRDefault="00665C6D" w:rsidP="00303804">
            <w:pPr>
              <w:jc w:val="both"/>
              <w:rPr>
                <w:color w:val="000000"/>
                <w:sz w:val="20"/>
                <w:szCs w:val="20"/>
              </w:rPr>
            </w:pPr>
          </w:p>
        </w:tc>
        <w:tc>
          <w:tcPr>
            <w:tcW w:w="1349" w:type="dxa"/>
          </w:tcPr>
          <w:p w14:paraId="5DDC3C23" w14:textId="77777777" w:rsidR="00665C6D" w:rsidRPr="00596193" w:rsidRDefault="00665C6D" w:rsidP="00303804">
            <w:pPr>
              <w:jc w:val="both"/>
              <w:rPr>
                <w:color w:val="000000"/>
                <w:sz w:val="20"/>
                <w:szCs w:val="20"/>
              </w:rPr>
            </w:pPr>
          </w:p>
        </w:tc>
        <w:tc>
          <w:tcPr>
            <w:tcW w:w="1171" w:type="dxa"/>
            <w:vAlign w:val="bottom"/>
          </w:tcPr>
          <w:p w14:paraId="30AC740A" w14:textId="77777777" w:rsidR="00665C6D" w:rsidRPr="00596193" w:rsidRDefault="00665C6D" w:rsidP="00303804">
            <w:pPr>
              <w:jc w:val="both"/>
              <w:rPr>
                <w:color w:val="000000"/>
                <w:sz w:val="20"/>
                <w:szCs w:val="20"/>
              </w:rPr>
            </w:pPr>
          </w:p>
        </w:tc>
        <w:tc>
          <w:tcPr>
            <w:tcW w:w="1556" w:type="dxa"/>
          </w:tcPr>
          <w:p w14:paraId="62EC7F0B" w14:textId="77777777" w:rsidR="00665C6D" w:rsidRPr="00596193" w:rsidRDefault="00665C6D" w:rsidP="00303804">
            <w:pPr>
              <w:jc w:val="both"/>
              <w:rPr>
                <w:color w:val="000000"/>
                <w:sz w:val="20"/>
                <w:szCs w:val="20"/>
              </w:rPr>
            </w:pPr>
          </w:p>
        </w:tc>
        <w:tc>
          <w:tcPr>
            <w:tcW w:w="1497" w:type="dxa"/>
          </w:tcPr>
          <w:p w14:paraId="25D2B9EA" w14:textId="77777777" w:rsidR="00665C6D" w:rsidRPr="00596193" w:rsidRDefault="00665C6D" w:rsidP="00303804">
            <w:pPr>
              <w:jc w:val="both"/>
              <w:rPr>
                <w:color w:val="000000"/>
                <w:sz w:val="20"/>
                <w:szCs w:val="20"/>
              </w:rPr>
            </w:pPr>
          </w:p>
        </w:tc>
      </w:tr>
      <w:tr w:rsidR="00665C6D" w:rsidRPr="00596193" w14:paraId="2BD98474" w14:textId="77777777" w:rsidTr="0050135C">
        <w:trPr>
          <w:trHeight w:val="300"/>
        </w:trPr>
        <w:tc>
          <w:tcPr>
            <w:tcW w:w="0" w:type="auto"/>
            <w:tcBorders>
              <w:bottom w:val="single" w:sz="4" w:space="0" w:color="auto"/>
            </w:tcBorders>
            <w:shd w:val="clear" w:color="auto" w:fill="auto"/>
            <w:noWrap/>
            <w:vAlign w:val="bottom"/>
            <w:hideMark/>
          </w:tcPr>
          <w:p w14:paraId="58B4183B" w14:textId="0065BA5C" w:rsidR="00665C6D" w:rsidRPr="00665C6D" w:rsidRDefault="00665C6D" w:rsidP="00303804">
            <w:pPr>
              <w:jc w:val="both"/>
              <w:rPr>
                <w:color w:val="000000"/>
                <w:sz w:val="20"/>
                <w:szCs w:val="20"/>
                <w:vertAlign w:val="superscript"/>
              </w:rPr>
            </w:pPr>
            <w:r w:rsidRPr="00596193">
              <w:rPr>
                <w:color w:val="000000"/>
                <w:sz w:val="20"/>
                <w:szCs w:val="20"/>
              </w:rPr>
              <w:t>High risk women (45-</w:t>
            </w:r>
            <w:proofErr w:type="gramStart"/>
            <w:r w:rsidRPr="00596193">
              <w:rPr>
                <w:color w:val="000000"/>
                <w:sz w:val="20"/>
                <w:szCs w:val="20"/>
              </w:rPr>
              <w:t>54)</w:t>
            </w:r>
            <w:r>
              <w:rPr>
                <w:color w:val="000000"/>
                <w:sz w:val="20"/>
                <w:szCs w:val="20"/>
                <w:vertAlign w:val="superscript"/>
              </w:rPr>
              <w:t>a</w:t>
            </w:r>
            <w:proofErr w:type="gramEnd"/>
          </w:p>
        </w:tc>
        <w:tc>
          <w:tcPr>
            <w:tcW w:w="0" w:type="auto"/>
            <w:shd w:val="clear" w:color="auto" w:fill="auto"/>
            <w:noWrap/>
            <w:vAlign w:val="bottom"/>
            <w:hideMark/>
          </w:tcPr>
          <w:p w14:paraId="10127710" w14:textId="77777777" w:rsidR="00665C6D" w:rsidRPr="00596193" w:rsidRDefault="00665C6D" w:rsidP="00303804">
            <w:pPr>
              <w:jc w:val="both"/>
              <w:rPr>
                <w:color w:val="000000"/>
                <w:sz w:val="20"/>
                <w:szCs w:val="20"/>
              </w:rPr>
            </w:pPr>
          </w:p>
        </w:tc>
        <w:tc>
          <w:tcPr>
            <w:tcW w:w="1329" w:type="dxa"/>
          </w:tcPr>
          <w:p w14:paraId="2F6E5C4F" w14:textId="77777777" w:rsidR="00665C6D" w:rsidRPr="00596193" w:rsidRDefault="00665C6D" w:rsidP="00303804">
            <w:pPr>
              <w:jc w:val="both"/>
              <w:rPr>
                <w:color w:val="000000"/>
                <w:sz w:val="20"/>
                <w:szCs w:val="20"/>
              </w:rPr>
            </w:pPr>
          </w:p>
        </w:tc>
        <w:tc>
          <w:tcPr>
            <w:tcW w:w="1349" w:type="dxa"/>
          </w:tcPr>
          <w:p w14:paraId="37D7FEB8" w14:textId="77777777" w:rsidR="00665C6D" w:rsidRPr="00596193" w:rsidRDefault="00665C6D" w:rsidP="00303804">
            <w:pPr>
              <w:jc w:val="both"/>
              <w:rPr>
                <w:color w:val="000000"/>
                <w:sz w:val="20"/>
                <w:szCs w:val="20"/>
              </w:rPr>
            </w:pPr>
          </w:p>
        </w:tc>
        <w:tc>
          <w:tcPr>
            <w:tcW w:w="1171" w:type="dxa"/>
            <w:tcBorders>
              <w:bottom w:val="single" w:sz="4" w:space="0" w:color="auto"/>
            </w:tcBorders>
            <w:vAlign w:val="bottom"/>
          </w:tcPr>
          <w:p w14:paraId="471236BE" w14:textId="77777777" w:rsidR="00665C6D" w:rsidRPr="00596193" w:rsidRDefault="00665C6D" w:rsidP="00303804">
            <w:pPr>
              <w:jc w:val="both"/>
              <w:rPr>
                <w:color w:val="000000"/>
                <w:sz w:val="20"/>
                <w:szCs w:val="20"/>
              </w:rPr>
            </w:pPr>
          </w:p>
        </w:tc>
        <w:tc>
          <w:tcPr>
            <w:tcW w:w="1556" w:type="dxa"/>
            <w:tcBorders>
              <w:bottom w:val="single" w:sz="4" w:space="0" w:color="auto"/>
            </w:tcBorders>
          </w:tcPr>
          <w:p w14:paraId="20CAE9AC" w14:textId="77777777" w:rsidR="00665C6D" w:rsidRPr="00596193" w:rsidRDefault="00665C6D" w:rsidP="00303804">
            <w:pPr>
              <w:jc w:val="both"/>
              <w:rPr>
                <w:color w:val="000000"/>
                <w:sz w:val="20"/>
                <w:szCs w:val="20"/>
              </w:rPr>
            </w:pPr>
          </w:p>
        </w:tc>
        <w:tc>
          <w:tcPr>
            <w:tcW w:w="1497" w:type="dxa"/>
            <w:tcBorders>
              <w:bottom w:val="single" w:sz="4" w:space="0" w:color="auto"/>
            </w:tcBorders>
          </w:tcPr>
          <w:p w14:paraId="23732C60" w14:textId="77777777" w:rsidR="00665C6D" w:rsidRPr="00596193" w:rsidRDefault="00665C6D" w:rsidP="00303804">
            <w:pPr>
              <w:jc w:val="both"/>
              <w:rPr>
                <w:color w:val="000000"/>
                <w:sz w:val="20"/>
                <w:szCs w:val="20"/>
              </w:rPr>
            </w:pPr>
          </w:p>
        </w:tc>
      </w:tr>
      <w:tr w:rsidR="00665C6D" w:rsidRPr="00596193" w14:paraId="5A48B35F" w14:textId="77777777" w:rsidTr="0050135C">
        <w:trPr>
          <w:trHeight w:val="300"/>
        </w:trPr>
        <w:tc>
          <w:tcPr>
            <w:tcW w:w="0" w:type="auto"/>
            <w:tcBorders>
              <w:bottom w:val="single" w:sz="4" w:space="0" w:color="auto"/>
            </w:tcBorders>
            <w:shd w:val="clear" w:color="auto" w:fill="auto"/>
            <w:noWrap/>
            <w:vAlign w:val="bottom"/>
            <w:hideMark/>
          </w:tcPr>
          <w:p w14:paraId="52BB1AB3" w14:textId="59AB03BB" w:rsidR="00665C6D" w:rsidRPr="00665C6D" w:rsidRDefault="00665C6D" w:rsidP="00303804">
            <w:pPr>
              <w:jc w:val="both"/>
              <w:rPr>
                <w:color w:val="000000"/>
                <w:sz w:val="20"/>
                <w:szCs w:val="20"/>
                <w:vertAlign w:val="superscript"/>
              </w:rPr>
            </w:pPr>
            <w:r w:rsidRPr="00596193">
              <w:rPr>
                <w:color w:val="000000"/>
                <w:sz w:val="20"/>
                <w:szCs w:val="20"/>
              </w:rPr>
              <w:t>High risk women (55-</w:t>
            </w:r>
            <w:proofErr w:type="gramStart"/>
            <w:r w:rsidRPr="00596193">
              <w:rPr>
                <w:color w:val="000000"/>
                <w:sz w:val="20"/>
                <w:szCs w:val="20"/>
              </w:rPr>
              <w:t>64)</w:t>
            </w:r>
            <w:r>
              <w:rPr>
                <w:color w:val="000000"/>
                <w:sz w:val="20"/>
                <w:szCs w:val="20"/>
                <w:vertAlign w:val="superscript"/>
              </w:rPr>
              <w:t>a</w:t>
            </w:r>
            <w:proofErr w:type="gramEnd"/>
          </w:p>
        </w:tc>
        <w:tc>
          <w:tcPr>
            <w:tcW w:w="0" w:type="auto"/>
            <w:tcBorders>
              <w:bottom w:val="single" w:sz="4" w:space="0" w:color="auto"/>
            </w:tcBorders>
            <w:shd w:val="clear" w:color="auto" w:fill="auto"/>
            <w:noWrap/>
            <w:vAlign w:val="bottom"/>
            <w:hideMark/>
          </w:tcPr>
          <w:p w14:paraId="6EFC2695" w14:textId="77777777" w:rsidR="00665C6D" w:rsidRPr="00596193" w:rsidRDefault="00665C6D" w:rsidP="00303804">
            <w:pPr>
              <w:jc w:val="both"/>
              <w:rPr>
                <w:color w:val="000000"/>
                <w:sz w:val="20"/>
                <w:szCs w:val="20"/>
              </w:rPr>
            </w:pPr>
          </w:p>
        </w:tc>
        <w:tc>
          <w:tcPr>
            <w:tcW w:w="1329" w:type="dxa"/>
            <w:tcBorders>
              <w:bottom w:val="single" w:sz="4" w:space="0" w:color="auto"/>
            </w:tcBorders>
          </w:tcPr>
          <w:p w14:paraId="5A610F00" w14:textId="77777777" w:rsidR="00665C6D" w:rsidRPr="00596193" w:rsidRDefault="00665C6D" w:rsidP="00303804">
            <w:pPr>
              <w:jc w:val="both"/>
              <w:rPr>
                <w:color w:val="000000"/>
                <w:sz w:val="20"/>
                <w:szCs w:val="20"/>
              </w:rPr>
            </w:pPr>
          </w:p>
        </w:tc>
        <w:tc>
          <w:tcPr>
            <w:tcW w:w="1349" w:type="dxa"/>
            <w:tcBorders>
              <w:bottom w:val="single" w:sz="4" w:space="0" w:color="auto"/>
            </w:tcBorders>
          </w:tcPr>
          <w:p w14:paraId="588949FE" w14:textId="77777777" w:rsidR="00665C6D" w:rsidRPr="00596193" w:rsidRDefault="00665C6D" w:rsidP="00303804">
            <w:pPr>
              <w:jc w:val="both"/>
              <w:rPr>
                <w:color w:val="000000"/>
                <w:sz w:val="20"/>
                <w:szCs w:val="20"/>
              </w:rPr>
            </w:pPr>
          </w:p>
        </w:tc>
        <w:tc>
          <w:tcPr>
            <w:tcW w:w="1171" w:type="dxa"/>
            <w:tcBorders>
              <w:bottom w:val="single" w:sz="4" w:space="0" w:color="auto"/>
            </w:tcBorders>
            <w:vAlign w:val="bottom"/>
          </w:tcPr>
          <w:p w14:paraId="6051E4D6" w14:textId="77777777" w:rsidR="00665C6D" w:rsidRPr="00596193" w:rsidRDefault="00665C6D" w:rsidP="00303804">
            <w:pPr>
              <w:jc w:val="both"/>
              <w:rPr>
                <w:color w:val="000000"/>
                <w:sz w:val="20"/>
                <w:szCs w:val="20"/>
              </w:rPr>
            </w:pPr>
          </w:p>
        </w:tc>
        <w:tc>
          <w:tcPr>
            <w:tcW w:w="1556" w:type="dxa"/>
            <w:tcBorders>
              <w:bottom w:val="single" w:sz="4" w:space="0" w:color="auto"/>
            </w:tcBorders>
          </w:tcPr>
          <w:p w14:paraId="40C4CC18" w14:textId="77777777" w:rsidR="00665C6D" w:rsidRPr="00596193" w:rsidRDefault="00665C6D" w:rsidP="00303804">
            <w:pPr>
              <w:jc w:val="both"/>
              <w:rPr>
                <w:color w:val="000000"/>
                <w:sz w:val="20"/>
                <w:szCs w:val="20"/>
              </w:rPr>
            </w:pPr>
          </w:p>
        </w:tc>
        <w:tc>
          <w:tcPr>
            <w:tcW w:w="1497" w:type="dxa"/>
            <w:tcBorders>
              <w:bottom w:val="single" w:sz="4" w:space="0" w:color="auto"/>
            </w:tcBorders>
          </w:tcPr>
          <w:p w14:paraId="58D69334" w14:textId="77777777" w:rsidR="00665C6D" w:rsidRPr="00596193" w:rsidRDefault="00665C6D" w:rsidP="00303804">
            <w:pPr>
              <w:jc w:val="both"/>
              <w:rPr>
                <w:color w:val="000000"/>
                <w:sz w:val="20"/>
                <w:szCs w:val="20"/>
              </w:rPr>
            </w:pPr>
          </w:p>
        </w:tc>
      </w:tr>
    </w:tbl>
    <w:p w14:paraId="77DE329F" w14:textId="5C02FC69" w:rsidR="00C9678A" w:rsidRPr="0050135C" w:rsidRDefault="0050135C" w:rsidP="0050135C">
      <w:pPr>
        <w:jc w:val="both"/>
        <w:rPr>
          <w:sz w:val="20"/>
          <w:szCs w:val="20"/>
        </w:rPr>
        <w:sectPr w:rsidR="00C9678A" w:rsidRPr="0050135C" w:rsidSect="00665C6D">
          <w:pgSz w:w="12240" w:h="15840"/>
          <w:pgMar w:top="1440" w:right="1440" w:bottom="1440" w:left="1440" w:header="720" w:footer="720" w:gutter="0"/>
          <w:cols w:space="720"/>
          <w:docGrid w:linePitch="360"/>
        </w:sectPr>
      </w:pPr>
      <w:proofErr w:type="spellStart"/>
      <w:r w:rsidRPr="0050135C">
        <w:rPr>
          <w:sz w:val="20"/>
          <w:szCs w:val="20"/>
          <w:vertAlign w:val="superscript"/>
        </w:rPr>
        <w:t>a</w:t>
      </w:r>
      <w:proofErr w:type="spellEnd"/>
      <w:r>
        <w:rPr>
          <w:sz w:val="20"/>
          <w:szCs w:val="20"/>
        </w:rPr>
        <w:t xml:space="preserve"> </w:t>
      </w:r>
      <w:proofErr w:type="gramStart"/>
      <w:r w:rsidR="00665C6D" w:rsidRPr="0050135C">
        <w:rPr>
          <w:sz w:val="20"/>
          <w:szCs w:val="20"/>
        </w:rPr>
        <w:t>The</w:t>
      </w:r>
      <w:proofErr w:type="gramEnd"/>
      <w:r w:rsidR="00665C6D" w:rsidRPr="0050135C">
        <w:rPr>
          <w:sz w:val="20"/>
          <w:szCs w:val="20"/>
        </w:rPr>
        <w:t xml:space="preserve"> natural history for high-risk women will be estimated using the same estimated for low-risk urban women since most high-risk women resides in urban area and the natural history does not differ by risk of HIV acquisition. </w:t>
      </w:r>
    </w:p>
    <w:p w14:paraId="22490323" w14:textId="4FB97916" w:rsidR="00C9678A" w:rsidRPr="00615E45" w:rsidRDefault="00C9678A">
      <w:pPr>
        <w:pStyle w:val="Heading2"/>
        <w:spacing w:before="0"/>
        <w:rPr>
          <w:rFonts w:cs="Times New Roman"/>
          <w:szCs w:val="24"/>
        </w:rPr>
      </w:pPr>
      <w:bookmarkStart w:id="190" w:name="_Toc82592660"/>
      <w:commentRangeStart w:id="191"/>
      <w:commentRangeStart w:id="192"/>
      <w:commentRangeStart w:id="193"/>
      <w:r w:rsidRPr="00615E45">
        <w:rPr>
          <w:rFonts w:cs="Times New Roman"/>
          <w:szCs w:val="24"/>
        </w:rPr>
        <w:lastRenderedPageBreak/>
        <w:t>Link</w:t>
      </w:r>
      <w:commentRangeEnd w:id="191"/>
      <w:r w:rsidR="0071083B">
        <w:rPr>
          <w:rFonts w:cs="Times New Roman"/>
          <w:szCs w:val="24"/>
        </w:rPr>
        <w:t>ed</w:t>
      </w:r>
      <w:r w:rsidR="000A43E5">
        <w:rPr>
          <w:rStyle w:val="CommentReference"/>
          <w:rFonts w:eastAsia="Times New Roman" w:cs="Times New Roman"/>
          <w:b w:val="0"/>
          <w:bCs w:val="0"/>
          <w:color w:val="auto"/>
          <w:lang w:eastAsia="zh-CN"/>
        </w:rPr>
        <w:commentReference w:id="191"/>
      </w:r>
      <w:commentRangeEnd w:id="192"/>
      <w:r w:rsidR="0071083B">
        <w:rPr>
          <w:rStyle w:val="CommentReference"/>
          <w:rFonts w:eastAsia="Times New Roman" w:cs="Times New Roman"/>
          <w:b w:val="0"/>
          <w:bCs w:val="0"/>
          <w:color w:val="auto"/>
          <w:lang w:eastAsia="zh-CN"/>
        </w:rPr>
        <w:commentReference w:id="192"/>
      </w:r>
      <w:commentRangeEnd w:id="193"/>
      <w:r w:rsidR="0050135C">
        <w:rPr>
          <w:rStyle w:val="CommentReference"/>
          <w:rFonts w:eastAsia="Times New Roman" w:cs="Times New Roman"/>
          <w:b w:val="0"/>
          <w:bCs w:val="0"/>
          <w:color w:val="auto"/>
          <w:lang w:eastAsia="zh-CN"/>
        </w:rPr>
        <w:commentReference w:id="193"/>
      </w:r>
      <w:r w:rsidRPr="00615E45">
        <w:rPr>
          <w:rFonts w:cs="Times New Roman"/>
          <w:szCs w:val="24"/>
        </w:rPr>
        <w:t xml:space="preserve"> to care</w:t>
      </w:r>
      <w:bookmarkEnd w:id="190"/>
    </w:p>
    <w:p w14:paraId="660A157A" w14:textId="77777777" w:rsidR="00C9678A" w:rsidRDefault="00C9678A">
      <w:pPr>
        <w:jc w:val="both"/>
        <w:rPr>
          <w:b/>
        </w:rPr>
      </w:pPr>
    </w:p>
    <w:p w14:paraId="2BE6D944" w14:textId="139E52ED" w:rsidR="00C9678A" w:rsidRPr="00C93D62" w:rsidRDefault="00C9678A">
      <w:pPr>
        <w:jc w:val="both"/>
        <w:rPr>
          <w:b/>
        </w:rPr>
      </w:pPr>
      <w:r w:rsidRPr="00F2084E">
        <w:rPr>
          <w:b/>
          <w:i/>
        </w:rPr>
        <w:t>Data sources</w:t>
      </w:r>
      <w:r w:rsidR="0071083B">
        <w:rPr>
          <w:b/>
          <w:i/>
        </w:rPr>
        <w:t>.</w:t>
      </w:r>
      <w:r w:rsidRPr="00F2084E">
        <w:rPr>
          <w:b/>
          <w:i/>
        </w:rPr>
        <w:t xml:space="preserve"> </w:t>
      </w:r>
      <w:r w:rsidRPr="00E534E0">
        <w:t xml:space="preserve">Two studies were used as sources for linkage to care estimates. </w:t>
      </w:r>
    </w:p>
    <w:p w14:paraId="5229C76A" w14:textId="46AF4521" w:rsidR="00C9678A" w:rsidRDefault="00445AFD" w:rsidP="002E50FA">
      <w:pPr>
        <w:pStyle w:val="BodyText"/>
        <w:numPr>
          <w:ilvl w:val="0"/>
          <w:numId w:val="10"/>
        </w:numPr>
        <w:spacing w:before="0" w:after="0"/>
        <w:jc w:val="both"/>
        <w:rPr>
          <w:lang w:eastAsia="ja-JP"/>
        </w:rPr>
      </w:pPr>
      <w:r>
        <w:t>For</w:t>
      </w:r>
      <w:r w:rsidR="00C9678A">
        <w:t xml:space="preserve"> low-</w:t>
      </w:r>
      <w:r w:rsidR="00C9678A" w:rsidRPr="000933B1">
        <w:t>risk women and men in both urban and rural areas</w:t>
      </w:r>
      <w:r>
        <w:t>. We will use</w:t>
      </w:r>
      <w:r w:rsidR="00C9678A" w:rsidRPr="000933B1">
        <w:t xml:space="preserve"> </w:t>
      </w:r>
      <w:r w:rsidR="00C9678A">
        <w:t>a</w:t>
      </w:r>
      <w:r w:rsidR="00E60418">
        <w:t xml:space="preserve"> cross-sectional study</w:t>
      </w:r>
      <w:r w:rsidR="00925B9D">
        <w:t xml:space="preserve"> that collects HIV care and treatment information from individuals who participated national HIV care </w:t>
      </w:r>
      <w:proofErr w:type="spellStart"/>
      <w:r w:rsidR="00925B9D">
        <w:t>programme</w:t>
      </w:r>
      <w:proofErr w:type="spellEnd"/>
      <w:r w:rsidR="00925B9D">
        <w:t xml:space="preserve"> </w:t>
      </w:r>
      <w:r w:rsidR="00E60418">
        <w:t>in 2013-2014 in Rwanda</w:t>
      </w:r>
      <w:r w:rsidR="00925B9D">
        <w:t>.</w:t>
      </w:r>
      <w:r w:rsidR="00925B9D" w:rsidRPr="000933B1">
        <w:fldChar w:fldCharType="begin" w:fldLock="1"/>
      </w:r>
      <w:r w:rsidR="00925B9D">
        <w:instrText>ADDIN CSL_CITATION {"citationItems":[{"id":"ITEM-1","itemData":{"DOI":"10.1016/S2352-3018(15)00024-7","ISSN":"23523018","abstract":"BACKGROUND: Rwanda has made remarkable progress towards HIV care programme with strong national monitoring and surveillance. Knowledge about the HIV care continuum model can help to improve outcomes in patients. We aimed to quantify engagement, mortality, and loss to follow-up of patients along the HIV care continuum in Rwanda in 2013. METHODS: We collated data for individuals with HIV who participated in the national HIV care programme in Rwanda and calculated the numbers of individuals or proportions of the population at each stage and the transition probabilities between stages of the continuum. We calculated factors associated with mortality and loss to follow-up by fitting Cox proportional hazards regression models, one for the stage of care before antiretroviral therapy (ART) initiation and another for stage of care during ART. FINDINGS: An estimated 204 899 individuals were HIV-positive in Rwanda in 2013. Among these individuals, 176 174 (86%) were in pre-ART or in ART stages and 129 405 (63%) had initiated ART by the end of 2013. 82·1% (95% CI 80·7-83·4) of patients with viral load measurements (n=3066) were virally suppressed (translating to 106 371 individuals or 52% of HIV-positive individuals). Mortality was 0·6% (304 patients) in the pre-ART stage and 1·0% (1255 patients) in the ART stage; 2247 (3·9%) patients were lost to follow-up in pre-ART stage and 2847 (2·2%) lost in ART stage. Risk factors for mortality among patients in both pre-ART and ART stages included older age, CD4 cell count at initiation, and male sex. Risk factors for loss to follow-up among patients at both pre-ART and ART stages included younger age (age 10-29 year) and male sex. s: The HIV care continuum is a multitrajectory pathway in which patients have many opportunities to leave and re-engage in care. Knowledge about the points at which individuals are most likely to leave care could improve large-scale delivery of HIV programmes. FUNDING: The Bill &amp; Melinda Gates Foundation.","author":[{"dropping-particle":"","family":"Nsanzimana","given":"Sabin","non-dropping-particle":"","parse-names":false,"suffix":""},{"dropping-particle":"","family":"Kanters","given":"Steve","non-dropping-particle":"","parse-names":false,"suffix":""},{"dropping-particle":"","family":"Remera","given":"Eric","non-dropping-particle":"","parse-names":false,"suffix":""},{"dropping-particle":"","family":"Forrest","given":"Jamie I.","non-dropping-particle":"","parse-names":false,"suffix":""},{"dropping-particle":"","family":"Binagwaho","given":"Agnes","non-dropping-particle":"","parse-names":false,"suffix":""},{"dropping-particle":"","family":"Condo","given":"Jeanine","non-dropping-particle":"","parse-names":false,"suffix":""},{"dropping-particle":"","family":"Mills","given":"Edward J.","non-dropping-particle":"","parse-names":false,"suffix":""}],"container-title":"The Lancet HIV","id":"ITEM-1","issue":"5","issued":{"date-parts":[["2015"]]},"page":"e208-e215","publisher":"Elsevier Ltd","title":"HIV care continuum in Rwanda: A cross-sectional analysis of the national programme","type":"article-journal","volume":"2"},"uris":["http://www.mendeley.com/documents/?uuid=a4f00708-4944-40e8-a115-b5bdefcc23d9"]}],"mendeley":{"formattedCitation":"&lt;sup&gt;5&lt;/sup&gt;","plainTextFormattedCitation":"5","previouslyFormattedCitation":"&lt;sup&gt;5&lt;/sup&gt;"},"properties":{"noteIndex":0},"schema":"https://github.com/citation-style-language/schema/raw/master/csl-citation.json"}</w:instrText>
      </w:r>
      <w:r w:rsidR="00925B9D" w:rsidRPr="000933B1">
        <w:fldChar w:fldCharType="separate"/>
      </w:r>
      <w:r w:rsidR="00925B9D" w:rsidRPr="00DF1813">
        <w:rPr>
          <w:noProof/>
          <w:vertAlign w:val="superscript"/>
          <w:lang w:eastAsia="ja-JP"/>
        </w:rPr>
        <w:t>5</w:t>
      </w:r>
      <w:r w:rsidR="00925B9D" w:rsidRPr="000933B1">
        <w:fldChar w:fldCharType="end"/>
      </w:r>
      <w:r w:rsidR="00E60418">
        <w:t xml:space="preserve"> </w:t>
      </w:r>
      <w:r w:rsidR="00925B9D">
        <w:t xml:space="preserve">It is </w:t>
      </w:r>
      <w:r w:rsidR="00C9678A">
        <w:t>estimate</w:t>
      </w:r>
      <w:r w:rsidR="00925B9D">
        <w:t>d that</w:t>
      </w:r>
      <w:r w:rsidR="00C9678A">
        <w:t xml:space="preserve"> 90% of individuals diagnosed with HIV </w:t>
      </w:r>
      <w:r w:rsidR="00E60418">
        <w:t>were</w:t>
      </w:r>
      <w:r w:rsidR="00C9678A">
        <w:t xml:space="preserve"> linked to care in a year</w:t>
      </w:r>
      <w:r w:rsidR="00C9678A" w:rsidRPr="000933B1">
        <w:t>.</w:t>
      </w:r>
      <w:r w:rsidR="00C9678A" w:rsidRPr="000933B1">
        <w:fldChar w:fldCharType="begin" w:fldLock="1"/>
      </w:r>
      <w:r w:rsidR="00B93B26">
        <w:instrText>ADDIN CSL_CITATION {"citationItems":[{"id":"ITEM-1","itemData":{"DOI":"10.1016/S2352-3018(15)00024-7","ISSN":"23523018","abstract":"BACKGROUND: Rwanda has made remarkable progress towards HIV care programme with strong national monitoring and surveillance. Knowledge about the HIV care continuum model can help to improve outcomes in patients. We aimed to quantify engagement, mortality, and loss to follow-up of patients along the HIV care continuum in Rwanda in 2013. METHODS: We collated data for individuals with HIV who participated in the national HIV care programme in Rwanda and calculated the numbers of individuals or proportions of the population at each stage and the transition probabilities between stages of the continuum. We calculated factors associated with mortality and loss to follow-up by fitting Cox proportional hazards regression models, one for the stage of care before antiretroviral therapy (ART) initiation and another for stage of care during ART. FINDINGS: An estimated 204 899 individuals were HIV-positive in Rwanda in 2013. Among these individuals, 176 174 (86%) were in pre-ART or in ART stages and 129 405 (63%) had initiated ART by the end of 2013. 82·1% (95% CI 80·7-83·4) of patients with viral load measurements (n=3066) were virally suppressed (translating to 106 371 individuals or 52% of HIV-positive individuals). Mortality was 0·6% (304 patients) in the pre-ART stage and 1·0% (1255 patients) in the ART stage; 2247 (3·9%) patients were lost to follow-up in pre-ART stage and 2847 (2·2%) lost in ART stage. Risk factors for mortality among patients in both pre-ART and ART stages included older age, CD4 cell count at initiation, and male sex. Risk factors for loss to follow-up among patients at both pre-ART and ART stages included younger age (age 10-29 year) and male sex. s: The HIV care continuum is a multitrajectory pathway in which patients have many opportunities to leave and re-engage in care. Knowledge about the points at which individuals are most likely to leave care could improve large-scale delivery of HIV programmes. FUNDING: The Bill &amp; Melinda Gates Foundation.","author":[{"dropping-particle":"","family":"Nsanzimana","given":"Sabin","non-dropping-particle":"","parse-names":false,"suffix":""},{"dropping-particle":"","family":"Kanters","given":"Steve","non-dropping-particle":"","parse-names":false,"suffix":""},{"dropping-particle":"","family":"Remera","given":"Eric","non-dropping-particle":"","parse-names":false,"suffix":""},{"dropping-particle":"","family":"Forrest","given":"Jamie I.","non-dropping-particle":"","parse-names":false,"suffix":""},{"dropping-particle":"","family":"Binagwaho","given":"Agnes","non-dropping-particle":"","parse-names":false,"suffix":""},{"dropping-particle":"","family":"Condo","given":"Jeanine","non-dropping-particle":"","parse-names":false,"suffix":""},{"dropping-particle":"","family":"Mills","given":"Edward J.","non-dropping-particle":"","parse-names":false,"suffix":""}],"container-title":"The Lancet HIV","id":"ITEM-1","issue":"5","issued":{"date-parts":[["2015"]]},"page":"e208-e215","publisher":"Elsevier Ltd","title":"HIV care continuum in Rwanda: A cross-sectional analysis of the national programme","type":"article-journal","volume":"2"},"uris":["http://www.mendeley.com/documents/?uuid=a4f00708-4944-40e8-a115-b5bdefcc23d9"]}],"mendeley":{"formattedCitation":"&lt;sup&gt;5&lt;/sup&gt;","plainTextFormattedCitation":"5","previouslyFormattedCitation":"&lt;sup&gt;5&lt;/sup&gt;"},"properties":{"noteIndex":0},"schema":"https://github.com/citation-style-language/schema/raw/master/csl-citation.json"}</w:instrText>
      </w:r>
      <w:r w:rsidR="00C9678A" w:rsidRPr="000933B1">
        <w:fldChar w:fldCharType="separate"/>
      </w:r>
      <w:r w:rsidR="00DF1813" w:rsidRPr="00DF1813">
        <w:rPr>
          <w:noProof/>
          <w:vertAlign w:val="superscript"/>
          <w:lang w:eastAsia="ja-JP"/>
        </w:rPr>
        <w:t>5</w:t>
      </w:r>
      <w:r w:rsidR="00C9678A" w:rsidRPr="000933B1">
        <w:fldChar w:fldCharType="end"/>
      </w:r>
      <w:r w:rsidR="00C9678A" w:rsidRPr="000933B1">
        <w:rPr>
          <w:lang w:eastAsia="ja-JP"/>
        </w:rPr>
        <w:t xml:space="preserve"> </w:t>
      </w:r>
    </w:p>
    <w:p w14:paraId="27D412D0" w14:textId="76E310B5" w:rsidR="00C9678A" w:rsidRPr="000B1907" w:rsidRDefault="00925B9D" w:rsidP="002E50FA">
      <w:pPr>
        <w:pStyle w:val="BodyText"/>
        <w:numPr>
          <w:ilvl w:val="0"/>
          <w:numId w:val="10"/>
        </w:numPr>
        <w:spacing w:before="0" w:after="0"/>
        <w:jc w:val="both"/>
        <w:rPr>
          <w:b/>
        </w:rPr>
      </w:pPr>
      <w:r>
        <w:rPr>
          <w:lang w:eastAsia="ja-JP"/>
        </w:rPr>
        <w:t>For</w:t>
      </w:r>
      <w:commentRangeStart w:id="194"/>
      <w:commentRangeEnd w:id="194"/>
      <w:r w:rsidR="004034E6">
        <w:rPr>
          <w:rStyle w:val="CommentReference"/>
          <w:rFonts w:eastAsia="Times New Roman"/>
          <w:lang w:eastAsia="zh-CN"/>
        </w:rPr>
        <w:commentReference w:id="194"/>
      </w:r>
      <w:r w:rsidR="00C9678A" w:rsidRPr="000B1907">
        <w:rPr>
          <w:lang w:eastAsia="ja-JP"/>
        </w:rPr>
        <w:t xml:space="preserve"> high-risk urban women, a</w:t>
      </w:r>
      <w:r w:rsidR="00E60418">
        <w:rPr>
          <w:lang w:eastAsia="ja-JP"/>
        </w:rPr>
        <w:t xml:space="preserve"> cohort study</w:t>
      </w:r>
      <w:r>
        <w:rPr>
          <w:lang w:eastAsia="ja-JP"/>
        </w:rPr>
        <w:t xml:space="preserve"> examined the rate of linkage and treatment since diagnosis were conducted</w:t>
      </w:r>
      <w:r w:rsidR="00E60418">
        <w:rPr>
          <w:lang w:eastAsia="ja-JP"/>
        </w:rPr>
        <w:t xml:space="preserve"> in 20</w:t>
      </w:r>
      <w:r>
        <w:rPr>
          <w:lang w:eastAsia="ja-JP"/>
        </w:rPr>
        <w:t>07-2008.</w:t>
      </w:r>
      <w:r w:rsidRPr="000B1907">
        <w:fldChar w:fldCharType="begin" w:fldLock="1"/>
      </w:r>
      <w:r w:rsidR="007527CC">
        <w:rPr>
          <w:lang w:eastAsia="ja-JP"/>
        </w:rPr>
        <w:instrText>ADDIN CSL_CITATION {"citationItems":[{"id":"ITEM-1","itemData":{"DOI":"10.1097/QAI.0b013e3182170fd3","ISBN":"1077-9450(Electronic);1525-4135(Print)","ISSN":"1525-4135","PMID":"21407083","abstract":"Objective: To evaluate linkage-to-care, sexual behavior change, and psychosocial experiences among newly HIV-diagnosed female sex workers (FSWs) in Rwanda. Methods: FSWs (n = 800) with unknown serostatus were screened for HIV during 2007/2008. Women testing HIV positive (n = 192) were referred to care and asked to return for interviews and laboratory testing 12–36 months postdiagnosis. One hundred fourty-one women (73%) returned for the postdiagnosis visit. Results: Median CD4 count at diagnosis was 460 cells per microliter [interquartile range (IQR): 308–628], with 32% eligible for antiretroviral therapy (ART) per national CD4 criteria (median CD4: 235, IQR: 152–303). Postdiagnosis, 92% of women reported having disclosed their HIV status to a friend or relative, 85% reported having enrolled in HIV care (median 30 days after diagnosis, IQR: 7–360), including 89% among ART-eligible women. Among ART-eligible women in care, 87% had initiated ART, with a median follow-up CD4 count of 354 cells per microliter (IQR: 213–456). Women who did not initiate ART experienced a 6-month CD4 count change of −14 cells per microliter (IQR:241 to 13). Three-quarters of women reported reduced sexual risk behavior postdiagnosis, with only 64% continuing to identify as FSWs. However, 53% reported past month condom use only \"sometimes.\" Conclusions: Timely linkage to care and ART uptake were high in this group of Rwandan FSWs. However, risky sexual behaviors remained common after enrollment in care. HIV-positive FSWs are an important and receptive group for targeted efforts to increase HIV diagnosis and linkage to care/treatment. Once in care, intensified and sustained HIV prevention education is necessary. (PsycINFO Database Record (c) 2015 APA, all rights reserved)","author":[{"dropping-particle":"","family":"Braunstein","given":"Sarah L","non-dropping-particle":"","parse-names":false,"suffix":""},{"dropping-particle":"","family":"Umulisa","given":"Marie-Michèle","non-dropping-particle":"","parse-names":false,"suffix":""},{"dropping-particle":"","family":"Veldhuijzen","given":"Nienke J","non-dropping-particle":"","parse-names":false,"suffix":""},{"dropping-particle":"","family":"Kestelyn","given":"Evelyne","non-dropping-particle":"","parse-names":false,"suffix":""},{"dropping-particle":"","family":"Ingabire","given":"Chantal M","non-dropping-particle":"","parse-names":false,"suffix":""},{"dropping-particle":"","family":"Nyinawabega","given":"Jeanine","non-dropping-particle":"","parse-names":false,"suffix":""},{"dropping-particle":"","family":"Wijgert","given":"Janneke H H M","non-dropping-particle":"van de","parse-names":false,"suffix":""},{"dropping-particle":"","family":"Nash","given":"Denis","non-dropping-particle":"","parse-names":false,"suffix":""}],"container-title":"JAIDS Journal of Acquired Immune Deficiency Syndromes","id":"ITEM-1","issue":"4","issued":{"date-parts":[["2011"]]},"page":"e70-e76","title":"HIV Diagnosis, Linkage to HIV Care, and HIV Risk Behaviors Among Newly Diagnosed HIV-Positive Female Sex Workers in Kigali, Rwanda","type":"article-journal","volume":"57"},"uris":["http://www.mendeley.com/documents/?uuid=fd2d53e7-f4d5-4c6e-bc5e-318d1f03b76b"]}],"mendeley":{"formattedCitation":"&lt;sup&gt;53&lt;/sup&gt;","plainTextFormattedCitation":"53","previouslyFormattedCitation":"&lt;sup&gt;53&lt;/sup&gt;"},"properties":{"noteIndex":0},"schema":"https://github.com/citation-style-language/schema/raw/master/csl-citation.json"}</w:instrText>
      </w:r>
      <w:r w:rsidRPr="000B1907">
        <w:fldChar w:fldCharType="separate"/>
      </w:r>
      <w:r w:rsidR="00036C3E" w:rsidRPr="00036C3E">
        <w:rPr>
          <w:noProof/>
          <w:vertAlign w:val="superscript"/>
        </w:rPr>
        <w:t>53</w:t>
      </w:r>
      <w:r w:rsidRPr="000B1907">
        <w:fldChar w:fldCharType="end"/>
      </w:r>
      <w:r>
        <w:rPr>
          <w:lang w:eastAsia="ja-JP"/>
        </w:rPr>
        <w:t xml:space="preserve"> It is</w:t>
      </w:r>
      <w:r w:rsidR="00C9678A" w:rsidRPr="000B1907">
        <w:rPr>
          <w:lang w:eastAsia="ja-JP"/>
        </w:rPr>
        <w:t xml:space="preserve"> estimate</w:t>
      </w:r>
      <w:r w:rsidR="00E60418">
        <w:rPr>
          <w:lang w:eastAsia="ja-JP"/>
        </w:rPr>
        <w:t>d</w:t>
      </w:r>
      <w:r w:rsidR="00C9678A" w:rsidRPr="000B1907">
        <w:rPr>
          <w:lang w:eastAsia="ja-JP"/>
        </w:rPr>
        <w:t xml:space="preserve"> </w:t>
      </w:r>
      <w:r w:rsidR="00E60418">
        <w:rPr>
          <w:lang w:eastAsia="ja-JP"/>
        </w:rPr>
        <w:t>that</w:t>
      </w:r>
      <w:r w:rsidR="00C9678A" w:rsidRPr="000B1907">
        <w:rPr>
          <w:lang w:eastAsia="ja-JP"/>
        </w:rPr>
        <w:t xml:space="preserve"> 77% of individuals diagnosed with HIV will be linked to care based on a study among female sex workers in Rwanda.</w:t>
      </w:r>
      <w:r w:rsidR="00C9678A" w:rsidRPr="000B1907">
        <w:fldChar w:fldCharType="begin" w:fldLock="1"/>
      </w:r>
      <w:r w:rsidR="007527CC">
        <w:rPr>
          <w:lang w:eastAsia="ja-JP"/>
        </w:rPr>
        <w:instrText>ADDIN CSL_CITATION {"citationItems":[{"id":"ITEM-1","itemData":{"DOI":"10.1097/QAI.0b013e3182170fd3","ISBN":"1077-9450(Electronic);1525-4135(Print)","ISSN":"1525-4135","PMID":"21407083","abstract":"Objective: To evaluate linkage-to-care, sexual behavior change, and psychosocial experiences among newly HIV-diagnosed female sex workers (FSWs) in Rwanda. Methods: FSWs (n = 800) with unknown serostatus were screened for HIV during 2007/2008. Women testing HIV positive (n = 192) were referred to care and asked to return for interviews and laboratory testing 12–36 months postdiagnosis. One hundred fourty-one women (73%) returned for the postdiagnosis visit. Results: Median CD4 count at diagnosis was 460 cells per microliter [interquartile range (IQR): 308–628], with 32% eligible for antiretroviral therapy (ART) per national CD4 criteria (median CD4: 235, IQR: 152–303). Postdiagnosis, 92% of women reported having disclosed their HIV status to a friend or relative, 85% reported having enrolled in HIV care (median 30 days after diagnosis, IQR: 7–360), including 89% among ART-eligible women. Among ART-eligible women in care, 87% had initiated ART, with a median follow-up CD4 count of 354 cells per microliter (IQR: 213–456). Women who did not initiate ART experienced a 6-month CD4 count change of −14 cells per microliter (IQR:241 to 13). Three-quarters of women reported reduced sexual risk behavior postdiagnosis, with only 64% continuing to identify as FSWs. However, 53% reported past month condom use only \"sometimes.\" Conclusions: Timely linkage to care and ART uptake were high in this group of Rwandan FSWs. However, risky sexual behaviors remained common after enrollment in care. HIV-positive FSWs are an important and receptive group for targeted efforts to increase HIV diagnosis and linkage to care/treatment. Once in care, intensified and sustained HIV prevention education is necessary. (PsycINFO Database Record (c) 2015 APA, all rights reserved)","author":[{"dropping-particle":"","family":"Braunstein","given":"Sarah L","non-dropping-particle":"","parse-names":false,"suffix":""},{"dropping-particle":"","family":"Umulisa","given":"Marie-Michèle","non-dropping-particle":"","parse-names":false,"suffix":""},{"dropping-particle":"","family":"Veldhuijzen","given":"Nienke J","non-dropping-particle":"","parse-names":false,"suffix":""},{"dropping-particle":"","family":"Kestelyn","given":"Evelyne","non-dropping-particle":"","parse-names":false,"suffix":""},{"dropping-particle":"","family":"Ingabire","given":"Chantal M","non-dropping-particle":"","parse-names":false,"suffix":""},{"dropping-particle":"","family":"Nyinawabega","given":"Jeanine","non-dropping-particle":"","parse-names":false,"suffix":""},{"dropping-particle":"","family":"Wijgert","given":"Janneke H H M","non-dropping-particle":"van de","parse-names":false,"suffix":""},{"dropping-particle":"","family":"Nash","given":"Denis","non-dropping-particle":"","parse-names":false,"suffix":""}],"container-title":"JAIDS Journal of Acquired Immune Deficiency Syndromes","id":"ITEM-1","issue":"4","issued":{"date-parts":[["2011"]]},"page":"e70-e76","title":"HIV Diagnosis, Linkage to HIV Care, and HIV Risk Behaviors Among Newly Diagnosed HIV-Positive Female Sex Workers in Kigali, Rwanda","type":"article-journal","volume":"57"},"uris":["http://www.mendeley.com/documents/?uuid=fd2d53e7-f4d5-4c6e-bc5e-318d1f03b76b"]}],"mendeley":{"formattedCitation":"&lt;sup&gt;53&lt;/sup&gt;","plainTextFormattedCitation":"53","previouslyFormattedCitation":"&lt;sup&gt;53&lt;/sup&gt;"},"properties":{"noteIndex":0},"schema":"https://github.com/citation-style-language/schema/raw/master/csl-citation.json"}</w:instrText>
      </w:r>
      <w:r w:rsidR="00C9678A" w:rsidRPr="000B1907">
        <w:fldChar w:fldCharType="separate"/>
      </w:r>
      <w:r w:rsidR="00036C3E" w:rsidRPr="00036C3E">
        <w:rPr>
          <w:noProof/>
          <w:vertAlign w:val="superscript"/>
        </w:rPr>
        <w:t>53</w:t>
      </w:r>
      <w:r w:rsidR="00C9678A" w:rsidRPr="000B1907">
        <w:fldChar w:fldCharType="end"/>
      </w:r>
      <w:r w:rsidR="00C9678A" w:rsidRPr="000B1907">
        <w:t xml:space="preserve"> </w:t>
      </w:r>
    </w:p>
    <w:p w14:paraId="0DE27F38" w14:textId="77777777" w:rsidR="00C9678A" w:rsidRDefault="00C9678A">
      <w:pPr>
        <w:jc w:val="both"/>
        <w:rPr>
          <w:b/>
        </w:rPr>
      </w:pPr>
    </w:p>
    <w:p w14:paraId="45375006" w14:textId="77777777" w:rsidR="00C9678A" w:rsidRPr="00F2084E" w:rsidRDefault="00C9678A">
      <w:pPr>
        <w:jc w:val="both"/>
        <w:rPr>
          <w:b/>
          <w:i/>
        </w:rPr>
      </w:pPr>
      <w:r w:rsidRPr="00F2084E">
        <w:rPr>
          <w:b/>
          <w:i/>
        </w:rPr>
        <w:t xml:space="preserve">Assumptions </w:t>
      </w:r>
    </w:p>
    <w:p w14:paraId="7605D75C" w14:textId="58C9B7ED" w:rsidR="00C9678A" w:rsidRPr="00F02AE3" w:rsidRDefault="0054705D" w:rsidP="002E50FA">
      <w:pPr>
        <w:pStyle w:val="BodyText"/>
        <w:numPr>
          <w:ilvl w:val="0"/>
          <w:numId w:val="9"/>
        </w:numPr>
        <w:spacing w:before="0" w:after="0"/>
        <w:ind w:left="360"/>
        <w:rPr>
          <w:b/>
        </w:rPr>
      </w:pPr>
      <w:r>
        <w:t>T</w:t>
      </w:r>
      <w:r w:rsidR="00C9678A" w:rsidRPr="00260448">
        <w:t xml:space="preserve">he </w:t>
      </w:r>
      <w:r w:rsidR="00BC74F7">
        <w:t>probabilities</w:t>
      </w:r>
      <w:r w:rsidR="00C9678A" w:rsidRPr="00260448">
        <w:t xml:space="preserve"> of linkage to care </w:t>
      </w:r>
      <w:proofErr w:type="gramStart"/>
      <w:r w:rsidR="00C9678A" w:rsidRPr="00260448">
        <w:t>is</w:t>
      </w:r>
      <w:proofErr w:type="gramEnd"/>
      <w:r w:rsidR="00C9678A" w:rsidRPr="00260448">
        <w:t xml:space="preserve"> the same for individuals </w:t>
      </w:r>
      <w:r>
        <w:t xml:space="preserve">in </w:t>
      </w:r>
      <w:r w:rsidR="00C9678A" w:rsidRPr="00260448">
        <w:t>CD4</w:t>
      </w:r>
      <w:r>
        <w:t xml:space="preserve"> count strata &gt;200-350, &gt;350-500, and &gt;500</w:t>
      </w:r>
      <w:r w:rsidR="00C9678A" w:rsidRPr="00260448">
        <w:t xml:space="preserve">. </w:t>
      </w:r>
      <w:r>
        <w:t>Linkage to care for t</w:t>
      </w:r>
      <w:r w:rsidR="00C9678A" w:rsidRPr="00260448">
        <w:t>hose with CD4≤200 are 1.5</w:t>
      </w:r>
      <w:r w:rsidR="00C9678A">
        <w:t>6</w:t>
      </w:r>
      <w:r w:rsidR="00C9678A" w:rsidRPr="00260448">
        <w:t xml:space="preserve"> times more </w:t>
      </w:r>
      <w:r>
        <w:t xml:space="preserve">likely to be </w:t>
      </w:r>
      <w:r w:rsidR="00C9678A" w:rsidRPr="00260448">
        <w:t xml:space="preserve">linked to care </w:t>
      </w:r>
      <w:r>
        <w:t xml:space="preserve">compared to those </w:t>
      </w:r>
      <w:r w:rsidR="00C9678A" w:rsidRPr="00260448">
        <w:t xml:space="preserve">with CD4&gt;200. </w:t>
      </w:r>
      <w:r w:rsidRPr="00260448">
        <w:t>Th</w:t>
      </w:r>
      <w:r>
        <w:t>is</w:t>
      </w:r>
      <w:r w:rsidRPr="00260448">
        <w:t xml:space="preserve"> </w:t>
      </w:r>
      <w:r w:rsidR="00C9678A" w:rsidRPr="00260448">
        <w:t xml:space="preserve">assumption </w:t>
      </w:r>
      <w:r>
        <w:t xml:space="preserve">is </w:t>
      </w:r>
      <w:r w:rsidR="00C9678A" w:rsidRPr="00260448">
        <w:t>based on</w:t>
      </w:r>
      <w:r w:rsidR="00925B9D">
        <w:t xml:space="preserve"> a randomized controlled trial</w:t>
      </w:r>
      <w:commentRangeStart w:id="195"/>
      <w:commentRangeStart w:id="196"/>
      <w:commentRangeStart w:id="197"/>
      <w:r w:rsidR="00C9678A" w:rsidRPr="00260448">
        <w:t xml:space="preserve"> in Kenya</w:t>
      </w:r>
      <w:commentRangeEnd w:id="195"/>
      <w:r>
        <w:rPr>
          <w:rStyle w:val="CommentReference"/>
          <w:rFonts w:eastAsia="Times New Roman"/>
          <w:lang w:eastAsia="zh-CN"/>
        </w:rPr>
        <w:commentReference w:id="195"/>
      </w:r>
      <w:commentRangeEnd w:id="196"/>
      <w:r w:rsidR="00E60418">
        <w:rPr>
          <w:rStyle w:val="CommentReference"/>
          <w:rFonts w:eastAsia="Times New Roman"/>
          <w:lang w:eastAsia="zh-CN"/>
        </w:rPr>
        <w:commentReference w:id="196"/>
      </w:r>
      <w:commentRangeEnd w:id="197"/>
      <w:r w:rsidR="005F361E">
        <w:rPr>
          <w:rStyle w:val="CommentReference"/>
          <w:rFonts w:eastAsia="Times New Roman"/>
          <w:lang w:eastAsia="zh-CN"/>
        </w:rPr>
        <w:commentReference w:id="197"/>
      </w:r>
      <w:r w:rsidR="00C9678A" w:rsidRPr="00260448">
        <w:t xml:space="preserve"> that examined testing and linkage to care based on CD4, with 1.56 (95% CI 1.11-2.20) times vs those with CD4&gt;200</w:t>
      </w:r>
      <w:r w:rsidR="00C9678A" w:rsidRPr="00260448">
        <w:rPr>
          <w:color w:val="000000" w:themeColor="text1"/>
        </w:rPr>
        <w:t>.</w:t>
      </w:r>
      <w:r w:rsidR="00C9678A" w:rsidRPr="00260448">
        <w:rPr>
          <w:color w:val="000000" w:themeColor="text1"/>
        </w:rPr>
        <w:fldChar w:fldCharType="begin" w:fldLock="1"/>
      </w:r>
      <w:r w:rsidR="007527CC">
        <w:rPr>
          <w:color w:val="000000" w:themeColor="text1"/>
        </w:rPr>
        <w:instrText>ADDIN CSL_CITATION {"citationItems":[{"id":"ITEM-1","itemData":{"DOI":"10.1016/s2352-3018(17)30091-7","ISSN":"23523018","author":[{"dropping-particle":"","family":"Okal","given":"Dancun O","non-dropping-particle":"","parse-names":false,"suffix":""},{"dropping-particle":"","family":"Oyaro","given":"Boaz","non-dropping-particle":"","parse-names":false,"suffix":""},{"dropping-particle":"","family":"Zeh","given":"Clement","non-dropping-particle":"","parse-names":false,"suffix":""},{"dropping-particle":"","family":"Desai","given":"Mitesh A","non-dropping-particle":"","parse-names":false,"suffix":""},{"dropping-particle":"","family":"Samandari","given":"Taraz","non-dropping-particle":"","parse-names":false,"suffix":""},{"dropping-particle":"","family":"Chen","given":"Robert T","non-dropping-particle":"","parse-names":false,"suffix":""},{"dropping-particle":"","family":"Williams","given":"Tiffany","non-dropping-particle":"","parse-names":false,"suffix":""},{"dropping-particle":"","family":"Otieno","given":"Fredrick O","non-dropping-particle":"","parse-names":false,"suffix":""},{"dropping-particle":"","family":"Ndivo","given":"Richard","non-dropping-particle":"","parse-names":false,"suffix":""},{"dropping-particle":"","family":"Rose","given":"Charles E","non-dropping-particle":"","parse-names":false,"suffix":""}],"container-title":"The Lancet HIV","id":"ITEM-1","issue":"9","issued":{"date-parts":[["2017"]]},"page":"e393-e401","publisher":"Elsevier Ltd","title":"Effect of point-of-care CD4 cell count results on linkage to care and antiretroviral initiation during a home-based HIV testing campaign: a non-blinded, cluster-randomised trial","type":"article-journal","volume":"4"},"uris":["http://www.mendeley.com/documents/?uuid=3bda1b21-8e18-4d22-b218-8706499997c9"]}],"mendeley":{"formattedCitation":"&lt;sup&gt;57&lt;/sup&gt;","plainTextFormattedCitation":"57","previouslyFormattedCitation":"&lt;sup&gt;57&lt;/sup&gt;"},"properties":{"noteIndex":0},"schema":"https://github.com/citation-style-language/schema/raw/master/csl-citation.json"}</w:instrText>
      </w:r>
      <w:r w:rsidR="00C9678A" w:rsidRPr="00260448">
        <w:rPr>
          <w:color w:val="000000" w:themeColor="text1"/>
        </w:rPr>
        <w:fldChar w:fldCharType="separate"/>
      </w:r>
      <w:r w:rsidR="00036C3E" w:rsidRPr="00036C3E">
        <w:rPr>
          <w:noProof/>
          <w:color w:val="000000" w:themeColor="text1"/>
          <w:vertAlign w:val="superscript"/>
        </w:rPr>
        <w:t>57</w:t>
      </w:r>
      <w:r w:rsidR="00C9678A" w:rsidRPr="00260448">
        <w:rPr>
          <w:color w:val="000000" w:themeColor="text1"/>
        </w:rPr>
        <w:fldChar w:fldCharType="end"/>
      </w:r>
      <w:r w:rsidR="00C9678A" w:rsidRPr="00260448">
        <w:rPr>
          <w:color w:val="000000" w:themeColor="text1"/>
        </w:rPr>
        <w:t xml:space="preserve"> </w:t>
      </w:r>
    </w:p>
    <w:p w14:paraId="5923D4D0" w14:textId="2A1C3A3A" w:rsidR="00C9678A" w:rsidRPr="00F02AE3" w:rsidRDefault="00C9678A" w:rsidP="002E50FA">
      <w:pPr>
        <w:pStyle w:val="BodyText"/>
        <w:numPr>
          <w:ilvl w:val="0"/>
          <w:numId w:val="9"/>
        </w:numPr>
        <w:spacing w:before="0" w:after="0"/>
        <w:ind w:left="360"/>
      </w:pPr>
      <w:r w:rsidRPr="00F02AE3">
        <w:t>Linkage to care is the same irrespective of sex, age and urbanicity</w:t>
      </w:r>
      <w:r w:rsidR="00666C17">
        <w:t xml:space="preserve"> due to the limited data</w:t>
      </w:r>
      <w:r w:rsidRPr="00F02AE3">
        <w:t>.</w:t>
      </w:r>
    </w:p>
    <w:p w14:paraId="2223E792" w14:textId="4C06C0FC" w:rsidR="00C9678A" w:rsidRDefault="00C9678A" w:rsidP="00666C17">
      <w:pPr>
        <w:pStyle w:val="BodyText"/>
        <w:spacing w:before="0" w:after="0"/>
      </w:pPr>
    </w:p>
    <w:p w14:paraId="3A266CE6" w14:textId="55694C9C" w:rsidR="00666C17" w:rsidRDefault="00666C17" w:rsidP="00666C17">
      <w:pPr>
        <w:pStyle w:val="BodyText"/>
        <w:spacing w:before="0" w:after="0"/>
        <w:rPr>
          <w:b/>
          <w:bCs/>
          <w:i/>
          <w:iCs/>
        </w:rPr>
      </w:pPr>
      <w:r>
        <w:rPr>
          <w:b/>
          <w:bCs/>
          <w:i/>
          <w:iCs/>
        </w:rPr>
        <w:t>Estimation</w:t>
      </w:r>
    </w:p>
    <w:p w14:paraId="30055D76" w14:textId="18139524" w:rsidR="00666C17" w:rsidRDefault="00666C17" w:rsidP="00666C17">
      <w:pPr>
        <w:pStyle w:val="BodyText"/>
        <w:spacing w:before="0" w:after="0"/>
        <w:rPr>
          <w:lang w:eastAsia="zh-CN"/>
        </w:rPr>
      </w:pPr>
      <w:r>
        <w:t xml:space="preserve">For low-risk population, the annual probability of linkage to care is 90%. And for the high-risk population, the annual probability of linkage to care is 77%. </w:t>
      </w:r>
    </w:p>
    <w:p w14:paraId="0AC718FF" w14:textId="77777777" w:rsidR="00666C17" w:rsidRDefault="00666C17" w:rsidP="00666C17">
      <w:pPr>
        <w:pStyle w:val="BodyText"/>
        <w:spacing w:before="0" w:after="0"/>
      </w:pPr>
    </w:p>
    <w:p w14:paraId="43ACEBA4" w14:textId="4DA1D411" w:rsidR="00666C17" w:rsidRPr="00666C17" w:rsidRDefault="00666C17" w:rsidP="00666C17">
      <w:pPr>
        <w:pStyle w:val="BodyText"/>
        <w:spacing w:before="0" w:after="0"/>
        <w:rPr>
          <w:b/>
          <w:bCs/>
        </w:rPr>
      </w:pPr>
      <w:r>
        <w:t>The annual probability of linkage to care will be converted to monthly probability. Since the original data does not provide the confidence interval, we will use the 0.5 and 1.5 times the baseline value as the lower and upper bound for the confidence interval. (</w:t>
      </w:r>
      <w:r w:rsidR="00BB226C">
        <w:fldChar w:fldCharType="begin"/>
      </w:r>
      <w:r w:rsidR="00BB226C">
        <w:instrText xml:space="preserve"> REF _Ref82432051 \h </w:instrText>
      </w:r>
      <w:r w:rsidR="00BB226C">
        <w:fldChar w:fldCharType="separate"/>
      </w:r>
      <w:r w:rsidR="001E49BE" w:rsidRPr="002B1A5C">
        <w:rPr>
          <w:b/>
        </w:rPr>
        <w:t xml:space="preserve">Table </w:t>
      </w:r>
      <w:r w:rsidR="001E49BE">
        <w:rPr>
          <w:b/>
          <w:noProof/>
        </w:rPr>
        <w:t>11</w:t>
      </w:r>
      <w:r w:rsidR="00BB226C">
        <w:fldChar w:fldCharType="end"/>
      </w:r>
      <w:r>
        <w:rPr>
          <w:b/>
          <w:bCs/>
        </w:rPr>
        <w:t>)</w:t>
      </w:r>
    </w:p>
    <w:p w14:paraId="24AA80EA" w14:textId="69D47B5A" w:rsidR="004F6186" w:rsidRDefault="004F6186">
      <w:pPr>
        <w:pStyle w:val="BodyText"/>
        <w:spacing w:before="0" w:after="0"/>
        <w:ind w:left="360"/>
      </w:pPr>
    </w:p>
    <w:p w14:paraId="178D126D" w14:textId="77777777" w:rsidR="002E7661" w:rsidRPr="004F6186" w:rsidRDefault="002E7661">
      <w:pPr>
        <w:pStyle w:val="BodyText"/>
        <w:spacing w:before="0" w:after="0"/>
        <w:ind w:left="360"/>
      </w:pPr>
    </w:p>
    <w:p w14:paraId="562A2FA2" w14:textId="77777777" w:rsidR="002E7661" w:rsidRDefault="002E7661">
      <w:pPr>
        <w:jc w:val="both"/>
        <w:rPr>
          <w:b/>
        </w:rPr>
      </w:pPr>
    </w:p>
    <w:p w14:paraId="567797F1" w14:textId="60D3A8C8" w:rsidR="00C9678A" w:rsidRPr="002B1A5C" w:rsidRDefault="00C9678A">
      <w:pPr>
        <w:jc w:val="both"/>
        <w:rPr>
          <w:b/>
        </w:rPr>
      </w:pPr>
      <w:bookmarkStart w:id="198" w:name="_Ref82432051"/>
      <w:bookmarkStart w:id="199" w:name="_Toc82448074"/>
      <w:bookmarkStart w:id="200" w:name="_Toc82592505"/>
      <w:bookmarkStart w:id="201" w:name="_Toc82599270"/>
      <w:r w:rsidRPr="002B1A5C">
        <w:rPr>
          <w:b/>
        </w:rPr>
        <w:t xml:space="preserve">Table </w:t>
      </w:r>
      <w:r w:rsidRPr="002B1A5C">
        <w:rPr>
          <w:b/>
        </w:rPr>
        <w:fldChar w:fldCharType="begin"/>
      </w:r>
      <w:r w:rsidRPr="002B1A5C">
        <w:rPr>
          <w:b/>
        </w:rPr>
        <w:instrText xml:space="preserve"> SEQ Table \* ARABIC </w:instrText>
      </w:r>
      <w:r w:rsidRPr="002B1A5C">
        <w:rPr>
          <w:b/>
        </w:rPr>
        <w:fldChar w:fldCharType="separate"/>
      </w:r>
      <w:r w:rsidR="001E49BE">
        <w:rPr>
          <w:b/>
          <w:noProof/>
        </w:rPr>
        <w:t>11</w:t>
      </w:r>
      <w:r w:rsidRPr="002B1A5C">
        <w:rPr>
          <w:b/>
        </w:rPr>
        <w:fldChar w:fldCharType="end"/>
      </w:r>
      <w:bookmarkEnd w:id="198"/>
      <w:r w:rsidRPr="002B1A5C">
        <w:rPr>
          <w:b/>
        </w:rPr>
        <w:t>:</w:t>
      </w:r>
      <w:r w:rsidRPr="00591AD1">
        <w:rPr>
          <w:b/>
          <w:bCs/>
        </w:rPr>
        <w:t xml:space="preserve"> </w:t>
      </w:r>
      <w:bookmarkStart w:id="202" w:name="_Hlk74741503"/>
      <w:r w:rsidRPr="00591AD1">
        <w:rPr>
          <w:b/>
          <w:bCs/>
        </w:rPr>
        <w:t xml:space="preserve">Monthly </w:t>
      </w:r>
      <w:r w:rsidR="0071083B">
        <w:rPr>
          <w:b/>
          <w:bCs/>
        </w:rPr>
        <w:t>probabil</w:t>
      </w:r>
      <w:r w:rsidR="00C569A0">
        <w:rPr>
          <w:b/>
          <w:bCs/>
        </w:rPr>
        <w:t>ity</w:t>
      </w:r>
      <w:r w:rsidRPr="00591AD1">
        <w:rPr>
          <w:b/>
          <w:bCs/>
        </w:rPr>
        <w:t xml:space="preserve"> of </w:t>
      </w:r>
      <w:r w:rsidR="005F361E">
        <w:rPr>
          <w:b/>
          <w:bCs/>
        </w:rPr>
        <w:t xml:space="preserve">sub-population linkage to </w:t>
      </w:r>
      <w:r w:rsidRPr="00591AD1">
        <w:rPr>
          <w:b/>
          <w:bCs/>
        </w:rPr>
        <w:t>HIV care</w:t>
      </w:r>
      <w:r w:rsidR="005F361E">
        <w:rPr>
          <w:b/>
          <w:bCs/>
        </w:rPr>
        <w:t>, by</w:t>
      </w:r>
      <w:r w:rsidRPr="00591AD1">
        <w:rPr>
          <w:b/>
          <w:bCs/>
        </w:rPr>
        <w:t xml:space="preserve"> CD4</w:t>
      </w:r>
      <w:r w:rsidR="005F361E">
        <w:rPr>
          <w:b/>
          <w:bCs/>
        </w:rPr>
        <w:t xml:space="preserve"> stratum</w:t>
      </w:r>
      <w:bookmarkEnd w:id="199"/>
      <w:bookmarkEnd w:id="200"/>
      <w:bookmarkEnd w:id="201"/>
      <w:bookmarkEnd w:id="202"/>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910"/>
        <w:gridCol w:w="1980"/>
        <w:gridCol w:w="1220"/>
      </w:tblGrid>
      <w:tr w:rsidR="00666C17" w:rsidRPr="000A43E5" w14:paraId="4F83C7C1" w14:textId="177551AE" w:rsidTr="005F361E">
        <w:trPr>
          <w:trHeight w:val="264"/>
        </w:trPr>
        <w:tc>
          <w:tcPr>
            <w:tcW w:w="2340" w:type="dxa"/>
            <w:vMerge w:val="restart"/>
          </w:tcPr>
          <w:p w14:paraId="450CD277" w14:textId="77777777" w:rsidR="00666C17" w:rsidRPr="000A43E5" w:rsidRDefault="00666C17">
            <w:pPr>
              <w:rPr>
                <w:b/>
                <w:bCs/>
                <w:sz w:val="20"/>
                <w:szCs w:val="20"/>
              </w:rPr>
            </w:pPr>
            <w:r w:rsidRPr="000A43E5">
              <w:rPr>
                <w:b/>
                <w:bCs/>
                <w:sz w:val="20"/>
                <w:szCs w:val="20"/>
              </w:rPr>
              <w:t>Sub-population</w:t>
            </w:r>
          </w:p>
        </w:tc>
        <w:tc>
          <w:tcPr>
            <w:tcW w:w="5890" w:type="dxa"/>
            <w:gridSpan w:val="2"/>
          </w:tcPr>
          <w:p w14:paraId="5F1BFB47" w14:textId="77777777" w:rsidR="00666C17" w:rsidRPr="000A43E5" w:rsidRDefault="00666C17">
            <w:pPr>
              <w:rPr>
                <w:b/>
                <w:bCs/>
                <w:sz w:val="20"/>
                <w:szCs w:val="20"/>
              </w:rPr>
            </w:pPr>
            <w:r w:rsidRPr="000A43E5">
              <w:rPr>
                <w:b/>
                <w:bCs/>
                <w:sz w:val="20"/>
                <w:szCs w:val="20"/>
              </w:rPr>
              <w:t>Monthly probability (95% CI)</w:t>
            </w:r>
          </w:p>
        </w:tc>
        <w:tc>
          <w:tcPr>
            <w:tcW w:w="1220" w:type="dxa"/>
            <w:vMerge w:val="restart"/>
          </w:tcPr>
          <w:p w14:paraId="0ACB303E" w14:textId="4A07DF80" w:rsidR="00666C17" w:rsidRPr="000A43E5" w:rsidRDefault="00666C17">
            <w:pPr>
              <w:rPr>
                <w:b/>
                <w:bCs/>
                <w:sz w:val="20"/>
                <w:szCs w:val="20"/>
              </w:rPr>
            </w:pPr>
            <w:r>
              <w:rPr>
                <w:b/>
                <w:bCs/>
                <w:sz w:val="20"/>
                <w:szCs w:val="20"/>
              </w:rPr>
              <w:t>Reference</w:t>
            </w:r>
          </w:p>
        </w:tc>
      </w:tr>
      <w:tr w:rsidR="00666C17" w:rsidRPr="000A43E5" w14:paraId="05C05B1E" w14:textId="30067E8F" w:rsidTr="005F361E">
        <w:trPr>
          <w:trHeight w:val="247"/>
        </w:trPr>
        <w:tc>
          <w:tcPr>
            <w:tcW w:w="2340" w:type="dxa"/>
            <w:vMerge/>
          </w:tcPr>
          <w:p w14:paraId="0D9325B6" w14:textId="77777777" w:rsidR="00666C17" w:rsidRPr="000A43E5" w:rsidRDefault="00666C17">
            <w:pPr>
              <w:rPr>
                <w:b/>
                <w:bCs/>
                <w:sz w:val="20"/>
                <w:szCs w:val="20"/>
              </w:rPr>
            </w:pPr>
          </w:p>
        </w:tc>
        <w:tc>
          <w:tcPr>
            <w:tcW w:w="3910" w:type="dxa"/>
          </w:tcPr>
          <w:p w14:paraId="4E0D942A" w14:textId="6A0D5958" w:rsidR="00666C17" w:rsidRPr="000A43E5" w:rsidRDefault="00666C17">
            <w:pPr>
              <w:rPr>
                <w:b/>
                <w:bCs/>
                <w:sz w:val="20"/>
                <w:szCs w:val="20"/>
              </w:rPr>
            </w:pPr>
            <w:r w:rsidRPr="000A43E5">
              <w:rPr>
                <w:b/>
                <w:bCs/>
                <w:sz w:val="20"/>
                <w:szCs w:val="20"/>
              </w:rPr>
              <w:t>CD4&gt;500, CD4&gt;350–500, CD4&gt;200–350</w:t>
            </w:r>
          </w:p>
        </w:tc>
        <w:tc>
          <w:tcPr>
            <w:tcW w:w="1980" w:type="dxa"/>
          </w:tcPr>
          <w:p w14:paraId="79F9F887" w14:textId="77777777" w:rsidR="00666C17" w:rsidRPr="000A43E5" w:rsidRDefault="00666C17">
            <w:pPr>
              <w:rPr>
                <w:b/>
                <w:bCs/>
                <w:sz w:val="20"/>
                <w:szCs w:val="20"/>
              </w:rPr>
            </w:pPr>
            <w:r w:rsidRPr="000A43E5">
              <w:rPr>
                <w:b/>
                <w:bCs/>
                <w:sz w:val="20"/>
                <w:szCs w:val="20"/>
              </w:rPr>
              <w:t>CD4≤200</w:t>
            </w:r>
          </w:p>
        </w:tc>
        <w:tc>
          <w:tcPr>
            <w:tcW w:w="1220" w:type="dxa"/>
            <w:vMerge/>
          </w:tcPr>
          <w:p w14:paraId="04320B18" w14:textId="77777777" w:rsidR="00666C17" w:rsidRPr="000A43E5" w:rsidRDefault="00666C17">
            <w:pPr>
              <w:rPr>
                <w:b/>
                <w:bCs/>
                <w:sz w:val="20"/>
                <w:szCs w:val="20"/>
              </w:rPr>
            </w:pPr>
          </w:p>
        </w:tc>
      </w:tr>
      <w:tr w:rsidR="00666C17" w:rsidRPr="000A43E5" w14:paraId="334EBB82" w14:textId="0EE054B7" w:rsidTr="005F361E">
        <w:trPr>
          <w:trHeight w:val="264"/>
        </w:trPr>
        <w:tc>
          <w:tcPr>
            <w:tcW w:w="2340" w:type="dxa"/>
          </w:tcPr>
          <w:p w14:paraId="3F743BFB" w14:textId="580732C8" w:rsidR="00666C17" w:rsidRPr="000A43E5" w:rsidRDefault="00666C17" w:rsidP="00122CDD">
            <w:pPr>
              <w:rPr>
                <w:sz w:val="20"/>
                <w:szCs w:val="20"/>
              </w:rPr>
            </w:pPr>
            <w:r w:rsidRPr="000A43E5">
              <w:rPr>
                <w:sz w:val="20"/>
                <w:szCs w:val="20"/>
              </w:rPr>
              <w:t>High</w:t>
            </w:r>
            <w:r w:rsidR="005F361E">
              <w:rPr>
                <w:sz w:val="20"/>
                <w:szCs w:val="20"/>
              </w:rPr>
              <w:t>-</w:t>
            </w:r>
            <w:r w:rsidRPr="000A43E5">
              <w:rPr>
                <w:sz w:val="20"/>
                <w:szCs w:val="20"/>
              </w:rPr>
              <w:t xml:space="preserve">risk women </w:t>
            </w:r>
          </w:p>
        </w:tc>
        <w:tc>
          <w:tcPr>
            <w:tcW w:w="3910" w:type="dxa"/>
          </w:tcPr>
          <w:p w14:paraId="1F31F920" w14:textId="77777777" w:rsidR="00666C17" w:rsidRPr="000A43E5" w:rsidRDefault="00666C17" w:rsidP="00527179">
            <w:pPr>
              <w:rPr>
                <w:sz w:val="20"/>
                <w:szCs w:val="20"/>
              </w:rPr>
            </w:pPr>
            <w:r w:rsidRPr="000A43E5">
              <w:rPr>
                <w:sz w:val="20"/>
                <w:szCs w:val="20"/>
              </w:rPr>
              <w:t>0.115 (0.059 – 0.168)</w:t>
            </w:r>
          </w:p>
        </w:tc>
        <w:tc>
          <w:tcPr>
            <w:tcW w:w="1980" w:type="dxa"/>
          </w:tcPr>
          <w:p w14:paraId="5B2EF3E0" w14:textId="77777777" w:rsidR="00666C17" w:rsidRPr="000A43E5" w:rsidRDefault="00666C17" w:rsidP="00527179">
            <w:pPr>
              <w:rPr>
                <w:sz w:val="20"/>
                <w:szCs w:val="20"/>
              </w:rPr>
            </w:pPr>
            <w:r w:rsidRPr="000A43E5">
              <w:rPr>
                <w:sz w:val="20"/>
                <w:szCs w:val="20"/>
              </w:rPr>
              <w:t>0.174(0.091 – 0.249)</w:t>
            </w:r>
          </w:p>
        </w:tc>
        <w:tc>
          <w:tcPr>
            <w:tcW w:w="1220" w:type="dxa"/>
          </w:tcPr>
          <w:p w14:paraId="4F1E9E69" w14:textId="077E9D20" w:rsidR="00666C17" w:rsidRPr="000A43E5" w:rsidRDefault="00666C17" w:rsidP="00527179">
            <w:pPr>
              <w:rPr>
                <w:sz w:val="20"/>
                <w:szCs w:val="20"/>
              </w:rPr>
            </w:pPr>
            <w:r w:rsidRPr="000933B1">
              <w:fldChar w:fldCharType="begin" w:fldLock="1"/>
            </w:r>
            <w:r>
              <w:instrText>ADDIN CSL_CITATION {"citationItems":[{"id":"ITEM-1","itemData":{"DOI":"10.1016/S2352-3018(15)00024-7","ISSN":"23523018","abstract":"BACKGROUND: Rwanda has made remarkable progress towards HIV care programme with strong national monitoring and surveillance. Knowledge about the HIV care continuum model can help to improve outcomes in patients. We aimed to quantify engagement, mortality, and loss to follow-up of patients along the HIV care continuum in Rwanda in 2013. METHODS: We collated data for individuals with HIV who participated in the national HIV care programme in Rwanda and calculated the numbers of individuals or proportions of the population at each stage and the transition probabilities between stages of the continuum. We calculated factors associated with mortality and loss to follow-up by fitting Cox proportional hazards regression models, one for the stage of care before antiretroviral therapy (ART) initiation and another for stage of care during ART. FINDINGS: An estimated 204 899 individuals were HIV-positive in Rwanda in 2013. Among these individuals, 176 174 (86%) were in pre-ART or in ART stages and 129 405 (63%) had initiated ART by the end of 2013. 82·1% (95% CI 80·7-83·4) of patients with viral load measurements (n=3066) were virally suppressed (translating to 106 371 individuals or 52% of HIV-positive individuals). Mortality was 0·6% (304 patients) in the pre-ART stage and 1·0% (1255 patients) in the ART stage; 2247 (3·9%) patients were lost to follow-up in pre-ART stage and 2847 (2·2%) lost in ART stage. Risk factors for mortality among patients in both pre-ART and ART stages included older age, CD4 cell count at initiation, and male sex. Risk factors for loss to follow-up among patients at both pre-ART and ART stages included younger age (age 10-29 year) and male sex. s: The HIV care continuum is a multitrajectory pathway in which patients have many opportunities to leave and re-engage in care. Knowledge about the points at which individuals are most likely to leave care could improve large-scale delivery of HIV programmes. FUNDING: The Bill &amp; Melinda Gates Foundation.","author":[{"dropping-particle":"","family":"Nsanzimana","given":"Sabin","non-dropping-particle":"","parse-names":false,"suffix":""},{"dropping-particle":"","family":"Kanters","given":"Steve","non-dropping-particle":"","parse-names":false,"suffix":""},{"dropping-particle":"","family":"Remera","given":"Eric","non-dropping-particle":"","parse-names":false,"suffix":""},{"dropping-particle":"","family":"Forrest","given":"Jamie I.","non-dropping-particle":"","parse-names":false,"suffix":""},{"dropping-particle":"","family":"Binagwaho","given":"Agnes","non-dropping-particle":"","parse-names":false,"suffix":""},{"dropping-particle":"","family":"Condo","given":"Jeanine","non-dropping-particle":"","parse-names":false,"suffix":""},{"dropping-particle":"","family":"Mills","given":"Edward J.","non-dropping-particle":"","parse-names":false,"suffix":""}],"container-title":"The Lancet HIV","id":"ITEM-1","issue":"5","issued":{"date-parts":[["2015"]]},"page":"e208-e215","publisher":"Elsevier Ltd","title":"HIV care continuum in Rwanda: A cross-sectional analysis of the national programme","type":"article-journal","volume":"2"},"uris":["http://www.mendeley.com/documents/?uuid=a4f00708-4944-40e8-a115-b5bdefcc23d9"]}],"mendeley":{"formattedCitation":"&lt;sup&gt;5&lt;/sup&gt;","plainTextFormattedCitation":"5","previouslyFormattedCitation":"&lt;sup&gt;5&lt;/sup&gt;"},"properties":{"noteIndex":0},"schema":"https://github.com/citation-style-language/schema/raw/master/csl-citation.json"}</w:instrText>
            </w:r>
            <w:r w:rsidRPr="000933B1">
              <w:fldChar w:fldCharType="separate"/>
            </w:r>
            <w:r w:rsidRPr="00DF1813">
              <w:rPr>
                <w:noProof/>
                <w:vertAlign w:val="superscript"/>
                <w:lang w:eastAsia="ja-JP"/>
              </w:rPr>
              <w:t>5</w:t>
            </w:r>
            <w:r w:rsidRPr="000933B1">
              <w:fldChar w:fldCharType="end"/>
            </w:r>
          </w:p>
        </w:tc>
      </w:tr>
      <w:tr w:rsidR="00666C17" w:rsidRPr="000A43E5" w14:paraId="40482836" w14:textId="64B0093E" w:rsidTr="005F361E">
        <w:trPr>
          <w:trHeight w:val="264"/>
        </w:trPr>
        <w:tc>
          <w:tcPr>
            <w:tcW w:w="2340" w:type="dxa"/>
          </w:tcPr>
          <w:p w14:paraId="6E7C299D" w14:textId="13EB3D76" w:rsidR="00666C17" w:rsidRPr="000A43E5" w:rsidRDefault="00666C17" w:rsidP="00122CDD">
            <w:pPr>
              <w:rPr>
                <w:sz w:val="20"/>
                <w:szCs w:val="20"/>
              </w:rPr>
            </w:pPr>
            <w:r w:rsidRPr="000A43E5">
              <w:rPr>
                <w:sz w:val="20"/>
                <w:szCs w:val="20"/>
              </w:rPr>
              <w:t>Low</w:t>
            </w:r>
            <w:r w:rsidR="005F361E">
              <w:rPr>
                <w:sz w:val="20"/>
                <w:szCs w:val="20"/>
              </w:rPr>
              <w:t>-</w:t>
            </w:r>
            <w:r w:rsidRPr="000A43E5">
              <w:rPr>
                <w:sz w:val="20"/>
                <w:szCs w:val="20"/>
              </w:rPr>
              <w:t>risk women and men</w:t>
            </w:r>
          </w:p>
        </w:tc>
        <w:tc>
          <w:tcPr>
            <w:tcW w:w="3910" w:type="dxa"/>
          </w:tcPr>
          <w:p w14:paraId="623D87E4" w14:textId="77777777" w:rsidR="00666C17" w:rsidRPr="000A43E5" w:rsidRDefault="00666C17" w:rsidP="00527179">
            <w:pPr>
              <w:rPr>
                <w:sz w:val="20"/>
                <w:szCs w:val="20"/>
              </w:rPr>
            </w:pPr>
            <w:r w:rsidRPr="000A43E5">
              <w:rPr>
                <w:sz w:val="20"/>
                <w:szCs w:val="20"/>
              </w:rPr>
              <w:t>0.175 (0.092 – 0.250)</w:t>
            </w:r>
          </w:p>
        </w:tc>
        <w:tc>
          <w:tcPr>
            <w:tcW w:w="1980" w:type="dxa"/>
          </w:tcPr>
          <w:p w14:paraId="6D932039" w14:textId="77777777" w:rsidR="00666C17" w:rsidRPr="000A43E5" w:rsidRDefault="00666C17" w:rsidP="00527179">
            <w:pPr>
              <w:rPr>
                <w:sz w:val="20"/>
                <w:szCs w:val="20"/>
              </w:rPr>
            </w:pPr>
            <w:r w:rsidRPr="000A43E5">
              <w:rPr>
                <w:sz w:val="20"/>
                <w:szCs w:val="20"/>
              </w:rPr>
              <w:t>0.259 (0.139 – 0.362)</w:t>
            </w:r>
          </w:p>
        </w:tc>
        <w:tc>
          <w:tcPr>
            <w:tcW w:w="1220" w:type="dxa"/>
          </w:tcPr>
          <w:p w14:paraId="505F8D54" w14:textId="0AC978C4" w:rsidR="00666C17" w:rsidRPr="000A43E5" w:rsidRDefault="00666C17" w:rsidP="00527179">
            <w:pPr>
              <w:rPr>
                <w:sz w:val="20"/>
                <w:szCs w:val="20"/>
              </w:rPr>
            </w:pPr>
            <w:r w:rsidRPr="000B1907">
              <w:fldChar w:fldCharType="begin" w:fldLock="1"/>
            </w:r>
            <w:r w:rsidR="007527CC">
              <w:rPr>
                <w:lang w:eastAsia="ja-JP"/>
              </w:rPr>
              <w:instrText>ADDIN CSL_CITATION {"citationItems":[{"id":"ITEM-1","itemData":{"DOI":"10.1097/QAI.0b013e3182170fd3","ISBN":"1077-9450(Electronic);1525-4135(Print)","ISSN":"1525-4135","PMID":"21407083","abstract":"Objective: To evaluate linkage-to-care, sexual behavior change, and psychosocial experiences among newly HIV-diagnosed female sex workers (FSWs) in Rwanda. Methods: FSWs (n = 800) with unknown serostatus were screened for HIV during 2007/2008. Women testing HIV positive (n = 192) were referred to care and asked to return for interviews and laboratory testing 12–36 months postdiagnosis. One hundred fourty-one women (73%) returned for the postdiagnosis visit. Results: Median CD4 count at diagnosis was 460 cells per microliter [interquartile range (IQR): 308–628], with 32% eligible for antiretroviral therapy (ART) per national CD4 criteria (median CD4: 235, IQR: 152–303). Postdiagnosis, 92% of women reported having disclosed their HIV status to a friend or relative, 85% reported having enrolled in HIV care (median 30 days after diagnosis, IQR: 7–360), including 89% among ART-eligible women. Among ART-eligible women in care, 87% had initiated ART, with a median follow-up CD4 count of 354 cells per microliter (IQR: 213–456). Women who did not initiate ART experienced a 6-month CD4 count change of −14 cells per microliter (IQR:241 to 13). Three-quarters of women reported reduced sexual risk behavior postdiagnosis, with only 64% continuing to identify as FSWs. However, 53% reported past month condom use only \"sometimes.\" Conclusions: Timely linkage to care and ART uptake were high in this group of Rwandan FSWs. However, risky sexual behaviors remained common after enrollment in care. HIV-positive FSWs are an important and receptive group for targeted efforts to increase HIV diagnosis and linkage to care/treatment. Once in care, intensified and sustained HIV prevention education is necessary. (PsycINFO Database Record (c) 2015 APA, all rights reserved)","author":[{"dropping-particle":"","family":"Braunstein","given":"Sarah L","non-dropping-particle":"","parse-names":false,"suffix":""},{"dropping-particle":"","family":"Umulisa","given":"Marie-Michèle","non-dropping-particle":"","parse-names":false,"suffix":""},{"dropping-particle":"","family":"Veldhuijzen","given":"Nienke J","non-dropping-particle":"","parse-names":false,"suffix":""},{"dropping-particle":"","family":"Kestelyn","given":"Evelyne","non-dropping-particle":"","parse-names":false,"suffix":""},{"dropping-particle":"","family":"Ingabire","given":"Chantal M","non-dropping-particle":"","parse-names":false,"suffix":""},{"dropping-particle":"","family":"Nyinawabega","given":"Jeanine","non-dropping-particle":"","parse-names":false,"suffix":""},{"dropping-particle":"","family":"Wijgert","given":"Janneke H H M","non-dropping-particle":"van de","parse-names":false,"suffix":""},{"dropping-particle":"","family":"Nash","given":"Denis","non-dropping-particle":"","parse-names":false,"suffix":""}],"container-title":"JAIDS Journal of Acquired Immune Deficiency Syndromes","id":"ITEM-1","issue":"4","issued":{"date-parts":[["2011"]]},"page":"e70-e76","title":"HIV Diagnosis, Linkage to HIV Care, and HIV Risk Behaviors Among Newly Diagnosed HIV-Positive Female Sex Workers in Kigali, Rwanda","type":"article-journal","volume":"57"},"uris":["http://www.mendeley.com/documents/?uuid=fd2d53e7-f4d5-4c6e-bc5e-318d1f03b76b"]}],"mendeley":{"formattedCitation":"&lt;sup&gt;53&lt;/sup&gt;","plainTextFormattedCitation":"53","previouslyFormattedCitation":"&lt;sup&gt;53&lt;/sup&gt;"},"properties":{"noteIndex":0},"schema":"https://github.com/citation-style-language/schema/raw/master/csl-citation.json"}</w:instrText>
            </w:r>
            <w:r w:rsidRPr="000B1907">
              <w:fldChar w:fldCharType="separate"/>
            </w:r>
            <w:r w:rsidR="00036C3E" w:rsidRPr="00036C3E">
              <w:rPr>
                <w:noProof/>
                <w:vertAlign w:val="superscript"/>
              </w:rPr>
              <w:t>53</w:t>
            </w:r>
            <w:r w:rsidRPr="000B1907">
              <w:fldChar w:fldCharType="end"/>
            </w:r>
          </w:p>
        </w:tc>
      </w:tr>
    </w:tbl>
    <w:p w14:paraId="2B3B830C" w14:textId="77777777" w:rsidR="00C9678A" w:rsidRDefault="00C9678A" w:rsidP="00122CDD">
      <w:pPr>
        <w:jc w:val="both"/>
      </w:pPr>
    </w:p>
    <w:p w14:paraId="251F3EA0" w14:textId="77777777" w:rsidR="00C9678A" w:rsidRDefault="00C9678A">
      <w:pPr>
        <w:rPr>
          <w:b/>
        </w:rPr>
      </w:pPr>
      <w:r>
        <w:rPr>
          <w:b/>
        </w:rPr>
        <w:br w:type="page"/>
      </w:r>
    </w:p>
    <w:p w14:paraId="1F2C6429" w14:textId="77777777" w:rsidR="00C27F3E" w:rsidRDefault="00C27F3E" w:rsidP="000A43E5">
      <w:pPr>
        <w:pStyle w:val="Heading2"/>
        <w:spacing w:before="0"/>
        <w:rPr>
          <w:rFonts w:cs="Times New Roman"/>
          <w:szCs w:val="24"/>
        </w:rPr>
        <w:sectPr w:rsidR="00C27F3E" w:rsidSect="00EE2060">
          <w:headerReference w:type="even" r:id="rId50"/>
          <w:headerReference w:type="default" r:id="rId51"/>
          <w:footerReference w:type="even" r:id="rId52"/>
          <w:headerReference w:type="first" r:id="rId53"/>
          <w:pgSz w:w="12240" w:h="15840"/>
          <w:pgMar w:top="1440" w:right="1440" w:bottom="1440" w:left="1440" w:header="720" w:footer="720" w:gutter="0"/>
          <w:cols w:space="720"/>
          <w:docGrid w:linePitch="360"/>
        </w:sectPr>
      </w:pPr>
    </w:p>
    <w:p w14:paraId="3AB23CBE" w14:textId="01F49608" w:rsidR="00C9678A" w:rsidRPr="00A25EAD" w:rsidRDefault="00C9678A" w:rsidP="000A43E5">
      <w:pPr>
        <w:pStyle w:val="Heading2"/>
        <w:spacing w:before="0"/>
        <w:rPr>
          <w:rFonts w:cs="Times New Roman"/>
          <w:szCs w:val="24"/>
        </w:rPr>
      </w:pPr>
      <w:bookmarkStart w:id="203" w:name="_Lost_to_follow-up"/>
      <w:bookmarkStart w:id="204" w:name="_Toc82592661"/>
      <w:bookmarkEnd w:id="203"/>
      <w:r w:rsidRPr="00A25EAD">
        <w:rPr>
          <w:rFonts w:cs="Times New Roman"/>
          <w:szCs w:val="24"/>
        </w:rPr>
        <w:lastRenderedPageBreak/>
        <w:t>Lost to follow-up</w:t>
      </w:r>
      <w:bookmarkEnd w:id="204"/>
    </w:p>
    <w:p w14:paraId="1F7492D2" w14:textId="77777777" w:rsidR="00F27F9F" w:rsidRDefault="00F27F9F" w:rsidP="00122CDD">
      <w:pPr>
        <w:jc w:val="both"/>
      </w:pPr>
    </w:p>
    <w:p w14:paraId="62D11CD6" w14:textId="3819B94C" w:rsidR="00C9678A" w:rsidRDefault="002B4DBD" w:rsidP="00122CDD">
      <w:pPr>
        <w:jc w:val="both"/>
      </w:pPr>
      <w:r>
        <w:t>LTFU is defined as at least 365 days between last clinical visit and censor date before ART initiation or at least 6 months between last clinical visit and censor date when on ART. The definition is based on Rwanda national HIV treatment guidelines and are consistent with other studies examining LTFU in sub-Saharan Africa.</w:t>
      </w:r>
      <w:r w:rsidRPr="00A6018A">
        <w:rPr>
          <w:noProof/>
          <w:vertAlign w:val="superscript"/>
        </w:rPr>
        <w:t>57–60</w:t>
      </w:r>
      <w:r w:rsidRPr="00050905">
        <w:t xml:space="preserve"> </w:t>
      </w:r>
      <w:r w:rsidR="00970472" w:rsidRPr="00050905">
        <w:t>In the sensitivity analysis, we will test the impact of definition LTFU based 120 days as stated in the Rwanda guidelines</w:t>
      </w:r>
      <w:r w:rsidR="00970472">
        <w:t>.</w:t>
      </w:r>
      <w:r w:rsidR="00970472" w:rsidRPr="00050905">
        <w:fldChar w:fldCharType="begin" w:fldLock="1"/>
      </w:r>
      <w:r w:rsidR="007527CC">
        <w:instrText>ADDIN CSL_CITATION {"citationItems":[{"id":"ITEM-1","itemData":{"author":[{"dropping-particle":"","family":"Rwanda Ministry of Health","given":"","non-dropping-particle":"","parse-names":false,"suffix":""}],"id":"ITEM-1","issued":{"date-parts":[["2016"]]},"number-of-pages":"38","title":"National Guidelines for Prevention and Management of HIV and STIs. Edition 201 6","type":"report"},"uris":["http://www.mendeley.com/documents/?uuid=143e9121-3943-4b7b-9cee-51e8fd8a0b99"]}],"mendeley":{"formattedCitation":"&lt;sup&gt;67&lt;/sup&gt;","plainTextFormattedCitation":"67","previouslyFormattedCitation":"&lt;sup&gt;67&lt;/sup&gt;"},"properties":{"noteIndex":0},"schema":"https://github.com/citation-style-language/schema/raw/master/csl-citation.json"}</w:instrText>
      </w:r>
      <w:r w:rsidR="00970472" w:rsidRPr="00050905">
        <w:fldChar w:fldCharType="separate"/>
      </w:r>
      <w:r w:rsidR="00036C3E" w:rsidRPr="00036C3E">
        <w:rPr>
          <w:noProof/>
          <w:vertAlign w:val="superscript"/>
        </w:rPr>
        <w:t>67</w:t>
      </w:r>
      <w:r w:rsidR="00970472" w:rsidRPr="00050905">
        <w:fldChar w:fldCharType="end"/>
      </w:r>
      <w:r w:rsidR="00970472">
        <w:t xml:space="preserve"> </w:t>
      </w:r>
      <w:r w:rsidR="00C9678A" w:rsidRPr="00050905">
        <w:t xml:space="preserve">Parameter values for LTFU will vary based on disease progression, engagement in HIV care, and sub-groups. Model compartments that apply to LTFU include linkage to care; On ART and suppressed; On ART and not suppressed. </w:t>
      </w:r>
    </w:p>
    <w:p w14:paraId="1118479A" w14:textId="6B7F890E" w:rsidR="00C573B0" w:rsidRDefault="00C573B0" w:rsidP="00122CDD">
      <w:pPr>
        <w:jc w:val="both"/>
      </w:pPr>
    </w:p>
    <w:p w14:paraId="4E7CA2D4" w14:textId="77777777" w:rsidR="00C573B0" w:rsidRDefault="00C573B0" w:rsidP="00C573B0">
      <w:pPr>
        <w:jc w:val="both"/>
        <w:rPr>
          <w:b/>
          <w:bCs/>
          <w:i/>
          <w:iCs/>
        </w:rPr>
      </w:pPr>
      <w:r w:rsidRPr="00675361">
        <w:rPr>
          <w:b/>
          <w:bCs/>
          <w:i/>
          <w:iCs/>
        </w:rPr>
        <w:t>Data source</w:t>
      </w:r>
      <w:r>
        <w:rPr>
          <w:b/>
          <w:bCs/>
          <w:i/>
          <w:iCs/>
        </w:rPr>
        <w:t xml:space="preserve">. </w:t>
      </w:r>
    </w:p>
    <w:p w14:paraId="1E7F70B1" w14:textId="54517720" w:rsidR="00C573B0" w:rsidRDefault="00C573B0" w:rsidP="002E50FA">
      <w:pPr>
        <w:pStyle w:val="ListParagraph"/>
        <w:numPr>
          <w:ilvl w:val="0"/>
          <w:numId w:val="28"/>
        </w:numPr>
        <w:jc w:val="both"/>
      </w:pPr>
      <w:commentRangeStart w:id="205"/>
      <w:r>
        <w:t xml:space="preserve">To estimate </w:t>
      </w:r>
      <w:r w:rsidR="00A61A5A">
        <w:t>LTFU</w:t>
      </w:r>
      <w:r>
        <w:t xml:space="preserve">, </w:t>
      </w:r>
      <w:commentRangeEnd w:id="205"/>
      <w:r w:rsidR="005F66A3">
        <w:rPr>
          <w:rStyle w:val="CommentReference"/>
        </w:rPr>
        <w:commentReference w:id="205"/>
      </w:r>
      <w:r>
        <w:t>we will use the International epidemiology databases to evaluate AIDS (</w:t>
      </w:r>
      <w:proofErr w:type="spellStart"/>
      <w:r>
        <w:t>IeDEA</w:t>
      </w:r>
      <w:proofErr w:type="spellEnd"/>
      <w:r>
        <w:t>) consortium in Rwanda from 2004 to most current data.</w:t>
      </w:r>
      <w:r>
        <w:fldChar w:fldCharType="begin" w:fldLock="1"/>
      </w:r>
      <w:r w:rsidR="007527CC">
        <w:instrText>ADDIN CSL_CITATION {"citationItems":[{"id":"ITEM-1","itemData":{"author":[{"dropping-particle":"","family":"National Institute of Allergy and Infectious Diseases","given":"","non-dropping-particle":"","parse-names":false,"suffix":""}],"id":"ITEM-1","issued":{"date-parts":[["0"]]},"title":"International Epidemiological Databases to Evaluate AIDS","type":"article"},"uris":["http://www.mendeley.com/documents/?uuid=666acb78-cec1-4b66-b410-933fc01451ce"]}],"mendeley":{"formattedCitation":"&lt;sup&gt;51&lt;/sup&gt;","plainTextFormattedCitation":"51","previouslyFormattedCitation":"&lt;sup&gt;51&lt;/sup&gt;"},"properties":{"noteIndex":0},"schema":"https://github.com/citation-style-language/schema/raw/master/csl-citation.json"}</w:instrText>
      </w:r>
      <w:r>
        <w:fldChar w:fldCharType="separate"/>
      </w:r>
      <w:r w:rsidR="00036C3E" w:rsidRPr="00036C3E">
        <w:rPr>
          <w:noProof/>
          <w:vertAlign w:val="superscript"/>
        </w:rPr>
        <w:t>51</w:t>
      </w:r>
      <w:r>
        <w:fldChar w:fldCharType="end"/>
      </w:r>
      <w:r>
        <w:t xml:space="preserve">  </w:t>
      </w:r>
    </w:p>
    <w:p w14:paraId="4006DBB9" w14:textId="77777777" w:rsidR="00925B9D" w:rsidRDefault="00925B9D" w:rsidP="00925B9D">
      <w:pPr>
        <w:pStyle w:val="BodyText"/>
        <w:numPr>
          <w:ilvl w:val="0"/>
          <w:numId w:val="28"/>
        </w:numPr>
        <w:spacing w:before="0" w:after="0"/>
        <w:jc w:val="both"/>
      </w:pPr>
      <w:commentRangeStart w:id="206"/>
      <w:commentRangeStart w:id="207"/>
      <w:r>
        <w:t xml:space="preserve">To estimate the weights applied to the competing risks model, we will extract data from multiple literature including: </w:t>
      </w:r>
    </w:p>
    <w:p w14:paraId="345AF74B" w14:textId="133B59E8" w:rsidR="00925B9D" w:rsidRPr="00675361" w:rsidRDefault="00925B9D" w:rsidP="00392AA9">
      <w:pPr>
        <w:pStyle w:val="BodyText"/>
        <w:numPr>
          <w:ilvl w:val="1"/>
          <w:numId w:val="28"/>
        </w:numPr>
        <w:spacing w:before="0" w:after="0"/>
        <w:jc w:val="both"/>
      </w:pPr>
      <w:r>
        <w:t>A retrospective study from Kenya (2009-2011)</w:t>
      </w:r>
      <w:r w:rsidR="00AE45E4">
        <w:t xml:space="preserve"> estimating the misclassification of</w:t>
      </w:r>
      <w:r>
        <w:t xml:space="preserve"> loss to follow-up (LTFU) for pre-ART patients. The</w:t>
      </w:r>
      <w:r w:rsidRPr="005E7705">
        <w:rPr>
          <w:color w:val="000000"/>
        </w:rPr>
        <w:t xml:space="preserve"> proportion of </w:t>
      </w:r>
      <w:r>
        <w:rPr>
          <w:color w:val="000000"/>
        </w:rPr>
        <w:t xml:space="preserve">pre-ART </w:t>
      </w:r>
      <w:r w:rsidRPr="005E7705">
        <w:rPr>
          <w:color w:val="000000"/>
        </w:rPr>
        <w:t xml:space="preserve">patients </w:t>
      </w:r>
      <w:r>
        <w:rPr>
          <w:color w:val="000000"/>
        </w:rPr>
        <w:t>who have died but coded as LTFU is 17%</w:t>
      </w:r>
      <w:r w:rsidRPr="005E7705">
        <w:t>.</w:t>
      </w:r>
      <w:r w:rsidRPr="005E7705">
        <w:fldChar w:fldCharType="begin" w:fldLock="1"/>
      </w:r>
      <w:r w:rsidR="007527CC">
        <w:instrText>ADDIN CSL_CITATION {"citationItems":[{"id":"ITEM-1","itemData":{"DOI":"10.1097/QAI.0000000000000492","ISBN":"0000000000000","ISSN":"10779450","abstract":"© 2014 Wolters Kluwer Health, Inc. Background: Academic Model Providing Access To Healthcare (AMPATH) program provides comprehensive HIV care and treatment services. Approximately, 30% of patients have become lost to follow-up (LTFU). We sought to actively trace and identify outcomes for a sample of these patients. Methods: LTFU was defined as missing a scheduled visit by $3 months. A randomly selected sample of 17% of patients identified as LTFU between January 2009 and June 2011 was generated, with sample stratification on age, antiretroviral therapy (ART) status at last visit, and facility. Chart reviews were conducted followed by active tracing. Tracing was completed by trained HIV-positive outreach workers July 2011 to February 2012. Outcomes were compared between adults and children and by ART status. Results: Of 14,811 LTFU patients, 2540 were randomly selected for tracing (2179 adults, 1071 on ART). The chart reviews indicated that 326 (12.8%) patients were not actually LTFU. Outcomes for 71% of sampled patients were determined including 85% of those physically traced. Of those with known outcomes, 21% had died, whereas 29% had disengaged from care for various reasons. The remaining patients had moved away (n = 458, 25%) or were still receiving HIV care (n = 443 total, 25%). Conclusions: Our findings demonstrate the feasibility of a largescale sampling-based approach. A significant proportion of patients were found not to be LTFU, and further, high numbers of patients who were LTFU could not be located. Over a quarter of patients disengaged from care for various reasons including access challenges and familial influences.","author":[{"dropping-particle":"","family":"Rachlis","given":"Beth","non-dropping-particle":"","parse-names":false,"suffix":""},{"dropping-particle":"","family":"Ochieng","given":"Daniel","non-dropping-particle":"","parse-names":false,"suffix":""},{"dropping-particle":"","family":"Geng","given":"Elvin","non-dropping-particle":"","parse-names":false,"suffix":""},{"dropping-particle":"","family":"Rotich","given":"Elyne","non-dropping-particle":"","parse-names":false,"suffix":""},{"dropping-particle":"","family":"Ochieng","given":"Vincent","non-dropping-particle":"","parse-names":false,"suffix":""},{"dropping-particle":"","family":"Maritim","given":"Beryl","non-dropping-particle":"","parse-names":false,"suffix":""},{"dropping-particle":"","family":"Ndege","given":"Samson","non-dropping-particle":"","parse-names":false,"suffix":""},{"dropping-particle":"","family":"Naanyu","given":"Violet","non-dropping-particle":"","parse-names":false,"suffix":""},{"dropping-particle":"","family":"Martin","given":"Jeffrey N.","non-dropping-particle":"","parse-names":false,"suffix":""},{"dropping-particle":"","family":"Keter","given":"Alfred","non-dropping-particle":"","parse-names":false,"suffix":""},{"dropping-particle":"","family":"Ayuo","given":"Paul","non-dropping-particle":"","parse-names":false,"suffix":""},{"dropping-particle":"","family":"Diero","given":"Lameck","non-dropping-particle":"","parse-names":false,"suffix":""},{"dropping-particle":"","family":"Nyambura","given":"Monicah","non-dropping-particle":"","parse-names":false,"suffix":""},{"dropping-particle":"","family":"Braitstein","given":"Paula","non-dropping-particle":"","parse-names":false,"suffix":""}],"container-title":"Journal of Acquired Immune Deficiency Syndromes","id":"ITEM-1","issue":"4","issued":{"date-parts":[["2015"]]},"page":"e46-e55","title":"Evaluating outcomes of patients lost to follow-up in a large comprehensive care treatment program in Western Kenya","type":"article-journal","volume":"68"},"uris":["http://www.mendeley.com/documents/?uuid=46dfb1ee-def0-49a8-aeda-dbe712f30a4f"]}],"mendeley":{"formattedCitation":"&lt;sup&gt;54&lt;/sup&gt;","plainTextFormattedCitation":"54","previouslyFormattedCitation":"&lt;sup&gt;54&lt;/sup&gt;"},"properties":{"noteIndex":0},"schema":"https://github.com/citation-style-language/schema/raw/master/csl-citation.json"}</w:instrText>
      </w:r>
      <w:r w:rsidRPr="005E7705">
        <w:fldChar w:fldCharType="separate"/>
      </w:r>
      <w:r w:rsidR="00036C3E" w:rsidRPr="00036C3E">
        <w:rPr>
          <w:noProof/>
          <w:vertAlign w:val="superscript"/>
        </w:rPr>
        <w:t>54</w:t>
      </w:r>
      <w:r w:rsidRPr="005E7705">
        <w:fldChar w:fldCharType="end"/>
      </w:r>
      <w:commentRangeEnd w:id="206"/>
      <w:r>
        <w:rPr>
          <w:rStyle w:val="CommentReference"/>
          <w:rFonts w:eastAsia="Times New Roman"/>
          <w:lang w:eastAsia="zh-CN"/>
        </w:rPr>
        <w:commentReference w:id="206"/>
      </w:r>
      <w:commentRangeEnd w:id="207"/>
      <w:r>
        <w:rPr>
          <w:rStyle w:val="CommentReference"/>
          <w:rFonts w:eastAsia="Times New Roman"/>
          <w:lang w:eastAsia="zh-CN"/>
        </w:rPr>
        <w:commentReference w:id="207"/>
      </w:r>
      <w:r w:rsidRPr="005E7705">
        <w:t xml:space="preserve"> </w:t>
      </w:r>
    </w:p>
    <w:p w14:paraId="5E65F440" w14:textId="60D1C6FA" w:rsidR="00925B9D" w:rsidRDefault="00925B9D" w:rsidP="00925B9D">
      <w:pPr>
        <w:pStyle w:val="ListParagraph"/>
        <w:numPr>
          <w:ilvl w:val="1"/>
          <w:numId w:val="28"/>
        </w:numPr>
        <w:jc w:val="both"/>
      </w:pPr>
      <w:r>
        <w:t xml:space="preserve">A </w:t>
      </w:r>
      <w:r w:rsidR="00AE45E4">
        <w:t>prospective</w:t>
      </w:r>
      <w:r>
        <w:t xml:space="preserve"> study from Uganda (</w:t>
      </w:r>
      <w:r w:rsidR="00AE45E4">
        <w:t>2007-2011</w:t>
      </w:r>
      <w:r>
        <w:t>)</w:t>
      </w:r>
      <w:r w:rsidR="00AE45E4">
        <w:t xml:space="preserve"> tracking the pre-ART LTFU patients for their HIV treatment and care status</w:t>
      </w:r>
      <w:r>
        <w:t xml:space="preserve">. </w:t>
      </w:r>
      <w:r w:rsidR="00AE45E4">
        <w:t>Approximately 13% of the pre-ART patients who considered LTFU received HIV care in a clinic other than the original one.</w:t>
      </w:r>
      <w:r w:rsidR="00AE45E4" w:rsidRPr="00050905">
        <w:fldChar w:fldCharType="begin" w:fldLock="1"/>
      </w:r>
      <w:r w:rsidR="007527CC">
        <w:instrText>ADDIN CSL_CITATION {"citationItems":[{"id":"ITEM-1","itemData":{"DOI":"10.1097/QAI.0b013e31828af5a6","ISSN":"15254135","abstract":"Background: Delays and failures in initiation of antiretroviral therapy (ART) among treatment eligible patients may compromise the effectiveness of HIV care in Africa. An accurate understanding, however, of the pace and completeness of ART initiation and mortality during the waiting period is obscured by frequent losses to follow-up. Methods: We evaluated newly ART-eligible HIV-infected adults from 2007 to 2011 in a prototypical clinic in Mbarara, Uganda. A random sample of patients lost to follow-up was tracked in the community to determine vital status and ART initiation after leaving the original clinic. Outcomes among the tracked patients were incorporated using probability weights, and a competing risks approach was used in analyses. Results: Among 2633 ART-eligible patients, 490 were lost to follow-up, of whom a random sample of 132 was tracked and 111 (84.0%) had outcomes ascertained. After incorporating the outcomes among the lost, the cumulative incidence of ART initiation at 30, 90, and 365 days after eligibility was 16.0% [95% confidence interval (CI): 14.2 to 17.7], 64.5% (95% CI: 60.9 to 68.1), and 81.7% (95% CI: 77.7 to 85.6). Death before ART was 7.7% at 1 year. Male sex, higher CD4 count, and no education were associated with delayed ART initiation. Lower CD4 level, malnourishment, and travel time to clinic were associated with mortality. Conclusions: Using a sampling-based approach to account for losses to follow-up revealed that both the speed and the completeness of ART initiation were suboptimal in a prototypical large clinic in Uganda. Improving the kinetics of ART initiation in Africa is needed to make ART more in real-world populations. Copyright © 2013 by Lippincott Williams &amp; Wilkins.","author":[{"dropping-particle":"","family":"Geng","given":"Elvin H.","non-dropping-particle":"","parse-names":false,"suffix":""},{"dropping-particle":"","family":"Bwana","given":"Mwebesa B.","non-dropping-particle":"","parse-names":false,"suffix":""},{"dropping-particle":"","family":"Muyindike","given":"Winnie","non-dropping-particle":"","parse-names":false,"suffix":""},{"dropping-particle":"V.","family":"Glidden","given":"David","non-dropping-particle":"","parse-names":false,"suffix":""},{"dropping-particle":"","family":"Bangsberg","given":"David R.","non-dropping-particle":"","parse-names":false,"suffix":""},{"dropping-particle":"","family":"Neilands","given":"Torsten B.","non-dropping-particle":"","parse-names":false,"suffix":""},{"dropping-particle":"","family":"Bernheimer","given":"Ingrid","non-dropping-particle":"","parse-names":false,"suffix":""},{"dropping-particle":"","family":"Musinguzi","given":"Nicolas","non-dropping-particle":"","parse-names":false,"suffix":""},{"dropping-particle":"","family":"Yiannoutsos","given":"Constantin T.","non-dropping-particle":"","parse-names":false,"suffix":""},{"dropping-particle":"","family":"Martin","given":"Jeffrey N.","non-dropping-particle":"","parse-names":false,"suffix":""}],"container-title":"Journal of Acquired Immune Deficiency Syndromes","id":"ITEM-1","issue":"2","issued":{"date-parts":[["2013"]]},"page":"64-71","title":"Failure to initiate antiretroviral therapy, loss to follow-up and mortality among HIV-infected patients during the pre-ART period in Uganda","type":"article-journal","volume":"63"},"uris":["http://www.mendeley.com/documents/?uuid=7661d1ee-8652-4187-ad4a-44f484be0739"]}],"mendeley":{"formattedCitation":"&lt;sup&gt;55&lt;/sup&gt;","plainTextFormattedCitation":"55","previouslyFormattedCitation":"&lt;sup&gt;55&lt;/sup&gt;"},"properties":{"noteIndex":0},"schema":"https://github.com/citation-style-language/schema/raw/master/csl-citation.json"}</w:instrText>
      </w:r>
      <w:r w:rsidR="00AE45E4" w:rsidRPr="00050905">
        <w:fldChar w:fldCharType="separate"/>
      </w:r>
      <w:r w:rsidR="00036C3E" w:rsidRPr="00036C3E">
        <w:rPr>
          <w:noProof/>
          <w:vertAlign w:val="superscript"/>
        </w:rPr>
        <w:t>55</w:t>
      </w:r>
      <w:r w:rsidR="00AE45E4" w:rsidRPr="00050905">
        <w:fldChar w:fldCharType="end"/>
      </w:r>
      <w:r w:rsidR="00AE45E4" w:rsidRPr="00050905">
        <w:t xml:space="preserve"> </w:t>
      </w:r>
      <w:r w:rsidR="00AE45E4">
        <w:t xml:space="preserve"> </w:t>
      </w:r>
    </w:p>
    <w:p w14:paraId="6527692C" w14:textId="3466DB61" w:rsidR="00AE45E4" w:rsidRPr="00E60418" w:rsidRDefault="00925B9D" w:rsidP="00392AA9">
      <w:pPr>
        <w:pStyle w:val="BodyText"/>
        <w:numPr>
          <w:ilvl w:val="1"/>
          <w:numId w:val="28"/>
        </w:numPr>
        <w:spacing w:before="0" w:after="0"/>
        <w:jc w:val="both"/>
        <w:rPr>
          <w:b/>
          <w:bCs/>
        </w:rPr>
      </w:pPr>
      <w:r>
        <w:t xml:space="preserve">A </w:t>
      </w:r>
      <w:r w:rsidR="00AE45E4">
        <w:t>meta-analysis</w:t>
      </w:r>
      <w:r>
        <w:t xml:space="preserve"> </w:t>
      </w:r>
      <w:r w:rsidR="00AE45E4">
        <w:t xml:space="preserve">on misclassification of LTFU for individuals on ART </w:t>
      </w:r>
      <w:r w:rsidR="00AE45E4" w:rsidRPr="00E60418">
        <w:rPr>
          <w:color w:val="000000"/>
          <w:lang w:eastAsia="ja-JP"/>
        </w:rPr>
        <w:t>in sub-Saharan</w:t>
      </w:r>
      <w:r w:rsidR="00AE45E4">
        <w:rPr>
          <w:color w:val="000000"/>
          <w:lang w:eastAsia="ja-JP"/>
        </w:rPr>
        <w:t xml:space="preserve"> region</w:t>
      </w:r>
      <w:r w:rsidR="00AE45E4" w:rsidRPr="00E60418">
        <w:rPr>
          <w:color w:val="000000"/>
          <w:lang w:eastAsia="ja-JP"/>
        </w:rPr>
        <w:t>. The proportion</w:t>
      </w:r>
      <w:r w:rsidR="00AE45E4">
        <w:rPr>
          <w:color w:val="000000"/>
          <w:lang w:eastAsia="ja-JP"/>
        </w:rPr>
        <w:t>s</w:t>
      </w:r>
      <w:r w:rsidR="00AE45E4" w:rsidRPr="00E60418">
        <w:rPr>
          <w:color w:val="000000"/>
          <w:lang w:eastAsia="ja-JP"/>
        </w:rPr>
        <w:t xml:space="preserve"> of </w:t>
      </w:r>
      <w:r w:rsidR="00AE45E4">
        <w:rPr>
          <w:color w:val="000000"/>
          <w:lang w:eastAsia="ja-JP"/>
        </w:rPr>
        <w:t xml:space="preserve">patients coded as LTFU but </w:t>
      </w:r>
      <w:r w:rsidR="00AE45E4" w:rsidRPr="00E60418">
        <w:rPr>
          <w:color w:val="000000"/>
          <w:lang w:eastAsia="ja-JP"/>
        </w:rPr>
        <w:t>hav</w:t>
      </w:r>
      <w:r w:rsidR="00AE45E4">
        <w:rPr>
          <w:color w:val="000000"/>
          <w:lang w:eastAsia="ja-JP"/>
        </w:rPr>
        <w:t>e</w:t>
      </w:r>
      <w:r w:rsidR="00AE45E4" w:rsidRPr="00E60418">
        <w:rPr>
          <w:color w:val="000000"/>
          <w:lang w:eastAsia="ja-JP"/>
        </w:rPr>
        <w:t xml:space="preserve"> died</w:t>
      </w:r>
      <w:r w:rsidR="00AE45E4">
        <w:rPr>
          <w:color w:val="000000"/>
          <w:lang w:eastAsia="ja-JP"/>
        </w:rPr>
        <w:t xml:space="preserve"> or transferred</w:t>
      </w:r>
      <w:r w:rsidR="00AE45E4" w:rsidRPr="00E60418">
        <w:rPr>
          <w:color w:val="000000"/>
          <w:lang w:eastAsia="ja-JP"/>
        </w:rPr>
        <w:t xml:space="preserve"> </w:t>
      </w:r>
      <w:r w:rsidR="00AE45E4">
        <w:rPr>
          <w:color w:val="000000"/>
          <w:lang w:eastAsia="ja-JP"/>
        </w:rPr>
        <w:t>are</w:t>
      </w:r>
      <w:r w:rsidR="00AE45E4" w:rsidRPr="00E60418">
        <w:rPr>
          <w:color w:val="000000"/>
          <w:lang w:eastAsia="ja-JP"/>
        </w:rPr>
        <w:t xml:space="preserve"> 20.8%</w:t>
      </w:r>
      <w:r w:rsidR="00AE45E4">
        <w:rPr>
          <w:color w:val="000000"/>
          <w:lang w:eastAsia="ja-JP"/>
        </w:rPr>
        <w:t xml:space="preserve"> and 35.9% respectively</w:t>
      </w:r>
      <w:r w:rsidR="00AE45E4" w:rsidRPr="00E60418">
        <w:rPr>
          <w:color w:val="000000"/>
          <w:lang w:eastAsia="ja-JP"/>
        </w:rPr>
        <w:t>.</w:t>
      </w:r>
      <w:r w:rsidR="00AE45E4" w:rsidRPr="00E60418">
        <w:rPr>
          <w:color w:val="000000" w:themeColor="text1"/>
        </w:rPr>
        <w:fldChar w:fldCharType="begin" w:fldLock="1"/>
      </w:r>
      <w:r w:rsidR="007527CC">
        <w:rPr>
          <w:color w:val="000000" w:themeColor="text1"/>
          <w:lang w:eastAsia="ja-JP"/>
        </w:rPr>
        <w:instrText>ADDIN CSL_CITATION {"citationItems":[{"id":"ITEM-1","itemData":{"DOI":"10.1002/jia2.25084","ISSN":"17582652","abstract":"Introduction: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Society","id":"ITEM-1","issue":"2","issued":{"date-parts":[["2018"]]},"page":"1-7","title":"Retention and mortality on antiretroviral therapy in sub-Saharan Africa: Collaborative analyses of HIV treatment programmes: Collaborative","type":"article-journal","volume":"21"},"uris":["http://www.mendeley.com/documents/?uuid=973be433-f329-438c-a007-d6d819f544b0"]}],"mendeley":{"formattedCitation":"&lt;sup&gt;56&lt;/sup&gt;","plainTextFormattedCitation":"56","previouslyFormattedCitation":"&lt;sup&gt;56&lt;/sup&gt;"},"properties":{"noteIndex":0},"schema":"https://github.com/citation-style-language/schema/raw/master/csl-citation.json"}</w:instrText>
      </w:r>
      <w:r w:rsidR="00AE45E4" w:rsidRPr="00E60418">
        <w:rPr>
          <w:color w:val="000000" w:themeColor="text1"/>
        </w:rPr>
        <w:fldChar w:fldCharType="separate"/>
      </w:r>
      <w:r w:rsidR="00036C3E" w:rsidRPr="00036C3E">
        <w:rPr>
          <w:noProof/>
          <w:color w:val="000000" w:themeColor="text1"/>
          <w:vertAlign w:val="superscript"/>
        </w:rPr>
        <w:t>56</w:t>
      </w:r>
      <w:r w:rsidR="00AE45E4" w:rsidRPr="00E60418">
        <w:rPr>
          <w:color w:val="000000" w:themeColor="text1"/>
        </w:rPr>
        <w:fldChar w:fldCharType="end"/>
      </w:r>
    </w:p>
    <w:p w14:paraId="00CA6265" w14:textId="33FAB9BE" w:rsidR="00925B9D" w:rsidRDefault="00925B9D" w:rsidP="00392AA9">
      <w:pPr>
        <w:pStyle w:val="ListParagraph"/>
        <w:ind w:left="1080"/>
        <w:jc w:val="both"/>
      </w:pPr>
    </w:p>
    <w:p w14:paraId="0B4C3974" w14:textId="7FC83622" w:rsidR="00C9678A" w:rsidRDefault="00C9678A" w:rsidP="001D10D4">
      <w:pPr>
        <w:jc w:val="both"/>
      </w:pPr>
    </w:p>
    <w:p w14:paraId="1085BE31" w14:textId="77777777" w:rsidR="00970472" w:rsidRDefault="00970472" w:rsidP="00970472">
      <w:pPr>
        <w:jc w:val="both"/>
        <w:rPr>
          <w:b/>
          <w:bCs/>
          <w:i/>
          <w:iCs/>
        </w:rPr>
      </w:pPr>
      <w:r>
        <w:rPr>
          <w:b/>
          <w:bCs/>
          <w:i/>
          <w:iCs/>
        </w:rPr>
        <w:t xml:space="preserve">Assumptions. </w:t>
      </w:r>
    </w:p>
    <w:p w14:paraId="75DE20C9" w14:textId="4EA94472" w:rsidR="00970472" w:rsidRDefault="00970472" w:rsidP="002E50FA">
      <w:pPr>
        <w:pStyle w:val="ListParagraph"/>
        <w:numPr>
          <w:ilvl w:val="0"/>
          <w:numId w:val="27"/>
        </w:numPr>
        <w:jc w:val="both"/>
      </w:pPr>
      <w:r>
        <w:t xml:space="preserve">We assume a linear trend in the decrease of CD4 level for individuals living with HIV. </w:t>
      </w:r>
    </w:p>
    <w:p w14:paraId="4EB3A4FA" w14:textId="342420E2" w:rsidR="00970472" w:rsidRPr="00675361" w:rsidRDefault="00925B9D" w:rsidP="002E50FA">
      <w:pPr>
        <w:pStyle w:val="ListParagraph"/>
        <w:numPr>
          <w:ilvl w:val="0"/>
          <w:numId w:val="27"/>
        </w:numPr>
        <w:jc w:val="both"/>
      </w:pPr>
      <w:r>
        <w:t>W</w:t>
      </w:r>
      <w:commentRangeStart w:id="208"/>
      <w:commentRangeStart w:id="209"/>
      <w:r w:rsidR="00970472" w:rsidRPr="00050905">
        <w:t>e assume that all patients who initiate ART are viral</w:t>
      </w:r>
      <w:r w:rsidR="00970472">
        <w:t>ly</w:t>
      </w:r>
      <w:r w:rsidR="00970472" w:rsidRPr="00050905">
        <w:t xml:space="preserve"> suppressed unless there is evidence of not being viral suppressed.</w:t>
      </w:r>
      <w:r w:rsidR="00970472" w:rsidRPr="00050905">
        <w:fldChar w:fldCharType="begin" w:fldLock="1"/>
      </w:r>
      <w:r w:rsidR="007527CC">
        <w:instrText>ADDIN CSL_CITATION {"citationItems":[{"id":"ITEM-1","itemData":{"author":[{"dropping-particle":"","family":"Rwanda Ministry of Health","given":"","non-dropping-particle":"","parse-names":false,"suffix":""}],"id":"ITEM-1","issued":{"date-parts":[["2018"]]},"number-of-pages":"1-40","title":"National Guidelines for Prevention and Managment of HIV - Edition 2018","type":"report"},"uris":["http://www.mendeley.com/documents/?uuid=a0b1743d-776f-4749-8f67-65bf09c0c005"]}],"mendeley":{"formattedCitation":"&lt;sup&gt;68&lt;/sup&gt;","plainTextFormattedCitation":"68","previouslyFormattedCitation":"&lt;sup&gt;68&lt;/sup&gt;"},"properties":{"noteIndex":0},"schema":"https://github.com/citation-style-language/schema/raw/master/csl-citation.json"}</w:instrText>
      </w:r>
      <w:r w:rsidR="00970472" w:rsidRPr="00050905">
        <w:fldChar w:fldCharType="separate"/>
      </w:r>
      <w:r w:rsidR="00036C3E" w:rsidRPr="00036C3E">
        <w:rPr>
          <w:noProof/>
          <w:vertAlign w:val="superscript"/>
        </w:rPr>
        <w:t>68</w:t>
      </w:r>
      <w:r w:rsidR="00970472" w:rsidRPr="00050905">
        <w:fldChar w:fldCharType="end"/>
      </w:r>
      <w:commentRangeEnd w:id="208"/>
      <w:r>
        <w:t xml:space="preserve"> </w:t>
      </w:r>
      <w:r w:rsidR="00473A23">
        <w:rPr>
          <w:rStyle w:val="CommentReference"/>
        </w:rPr>
        <w:commentReference w:id="208"/>
      </w:r>
      <w:commentRangeEnd w:id="209"/>
      <w:r>
        <w:rPr>
          <w:rStyle w:val="CommentReference"/>
        </w:rPr>
        <w:commentReference w:id="209"/>
      </w:r>
      <w:r>
        <w:t xml:space="preserve">To calculate the time-at-risk for individuals on ART and virally suppressed, the starting date until LTFU would be the date of ART initiation. </w:t>
      </w:r>
    </w:p>
    <w:p w14:paraId="3ED1C52A" w14:textId="5D3FC3D4" w:rsidR="00970472" w:rsidRDefault="00970472" w:rsidP="001D10D4">
      <w:pPr>
        <w:jc w:val="both"/>
      </w:pPr>
    </w:p>
    <w:p w14:paraId="724889EF" w14:textId="5E10FEB9" w:rsidR="00970472" w:rsidRDefault="00970472" w:rsidP="001D10D4">
      <w:pPr>
        <w:jc w:val="both"/>
        <w:rPr>
          <w:b/>
          <w:bCs/>
          <w:i/>
          <w:iCs/>
        </w:rPr>
      </w:pPr>
      <w:r>
        <w:rPr>
          <w:b/>
          <w:bCs/>
          <w:i/>
          <w:iCs/>
        </w:rPr>
        <w:t>Estimation.</w:t>
      </w:r>
    </w:p>
    <w:p w14:paraId="12FEE3F2" w14:textId="7107D8A7" w:rsidR="00970472" w:rsidRDefault="00970472" w:rsidP="00970472">
      <w:pPr>
        <w:jc w:val="both"/>
      </w:pPr>
      <w:r w:rsidRPr="005E7705">
        <w:t xml:space="preserve">The probability of </w:t>
      </w:r>
      <w:r>
        <w:t>LTFU</w:t>
      </w:r>
      <w:r w:rsidRPr="005E7705">
        <w:t xml:space="preserve"> will be estimated using a weighted competing risk model</w:t>
      </w:r>
      <w:r>
        <w:t xml:space="preserve"> for each sub-population (</w:t>
      </w:r>
      <w:r w:rsidR="00BB226C">
        <w:fldChar w:fldCharType="begin"/>
      </w:r>
      <w:r w:rsidR="00BB226C">
        <w:instrText xml:space="preserve"> REF _Ref82432073 \h </w:instrText>
      </w:r>
      <w:r w:rsidR="00BB226C">
        <w:fldChar w:fldCharType="separate"/>
      </w:r>
      <w:r w:rsidR="001E49BE" w:rsidRPr="00AD4AF4">
        <w:rPr>
          <w:b/>
          <w:bCs/>
          <w:lang w:eastAsia="zh-TW"/>
        </w:rPr>
        <w:t xml:space="preserve">Table </w:t>
      </w:r>
      <w:r w:rsidR="001E49BE">
        <w:rPr>
          <w:b/>
          <w:bCs/>
          <w:noProof/>
          <w:lang w:eastAsia="zh-TW"/>
        </w:rPr>
        <w:t>12</w:t>
      </w:r>
      <w:r w:rsidR="00BB226C">
        <w:fldChar w:fldCharType="end"/>
      </w:r>
      <w:r>
        <w:rPr>
          <w:b/>
          <w:bCs/>
        </w:rPr>
        <w:t>)</w:t>
      </w:r>
      <w:r w:rsidRPr="005E7705">
        <w:t xml:space="preserve">. </w:t>
      </w:r>
      <w:commentRangeStart w:id="210"/>
      <w:commentRangeStart w:id="211"/>
      <w:r>
        <w:t xml:space="preserve">This model is selected </w:t>
      </w:r>
      <w:r w:rsidR="00FB1639">
        <w:t xml:space="preserve">against the traditional Kaplan-Meier model because the probability of event (i.e., LTFU) is not independent to the censor </w:t>
      </w:r>
      <w:proofErr w:type="gramStart"/>
      <w:r w:rsidR="00FB1639">
        <w:t>date(</w:t>
      </w:r>
      <w:proofErr w:type="gramEnd"/>
      <w:r w:rsidR="00FB1639">
        <w:t xml:space="preserve">e.g., </w:t>
      </w:r>
      <w:r w:rsidR="00925B9D">
        <w:t xml:space="preserve">the probability of LTFU </w:t>
      </w:r>
      <w:r>
        <w:t xml:space="preserve">will be </w:t>
      </w:r>
      <w:r w:rsidR="00925B9D">
        <w:t xml:space="preserve">zero when </w:t>
      </w:r>
      <w:r>
        <w:t>patient has die</w:t>
      </w:r>
      <w:r w:rsidR="00FB1639">
        <w:t>d but would not be zero if they initiated ART</w:t>
      </w:r>
      <w:r w:rsidR="00925B9D">
        <w:t>)</w:t>
      </w:r>
      <w:r>
        <w:t xml:space="preserve">. </w:t>
      </w:r>
      <w:commentRangeEnd w:id="210"/>
      <w:r w:rsidR="00473A23">
        <w:rPr>
          <w:rStyle w:val="CommentReference"/>
        </w:rPr>
        <w:commentReference w:id="210"/>
      </w:r>
      <w:commentRangeEnd w:id="211"/>
      <w:r w:rsidR="00925E46">
        <w:rPr>
          <w:rStyle w:val="CommentReference"/>
        </w:rPr>
        <w:commentReference w:id="211"/>
      </w:r>
      <w:r>
        <w:t xml:space="preserve">Death will be modeled as the competing </w:t>
      </w:r>
      <w:commentRangeStart w:id="212"/>
      <w:r>
        <w:t>risk</w:t>
      </w:r>
      <w:commentRangeEnd w:id="212"/>
      <w:r w:rsidR="00473A23">
        <w:rPr>
          <w:rStyle w:val="CommentReference"/>
        </w:rPr>
        <w:commentReference w:id="212"/>
      </w:r>
      <w:r>
        <w:t>. The competing risk model is presented as follows.</w:t>
      </w:r>
    </w:p>
    <w:p w14:paraId="577B7DF9" w14:textId="77777777" w:rsidR="00970472" w:rsidRDefault="00970472" w:rsidP="00970472">
      <w:pPr>
        <w:jc w:val="both"/>
      </w:pPr>
    </w:p>
    <w:p w14:paraId="379CA91A" w14:textId="550F6432" w:rsidR="00970472" w:rsidRDefault="00000000" w:rsidP="00970472">
      <w:pPr>
        <w:pStyle w:val="BodyText"/>
        <w:spacing w:before="0" w:after="0"/>
        <w:jc w:val="both"/>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p</m:t>
            </m:r>
          </m:sub>
          <m:sup>
            <m:r>
              <w:rPr>
                <w:rFonts w:ascii="Cambria Math" w:hAnsi="Cambria Math"/>
              </w:rPr>
              <m:t>w</m:t>
            </m:r>
          </m:sup>
        </m:sSubSup>
        <m:d>
          <m:dPr>
            <m:ctrlPr>
              <w:rPr>
                <w:rFonts w:ascii="Cambria Math" w:hAnsi="Cambria Math"/>
                <w:i/>
              </w:rPr>
            </m:ctrlPr>
          </m:dPr>
          <m:e>
            <m:r>
              <w:rPr>
                <w:rFonts w:ascii="Cambria Math" w:hAnsi="Cambria Math"/>
              </w:rPr>
              <m:t>t</m:t>
            </m:r>
          </m:e>
          <m:e>
            <m:r>
              <m:rPr>
                <m:sty m:val="bi"/>
              </m:rPr>
              <w:rPr>
                <w:rFonts w:ascii="Cambria Math" w:hAnsi="Cambria Math"/>
              </w:rPr>
              <m:t>X</m:t>
            </m:r>
          </m:e>
        </m:d>
        <m:r>
          <w:rPr>
            <w:rFonts w:ascii="Cambria Math" w:hAnsi="Cambria Math"/>
          </w:rPr>
          <m:t xml:space="preserve">= </m:t>
        </m:r>
        <m:nary>
          <m:naryPr>
            <m:limLoc m:val="subSup"/>
            <m:ctrlPr>
              <w:rPr>
                <w:rFonts w:ascii="Cambria Math" w:hAnsi="Cambria Math"/>
                <w:i/>
              </w:rPr>
            </m:ctrlPr>
          </m:naryPr>
          <m:sub>
            <m:r>
              <w:rPr>
                <w:rFonts w:ascii="Cambria Math" w:hAnsi="Cambria Math"/>
              </w:rPr>
              <m:t>o</m:t>
            </m:r>
          </m:sub>
          <m:sup>
            <m:r>
              <w:rPr>
                <w:rFonts w:ascii="Cambria Math" w:hAnsi="Cambria Math"/>
              </w:rPr>
              <m:t>t</m:t>
            </m:r>
          </m:sup>
          <m:e>
            <m:sSup>
              <m:sSupPr>
                <m:ctrlPr>
                  <w:rPr>
                    <w:rFonts w:ascii="Cambria Math" w:hAnsi="Cambria Math"/>
                    <w:i/>
                  </w:rPr>
                </m:ctrlPr>
              </m:sSupPr>
              <m:e>
                <m:r>
                  <w:rPr>
                    <w:rFonts w:ascii="Cambria Math" w:hAnsi="Cambria Math"/>
                  </w:rPr>
                  <m:t>S</m:t>
                </m:r>
              </m:e>
              <m:sup>
                <m:r>
                  <w:rPr>
                    <w:rFonts w:ascii="Cambria Math" w:hAnsi="Cambria Math"/>
                  </w:rPr>
                  <m:t>w</m:t>
                </m:r>
              </m:sup>
            </m:sSup>
            <m:d>
              <m:dPr>
                <m:ctrlPr>
                  <w:rPr>
                    <w:rFonts w:ascii="Cambria Math" w:hAnsi="Cambria Math"/>
                    <w:i/>
                  </w:rPr>
                </m:ctrlPr>
              </m:dPr>
              <m:e>
                <m:r>
                  <w:rPr>
                    <w:rFonts w:ascii="Cambria Math" w:hAnsi="Cambria Math"/>
                  </w:rPr>
                  <m:t>s</m:t>
                </m:r>
              </m:e>
              <m:e>
                <m:r>
                  <m:rPr>
                    <m:sty m:val="bi"/>
                  </m:rPr>
                  <w:rPr>
                    <w:rFonts w:ascii="Cambria Math" w:hAnsi="Cambria Math"/>
                  </w:rPr>
                  <m:t>X</m:t>
                </m:r>
              </m:e>
            </m:d>
            <m:r>
              <w:rPr>
                <w:rFonts w:ascii="Cambria Math" w:hAnsi="Cambria Math"/>
              </w:rPr>
              <m:t xml:space="preserve"> </m:t>
            </m:r>
            <m:sSubSup>
              <m:sSubSupPr>
                <m:ctrlPr>
                  <w:rPr>
                    <w:rFonts w:ascii="Cambria Math" w:hAnsi="Cambria Math"/>
                    <w:i/>
                    <w:iCs/>
                  </w:rPr>
                </m:ctrlPr>
              </m:sSubSupPr>
              <m:e>
                <m:r>
                  <w:rPr>
                    <w:rFonts w:ascii="Cambria Math" w:hAnsi="Cambria Math"/>
                  </w:rPr>
                  <m:t>h</m:t>
                </m:r>
              </m:e>
              <m:sub>
                <m:r>
                  <w:rPr>
                    <w:rFonts w:ascii="Cambria Math" w:hAnsi="Cambria Math"/>
                  </w:rPr>
                  <m:t>p</m:t>
                </m:r>
              </m:sub>
              <m:sup>
                <m:r>
                  <w:rPr>
                    <w:rFonts w:ascii="Cambria Math" w:hAnsi="Cambria Math"/>
                  </w:rPr>
                  <m:t>w</m:t>
                </m:r>
              </m:sup>
            </m:sSubSup>
            <m:d>
              <m:dPr>
                <m:ctrlPr>
                  <w:rPr>
                    <w:rFonts w:ascii="Cambria Math" w:hAnsi="Cambria Math"/>
                    <w:i/>
                  </w:rPr>
                </m:ctrlPr>
              </m:dPr>
              <m:e>
                <m:r>
                  <w:rPr>
                    <w:rFonts w:ascii="Cambria Math" w:hAnsi="Cambria Math"/>
                  </w:rPr>
                  <m:t>s</m:t>
                </m:r>
              </m:e>
              <m:e>
                <m:r>
                  <m:rPr>
                    <m:sty m:val="bi"/>
                  </m:rPr>
                  <w:rPr>
                    <w:rFonts w:ascii="Cambria Math" w:hAnsi="Cambria Math"/>
                  </w:rPr>
                  <m:t>X</m:t>
                </m:r>
              </m:e>
            </m:d>
            <m:r>
              <w:rPr>
                <w:rFonts w:ascii="Cambria Math" w:hAnsi="Cambria Math"/>
              </w:rPr>
              <m:t xml:space="preserve"> ds</m:t>
            </m:r>
          </m:e>
        </m:nary>
      </m:oMath>
      <w:r w:rsidR="005F66A3">
        <w:rPr>
          <w:rFonts w:eastAsiaTheme="minorEastAsia"/>
        </w:rPr>
        <w:tab/>
      </w:r>
      <w:r w:rsidR="005F66A3">
        <w:rPr>
          <w:rFonts w:eastAsiaTheme="minorEastAsia"/>
        </w:rPr>
        <w:tab/>
      </w:r>
      <w:r w:rsidR="005F66A3">
        <w:rPr>
          <w:rFonts w:eastAsiaTheme="minorEastAsia"/>
        </w:rPr>
        <w:tab/>
      </w:r>
      <w:r w:rsidR="005F66A3">
        <w:rPr>
          <w:rFonts w:eastAsiaTheme="minorEastAsia"/>
        </w:rPr>
        <w:tab/>
      </w:r>
      <w:r w:rsidR="005F66A3">
        <w:rPr>
          <w:rFonts w:eastAsiaTheme="minorEastAsia"/>
        </w:rPr>
        <w:tab/>
      </w:r>
      <w:r w:rsidR="005F66A3">
        <w:rPr>
          <w:rFonts w:eastAsiaTheme="minorEastAsia"/>
        </w:rPr>
        <w:tab/>
      </w:r>
      <w:r w:rsidR="005F66A3">
        <w:rPr>
          <w:rFonts w:eastAsiaTheme="minorEastAsia"/>
        </w:rPr>
        <w:tab/>
      </w:r>
      <w:r w:rsidR="005F66A3">
        <w:rPr>
          <w:rFonts w:eastAsiaTheme="minorEastAsia"/>
        </w:rPr>
        <w:tab/>
        <w:t>(</w:t>
      </w:r>
      <w:r w:rsidR="00FA0F83">
        <w:rPr>
          <w:rFonts w:eastAsiaTheme="minorEastAsia"/>
        </w:rPr>
        <w:t>10</w:t>
      </w:r>
      <w:r w:rsidR="005F66A3">
        <w:rPr>
          <w:rFonts w:eastAsiaTheme="minorEastAsia"/>
        </w:rPr>
        <w:t>)</w:t>
      </w:r>
    </w:p>
    <w:p w14:paraId="5EA674CE" w14:textId="77777777" w:rsidR="005F66A3" w:rsidRPr="005F66A3" w:rsidRDefault="005F66A3" w:rsidP="00970472">
      <w:pPr>
        <w:pStyle w:val="BodyText"/>
        <w:spacing w:before="0" w:after="0"/>
        <w:jc w:val="both"/>
      </w:pPr>
    </w:p>
    <w:p w14:paraId="101016A7" w14:textId="63B80862" w:rsidR="00970472" w:rsidRDefault="00970472" w:rsidP="00970472">
      <w:pPr>
        <w:pStyle w:val="BodyText"/>
        <w:spacing w:before="0" w:after="0"/>
        <w:jc w:val="both"/>
        <w:rPr>
          <w:iCs/>
        </w:rPr>
      </w:pPr>
      <w:r w:rsidRPr="005E7705">
        <w:rPr>
          <w:iCs/>
        </w:rPr>
        <w:t>Where,</w:t>
      </w:r>
      <w:r w:rsidRPr="005E7705">
        <w:rPr>
          <w:i/>
        </w:rPr>
        <w:t xml:space="preserve"> p</w:t>
      </w:r>
      <w:r w:rsidRPr="005E7705">
        <w:rPr>
          <w:iCs/>
        </w:rPr>
        <w:t xml:space="preserve"> =</w:t>
      </w:r>
      <w:r>
        <w:rPr>
          <w:iCs/>
        </w:rPr>
        <w:t xml:space="preserve"> LTFU</w:t>
      </w:r>
      <w:r w:rsidRPr="005E7705">
        <w:t xml:space="preserve">, w = weight to account for underestimation of </w:t>
      </w:r>
      <w:r>
        <w:t xml:space="preserve">death, </w:t>
      </w:r>
      <w:r w:rsidRPr="005E7705">
        <w:rPr>
          <w:i/>
          <w:iCs/>
        </w:rPr>
        <w:t xml:space="preserve">S </w:t>
      </w:r>
      <w:r w:rsidRPr="005E7705">
        <w:t xml:space="preserve">= event-free function (survival from </w:t>
      </w:r>
      <w:r>
        <w:t>death</w:t>
      </w:r>
      <w:r w:rsidRPr="005E7705">
        <w:t xml:space="preserve">, or </w:t>
      </w:r>
      <w:r>
        <w:t>LTFU</w:t>
      </w:r>
      <w:r w:rsidRPr="005E7705">
        <w:t>),</w:t>
      </w:r>
      <w:r w:rsidRPr="005E7705">
        <w:rPr>
          <w:iCs/>
        </w:rP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p</m:t>
            </m:r>
          </m:sub>
          <m:sup>
            <m:r>
              <w:rPr>
                <w:rFonts w:ascii="Cambria Math" w:hAnsi="Cambria Math"/>
              </w:rPr>
              <m:t>w</m:t>
            </m:r>
          </m:sup>
        </m:sSubSup>
        <m:d>
          <m:dPr>
            <m:ctrlPr>
              <w:rPr>
                <w:rFonts w:ascii="Cambria Math" w:hAnsi="Cambria Math"/>
                <w:i/>
              </w:rPr>
            </m:ctrlPr>
          </m:dPr>
          <m:e>
            <m:r>
              <w:rPr>
                <w:rFonts w:ascii="Cambria Math" w:hAnsi="Cambria Math"/>
              </w:rPr>
              <m:t>t</m:t>
            </m:r>
          </m:e>
          <m:e>
            <m:r>
              <m:rPr>
                <m:sty m:val="bi"/>
              </m:rPr>
              <w:rPr>
                <w:rFonts w:ascii="Cambria Math" w:hAnsi="Cambria Math"/>
              </w:rPr>
              <m:t>X</m:t>
            </m:r>
          </m:e>
        </m:d>
      </m:oMath>
      <w:r w:rsidRPr="005E7705">
        <w:rPr>
          <w:iCs/>
        </w:rPr>
        <w:t xml:space="preserve"> = weighted probability of </w:t>
      </w:r>
      <w:r>
        <w:rPr>
          <w:iCs/>
        </w:rPr>
        <w:t>LTFU</w:t>
      </w:r>
      <w:r w:rsidRPr="005E7705">
        <w:rPr>
          <w:iCs/>
        </w:rPr>
        <w:t xml:space="preserve"> before time</w:t>
      </w:r>
      <m:oMath>
        <m:r>
          <w:rPr>
            <w:rFonts w:ascii="Cambria Math" w:hAnsi="Cambria Math"/>
          </w:rPr>
          <m:t xml:space="preserve"> t</m:t>
        </m:r>
      </m:oMath>
      <w:r w:rsidRPr="005E7705">
        <w:rPr>
          <w:iCs/>
        </w:rPr>
        <w:t xml:space="preserve">, </w:t>
      </w:r>
      <w:r w:rsidRPr="005E7705">
        <w:rPr>
          <w:b/>
          <w:bCs/>
          <w:i/>
        </w:rPr>
        <w:t>X</w:t>
      </w:r>
      <w:r w:rsidRPr="005E7705">
        <w:rPr>
          <w:b/>
          <w:bCs/>
          <w:iCs/>
        </w:rPr>
        <w:t xml:space="preserve"> </w:t>
      </w:r>
      <w:r w:rsidRPr="005E7705">
        <w:rPr>
          <w:iCs/>
        </w:rPr>
        <w:t xml:space="preserve">= vector of predictor variables (e.g., site) for patient </w:t>
      </w:r>
      <m:oMath>
        <m:r>
          <w:rPr>
            <w:rFonts w:ascii="Cambria Math" w:hAnsi="Cambria Math"/>
          </w:rPr>
          <m:t>i</m:t>
        </m:r>
      </m:oMath>
      <w:r w:rsidRPr="005E7705">
        <w:rPr>
          <w:iCs/>
        </w:rPr>
        <w:t xml:space="preserve">, </w:t>
      </w:r>
      <m:oMath>
        <m:sSubSup>
          <m:sSubSupPr>
            <m:ctrlPr>
              <w:rPr>
                <w:rFonts w:ascii="Cambria Math" w:hAnsi="Cambria Math"/>
                <w:i/>
                <w:iCs/>
              </w:rPr>
            </m:ctrlPr>
          </m:sSubSupPr>
          <m:e>
            <m:r>
              <w:rPr>
                <w:rFonts w:ascii="Cambria Math" w:hAnsi="Cambria Math"/>
              </w:rPr>
              <m:t>h</m:t>
            </m:r>
          </m:e>
          <m:sub>
            <m:r>
              <w:rPr>
                <w:rFonts w:ascii="Cambria Math" w:hAnsi="Cambria Math"/>
              </w:rPr>
              <m:t>p</m:t>
            </m:r>
          </m:sub>
          <m:sup>
            <m:r>
              <w:rPr>
                <w:rFonts w:ascii="Cambria Math" w:hAnsi="Cambria Math"/>
              </w:rPr>
              <m:t>w</m:t>
            </m:r>
          </m:sup>
        </m:sSubSup>
        <m:d>
          <m:dPr>
            <m:ctrlPr>
              <w:rPr>
                <w:rFonts w:ascii="Cambria Math" w:hAnsi="Cambria Math"/>
                <w:i/>
              </w:rPr>
            </m:ctrlPr>
          </m:dPr>
          <m:e>
            <m:r>
              <w:rPr>
                <w:rFonts w:ascii="Cambria Math" w:hAnsi="Cambria Math"/>
              </w:rPr>
              <m:t>s</m:t>
            </m:r>
          </m:e>
          <m:e>
            <m:r>
              <m:rPr>
                <m:sty m:val="bi"/>
              </m:rPr>
              <w:rPr>
                <w:rFonts w:ascii="Cambria Math" w:hAnsi="Cambria Math"/>
              </w:rPr>
              <m:t>X</m:t>
            </m:r>
          </m:e>
        </m:d>
      </m:oMath>
      <w:r w:rsidRPr="005E7705">
        <w:rPr>
          <w:iCs/>
        </w:rPr>
        <w:t xml:space="preserve"> = cause-specific weighted hazard </w:t>
      </w:r>
      <w:r w:rsidRPr="005E7705">
        <w:rPr>
          <w:iCs/>
        </w:rPr>
        <w:lastRenderedPageBreak/>
        <w:t xml:space="preserve">function for </w:t>
      </w:r>
      <w:r>
        <w:rPr>
          <w:iCs/>
        </w:rPr>
        <w:t>LTFU</w:t>
      </w:r>
      <w:r w:rsidRPr="005E7705">
        <w:rPr>
          <w:iCs/>
        </w:rPr>
        <w:t xml:space="preserve">, and </w:t>
      </w:r>
      <m:oMath>
        <m:sSup>
          <m:sSupPr>
            <m:ctrlPr>
              <w:rPr>
                <w:rFonts w:ascii="Cambria Math" w:hAnsi="Cambria Math"/>
                <w:i/>
              </w:rPr>
            </m:ctrlPr>
          </m:sSupPr>
          <m:e>
            <m:r>
              <w:rPr>
                <w:rFonts w:ascii="Cambria Math" w:hAnsi="Cambria Math"/>
              </w:rPr>
              <m:t>S</m:t>
            </m:r>
          </m:e>
          <m:sup>
            <m:r>
              <w:rPr>
                <w:rFonts w:ascii="Cambria Math" w:hAnsi="Cambria Math"/>
              </w:rPr>
              <m:t>w</m:t>
            </m:r>
          </m:sup>
        </m:sSup>
        <m:d>
          <m:dPr>
            <m:ctrlPr>
              <w:rPr>
                <w:rFonts w:ascii="Cambria Math" w:hAnsi="Cambria Math"/>
                <w:i/>
              </w:rPr>
            </m:ctrlPr>
          </m:dPr>
          <m:e>
            <m:r>
              <w:rPr>
                <w:rFonts w:ascii="Cambria Math" w:hAnsi="Cambria Math"/>
              </w:rPr>
              <m:t>s</m:t>
            </m:r>
          </m:e>
          <m:e>
            <m:r>
              <m:rPr>
                <m:sty m:val="bi"/>
              </m:rPr>
              <w:rPr>
                <w:rFonts w:ascii="Cambria Math" w:hAnsi="Cambria Math"/>
              </w:rPr>
              <m:t>X</m:t>
            </m:r>
          </m:e>
        </m:d>
      </m:oMath>
      <w:r w:rsidRPr="005E7705">
        <w:rPr>
          <w:iCs/>
        </w:rPr>
        <w:t xml:space="preserve"> = time-dependent weighted probability that the patient with factors </w:t>
      </w:r>
      <w:r w:rsidRPr="005E7705">
        <w:rPr>
          <w:b/>
          <w:bCs/>
          <w:i/>
        </w:rPr>
        <w:t>X</w:t>
      </w:r>
      <w:r w:rsidRPr="005E7705">
        <w:rPr>
          <w:iCs/>
        </w:rPr>
        <w:t xml:space="preserve"> is event-free.</w:t>
      </w:r>
    </w:p>
    <w:p w14:paraId="4D08F1EC" w14:textId="2D591C86" w:rsidR="00970472" w:rsidRDefault="00970472" w:rsidP="001D10D4">
      <w:pPr>
        <w:jc w:val="both"/>
        <w:rPr>
          <w:b/>
          <w:bCs/>
        </w:rPr>
      </w:pPr>
    </w:p>
    <w:p w14:paraId="0C225642" w14:textId="5C24AE3A" w:rsidR="00970472" w:rsidRPr="00665C6D" w:rsidRDefault="00970472" w:rsidP="00970472">
      <w:pPr>
        <w:pStyle w:val="BodyText"/>
        <w:spacing w:before="0" w:after="0"/>
        <w:jc w:val="both"/>
        <w:rPr>
          <w:iCs/>
        </w:rPr>
      </w:pPr>
      <w:r>
        <w:t xml:space="preserve">In the weighted competing risk model, we will calculate time at risk </w:t>
      </w:r>
      <w:r w:rsidRPr="00050905">
        <w:t xml:space="preserve">within </w:t>
      </w:r>
      <w:r>
        <w:t>each</w:t>
      </w:r>
      <w:r w:rsidRPr="00050905">
        <w:t xml:space="preserve"> CD4 cell count stratum</w:t>
      </w:r>
      <w:r>
        <w:t xml:space="preserve"> for each individual to estimate the hazard function in the model. The process for estimating the time-at-risk can be found in </w:t>
      </w:r>
      <w:r w:rsidR="00BB226C">
        <w:rPr>
          <w:b/>
          <w:bCs/>
        </w:rPr>
        <w:t xml:space="preserve">Section </w:t>
      </w:r>
      <w:r w:rsidR="00BB226C">
        <w:rPr>
          <w:b/>
          <w:bCs/>
        </w:rPr>
        <w:fldChar w:fldCharType="begin"/>
      </w:r>
      <w:r w:rsidR="00BB226C">
        <w:rPr>
          <w:b/>
          <w:bCs/>
        </w:rPr>
        <w:instrText xml:space="preserve"> REF _Ref82432125 \r \h </w:instrText>
      </w:r>
      <w:r w:rsidR="00BB226C">
        <w:rPr>
          <w:b/>
          <w:bCs/>
        </w:rPr>
      </w:r>
      <w:r w:rsidR="00BB226C">
        <w:rPr>
          <w:b/>
          <w:bCs/>
        </w:rPr>
        <w:fldChar w:fldCharType="separate"/>
      </w:r>
      <w:r w:rsidR="001E49BE">
        <w:rPr>
          <w:b/>
          <w:bCs/>
        </w:rPr>
        <w:t>11.4</w:t>
      </w:r>
      <w:r w:rsidR="00BB226C">
        <w:rPr>
          <w:b/>
          <w:bCs/>
        </w:rPr>
        <w:fldChar w:fldCharType="end"/>
      </w:r>
      <w:r>
        <w:rPr>
          <w:b/>
          <w:bCs/>
        </w:rPr>
        <w:t xml:space="preserve">. </w:t>
      </w:r>
      <w:r>
        <w:t xml:space="preserve">We will control for site-level factors only (i.e. clinics) since </w:t>
      </w:r>
      <w:r w:rsidRPr="005E7705">
        <w:t>clinic- or site-level factors can be associated with disease progression</w:t>
      </w:r>
      <w:r>
        <w:t xml:space="preserve"> </w:t>
      </w:r>
      <w:r w:rsidRPr="005E7705">
        <w:t>(e.g. nutrition support programs).</w:t>
      </w:r>
      <w:r w:rsidRPr="005E7705">
        <w:fldChar w:fldCharType="begin" w:fldLock="1"/>
      </w:r>
      <w:r w:rsidR="007527CC">
        <w:instrText>ADDIN CSL_CITATION {"citationItems":[{"id":"ITEM-1","itemData":{"DOI":"10.1186/1742-6405-4-11","ISSN":"17426405","abstract":"During the extended clinically latent period associated with Human Immunodeficiency Virus (HIV) infection the virus itself is far from latent. This phase of infection generally comes to an end with the development of symptomatic illness. Understanding the factors affecting disease progression can aid treatment commencement and therapeutic monitoring decisions. An example of this is the clear utility of CD4+ T-cell count and HIV-RNA for disease stage and progression assessment. Elements of the immune response such as the diversity of HIV-specific cytotoxic lymphocyte responses and cell-surface CD38 expression correlate significantly with the control of viral replication. However, the relationship between soluble markers of immune activation and disease progression remains inconclusive. In patients on treatment, sustained virological rebound to &gt;10 000 copies/mL is associated with poor clinical outcome. However, the same is not true of transient elevations of HIV RNA (blips). Another virological factor, drug resistance, is becoming a growing problem around the globe and monitoring must play a part in the surveillance and control of the epidemic worldwide. The links between chemokine receptor tropism and rate of disease progression remain uncertain and the clinical utility of monitoring viral strain is yet to be determined. The large number of confounding factors has made investigation of the roles of race and viral subtype difficult, and further research is needed to elucidate their significance. Host actors such as age, HLA and CYP polymorphisms and psychosocial factors remain important, though often unalterable, predictors of disease progression. Although gender and mode of transmission have a lesser role in disease progression, they may impact other markers such as viral load. Finally, readily measurable markers of disease such as total lymphocyte count, haemoglobin, body mass index and delayed type hypersensitivity may come into favour as ART becomes increasingly available in resource-limited parts of the world. The influence of these, and other factors, on the clinical progression of HIV infection are reviewed in detail, both preceding and following treatment initiation. © 2007 Langford et al; licensee BioMed Central Ltd.","author":[{"dropping-particle":"","family":"Langford","given":"Simone E.","non-dropping-particle":"","parse-names":false,"suffix":""},{"dropping-particle":"","family":"Ananworanich","given":"Jintanat","non-dropping-particle":"","parse-names":false,"suffix":""},{"dropping-particle":"","family":"Cooper","given":"David A.","non-dropping-particle":"","parse-names":false,"suffix":""}],"container-title":"AIDS Research and Therapy","id":"ITEM-1","issued":{"date-parts":[["2007"]]},"title":"Predictors of disease progression in HIV infection: A review","type":"article"},"uris":["http://www.mendeley.com/documents/?uuid=4a0d521d-4a7b-404e-bf76-154daa1c3363"]}],"mendeley":{"formattedCitation":"&lt;sup&gt;62&lt;/sup&gt;","plainTextFormattedCitation":"62","previouslyFormattedCitation":"&lt;sup&gt;62&lt;/sup&gt;"},"properties":{"noteIndex":0},"schema":"https://github.com/citation-style-language/schema/raw/master/csl-citation.json"}</w:instrText>
      </w:r>
      <w:r w:rsidRPr="005E7705">
        <w:fldChar w:fldCharType="separate"/>
      </w:r>
      <w:r w:rsidR="00036C3E" w:rsidRPr="00036C3E">
        <w:rPr>
          <w:noProof/>
          <w:vertAlign w:val="superscript"/>
        </w:rPr>
        <w:t>62</w:t>
      </w:r>
      <w:r w:rsidRPr="005E7705">
        <w:fldChar w:fldCharType="end"/>
      </w:r>
      <w:r w:rsidRPr="005E7705">
        <w:t xml:space="preserve"> </w:t>
      </w:r>
      <w:r>
        <w:t xml:space="preserve">We did not control for demographic characteristics or disease stage since the model is applied to each sub-population by CD4 stratum. </w:t>
      </w:r>
      <w:r>
        <w:rPr>
          <w:iCs/>
        </w:rPr>
        <w:t xml:space="preserve">The variables created for the model and </w:t>
      </w:r>
      <w:proofErr w:type="spellStart"/>
      <w:r>
        <w:rPr>
          <w:iCs/>
        </w:rPr>
        <w:t>IeDEA</w:t>
      </w:r>
      <w:proofErr w:type="spellEnd"/>
      <w:r>
        <w:rPr>
          <w:iCs/>
        </w:rPr>
        <w:t xml:space="preserve"> data used is presented in</w:t>
      </w:r>
      <w:r w:rsidR="00BB226C">
        <w:rPr>
          <w:iCs/>
        </w:rPr>
        <w:t xml:space="preserve"> </w:t>
      </w:r>
      <w:r w:rsidR="00BB226C">
        <w:rPr>
          <w:iCs/>
        </w:rPr>
        <w:fldChar w:fldCharType="begin"/>
      </w:r>
      <w:r w:rsidR="00BB226C">
        <w:rPr>
          <w:iCs/>
        </w:rPr>
        <w:instrText xml:space="preserve"> REF _Ref82432028 \h </w:instrText>
      </w:r>
      <w:r w:rsidR="00BB226C">
        <w:rPr>
          <w:iCs/>
        </w:rPr>
      </w:r>
      <w:r w:rsidR="00BB226C">
        <w:rPr>
          <w:iCs/>
        </w:rPr>
        <w:fldChar w:fldCharType="separate"/>
      </w:r>
      <w:r w:rsidR="001E49BE" w:rsidRPr="004F6186">
        <w:rPr>
          <w:b/>
          <w:bCs/>
          <w:color w:val="000000" w:themeColor="text1"/>
        </w:rPr>
        <w:t xml:space="preserve">Table </w:t>
      </w:r>
      <w:r w:rsidR="001E49BE">
        <w:rPr>
          <w:b/>
          <w:bCs/>
          <w:noProof/>
          <w:color w:val="000000" w:themeColor="text1"/>
        </w:rPr>
        <w:t>13</w:t>
      </w:r>
      <w:r w:rsidR="00BB226C">
        <w:rPr>
          <w:iCs/>
        </w:rPr>
        <w:fldChar w:fldCharType="end"/>
      </w:r>
      <w:r>
        <w:rPr>
          <w:iCs/>
        </w:rPr>
        <w:t>.</w:t>
      </w:r>
    </w:p>
    <w:p w14:paraId="4EA80F0E" w14:textId="1C53E065" w:rsidR="00970472" w:rsidRPr="00970472" w:rsidRDefault="00970472" w:rsidP="001D10D4">
      <w:pPr>
        <w:jc w:val="both"/>
        <w:rPr>
          <w:b/>
          <w:bCs/>
        </w:rPr>
      </w:pPr>
    </w:p>
    <w:p w14:paraId="0A233AF2" w14:textId="063CD392" w:rsidR="00C9678A" w:rsidRPr="00050905" w:rsidRDefault="00970472" w:rsidP="00970472">
      <w:pPr>
        <w:jc w:val="both"/>
      </w:pPr>
      <w:r w:rsidRPr="005E7705">
        <w:t xml:space="preserve">The model </w:t>
      </w:r>
      <w:r>
        <w:t xml:space="preserve">will </w:t>
      </w:r>
      <w:r w:rsidRPr="005E7705">
        <w:t>adjust for misclassification of competing risks (due to death) and censoring events</w:t>
      </w:r>
      <w:r>
        <w:t xml:space="preserve"> (</w:t>
      </w:r>
      <w:proofErr w:type="gramStart"/>
      <w:r>
        <w:t>e.g.</w:t>
      </w:r>
      <w:proofErr w:type="gramEnd"/>
      <w:r>
        <w:t xml:space="preserve"> database closer, transfer, ART initiation, or </w:t>
      </w:r>
      <w:r w:rsidR="003C7D23">
        <w:t>virological</w:t>
      </w:r>
      <w:r>
        <w:t xml:space="preserve"> failure)</w:t>
      </w:r>
      <w:r w:rsidRPr="005E7705">
        <w:t>.</w:t>
      </w:r>
      <w:r>
        <w:t xml:space="preserve"> </w:t>
      </w:r>
      <w:r w:rsidR="00C9678A" w:rsidRPr="00050905">
        <w:t>Evidence from sub-Saharan Africa suggests that some patients recorded as LTFU had died or transferred to another clinic.</w:t>
      </w:r>
      <w:r w:rsidR="00C9678A" w:rsidRPr="00050905">
        <w:fldChar w:fldCharType="begin" w:fldLock="1"/>
      </w:r>
      <w:r w:rsidR="007527CC">
        <w:instrText>ADDIN CSL_CITATION {"citationItems":[{"id":"ITEM-1","itemData":{"DOI":"10.2471/BLT.07.044248","ISSN":"00429686","PMID":"18670668","abstract":"Objective: To analyse the early loss of patients to antiretroviral therapy (ART) programmes in resource-limited settings. Methods: Using data on 5491 adult patients starting ART (median age 35 years, 46% female) in 15 treatment programmes in Africa, Asia and South America with ≥ 12 months of follow-up, we investigated risk factors for no follow-up after treatment initiation, and loss to follow-up or death in the first 6 months. Findings: Overall, 211 patients (3.8%) had no follow-up, 880 (16.0%) were lost to follow-up and 141 (2.6%) were known to have died in the first 6 months. The probability of no follow-up was higher in 2003-2004 than in 2000 or earlier (odds ratio, OR: 5.06; 95% confidence interval, CI: 1.28-20.0), as was loss to follow-up (hazard ratio, HR: 7.62; 95% CI: 4.55-12.8) but not recorded death (HR: 1.02; 95% CI: 0.44-2.36). Compared with a baseline CD4-cell count ≥ 50 cells/μl, a count &lt; 25 cells/μl was associated with a higher probability of no follow-up (OR: 2.49; 95% CI: 1.43-4.33), loss to follow-up (HR: 1.48; 95% CI: 1.23-1.77) and death (HR: 3.34; 95% CI: 2.10-5.30). Compared to free treatment, fee-for-service programmes were associated with a higher probability of no follow-up (OR: 3.71; 95% CI: 0.97-16.05) and higher mortality (HR: 4.64; 95% CI: 1.11-19.41). Conclusion: Early patient losses were increasingly common when programmes were scaled up and were associated with a fee for service and advanced immunodeficiency at baseline. Measures to maximize ART programme retention are required in resource-poor countries.","author":[{"dropping-particle":"","family":"Brinkhof","given":"Martin W.G.","non-dropping-particle":"","parse-names":false,"suffix":""},{"dropping-particle":"","family":"Dabis","given":"François","non-dropping-particle":"","parse-names":false,"suffix":""},{"dropping-particle":"","family":"Myer","given":"Landon","non-dropping-particle":"","parse-names":false,"suffix":""},{"dropping-particle":"","family":"Bangsberg","given":"David R.","non-dropping-particle":"","parse-names":false,"suffix":""},{"dropping-particle":"","family":"Boulle","given":"Andrew","non-dropping-particle":"","parse-names":false,"suffix":""},{"dropping-particle":"","family":"Nash","given":"Denis","non-dropping-particle":"","parse-names":false,"suffix":""},{"dropping-particle":"","family":"Schechter","given":"Mauro","non-dropping-particle":"","parse-names":false,"suffix":""},{"dropping-particle":"","family":"Laurent","given":"Christian","non-dropping-particle":"","parse-names":false,"suffix":""},{"dropping-particle":"","family":"Keiser","given":"Olivia","non-dropping-particle":"","parse-names":false,"suffix":""},{"dropping-particle":"","family":"May","given":"Margaret","non-dropping-particle":"","parse-names":false,"suffix":""},{"dropping-particle":"","family":"Sprinz","given":"Eduardo","non-dropping-particle":"","parse-names":false,"suffix":""},{"dropping-particle":"","family":"Egger","given":"Matthias","non-dropping-particle":"","parse-names":false,"suffix":""},{"dropping-particle":"","family":"Anglaret","given":"Xavier","non-dropping-particle":"","parse-names":false,"suffix":""}],"container-title":"Bulletin of the World Health Organization","id":"ITEM-1","issue":"7","issued":{"date-parts":[["2008"]]},"page":"559-567","title":"Early loss of HIV-infected patients on potent antiretroviral therapy programmes in lower-income countries","type":"article-journal","volume":"86"},"uris":["http://www.mendeley.com/documents/?uuid=d04be326-fec1-4921-8606-5c9a05fdd889"]},{"id":"ITEM-2","itemData":{"DOI":"10.1002/jia2.25178","ISSN":"17582652","abstract":"Introduction: Adolescence and pregnancy are potential risk factors for loss to follow-up (LTFU) while on antiretroviral therapy (ART). We compared adolescent and adult LTFU after ART initiation to quantify the impact of age, pregnancy, and site-level factors on LTFU. Methods: We used routine clinical data for patients initiating ART as young adolescents (YA; 10 to 14 years), older adolescents (OA; 15 to 19 years) and adults (≥20 years) from 2000 to 2014 at 52 health facilities affiliated with the International epidemiology Databases to Evaluate AIDS (IeDEA) East Africa collaboration. We estimated cumulative incidence (95% confidence interval, CI) of LTFU (no clinic visit for ≥6 months after ART initiation) and identified patient and site-level correlates of LTFU, using multivariable Cox proportional hazards models for all patients as well as individual age groups. Results: A total of 138,387 patients initiated ART, including 2496 YA, 2955 OA and 132,936 adults. Of these, 55%, 78% and 66%, respectively, were female and 0.7% of YA, 22.3% of OA and 8.3% of adults were pregnant at ART initiation. Cumulative incidence of LTFU at five years was 26.6% (24.6 to 28.6) among YA, 44.1% (41.8 to 46.3) among OA and 29.3% (29.1 to 29.6) among adults. Overall, compared to adults, the adjusted hazard ratio, aHR, (95% CI) of LTFU for OA was 1.54 (1.41 to 1.68) and 0.77 (0.69 to 0.86) for YA. Compared to males, pregnant females had higher hazard of LTFU, aHR 1.20 (1.14 to 1.27), and nonpregnant women had lower hazard aHR 0.90 (0.88 to 0.93). LTFU hazard among the OA was primarily driven by both pregnant and nonpregnant females, aHR 2.42 (1.98 to 2.95) and 1.51 (1.27 to 1.80), respectively, compared to men. The LTFU hazard ratio varied by IeDEA program. Site-level factors associated with overall lower LTFU hazard included receiving care in tertiary versus primary-care clinics aHR 0.61 (0.56 to 0.67), integrated adult and adolescent services and food ration provision aHR 0.93 (0.89 to 0.97) versus nonintegrated clinics with food ration provision, having patient support groups aHR 0.77 (0.66 to 0.90) and group adherence counselling aHR 0.61 (0.57 to 0.67). Conclusions: Older adolescents experienced higher risk of LTFU compared to YA and adults. Interventions to prevent LTFU among older adolescents are critically needed, particularly for female and/or pregnant adolescents.","author":[{"dropping-particle":"","family":"Nuwagaba-Biribonwoha","given":"Harriet","non-dropping-particle":"","parse-names":false,"suffix":""},{"dropping-particle":"","family":"Kiragga","given":"Agnes N.","non-dropping-particle":"","parse-names":false,"suffix":""},{"dropping-particle":"","family":"Yiannoutsos","given":"Constantin T.","non-dropping-particle":"","parse-names":false,"suffix":""},{"dropping-particle":"","family":"Musick","given":"Beverly S.","non-dropping-particle":"","parse-names":false,"suffix":""},{"dropping-particle":"","family":"Wools-Kaloustian","given":"Kara K.","non-dropping-particle":"","parse-names":false,"suffix":""},{"dropping-particle":"","family":"Ayaya","given":"Samuel","non-dropping-particle":"","parse-names":false,"suffix":""},{"dropping-particle":"","family":"Wolf","given":"Hilary","non-dropping-particle":"","parse-names":false,"suffix":""},{"dropping-particle":"","family":"Lugina","given":"Emmanuel","non-dropping-particle":"","parse-names":false,"suffix":""},{"dropping-particle":"","family":"Ssali","given":"John","non-dropping-particle":"","parse-names":false,"suffix":""},{"dropping-particle":"","family":"Abrams","given":"Elaine J.","non-dropping-particle":"","parse-names":false,"suffix":""},{"dropping-particle":"","family":"Elul","given":"Batya","non-dropping-particle":"","parse-names":false,"suffix":""}],"container-title":"Journal of the International AIDS Society","id":"ITEM-2","issue":"9","issued":{"date-parts":[["2018"]]},"page":"1-9","title":"Adolescent pregnancy at antiretroviral therapy (ART) initiation: a critical barrier to retention on ART","type":"article-journal","volume":"21"},"uris":["http://www.mendeley.com/documents/?uuid=1b82c4e5-769a-415f-84c8-2b40f42a726e"]},{"id":"ITEM-3","itemData":{"DOI":"10.1002/jia2.25084","ISSN":"17582652","abstract":"Introduction: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Society","id":"ITEM-3","issue":"2","issued":{"date-parts":[["2018"]]},"page":"1-7","title":"Retention and mortality on antiretroviral therapy in sub-Saharan Africa: Collaborative analyses of HIV treatment programmes: Collaborative","type":"article-journal","volume":"21"},"uris":["http://www.mendeley.com/documents/?uuid=973be433-f329-438c-a007-d6d819f544b0"]},{"id":"ITEM-4","itemData":{"DOI":"10.1136/jech-2015-206629.CD4","author":[{"dropping-particle":"","family":"Grimsrud","given":"Anna","non-dropping-particle":"","parse-names":false,"suffix":""},{"dropping-particle":"","family":"Cornell","given":"Morna","non-dropping-particle":"","parse-names":false,"suffix":""},{"dropping-particle":"","family":"Schomaker","given":"Michael","non-dropping-particle":"","parse-names":false,"suffix":""},{"dropping-particle":"","family":"Fox","given":"Matthew P","non-dropping-particle":"","parse-names":false,"suffix":""}],"container-title":"Journal of Epidemiology and Community Health","id":"ITEM-4","issue":"6","issued":{"date-parts":[["2016"]]},"page":"549-555","title":"CD4 count at antiretroviral therapy initiation and the risk of loss to follow-up: results from a multicentre cohort study","type":"article-journal","volume":"70"},"uris":["http://www.mendeley.com/documents/?uuid=7ad9f40a-96ee-4706-828a-d6e25db87d45"]},{"id":"ITEM-5","itemData":{"DOI":"10.1097/QAD.0000000000002358","ISBN":"0000000000","ISSN":"14735571","abstract":"Background:UNAIDS models use data from the International epidemiology Databases to Evaluate AIDS (IeDEA) collaboration in setting assumptions about mortality rates after antiretroviral treatment (ART) initiation. This study aims to update these assumptions with new data, to quantify the extent of regional variation in ART mortality and to assess trends in ART mortality.Methods:Adult ART patients from Africa, Asia and the Americas were included if they had a known date of ART initiation during 2001-2017 and a baseline CD4+ cell count. In cohorts that relied only on passive follow-up (no patient tracing or linkage to vital registration systems), mortality outcomes were imputed in patients lost to follow-up based on a meta-analysis of tracing study data. Poisson regression models were fitted to the mortality data.Results:464 048 ART patients were included. In multivariable analysis, mortality rates were lowest in Asia and highest in Africa, with no significant differences between African regions. Adjusted mortality rates varied significantly between programmes within regions. Mortality rates in the first 12 months after ART initiation were significantly higher during 2001-2006 than during 2010-2014, although the difference was more substantial in Asia and the Americas [adjusted incidence rate ratio (aIRR) 1.43, 95% CI: 1.22-1.66] than in Africa (aIRR 1.07, 95% CI: 1.04-1.11).Conclusion:There is substantial variation in ART mortality between and within regions, even after controlling for differences in mortality by age, sex, baseline CD4 category and calendar period. ART mortality rates have declined substantially over time, although declines have been slower in Africa.","author":[{"dropping-particle":"","family":"Johnson","given":"Leigh F.","non-dropping-particle":"","parse-names":false,"suffix":""},{"dropping-particle":"","family":"Anderegg","given":"Nanina","non-dropping-particle":"","parse-names":false,"suffix":""},{"dropping-particle":"","family":"Zaniewski","given":"Elizabeth","non-dropping-particle":"","parse-names":false,"suffix":""},{"dropping-particle":"","family":"Eaton","given":"Jeffrey W.","non-dropping-particle":"","parse-names":false,"suffix":""},{"dropping-particle":"","family":"Rebeiro","given":"Peter F.","non-dropping-particle":"","parse-names":false,"suffix":""},{"dropping-particle":"","family":"Carriquiry","given":"Gabriela","non-dropping-particle":"","parse-names":false,"suffix":""},{"dropping-particle":"","family":"Nash","given":"Denis","non-dropping-particle":"","parse-names":false,"suffix":""},{"dropping-particle":"","family":"Yotebieng","given":"Marcel","non-dropping-particle":"","parse-names":false,"suffix":""},{"dropping-particle":"","family":"Ekouevi","given":"Didier K.","non-dropping-particle":"","parse-names":false,"suffix":""},{"dropping-particle":"","family":"Holmes","given":"Charles B.","non-dropping-particle":"","parse-names":false,"suffix":""},{"dropping-particle":"","family":"Choi","given":"Jun Y.","non-dropping-particle":"","parse-names":false,"suffix":""},{"dropping-particle":"","family":"Jiamsakul","given":"Awachana","non-dropping-particle":"","parse-names":false,"suffix":""},{"dropping-particle":"","family":"Bakoyannis","given":"Giorgos","non-dropping-particle":"","parse-names":false,"suffix":""},{"dropping-particle":"","family":"Althoff","given":"Keri N.","non-dropping-particle":"","parse-names":false,"suffix":""},{"dropping-particle":"","family":"Sohn","given":"Annette H.","non-dropping-particle":"","parse-names":false,"suffix":""},{"dropping-particle":"","family":"Yiannoutsos","given":"Constantin","non-dropping-particle":"","parse-names":false,"suffix":""},{"dropping-particle":"","family":"Egger","given":"Matthias","non-dropping-particle":"","parse-names":false,"suffix":""}],"container-title":"Aids","id":"ITEM-5","issue":"July","issued":{"date-parts":[["2019"]]},"page":"S283-S294","title":"Global variations in mortality in adults after initiating antiretroviral treatment: An updated analysis of the International epidemiology Databases to Evaluate AIDS cohort collaboration","type":"article-journal","volume":"33"},"uris":["http://www.mendeley.com/documents/?uuid=650a724a-f89a-4c70-b7a0-59378177b12b"]}],"mendeley":{"formattedCitation":"&lt;sup&gt;56,63–66&lt;/sup&gt;","plainTextFormattedCitation":"56,63–66","previouslyFormattedCitation":"&lt;sup&gt;56,63–66&lt;/sup&gt;"},"properties":{"noteIndex":0},"schema":"https://github.com/citation-style-language/schema/raw/master/csl-citation.json"}</w:instrText>
      </w:r>
      <w:r w:rsidR="00C9678A" w:rsidRPr="00050905">
        <w:fldChar w:fldCharType="separate"/>
      </w:r>
      <w:r w:rsidR="00036C3E" w:rsidRPr="00036C3E">
        <w:rPr>
          <w:noProof/>
          <w:vertAlign w:val="superscript"/>
        </w:rPr>
        <w:t>56,63–66</w:t>
      </w:r>
      <w:r w:rsidR="00C9678A" w:rsidRPr="00050905">
        <w:fldChar w:fldCharType="end"/>
      </w:r>
      <w:r w:rsidR="00C9678A" w:rsidRPr="00050905">
        <w:t xml:space="preserve"> When estimating the cumulative probability of LTFU, we will adjust for mortality and self-transfer among patients misclassified as LTFU using probability weights.</w:t>
      </w:r>
      <w:r w:rsidR="00C9678A" w:rsidRPr="00050905">
        <w:fldChar w:fldCharType="begin" w:fldLock="1"/>
      </w:r>
      <w:r w:rsidR="007527CC">
        <w:instrText>ADDIN CSL_CITATION {"citationItems":[{"id":"ITEM-1","itemData":{"DOI":"10.1002/jia2.25084","ISSN":"17582652","abstract":"Introduction: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Society","id":"ITEM-1","issue":"2","issued":{"date-parts":[["2018"]]},"page":"1-7","title":"Retention and mortality on antiretroviral therapy in sub-Saharan Africa: Collaborative analyses of HIV treatment programmes: Collaborative","type":"article-journal","volume":"21"},"uris":["http://www.mendeley.com/documents/?uuid=973be433-f329-438c-a007-d6d819f544b0"]}],"mendeley":{"formattedCitation":"&lt;sup&gt;56&lt;/sup&gt;","plainTextFormattedCitation":"56","previouslyFormattedCitation":"&lt;sup&gt;56&lt;/sup&gt;"},"properties":{"noteIndex":0},"schema":"https://github.com/citation-style-language/schema/raw/master/csl-citation.json"}</w:instrText>
      </w:r>
      <w:r w:rsidR="00C9678A" w:rsidRPr="00050905">
        <w:fldChar w:fldCharType="separate"/>
      </w:r>
      <w:r w:rsidR="00036C3E" w:rsidRPr="00036C3E">
        <w:rPr>
          <w:noProof/>
          <w:vertAlign w:val="superscript"/>
        </w:rPr>
        <w:t>56</w:t>
      </w:r>
      <w:r w:rsidR="00C9678A" w:rsidRPr="00050905">
        <w:fldChar w:fldCharType="end"/>
      </w:r>
      <w:r w:rsidR="00C9678A" w:rsidRPr="00050905">
        <w:t xml:space="preserve"> The probability </w:t>
      </w:r>
      <w:r w:rsidR="00C9678A" w:rsidRPr="00050905">
        <w:rPr>
          <w:color w:val="000000"/>
        </w:rPr>
        <w:t xml:space="preserve">weight is calculated as: </w:t>
      </w:r>
    </w:p>
    <w:p w14:paraId="04990593" w14:textId="77777777" w:rsidR="00C9678A" w:rsidRPr="00050905" w:rsidRDefault="00C9678A">
      <w:pPr>
        <w:pStyle w:val="BodyText"/>
        <w:spacing w:before="0" w:after="0"/>
        <w:jc w:val="both"/>
        <w:rPr>
          <w:color w:val="000000"/>
        </w:rPr>
      </w:pPr>
    </w:p>
    <w:p w14:paraId="6B80A7F7" w14:textId="7DA466A5" w:rsidR="00C9678A" w:rsidRPr="00F74C90" w:rsidRDefault="00F74C90">
      <w:pPr>
        <w:pStyle w:val="BodyText"/>
        <w:spacing w:before="0" w:after="0"/>
        <w:jc w:val="both"/>
        <w:rPr>
          <w:rFonts w:eastAsiaTheme="minorEastAsia"/>
        </w:rPr>
      </w:pPr>
      <m:oMath>
        <m:r>
          <w:rPr>
            <w:rFonts w:ascii="Cambria Math" w:hAnsi="Cambria Math"/>
          </w:rPr>
          <m:t>weight=1-P</m:t>
        </m:r>
        <m:d>
          <m:dPr>
            <m:ctrlPr>
              <w:rPr>
                <w:rFonts w:ascii="Cambria Math" w:hAnsi="Cambria Math"/>
                <w:i/>
              </w:rPr>
            </m:ctrlPr>
          </m:dPr>
          <m:e>
            <m:r>
              <w:rPr>
                <w:rFonts w:ascii="Cambria Math" w:hAnsi="Cambria Math"/>
              </w:rPr>
              <m:t>LTFU who die</m:t>
            </m:r>
          </m:e>
        </m:d>
        <m:r>
          <w:rPr>
            <w:rFonts w:ascii="Cambria Math" w:hAnsi="Cambria Math"/>
          </w:rPr>
          <m:t xml:space="preserve">-P(LTFU who self-transfer) </m:t>
        </m:r>
      </m:oMath>
      <w:r w:rsidR="007D6C25">
        <w:rPr>
          <w:rFonts w:eastAsiaTheme="minorEastAsia"/>
        </w:rPr>
        <w:t xml:space="preserve">                                     (</w:t>
      </w:r>
      <w:r w:rsidR="00FA0F83">
        <w:rPr>
          <w:rFonts w:eastAsiaTheme="minorEastAsia"/>
        </w:rPr>
        <w:t>11</w:t>
      </w:r>
      <w:r w:rsidR="007D6C25">
        <w:rPr>
          <w:rFonts w:eastAsiaTheme="minorEastAsia"/>
        </w:rPr>
        <w:t>)</w:t>
      </w:r>
    </w:p>
    <w:p w14:paraId="25DF49C9" w14:textId="160700E1" w:rsidR="00F74C90" w:rsidRPr="00F74C90" w:rsidRDefault="00F74C90" w:rsidP="00F74C90">
      <w:pPr>
        <w:pStyle w:val="BodyText"/>
        <w:spacing w:before="0" w:after="0"/>
        <w:jc w:val="both"/>
        <w:rPr>
          <w:rFonts w:eastAsiaTheme="minorEastAsia"/>
        </w:rPr>
      </w:pPr>
      <w:r>
        <w:rPr>
          <w:rFonts w:eastAsiaTheme="minorEastAsia"/>
        </w:rPr>
        <w:t xml:space="preserve">Where </w:t>
      </w:r>
      <w:proofErr w:type="gramStart"/>
      <w:r>
        <w:rPr>
          <w:rFonts w:eastAsiaTheme="minorEastAsia"/>
        </w:rPr>
        <w:t>P(</w:t>
      </w:r>
      <w:proofErr w:type="gramEnd"/>
      <w:r>
        <w:rPr>
          <w:rFonts w:eastAsiaTheme="minorEastAsia"/>
        </w:rPr>
        <w:t xml:space="preserve">LTFU who die) is the proportion of LTFU who died and P(LTFU who self-transfer) is the proportion of LTFU who self-transferred to other sites. </w:t>
      </w:r>
    </w:p>
    <w:p w14:paraId="394B24FD" w14:textId="021E7984" w:rsidR="00F74C90" w:rsidRDefault="00F74C90">
      <w:pPr>
        <w:pStyle w:val="BodyText"/>
        <w:spacing w:before="0" w:after="0"/>
        <w:jc w:val="both"/>
      </w:pPr>
    </w:p>
    <w:p w14:paraId="51C24569" w14:textId="0921D289" w:rsidR="005F361E" w:rsidRDefault="005F361E">
      <w:pPr>
        <w:pStyle w:val="BodyText"/>
        <w:spacing w:before="0" w:after="0"/>
        <w:jc w:val="both"/>
      </w:pPr>
      <w:r>
        <w:t>We parameterize this expression as follows:</w:t>
      </w:r>
    </w:p>
    <w:p w14:paraId="7196798E" w14:textId="77777777" w:rsidR="005F361E" w:rsidRPr="00050905" w:rsidRDefault="005F361E">
      <w:pPr>
        <w:pStyle w:val="BodyText"/>
        <w:spacing w:before="0" w:after="0"/>
        <w:jc w:val="both"/>
      </w:pPr>
    </w:p>
    <w:p w14:paraId="41B8905D" w14:textId="40BB1576" w:rsidR="00C9678A" w:rsidRPr="00050905" w:rsidRDefault="005F361E" w:rsidP="002E50FA">
      <w:pPr>
        <w:pStyle w:val="BodyText"/>
        <w:numPr>
          <w:ilvl w:val="0"/>
          <w:numId w:val="16"/>
        </w:numPr>
        <w:spacing w:before="0" w:after="0"/>
        <w:jc w:val="both"/>
      </w:pPr>
      <w:r>
        <w:rPr>
          <w:color w:val="000000"/>
          <w:u w:val="single"/>
        </w:rPr>
        <w:t>Weights for Link</w:t>
      </w:r>
      <w:r w:rsidRPr="005F361E">
        <w:rPr>
          <w:color w:val="000000"/>
          <w:u w:val="single"/>
        </w:rPr>
        <w:t xml:space="preserve">ed to </w:t>
      </w:r>
      <w:r w:rsidR="00D006DC">
        <w:rPr>
          <w:color w:val="000000"/>
          <w:u w:val="single"/>
        </w:rPr>
        <w:t>C</w:t>
      </w:r>
      <w:r w:rsidRPr="005F361E">
        <w:rPr>
          <w:color w:val="000000"/>
          <w:u w:val="single"/>
        </w:rPr>
        <w:t>are</w:t>
      </w:r>
      <w:r>
        <w:rPr>
          <w:color w:val="000000"/>
        </w:rPr>
        <w:t>. T</w:t>
      </w:r>
      <w:r w:rsidR="00C9678A" w:rsidRPr="00050905">
        <w:rPr>
          <w:color w:val="000000"/>
        </w:rPr>
        <w:t xml:space="preserve">he weight </w:t>
      </w:r>
      <w:r>
        <w:rPr>
          <w:color w:val="000000"/>
        </w:rPr>
        <w:t>is</w:t>
      </w:r>
      <w:r w:rsidR="00C9678A" w:rsidRPr="00050905">
        <w:rPr>
          <w:color w:val="000000"/>
        </w:rPr>
        <w:t xml:space="preserve"> </w:t>
      </w:r>
      <w:r w:rsidR="00C9678A" w:rsidRPr="00050905">
        <w:rPr>
          <w:b/>
          <w:bCs/>
          <w:color w:val="000000"/>
        </w:rPr>
        <w:t xml:space="preserve">0.70 </w:t>
      </w:r>
      <w:r w:rsidR="00C9678A" w:rsidRPr="00050905">
        <w:rPr>
          <w:color w:val="000000"/>
        </w:rPr>
        <w:t>{1-(0.17-0.13)}. The proportion of patients LTFU but who have died is based on a retrospective study from Kenya that evaluated outcomes of people living with HIV in the general population and LTFU (data from 2009-2011); the study</w:t>
      </w:r>
      <w:r w:rsidR="00C9678A" w:rsidRPr="00050905">
        <w:t xml:space="preserve"> found that 17% of pre-ART patients classified as LTFU had died.</w:t>
      </w:r>
      <w:r w:rsidR="00C9678A" w:rsidRPr="00050905">
        <w:fldChar w:fldCharType="begin" w:fldLock="1"/>
      </w:r>
      <w:r w:rsidR="007527CC">
        <w:instrText>ADDIN CSL_CITATION {"citationItems":[{"id":"ITEM-1","itemData":{"DOI":"10.1097/QAI.0000000000000492","ISBN":"0000000000000","ISSN":"10779450","abstract":"© 2014 Wolters Kluwer Health, Inc. Background: Academic Model Providing Access To Healthcare (AMPATH) program provides comprehensive HIV care and treatment services. Approximately, 30% of patients have become lost to follow-up (LTFU). We sought to actively trace and identify outcomes for a sample of these patients. Methods: LTFU was defined as missing a scheduled visit by $3 months. A randomly selected sample of 17% of patients identified as LTFU between January 2009 and June 2011 was generated, with sample stratification on age, antiretroviral therapy (ART) status at last visit, and facility. Chart reviews were conducted followed by active tracing. Tracing was completed by trained HIV-positive outreach workers July 2011 to February 2012. Outcomes were compared between adults and children and by ART status. Results: Of 14,811 LTFU patients, 2540 were randomly selected for tracing (2179 adults, 1071 on ART). The chart reviews indicated that 326 (12.8%) patients were not actually LTFU. Outcomes for 71% of sampled patients were determined including 85% of those physically traced. Of those with known outcomes, 21% had died, whereas 29% had disengaged from care for various reasons. The remaining patients had moved away (n = 458, 25%) or were still receiving HIV care (n = 443 total, 25%). Conclusions: Our findings demonstrate the feasibility of a largescale sampling-based approach. A significant proportion of patients were found not to be LTFU, and further, high numbers of patients who were LTFU could not be located. Over a quarter of patients disengaged from care for various reasons including access challenges and familial influences.","author":[{"dropping-particle":"","family":"Rachlis","given":"Beth","non-dropping-particle":"","parse-names":false,"suffix":""},{"dropping-particle":"","family":"Ochieng","given":"Daniel","non-dropping-particle":"","parse-names":false,"suffix":""},{"dropping-particle":"","family":"Geng","given":"Elvin","non-dropping-particle":"","parse-names":false,"suffix":""},{"dropping-particle":"","family":"Rotich","given":"Elyne","non-dropping-particle":"","parse-names":false,"suffix":""},{"dropping-particle":"","family":"Ochieng","given":"Vincent","non-dropping-particle":"","parse-names":false,"suffix":""},{"dropping-particle":"","family":"Maritim","given":"Beryl","non-dropping-particle":"","parse-names":false,"suffix":""},{"dropping-particle":"","family":"Ndege","given":"Samson","non-dropping-particle":"","parse-names":false,"suffix":""},{"dropping-particle":"","family":"Naanyu","given":"Violet","non-dropping-particle":"","parse-names":false,"suffix":""},{"dropping-particle":"","family":"Martin","given":"Jeffrey N.","non-dropping-particle":"","parse-names":false,"suffix":""},{"dropping-particle":"","family":"Keter","given":"Alfred","non-dropping-particle":"","parse-names":false,"suffix":""},{"dropping-particle":"","family":"Ayuo","given":"Paul","non-dropping-particle":"","parse-names":false,"suffix":""},{"dropping-particle":"","family":"Diero","given":"Lameck","non-dropping-particle":"","parse-names":false,"suffix":""},{"dropping-particle":"","family":"Nyambura","given":"Monicah","non-dropping-particle":"","parse-names":false,"suffix":""},{"dropping-particle":"","family":"Braitstein","given":"Paula","non-dropping-particle":"","parse-names":false,"suffix":""}],"container-title":"Journal of Acquired Immune Deficiency Syndromes","id":"ITEM-1","issue":"4","issued":{"date-parts":[["2015"]]},"page":"e46-e55","title":"Evaluating outcomes of patients lost to follow-up in a large comprehensive care treatment program in Western Kenya","type":"article-journal","volume":"68"},"uris":["http://www.mendeley.com/documents/?uuid=46dfb1ee-def0-49a8-aeda-dbe712f30a4f"]}],"mendeley":{"formattedCitation":"&lt;sup&gt;54&lt;/sup&gt;","plainTextFormattedCitation":"54","previouslyFormattedCitation":"&lt;sup&gt;54&lt;/sup&gt;"},"properties":{"noteIndex":0},"schema":"https://github.com/citation-style-language/schema/raw/master/csl-citation.json"}</w:instrText>
      </w:r>
      <w:r w:rsidR="00C9678A" w:rsidRPr="00050905">
        <w:fldChar w:fldCharType="separate"/>
      </w:r>
      <w:r w:rsidR="00036C3E" w:rsidRPr="00036C3E">
        <w:rPr>
          <w:noProof/>
          <w:vertAlign w:val="superscript"/>
        </w:rPr>
        <w:t>54</w:t>
      </w:r>
      <w:r w:rsidR="00C9678A" w:rsidRPr="00050905">
        <w:fldChar w:fldCharType="end"/>
      </w:r>
      <w:r w:rsidR="00C9678A" w:rsidRPr="00050905">
        <w:t xml:space="preserve"> The proportion of patients LTFU but who have transferred is based on a retrospective study from Uganda that traced </w:t>
      </w:r>
      <w:r w:rsidR="00C9678A" w:rsidRPr="00050905">
        <w:rPr>
          <w:color w:val="000000"/>
        </w:rPr>
        <w:t xml:space="preserve">people living with HIV in the general population who were on Pre-ART and </w:t>
      </w:r>
      <w:r w:rsidR="00C9678A" w:rsidRPr="00050905">
        <w:t>LTFU (data from 2007-2011); the study found that 13% of patients classified as LTFU before initiating ART had transferred to another clinic.</w:t>
      </w:r>
      <w:r w:rsidR="00C9678A" w:rsidRPr="00050905">
        <w:fldChar w:fldCharType="begin" w:fldLock="1"/>
      </w:r>
      <w:r w:rsidR="007527CC">
        <w:instrText>ADDIN CSL_CITATION {"citationItems":[{"id":"ITEM-1","itemData":{"DOI":"10.1097/QAI.0b013e31828af5a6","ISSN":"15254135","abstract":"Background: Delays and failures in initiation of antiretroviral therapy (ART) among treatment eligible patients may compromise the effectiveness of HIV care in Africa. An accurate understanding, however, of the pace and completeness of ART initiation and mortality during the waiting period is obscured by frequent losses to follow-up. Methods: We evaluated newly ART-eligible HIV-infected adults from 2007 to 2011 in a prototypical clinic in Mbarara, Uganda. A random sample of patients lost to follow-up was tracked in the community to determine vital status and ART initiation after leaving the original clinic. Outcomes among the tracked patients were incorporated using probability weights, and a competing risks approach was used in analyses. Results: Among 2633 ART-eligible patients, 490 were lost to follow-up, of whom a random sample of 132 was tracked and 111 (84.0%) had outcomes ascertained. After incorporating the outcomes among the lost, the cumulative incidence of ART initiation at 30, 90, and 365 days after eligibility was 16.0% [95% confidence interval (CI): 14.2 to 17.7], 64.5% (95% CI: 60.9 to 68.1), and 81.7% (95% CI: 77.7 to 85.6). Death before ART was 7.7% at 1 year. Male sex, higher CD4 count, and no education were associated with delayed ART initiation. Lower CD4 level, malnourishment, and travel time to clinic were associated with mortality. Conclusions: Using a sampling-based approach to account for losses to follow-up revealed that both the speed and the completeness of ART initiation were suboptimal in a prototypical large clinic in Uganda. Improving the kinetics of ART initiation in Africa is needed to make ART more in real-world populations. Copyright © 2013 by Lippincott Williams &amp; Wilkins.","author":[{"dropping-particle":"","family":"Geng","given":"Elvin H.","non-dropping-particle":"","parse-names":false,"suffix":""},{"dropping-particle":"","family":"Bwana","given":"Mwebesa B.","non-dropping-particle":"","parse-names":false,"suffix":""},{"dropping-particle":"","family":"Muyindike","given":"Winnie","non-dropping-particle":"","parse-names":false,"suffix":""},{"dropping-particle":"V.","family":"Glidden","given":"David","non-dropping-particle":"","parse-names":false,"suffix":""},{"dropping-particle":"","family":"Bangsberg","given":"David R.","non-dropping-particle":"","parse-names":false,"suffix":""},{"dropping-particle":"","family":"Neilands","given":"Torsten B.","non-dropping-particle":"","parse-names":false,"suffix":""},{"dropping-particle":"","family":"Bernheimer","given":"Ingrid","non-dropping-particle":"","parse-names":false,"suffix":""},{"dropping-particle":"","family":"Musinguzi","given":"Nicolas","non-dropping-particle":"","parse-names":false,"suffix":""},{"dropping-particle":"","family":"Yiannoutsos","given":"Constantin T.","non-dropping-particle":"","parse-names":false,"suffix":""},{"dropping-particle":"","family":"Martin","given":"Jeffrey N.","non-dropping-particle":"","parse-names":false,"suffix":""}],"container-title":"Journal of Acquired Immune Deficiency Syndromes","id":"ITEM-1","issue":"2","issued":{"date-parts":[["2013"]]},"page":"64-71","title":"Failure to initiate antiretroviral therapy, loss to follow-up and mortality among HIV-infected patients during the pre-ART period in Uganda","type":"article-journal","volume":"63"},"uris":["http://www.mendeley.com/documents/?uuid=7661d1ee-8652-4187-ad4a-44f484be0739"]}],"mendeley":{"formattedCitation":"&lt;sup&gt;55&lt;/sup&gt;","plainTextFormattedCitation":"55","previouslyFormattedCitation":"&lt;sup&gt;55&lt;/sup&gt;"},"properties":{"noteIndex":0},"schema":"https://github.com/citation-style-language/schema/raw/master/csl-citation.json"}</w:instrText>
      </w:r>
      <w:r w:rsidR="00C9678A" w:rsidRPr="00050905">
        <w:fldChar w:fldCharType="separate"/>
      </w:r>
      <w:r w:rsidR="00036C3E" w:rsidRPr="00036C3E">
        <w:rPr>
          <w:noProof/>
          <w:vertAlign w:val="superscript"/>
        </w:rPr>
        <w:t>55</w:t>
      </w:r>
      <w:r w:rsidR="00C9678A" w:rsidRPr="00050905">
        <w:fldChar w:fldCharType="end"/>
      </w:r>
      <w:r w:rsidR="00C9678A" w:rsidRPr="00050905">
        <w:t xml:space="preserve"> </w:t>
      </w:r>
    </w:p>
    <w:p w14:paraId="60870D56" w14:textId="1766F25D" w:rsidR="00C9678A" w:rsidRPr="00E138E8" w:rsidRDefault="005F361E" w:rsidP="002E50FA">
      <w:pPr>
        <w:pStyle w:val="BodyText"/>
        <w:numPr>
          <w:ilvl w:val="0"/>
          <w:numId w:val="16"/>
        </w:numPr>
        <w:spacing w:before="0" w:after="0"/>
        <w:jc w:val="both"/>
        <w:rPr>
          <w:b/>
          <w:bCs/>
          <w:lang w:eastAsia="zh-TW"/>
        </w:rPr>
      </w:pPr>
      <w:r>
        <w:rPr>
          <w:color w:val="000000"/>
          <w:u w:val="single"/>
        </w:rPr>
        <w:t>Weights for O</w:t>
      </w:r>
      <w:r w:rsidRPr="005F361E">
        <w:rPr>
          <w:color w:val="000000"/>
          <w:u w:val="single"/>
        </w:rPr>
        <w:t>n ART</w:t>
      </w:r>
      <w:r w:rsidR="00D410A2">
        <w:rPr>
          <w:color w:val="000000"/>
          <w:u w:val="single"/>
        </w:rPr>
        <w:t>.</w:t>
      </w:r>
      <w:r w:rsidRPr="00050905">
        <w:rPr>
          <w:color w:val="000000"/>
        </w:rPr>
        <w:t xml:space="preserve"> </w:t>
      </w:r>
      <w:r w:rsidR="00D006DC">
        <w:rPr>
          <w:color w:val="000000"/>
        </w:rPr>
        <w:t>T</w:t>
      </w:r>
      <w:r w:rsidR="00C9678A" w:rsidRPr="00050905">
        <w:rPr>
          <w:color w:val="000000"/>
        </w:rPr>
        <w:t xml:space="preserve">he weight </w:t>
      </w:r>
      <w:r w:rsidR="00D006DC">
        <w:rPr>
          <w:color w:val="000000"/>
        </w:rPr>
        <w:t xml:space="preserve">is </w:t>
      </w:r>
      <w:r w:rsidR="00C9678A" w:rsidRPr="00050905">
        <w:rPr>
          <w:b/>
          <w:bCs/>
          <w:color w:val="000000"/>
        </w:rPr>
        <w:t>0.43</w:t>
      </w:r>
      <w:r w:rsidR="00C9678A" w:rsidRPr="00050905">
        <w:rPr>
          <w:color w:val="000000"/>
        </w:rPr>
        <w:t xml:space="preserve">{(1-0.208-0.359)}. The proportion of patients LTFU having died or transferred to another site is based on </w:t>
      </w:r>
      <w:r w:rsidR="00E60418">
        <w:rPr>
          <w:color w:val="000000"/>
        </w:rPr>
        <w:t xml:space="preserve">a meta-analysis </w:t>
      </w:r>
      <w:r w:rsidR="00C9678A" w:rsidRPr="00050905">
        <w:rPr>
          <w:color w:val="000000"/>
        </w:rPr>
        <w:t>on LTFU among patients in ART programs in sub-Saharan Africa; the study found that 20.8% and 35.9% of patients recorded as LTFU had died or self-transferred to another ART clinic.</w:t>
      </w:r>
      <w:r w:rsidR="00C9678A" w:rsidRPr="00050905">
        <w:rPr>
          <w:color w:val="000000" w:themeColor="text1"/>
        </w:rPr>
        <w:fldChar w:fldCharType="begin" w:fldLock="1"/>
      </w:r>
      <w:r w:rsidR="007527CC">
        <w:rPr>
          <w:color w:val="000000" w:themeColor="text1"/>
        </w:rPr>
        <w:instrText>ADDIN CSL_CITATION {"citationItems":[{"id":"ITEM-1","itemData":{"DOI":"10.1002/jia2.25084","ISSN":"17582652","abstract":"Introduction: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Society","id":"ITEM-1","issue":"2","issued":{"date-parts":[["2018"]]},"page":"1-7","title":"Retention and mortality on antiretroviral therapy in sub-Saharan Africa: Collaborative analyses of HIV treatment programmes: Collaborative","type":"article-journal","volume":"21"},"uris":["http://www.mendeley.com/documents/?uuid=973be433-f329-438c-a007-d6d819f544b0"]}],"mendeley":{"formattedCitation":"&lt;sup&gt;56&lt;/sup&gt;","plainTextFormattedCitation":"56","previouslyFormattedCitation":"&lt;sup&gt;56&lt;/sup&gt;"},"properties":{"noteIndex":0},"schema":"https://github.com/citation-style-language/schema/raw/master/csl-citation.json"}</w:instrText>
      </w:r>
      <w:r w:rsidR="00C9678A" w:rsidRPr="00050905">
        <w:rPr>
          <w:color w:val="000000" w:themeColor="text1"/>
        </w:rPr>
        <w:fldChar w:fldCharType="separate"/>
      </w:r>
      <w:r w:rsidR="00036C3E" w:rsidRPr="00036C3E">
        <w:rPr>
          <w:noProof/>
          <w:color w:val="000000" w:themeColor="text1"/>
          <w:vertAlign w:val="superscript"/>
          <w:lang w:eastAsia="zh-TW"/>
        </w:rPr>
        <w:t>56</w:t>
      </w:r>
      <w:r w:rsidR="00C9678A" w:rsidRPr="00050905">
        <w:rPr>
          <w:color w:val="000000" w:themeColor="text1"/>
        </w:rPr>
        <w:fldChar w:fldCharType="end"/>
      </w:r>
      <w:r w:rsidR="00C9678A" w:rsidRPr="00050905" w:rsidDel="00C60B70">
        <w:rPr>
          <w:color w:val="000000"/>
          <w:lang w:eastAsia="zh-TW"/>
        </w:rPr>
        <w:t xml:space="preserve"> </w:t>
      </w:r>
    </w:p>
    <w:p w14:paraId="29016C64" w14:textId="77777777" w:rsidR="00C9678A" w:rsidRDefault="00C9678A">
      <w:pPr>
        <w:jc w:val="both"/>
        <w:rPr>
          <w:lang w:eastAsia="zh-TW"/>
        </w:rPr>
        <w:sectPr w:rsidR="00C9678A" w:rsidSect="00EE2060">
          <w:headerReference w:type="even" r:id="rId54"/>
          <w:headerReference w:type="default" r:id="rId55"/>
          <w:headerReference w:type="first" r:id="rId56"/>
          <w:pgSz w:w="12240" w:h="15840"/>
          <w:pgMar w:top="1440" w:right="1440" w:bottom="1440" w:left="1440" w:header="720" w:footer="720" w:gutter="0"/>
          <w:cols w:space="720"/>
          <w:docGrid w:linePitch="360"/>
        </w:sectPr>
      </w:pPr>
    </w:p>
    <w:p w14:paraId="36A801AF" w14:textId="3E988AFB" w:rsidR="00C9678A" w:rsidRPr="00AD4AF4" w:rsidRDefault="00C9678A">
      <w:pPr>
        <w:jc w:val="both"/>
        <w:rPr>
          <w:b/>
          <w:bCs/>
          <w:lang w:eastAsia="zh-TW"/>
        </w:rPr>
      </w:pPr>
      <w:bookmarkStart w:id="213" w:name="_Ref82432073"/>
      <w:bookmarkStart w:id="214" w:name="_Toc82448075"/>
      <w:bookmarkStart w:id="215" w:name="_Toc82592506"/>
      <w:bookmarkStart w:id="216" w:name="_Toc82599271"/>
      <w:r w:rsidRPr="00AD4AF4">
        <w:rPr>
          <w:b/>
          <w:bCs/>
          <w:lang w:eastAsia="zh-TW"/>
        </w:rPr>
        <w:lastRenderedPageBreak/>
        <w:t xml:space="preserve">Table </w:t>
      </w:r>
      <w:r w:rsidRPr="00AD4AF4">
        <w:rPr>
          <w:b/>
          <w:bCs/>
        </w:rPr>
        <w:fldChar w:fldCharType="begin"/>
      </w:r>
      <w:r w:rsidRPr="00AD4AF4">
        <w:rPr>
          <w:b/>
          <w:bCs/>
          <w:lang w:eastAsia="zh-TW"/>
        </w:rPr>
        <w:instrText xml:space="preserve"> SEQ Table \* ARABIC </w:instrText>
      </w:r>
      <w:r w:rsidRPr="00AD4AF4">
        <w:rPr>
          <w:b/>
          <w:bCs/>
        </w:rPr>
        <w:fldChar w:fldCharType="separate"/>
      </w:r>
      <w:r w:rsidR="001E49BE">
        <w:rPr>
          <w:b/>
          <w:bCs/>
          <w:noProof/>
          <w:lang w:eastAsia="zh-TW"/>
        </w:rPr>
        <w:t>12</w:t>
      </w:r>
      <w:r w:rsidRPr="00AD4AF4">
        <w:rPr>
          <w:b/>
          <w:bCs/>
        </w:rPr>
        <w:fldChar w:fldCharType="end"/>
      </w:r>
      <w:bookmarkEnd w:id="213"/>
      <w:r w:rsidRPr="00AD4AF4">
        <w:rPr>
          <w:b/>
          <w:bCs/>
          <w:lang w:eastAsia="zh-TW"/>
        </w:rPr>
        <w:t xml:space="preserve">: </w:t>
      </w:r>
      <w:bookmarkStart w:id="217" w:name="_Hlk74741637"/>
      <w:r w:rsidR="00C569A0">
        <w:rPr>
          <w:b/>
          <w:bCs/>
          <w:lang w:eastAsia="zh-TW"/>
        </w:rPr>
        <w:t xml:space="preserve">Monthly probability of sub-population </w:t>
      </w:r>
      <w:r w:rsidRPr="00AD4AF4">
        <w:rPr>
          <w:b/>
          <w:bCs/>
          <w:lang w:eastAsia="zh-TW"/>
        </w:rPr>
        <w:t>LTFU</w:t>
      </w:r>
      <w:r w:rsidR="00C569A0">
        <w:rPr>
          <w:b/>
          <w:bCs/>
          <w:lang w:eastAsia="zh-TW"/>
        </w:rPr>
        <w:t>, by CD4 stratum and engagement in care</w:t>
      </w:r>
      <w:bookmarkEnd w:id="214"/>
      <w:bookmarkEnd w:id="215"/>
      <w:bookmarkEnd w:id="2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2"/>
        <w:gridCol w:w="764"/>
        <w:gridCol w:w="940"/>
        <w:gridCol w:w="953"/>
        <w:gridCol w:w="751"/>
        <w:gridCol w:w="780"/>
        <w:gridCol w:w="922"/>
        <w:gridCol w:w="969"/>
        <w:gridCol w:w="733"/>
        <w:gridCol w:w="795"/>
        <w:gridCol w:w="907"/>
        <w:gridCol w:w="984"/>
        <w:gridCol w:w="710"/>
      </w:tblGrid>
      <w:tr w:rsidR="003C7D23" w:rsidRPr="00596193" w14:paraId="46CB3792" w14:textId="57B8BA0E" w:rsidTr="00580BE8">
        <w:trPr>
          <w:trHeight w:val="242"/>
        </w:trPr>
        <w:tc>
          <w:tcPr>
            <w:tcW w:w="1059" w:type="pct"/>
            <w:vMerge w:val="restart"/>
            <w:shd w:val="clear" w:color="auto" w:fill="auto"/>
            <w:noWrap/>
            <w:vAlign w:val="bottom"/>
            <w:hideMark/>
          </w:tcPr>
          <w:bookmarkEnd w:id="217"/>
          <w:p w14:paraId="0850FC9E" w14:textId="77777777" w:rsidR="003C7D23" w:rsidRPr="00596193" w:rsidRDefault="003C7D23" w:rsidP="00303804">
            <w:pPr>
              <w:rPr>
                <w:color w:val="000000"/>
                <w:sz w:val="20"/>
                <w:szCs w:val="20"/>
                <w:lang w:eastAsia="zh-TW"/>
              </w:rPr>
            </w:pPr>
            <w:r w:rsidRPr="00596193">
              <w:rPr>
                <w:color w:val="000000"/>
                <w:sz w:val="20"/>
                <w:szCs w:val="20"/>
                <w:lang w:eastAsia="zh-TW"/>
              </w:rPr>
              <w:t>Sub-population</w:t>
            </w:r>
          </w:p>
        </w:tc>
        <w:tc>
          <w:tcPr>
            <w:tcW w:w="1315" w:type="pct"/>
            <w:gridSpan w:val="4"/>
            <w:shd w:val="clear" w:color="auto" w:fill="auto"/>
            <w:noWrap/>
            <w:vAlign w:val="center"/>
            <w:hideMark/>
          </w:tcPr>
          <w:p w14:paraId="25F7FCFC" w14:textId="3A03A452" w:rsidR="003C7D23" w:rsidDel="000F1C47" w:rsidRDefault="003C7D23" w:rsidP="00303804">
            <w:pPr>
              <w:jc w:val="center"/>
              <w:rPr>
                <w:color w:val="000000"/>
                <w:sz w:val="20"/>
                <w:szCs w:val="20"/>
                <w:lang w:eastAsia="zh-TW"/>
              </w:rPr>
            </w:pPr>
            <w:r>
              <w:rPr>
                <w:color w:val="000000"/>
                <w:sz w:val="20"/>
                <w:szCs w:val="20"/>
                <w:lang w:eastAsia="zh-TW"/>
              </w:rPr>
              <w:t>Linked to Care</w:t>
            </w:r>
          </w:p>
        </w:tc>
        <w:tc>
          <w:tcPr>
            <w:tcW w:w="1314" w:type="pct"/>
            <w:gridSpan w:val="4"/>
            <w:vAlign w:val="center"/>
          </w:tcPr>
          <w:p w14:paraId="35B1233E" w14:textId="578DC856" w:rsidR="003C7D23" w:rsidDel="000F1C47" w:rsidRDefault="003C7D23" w:rsidP="00303804">
            <w:pPr>
              <w:jc w:val="center"/>
              <w:rPr>
                <w:color w:val="000000"/>
                <w:sz w:val="20"/>
                <w:szCs w:val="20"/>
                <w:lang w:eastAsia="zh-TW"/>
              </w:rPr>
            </w:pPr>
            <w:r>
              <w:rPr>
                <w:color w:val="000000"/>
                <w:sz w:val="20"/>
                <w:szCs w:val="20"/>
                <w:lang w:eastAsia="zh-TW"/>
              </w:rPr>
              <w:t>On ART, Suppressed</w:t>
            </w:r>
          </w:p>
        </w:tc>
        <w:tc>
          <w:tcPr>
            <w:tcW w:w="1312" w:type="pct"/>
            <w:gridSpan w:val="4"/>
          </w:tcPr>
          <w:p w14:paraId="64C68081" w14:textId="120DEA60" w:rsidR="003C7D23" w:rsidRDefault="003C7D23" w:rsidP="00303804">
            <w:pPr>
              <w:jc w:val="center"/>
              <w:rPr>
                <w:color w:val="000000"/>
                <w:sz w:val="20"/>
                <w:szCs w:val="20"/>
                <w:lang w:eastAsia="zh-TW"/>
              </w:rPr>
            </w:pPr>
            <w:r>
              <w:rPr>
                <w:color w:val="000000"/>
                <w:sz w:val="20"/>
                <w:szCs w:val="20"/>
                <w:lang w:eastAsia="zh-TW"/>
              </w:rPr>
              <w:t>On ART, Not Suppressed</w:t>
            </w:r>
          </w:p>
        </w:tc>
      </w:tr>
      <w:tr w:rsidR="003C7D23" w:rsidDel="000F1C47" w14:paraId="008C0C40" w14:textId="2E3CB167" w:rsidTr="00580BE8">
        <w:trPr>
          <w:trHeight w:val="359"/>
        </w:trPr>
        <w:tc>
          <w:tcPr>
            <w:tcW w:w="1059" w:type="pct"/>
            <w:vMerge/>
            <w:shd w:val="clear" w:color="auto" w:fill="auto"/>
            <w:noWrap/>
            <w:vAlign w:val="bottom"/>
          </w:tcPr>
          <w:p w14:paraId="7D1FB1E7" w14:textId="77777777" w:rsidR="003C7D23" w:rsidRPr="00596193" w:rsidRDefault="003C7D23" w:rsidP="003C7D23">
            <w:pPr>
              <w:rPr>
                <w:color w:val="000000"/>
                <w:sz w:val="20"/>
                <w:szCs w:val="20"/>
                <w:lang w:eastAsia="zh-TW"/>
              </w:rPr>
            </w:pPr>
          </w:p>
        </w:tc>
        <w:tc>
          <w:tcPr>
            <w:tcW w:w="295" w:type="pct"/>
            <w:shd w:val="clear" w:color="auto" w:fill="auto"/>
            <w:noWrap/>
            <w:vAlign w:val="center"/>
          </w:tcPr>
          <w:p w14:paraId="404C8B67" w14:textId="01204BC3" w:rsidR="003C7D23" w:rsidDel="000F1C47" w:rsidRDefault="003C7D23" w:rsidP="003C7D23">
            <w:pPr>
              <w:rPr>
                <w:color w:val="000000"/>
                <w:sz w:val="20"/>
                <w:szCs w:val="20"/>
                <w:lang w:eastAsia="zh-TW"/>
              </w:rPr>
            </w:pPr>
            <w:r>
              <w:rPr>
                <w:color w:val="000000"/>
                <w:sz w:val="20"/>
                <w:szCs w:val="20"/>
                <w:lang w:eastAsia="zh-TW"/>
              </w:rPr>
              <w:t>CD4 &gt;500</w:t>
            </w:r>
          </w:p>
        </w:tc>
        <w:tc>
          <w:tcPr>
            <w:tcW w:w="363" w:type="pct"/>
            <w:vAlign w:val="center"/>
          </w:tcPr>
          <w:p w14:paraId="538CD61E" w14:textId="4F072D1D" w:rsidR="003C7D23" w:rsidDel="000F1C47" w:rsidRDefault="003C7D23" w:rsidP="003C7D23">
            <w:pPr>
              <w:rPr>
                <w:color w:val="000000"/>
                <w:sz w:val="20"/>
                <w:szCs w:val="20"/>
                <w:lang w:eastAsia="zh-TW"/>
              </w:rPr>
            </w:pPr>
            <w:r>
              <w:rPr>
                <w:color w:val="000000"/>
                <w:sz w:val="20"/>
                <w:szCs w:val="20"/>
                <w:lang w:eastAsia="zh-TW"/>
              </w:rPr>
              <w:t>CD4 350-500</w:t>
            </w:r>
          </w:p>
        </w:tc>
        <w:tc>
          <w:tcPr>
            <w:tcW w:w="368" w:type="pct"/>
            <w:vAlign w:val="center"/>
          </w:tcPr>
          <w:p w14:paraId="5CFF25B9" w14:textId="615A90FE" w:rsidR="003C7D23" w:rsidDel="000F1C47" w:rsidRDefault="003C7D23" w:rsidP="003C7D23">
            <w:pPr>
              <w:rPr>
                <w:color w:val="000000"/>
                <w:sz w:val="20"/>
                <w:szCs w:val="20"/>
                <w:lang w:eastAsia="zh-TW"/>
              </w:rPr>
            </w:pPr>
            <w:r>
              <w:rPr>
                <w:color w:val="000000"/>
                <w:sz w:val="20"/>
                <w:szCs w:val="20"/>
                <w:lang w:eastAsia="zh-TW"/>
              </w:rPr>
              <w:t>CD4 200-350</w:t>
            </w:r>
          </w:p>
        </w:tc>
        <w:tc>
          <w:tcPr>
            <w:tcW w:w="290" w:type="pct"/>
            <w:vAlign w:val="center"/>
          </w:tcPr>
          <w:p w14:paraId="7CECAA66" w14:textId="6A79554F" w:rsidR="003C7D23" w:rsidDel="000F1C47" w:rsidRDefault="003C7D23" w:rsidP="003C7D23">
            <w:pPr>
              <w:rPr>
                <w:color w:val="000000"/>
                <w:sz w:val="20"/>
                <w:szCs w:val="20"/>
                <w:lang w:eastAsia="zh-TW"/>
              </w:rPr>
            </w:pPr>
            <w:r>
              <w:rPr>
                <w:color w:val="000000"/>
                <w:sz w:val="20"/>
                <w:szCs w:val="20"/>
                <w:lang w:eastAsia="zh-TW"/>
              </w:rPr>
              <w:t>CD4 &lt; 200</w:t>
            </w:r>
          </w:p>
        </w:tc>
        <w:tc>
          <w:tcPr>
            <w:tcW w:w="301" w:type="pct"/>
            <w:vAlign w:val="center"/>
          </w:tcPr>
          <w:p w14:paraId="4A842BCC" w14:textId="4BCAAD43" w:rsidR="003C7D23" w:rsidDel="000F1C47" w:rsidRDefault="003C7D23" w:rsidP="003C7D23">
            <w:pPr>
              <w:rPr>
                <w:color w:val="000000"/>
                <w:sz w:val="20"/>
                <w:szCs w:val="20"/>
                <w:lang w:eastAsia="zh-TW"/>
              </w:rPr>
            </w:pPr>
            <w:r>
              <w:rPr>
                <w:color w:val="000000"/>
                <w:sz w:val="20"/>
                <w:szCs w:val="20"/>
                <w:lang w:eastAsia="zh-TW"/>
              </w:rPr>
              <w:t>CD4 &gt;500</w:t>
            </w:r>
          </w:p>
        </w:tc>
        <w:tc>
          <w:tcPr>
            <w:tcW w:w="356" w:type="pct"/>
            <w:vAlign w:val="center"/>
          </w:tcPr>
          <w:p w14:paraId="4B911344" w14:textId="3965BCF4" w:rsidR="003C7D23" w:rsidDel="000F1C47" w:rsidRDefault="003C7D23" w:rsidP="003C7D23">
            <w:pPr>
              <w:rPr>
                <w:color w:val="000000"/>
                <w:sz w:val="20"/>
                <w:szCs w:val="20"/>
                <w:lang w:eastAsia="zh-TW"/>
              </w:rPr>
            </w:pPr>
            <w:r>
              <w:rPr>
                <w:color w:val="000000"/>
                <w:sz w:val="20"/>
                <w:szCs w:val="20"/>
                <w:lang w:eastAsia="zh-TW"/>
              </w:rPr>
              <w:t>CD4 350-500</w:t>
            </w:r>
          </w:p>
        </w:tc>
        <w:tc>
          <w:tcPr>
            <w:tcW w:w="374" w:type="pct"/>
            <w:vAlign w:val="center"/>
          </w:tcPr>
          <w:p w14:paraId="179CEF99" w14:textId="0F0EBFC6" w:rsidR="003C7D23" w:rsidDel="000F1C47" w:rsidRDefault="003C7D23" w:rsidP="003C7D23">
            <w:pPr>
              <w:rPr>
                <w:color w:val="000000"/>
                <w:sz w:val="20"/>
                <w:szCs w:val="20"/>
                <w:lang w:eastAsia="zh-TW"/>
              </w:rPr>
            </w:pPr>
            <w:r>
              <w:rPr>
                <w:color w:val="000000"/>
                <w:sz w:val="20"/>
                <w:szCs w:val="20"/>
                <w:lang w:eastAsia="zh-TW"/>
              </w:rPr>
              <w:t>CD4 200-350</w:t>
            </w:r>
          </w:p>
        </w:tc>
        <w:tc>
          <w:tcPr>
            <w:tcW w:w="283" w:type="pct"/>
            <w:vAlign w:val="center"/>
          </w:tcPr>
          <w:p w14:paraId="78F010DA" w14:textId="43DFCE52" w:rsidR="003C7D23" w:rsidDel="000F1C47" w:rsidRDefault="003C7D23" w:rsidP="003C7D23">
            <w:pPr>
              <w:rPr>
                <w:color w:val="000000"/>
                <w:sz w:val="20"/>
                <w:szCs w:val="20"/>
                <w:lang w:eastAsia="zh-TW"/>
              </w:rPr>
            </w:pPr>
            <w:r>
              <w:rPr>
                <w:color w:val="000000"/>
                <w:sz w:val="20"/>
                <w:szCs w:val="20"/>
                <w:lang w:eastAsia="zh-TW"/>
              </w:rPr>
              <w:t>CD4 &lt; 200</w:t>
            </w:r>
          </w:p>
        </w:tc>
        <w:tc>
          <w:tcPr>
            <w:tcW w:w="307" w:type="pct"/>
            <w:vAlign w:val="center"/>
          </w:tcPr>
          <w:p w14:paraId="091374EE" w14:textId="3891DCAF" w:rsidR="003C7D23" w:rsidRDefault="003C7D23" w:rsidP="003C7D23">
            <w:pPr>
              <w:rPr>
                <w:color w:val="000000"/>
                <w:sz w:val="20"/>
                <w:szCs w:val="20"/>
                <w:lang w:eastAsia="zh-TW"/>
              </w:rPr>
            </w:pPr>
            <w:r>
              <w:rPr>
                <w:color w:val="000000"/>
                <w:sz w:val="20"/>
                <w:szCs w:val="20"/>
                <w:lang w:eastAsia="zh-TW"/>
              </w:rPr>
              <w:t>CD4 &gt;500</w:t>
            </w:r>
          </w:p>
        </w:tc>
        <w:tc>
          <w:tcPr>
            <w:tcW w:w="350" w:type="pct"/>
            <w:vAlign w:val="center"/>
          </w:tcPr>
          <w:p w14:paraId="6BB60930" w14:textId="3B71D0C4" w:rsidR="003C7D23" w:rsidRDefault="003C7D23" w:rsidP="003C7D23">
            <w:pPr>
              <w:rPr>
                <w:color w:val="000000"/>
                <w:sz w:val="20"/>
                <w:szCs w:val="20"/>
                <w:lang w:eastAsia="zh-TW"/>
              </w:rPr>
            </w:pPr>
            <w:r>
              <w:rPr>
                <w:color w:val="000000"/>
                <w:sz w:val="20"/>
                <w:szCs w:val="20"/>
                <w:lang w:eastAsia="zh-TW"/>
              </w:rPr>
              <w:t>CD4 350-500</w:t>
            </w:r>
          </w:p>
        </w:tc>
        <w:tc>
          <w:tcPr>
            <w:tcW w:w="380" w:type="pct"/>
            <w:vAlign w:val="center"/>
          </w:tcPr>
          <w:p w14:paraId="17D0775D" w14:textId="1862C1DA" w:rsidR="003C7D23" w:rsidRDefault="003C7D23" w:rsidP="003C7D23">
            <w:pPr>
              <w:rPr>
                <w:color w:val="000000"/>
                <w:sz w:val="20"/>
                <w:szCs w:val="20"/>
                <w:lang w:eastAsia="zh-TW"/>
              </w:rPr>
            </w:pPr>
            <w:r>
              <w:rPr>
                <w:color w:val="000000"/>
                <w:sz w:val="20"/>
                <w:szCs w:val="20"/>
                <w:lang w:eastAsia="zh-TW"/>
              </w:rPr>
              <w:t>CD4 200-350</w:t>
            </w:r>
          </w:p>
        </w:tc>
        <w:tc>
          <w:tcPr>
            <w:tcW w:w="275" w:type="pct"/>
            <w:vAlign w:val="center"/>
          </w:tcPr>
          <w:p w14:paraId="696E7C68" w14:textId="1FB38916" w:rsidR="003C7D23" w:rsidRDefault="003C7D23" w:rsidP="003C7D23">
            <w:pPr>
              <w:rPr>
                <w:color w:val="000000"/>
                <w:sz w:val="20"/>
                <w:szCs w:val="20"/>
                <w:lang w:eastAsia="zh-TW"/>
              </w:rPr>
            </w:pPr>
            <w:r>
              <w:rPr>
                <w:color w:val="000000"/>
                <w:sz w:val="20"/>
                <w:szCs w:val="20"/>
                <w:lang w:eastAsia="zh-TW"/>
              </w:rPr>
              <w:t>CD4 &lt; 200</w:t>
            </w:r>
          </w:p>
        </w:tc>
      </w:tr>
      <w:tr w:rsidR="003C7D23" w:rsidRPr="00596193" w14:paraId="100FBCC0" w14:textId="4EA78044" w:rsidTr="00580BE8">
        <w:trPr>
          <w:trHeight w:val="300"/>
        </w:trPr>
        <w:tc>
          <w:tcPr>
            <w:tcW w:w="1059" w:type="pct"/>
            <w:shd w:val="clear" w:color="auto" w:fill="auto"/>
            <w:noWrap/>
            <w:vAlign w:val="bottom"/>
            <w:hideMark/>
          </w:tcPr>
          <w:p w14:paraId="17BEB0C5" w14:textId="77777777" w:rsidR="003C7D23" w:rsidRPr="00596193" w:rsidRDefault="003C7D23" w:rsidP="00303804">
            <w:pPr>
              <w:jc w:val="both"/>
              <w:rPr>
                <w:color w:val="000000"/>
                <w:sz w:val="20"/>
                <w:szCs w:val="20"/>
                <w:lang w:eastAsia="zh-TW"/>
              </w:rPr>
            </w:pPr>
            <w:r w:rsidRPr="00596193">
              <w:rPr>
                <w:color w:val="000000"/>
                <w:sz w:val="20"/>
                <w:szCs w:val="20"/>
                <w:lang w:eastAsia="zh-TW"/>
              </w:rPr>
              <w:t>Low-risk urban women (15-24)</w:t>
            </w:r>
          </w:p>
        </w:tc>
        <w:tc>
          <w:tcPr>
            <w:tcW w:w="295" w:type="pct"/>
            <w:shd w:val="clear" w:color="auto" w:fill="auto"/>
            <w:noWrap/>
            <w:vAlign w:val="center"/>
            <w:hideMark/>
          </w:tcPr>
          <w:p w14:paraId="09902DEB" w14:textId="39360E3E" w:rsidR="003C7D23" w:rsidRPr="00596193" w:rsidRDefault="003C7D23" w:rsidP="00303804">
            <w:pPr>
              <w:rPr>
                <w:color w:val="000000"/>
                <w:sz w:val="20"/>
                <w:szCs w:val="20"/>
                <w:lang w:eastAsia="zh-TW"/>
              </w:rPr>
            </w:pPr>
          </w:p>
        </w:tc>
        <w:tc>
          <w:tcPr>
            <w:tcW w:w="363" w:type="pct"/>
          </w:tcPr>
          <w:p w14:paraId="7B3E3FC3" w14:textId="77777777" w:rsidR="003C7D23" w:rsidDel="000F1C47" w:rsidRDefault="003C7D23" w:rsidP="00303804">
            <w:pPr>
              <w:rPr>
                <w:color w:val="000000"/>
                <w:sz w:val="20"/>
                <w:szCs w:val="20"/>
                <w:lang w:eastAsia="zh-TW"/>
              </w:rPr>
            </w:pPr>
          </w:p>
        </w:tc>
        <w:tc>
          <w:tcPr>
            <w:tcW w:w="368" w:type="pct"/>
          </w:tcPr>
          <w:p w14:paraId="1E21048E" w14:textId="77777777" w:rsidR="003C7D23" w:rsidDel="000F1C47" w:rsidRDefault="003C7D23" w:rsidP="00303804">
            <w:pPr>
              <w:rPr>
                <w:color w:val="000000"/>
                <w:sz w:val="20"/>
                <w:szCs w:val="20"/>
                <w:lang w:eastAsia="zh-TW"/>
              </w:rPr>
            </w:pPr>
          </w:p>
        </w:tc>
        <w:tc>
          <w:tcPr>
            <w:tcW w:w="290" w:type="pct"/>
          </w:tcPr>
          <w:p w14:paraId="73B87C3F" w14:textId="77777777" w:rsidR="003C7D23" w:rsidDel="000F1C47" w:rsidRDefault="003C7D23" w:rsidP="00303804">
            <w:pPr>
              <w:rPr>
                <w:color w:val="000000"/>
                <w:sz w:val="20"/>
                <w:szCs w:val="20"/>
                <w:lang w:eastAsia="zh-TW"/>
              </w:rPr>
            </w:pPr>
          </w:p>
        </w:tc>
        <w:tc>
          <w:tcPr>
            <w:tcW w:w="301" w:type="pct"/>
            <w:vAlign w:val="bottom"/>
          </w:tcPr>
          <w:p w14:paraId="078373BA" w14:textId="77777777" w:rsidR="003C7D23" w:rsidRPr="00596193" w:rsidRDefault="003C7D23" w:rsidP="00303804">
            <w:pPr>
              <w:jc w:val="both"/>
              <w:rPr>
                <w:color w:val="000000"/>
                <w:sz w:val="20"/>
                <w:szCs w:val="20"/>
                <w:lang w:eastAsia="zh-TW"/>
              </w:rPr>
            </w:pPr>
          </w:p>
        </w:tc>
        <w:tc>
          <w:tcPr>
            <w:tcW w:w="356" w:type="pct"/>
          </w:tcPr>
          <w:p w14:paraId="58FB5D57" w14:textId="77777777" w:rsidR="003C7D23" w:rsidRPr="00596193" w:rsidRDefault="003C7D23" w:rsidP="00303804">
            <w:pPr>
              <w:jc w:val="both"/>
              <w:rPr>
                <w:color w:val="000000"/>
                <w:sz w:val="20"/>
                <w:szCs w:val="20"/>
                <w:lang w:eastAsia="zh-TW"/>
              </w:rPr>
            </w:pPr>
          </w:p>
        </w:tc>
        <w:tc>
          <w:tcPr>
            <w:tcW w:w="374" w:type="pct"/>
          </w:tcPr>
          <w:p w14:paraId="3E38CA57" w14:textId="77777777" w:rsidR="003C7D23" w:rsidRPr="00596193" w:rsidRDefault="003C7D23" w:rsidP="00303804">
            <w:pPr>
              <w:jc w:val="both"/>
              <w:rPr>
                <w:color w:val="000000"/>
                <w:sz w:val="20"/>
                <w:szCs w:val="20"/>
                <w:lang w:eastAsia="zh-TW"/>
              </w:rPr>
            </w:pPr>
          </w:p>
        </w:tc>
        <w:tc>
          <w:tcPr>
            <w:tcW w:w="283" w:type="pct"/>
          </w:tcPr>
          <w:p w14:paraId="23B74F7D" w14:textId="77777777" w:rsidR="003C7D23" w:rsidRPr="00596193" w:rsidRDefault="003C7D23" w:rsidP="00303804">
            <w:pPr>
              <w:jc w:val="both"/>
              <w:rPr>
                <w:color w:val="000000"/>
                <w:sz w:val="20"/>
                <w:szCs w:val="20"/>
                <w:lang w:eastAsia="zh-TW"/>
              </w:rPr>
            </w:pPr>
          </w:p>
        </w:tc>
        <w:tc>
          <w:tcPr>
            <w:tcW w:w="307" w:type="pct"/>
          </w:tcPr>
          <w:p w14:paraId="309D7B54" w14:textId="77777777" w:rsidR="003C7D23" w:rsidRPr="00596193" w:rsidRDefault="003C7D23" w:rsidP="00303804">
            <w:pPr>
              <w:jc w:val="both"/>
              <w:rPr>
                <w:color w:val="000000"/>
                <w:sz w:val="20"/>
                <w:szCs w:val="20"/>
                <w:lang w:eastAsia="zh-TW"/>
              </w:rPr>
            </w:pPr>
          </w:p>
        </w:tc>
        <w:tc>
          <w:tcPr>
            <w:tcW w:w="350" w:type="pct"/>
          </w:tcPr>
          <w:p w14:paraId="1A53F15E" w14:textId="4A797580" w:rsidR="003C7D23" w:rsidRPr="00596193" w:rsidRDefault="003C7D23" w:rsidP="00303804">
            <w:pPr>
              <w:jc w:val="both"/>
              <w:rPr>
                <w:color w:val="000000"/>
                <w:sz w:val="20"/>
                <w:szCs w:val="20"/>
                <w:lang w:eastAsia="zh-TW"/>
              </w:rPr>
            </w:pPr>
          </w:p>
        </w:tc>
        <w:tc>
          <w:tcPr>
            <w:tcW w:w="380" w:type="pct"/>
          </w:tcPr>
          <w:p w14:paraId="4CA97490" w14:textId="418B5BF7" w:rsidR="003C7D23" w:rsidRPr="00596193" w:rsidRDefault="003C7D23" w:rsidP="00303804">
            <w:pPr>
              <w:jc w:val="both"/>
              <w:rPr>
                <w:color w:val="000000"/>
                <w:sz w:val="20"/>
                <w:szCs w:val="20"/>
                <w:lang w:eastAsia="zh-TW"/>
              </w:rPr>
            </w:pPr>
          </w:p>
        </w:tc>
        <w:tc>
          <w:tcPr>
            <w:tcW w:w="275" w:type="pct"/>
          </w:tcPr>
          <w:p w14:paraId="0AF08C6B" w14:textId="77777777" w:rsidR="003C7D23" w:rsidRPr="00596193" w:rsidRDefault="003C7D23" w:rsidP="00303804">
            <w:pPr>
              <w:jc w:val="both"/>
              <w:rPr>
                <w:color w:val="000000"/>
                <w:sz w:val="20"/>
                <w:szCs w:val="20"/>
                <w:lang w:eastAsia="zh-TW"/>
              </w:rPr>
            </w:pPr>
          </w:p>
        </w:tc>
      </w:tr>
      <w:tr w:rsidR="003C7D23" w:rsidRPr="00596193" w14:paraId="0D3A0F0C" w14:textId="4947A4EF" w:rsidTr="00580BE8">
        <w:trPr>
          <w:trHeight w:val="300"/>
        </w:trPr>
        <w:tc>
          <w:tcPr>
            <w:tcW w:w="1059" w:type="pct"/>
            <w:shd w:val="clear" w:color="auto" w:fill="auto"/>
            <w:noWrap/>
            <w:vAlign w:val="bottom"/>
            <w:hideMark/>
          </w:tcPr>
          <w:p w14:paraId="46C8D8DB" w14:textId="77777777" w:rsidR="003C7D23" w:rsidRPr="00596193" w:rsidRDefault="003C7D23" w:rsidP="00303804">
            <w:pPr>
              <w:jc w:val="both"/>
              <w:rPr>
                <w:color w:val="000000"/>
                <w:sz w:val="20"/>
                <w:szCs w:val="20"/>
                <w:lang w:eastAsia="zh-TW"/>
              </w:rPr>
            </w:pPr>
            <w:r w:rsidRPr="00596193">
              <w:rPr>
                <w:color w:val="000000"/>
                <w:sz w:val="20"/>
                <w:szCs w:val="20"/>
                <w:lang w:eastAsia="zh-TW"/>
              </w:rPr>
              <w:t>Low-risk urban women (25-34)</w:t>
            </w:r>
          </w:p>
        </w:tc>
        <w:tc>
          <w:tcPr>
            <w:tcW w:w="295" w:type="pct"/>
            <w:shd w:val="clear" w:color="auto" w:fill="auto"/>
            <w:noWrap/>
            <w:vAlign w:val="bottom"/>
            <w:hideMark/>
          </w:tcPr>
          <w:p w14:paraId="223431DC" w14:textId="77777777" w:rsidR="003C7D23" w:rsidRPr="00596193" w:rsidRDefault="003C7D23" w:rsidP="00303804">
            <w:pPr>
              <w:jc w:val="both"/>
              <w:rPr>
                <w:color w:val="000000"/>
                <w:sz w:val="20"/>
                <w:szCs w:val="20"/>
                <w:lang w:eastAsia="zh-TW"/>
              </w:rPr>
            </w:pPr>
          </w:p>
        </w:tc>
        <w:tc>
          <w:tcPr>
            <w:tcW w:w="363" w:type="pct"/>
          </w:tcPr>
          <w:p w14:paraId="476998C4" w14:textId="77777777" w:rsidR="003C7D23" w:rsidRPr="00596193" w:rsidRDefault="003C7D23" w:rsidP="00303804">
            <w:pPr>
              <w:jc w:val="both"/>
              <w:rPr>
                <w:color w:val="000000"/>
                <w:sz w:val="20"/>
                <w:szCs w:val="20"/>
                <w:lang w:eastAsia="zh-TW"/>
              </w:rPr>
            </w:pPr>
          </w:p>
        </w:tc>
        <w:tc>
          <w:tcPr>
            <w:tcW w:w="368" w:type="pct"/>
          </w:tcPr>
          <w:p w14:paraId="39167ADC" w14:textId="77777777" w:rsidR="003C7D23" w:rsidRPr="00596193" w:rsidRDefault="003C7D23" w:rsidP="00303804">
            <w:pPr>
              <w:jc w:val="both"/>
              <w:rPr>
                <w:color w:val="000000"/>
                <w:sz w:val="20"/>
                <w:szCs w:val="20"/>
                <w:lang w:eastAsia="zh-TW"/>
              </w:rPr>
            </w:pPr>
          </w:p>
        </w:tc>
        <w:tc>
          <w:tcPr>
            <w:tcW w:w="290" w:type="pct"/>
          </w:tcPr>
          <w:p w14:paraId="2E7413BA" w14:textId="77777777" w:rsidR="003C7D23" w:rsidRPr="00596193" w:rsidRDefault="003C7D23" w:rsidP="00303804">
            <w:pPr>
              <w:jc w:val="both"/>
              <w:rPr>
                <w:color w:val="000000"/>
                <w:sz w:val="20"/>
                <w:szCs w:val="20"/>
                <w:lang w:eastAsia="zh-TW"/>
              </w:rPr>
            </w:pPr>
          </w:p>
        </w:tc>
        <w:tc>
          <w:tcPr>
            <w:tcW w:w="301" w:type="pct"/>
            <w:vAlign w:val="bottom"/>
          </w:tcPr>
          <w:p w14:paraId="36259D30" w14:textId="77777777" w:rsidR="003C7D23" w:rsidRPr="00596193" w:rsidRDefault="003C7D23" w:rsidP="00303804">
            <w:pPr>
              <w:jc w:val="both"/>
              <w:rPr>
                <w:color w:val="000000"/>
                <w:sz w:val="20"/>
                <w:szCs w:val="20"/>
                <w:lang w:eastAsia="zh-TW"/>
              </w:rPr>
            </w:pPr>
          </w:p>
        </w:tc>
        <w:tc>
          <w:tcPr>
            <w:tcW w:w="356" w:type="pct"/>
          </w:tcPr>
          <w:p w14:paraId="5C0C1360" w14:textId="77777777" w:rsidR="003C7D23" w:rsidRPr="00596193" w:rsidRDefault="003C7D23" w:rsidP="00303804">
            <w:pPr>
              <w:jc w:val="both"/>
              <w:rPr>
                <w:color w:val="000000"/>
                <w:sz w:val="20"/>
                <w:szCs w:val="20"/>
                <w:lang w:eastAsia="zh-TW"/>
              </w:rPr>
            </w:pPr>
          </w:p>
        </w:tc>
        <w:tc>
          <w:tcPr>
            <w:tcW w:w="374" w:type="pct"/>
          </w:tcPr>
          <w:p w14:paraId="56503B04" w14:textId="77777777" w:rsidR="003C7D23" w:rsidRPr="00596193" w:rsidRDefault="003C7D23" w:rsidP="00303804">
            <w:pPr>
              <w:jc w:val="both"/>
              <w:rPr>
                <w:color w:val="000000"/>
                <w:sz w:val="20"/>
                <w:szCs w:val="20"/>
                <w:lang w:eastAsia="zh-TW"/>
              </w:rPr>
            </w:pPr>
          </w:p>
        </w:tc>
        <w:tc>
          <w:tcPr>
            <w:tcW w:w="283" w:type="pct"/>
          </w:tcPr>
          <w:p w14:paraId="5EF4ECEE" w14:textId="77777777" w:rsidR="003C7D23" w:rsidRPr="00596193" w:rsidRDefault="003C7D23" w:rsidP="00303804">
            <w:pPr>
              <w:jc w:val="both"/>
              <w:rPr>
                <w:color w:val="000000"/>
                <w:sz w:val="20"/>
                <w:szCs w:val="20"/>
                <w:lang w:eastAsia="zh-TW"/>
              </w:rPr>
            </w:pPr>
          </w:p>
        </w:tc>
        <w:tc>
          <w:tcPr>
            <w:tcW w:w="307" w:type="pct"/>
          </w:tcPr>
          <w:p w14:paraId="6D6443A0" w14:textId="77777777" w:rsidR="003C7D23" w:rsidRPr="00596193" w:rsidRDefault="003C7D23" w:rsidP="00303804">
            <w:pPr>
              <w:jc w:val="both"/>
              <w:rPr>
                <w:color w:val="000000"/>
                <w:sz w:val="20"/>
                <w:szCs w:val="20"/>
                <w:lang w:eastAsia="zh-TW"/>
              </w:rPr>
            </w:pPr>
          </w:p>
        </w:tc>
        <w:tc>
          <w:tcPr>
            <w:tcW w:w="350" w:type="pct"/>
          </w:tcPr>
          <w:p w14:paraId="63E98E82" w14:textId="24911877" w:rsidR="003C7D23" w:rsidRPr="00596193" w:rsidRDefault="003C7D23" w:rsidP="00303804">
            <w:pPr>
              <w:jc w:val="both"/>
              <w:rPr>
                <w:color w:val="000000"/>
                <w:sz w:val="20"/>
                <w:szCs w:val="20"/>
                <w:lang w:eastAsia="zh-TW"/>
              </w:rPr>
            </w:pPr>
          </w:p>
        </w:tc>
        <w:tc>
          <w:tcPr>
            <w:tcW w:w="380" w:type="pct"/>
          </w:tcPr>
          <w:p w14:paraId="698A7FFF" w14:textId="215F6670" w:rsidR="003C7D23" w:rsidRPr="00596193" w:rsidRDefault="003C7D23" w:rsidP="00303804">
            <w:pPr>
              <w:jc w:val="both"/>
              <w:rPr>
                <w:color w:val="000000"/>
                <w:sz w:val="20"/>
                <w:szCs w:val="20"/>
                <w:lang w:eastAsia="zh-TW"/>
              </w:rPr>
            </w:pPr>
          </w:p>
        </w:tc>
        <w:tc>
          <w:tcPr>
            <w:tcW w:w="275" w:type="pct"/>
          </w:tcPr>
          <w:p w14:paraId="5C8F4A47" w14:textId="77777777" w:rsidR="003C7D23" w:rsidRPr="00596193" w:rsidRDefault="003C7D23" w:rsidP="00303804">
            <w:pPr>
              <w:jc w:val="both"/>
              <w:rPr>
                <w:color w:val="000000"/>
                <w:sz w:val="20"/>
                <w:szCs w:val="20"/>
                <w:lang w:eastAsia="zh-TW"/>
              </w:rPr>
            </w:pPr>
          </w:p>
        </w:tc>
      </w:tr>
      <w:tr w:rsidR="003C7D23" w:rsidRPr="00596193" w14:paraId="05EA22B9" w14:textId="00215D63" w:rsidTr="00580BE8">
        <w:trPr>
          <w:trHeight w:val="300"/>
        </w:trPr>
        <w:tc>
          <w:tcPr>
            <w:tcW w:w="1059" w:type="pct"/>
            <w:shd w:val="clear" w:color="auto" w:fill="auto"/>
            <w:noWrap/>
            <w:vAlign w:val="bottom"/>
            <w:hideMark/>
          </w:tcPr>
          <w:p w14:paraId="075FF7B6" w14:textId="77777777" w:rsidR="003C7D23" w:rsidRPr="00596193" w:rsidRDefault="003C7D23" w:rsidP="00303804">
            <w:pPr>
              <w:jc w:val="both"/>
              <w:rPr>
                <w:color w:val="000000"/>
                <w:sz w:val="20"/>
                <w:szCs w:val="20"/>
                <w:lang w:eastAsia="zh-TW"/>
              </w:rPr>
            </w:pPr>
            <w:r w:rsidRPr="00596193">
              <w:rPr>
                <w:color w:val="000000"/>
                <w:sz w:val="20"/>
                <w:szCs w:val="20"/>
                <w:lang w:eastAsia="zh-TW"/>
              </w:rPr>
              <w:t>Low-risk urban women (35-44)</w:t>
            </w:r>
          </w:p>
        </w:tc>
        <w:tc>
          <w:tcPr>
            <w:tcW w:w="295" w:type="pct"/>
            <w:shd w:val="clear" w:color="auto" w:fill="auto"/>
            <w:noWrap/>
            <w:vAlign w:val="bottom"/>
            <w:hideMark/>
          </w:tcPr>
          <w:p w14:paraId="07AEA503" w14:textId="77777777" w:rsidR="003C7D23" w:rsidRPr="00596193" w:rsidRDefault="003C7D23" w:rsidP="00303804">
            <w:pPr>
              <w:jc w:val="both"/>
              <w:rPr>
                <w:color w:val="000000"/>
                <w:sz w:val="20"/>
                <w:szCs w:val="20"/>
                <w:lang w:eastAsia="zh-TW"/>
              </w:rPr>
            </w:pPr>
          </w:p>
        </w:tc>
        <w:tc>
          <w:tcPr>
            <w:tcW w:w="363" w:type="pct"/>
          </w:tcPr>
          <w:p w14:paraId="51FD17CA" w14:textId="77777777" w:rsidR="003C7D23" w:rsidRPr="00596193" w:rsidRDefault="003C7D23" w:rsidP="00303804">
            <w:pPr>
              <w:jc w:val="both"/>
              <w:rPr>
                <w:color w:val="000000"/>
                <w:sz w:val="20"/>
                <w:szCs w:val="20"/>
                <w:lang w:eastAsia="zh-TW"/>
              </w:rPr>
            </w:pPr>
          </w:p>
        </w:tc>
        <w:tc>
          <w:tcPr>
            <w:tcW w:w="368" w:type="pct"/>
          </w:tcPr>
          <w:p w14:paraId="758686F5" w14:textId="77777777" w:rsidR="003C7D23" w:rsidRPr="00596193" w:rsidRDefault="003C7D23" w:rsidP="00303804">
            <w:pPr>
              <w:jc w:val="both"/>
              <w:rPr>
                <w:color w:val="000000"/>
                <w:sz w:val="20"/>
                <w:szCs w:val="20"/>
                <w:lang w:eastAsia="zh-TW"/>
              </w:rPr>
            </w:pPr>
          </w:p>
        </w:tc>
        <w:tc>
          <w:tcPr>
            <w:tcW w:w="290" w:type="pct"/>
          </w:tcPr>
          <w:p w14:paraId="44F45865" w14:textId="77777777" w:rsidR="003C7D23" w:rsidRPr="00596193" w:rsidRDefault="003C7D23" w:rsidP="00303804">
            <w:pPr>
              <w:jc w:val="both"/>
              <w:rPr>
                <w:color w:val="000000"/>
                <w:sz w:val="20"/>
                <w:szCs w:val="20"/>
                <w:lang w:eastAsia="zh-TW"/>
              </w:rPr>
            </w:pPr>
          </w:p>
        </w:tc>
        <w:tc>
          <w:tcPr>
            <w:tcW w:w="301" w:type="pct"/>
            <w:vAlign w:val="bottom"/>
          </w:tcPr>
          <w:p w14:paraId="6CEFEA0A" w14:textId="77777777" w:rsidR="003C7D23" w:rsidRPr="00596193" w:rsidRDefault="003C7D23" w:rsidP="00303804">
            <w:pPr>
              <w:jc w:val="both"/>
              <w:rPr>
                <w:color w:val="000000"/>
                <w:sz w:val="20"/>
                <w:szCs w:val="20"/>
                <w:lang w:eastAsia="zh-TW"/>
              </w:rPr>
            </w:pPr>
          </w:p>
        </w:tc>
        <w:tc>
          <w:tcPr>
            <w:tcW w:w="356" w:type="pct"/>
          </w:tcPr>
          <w:p w14:paraId="4AF2692F" w14:textId="77777777" w:rsidR="003C7D23" w:rsidRPr="00596193" w:rsidRDefault="003C7D23" w:rsidP="00303804">
            <w:pPr>
              <w:jc w:val="both"/>
              <w:rPr>
                <w:color w:val="000000"/>
                <w:sz w:val="20"/>
                <w:szCs w:val="20"/>
                <w:lang w:eastAsia="zh-TW"/>
              </w:rPr>
            </w:pPr>
          </w:p>
        </w:tc>
        <w:tc>
          <w:tcPr>
            <w:tcW w:w="374" w:type="pct"/>
          </w:tcPr>
          <w:p w14:paraId="50BA0B1D" w14:textId="77777777" w:rsidR="003C7D23" w:rsidRPr="00596193" w:rsidRDefault="003C7D23" w:rsidP="00303804">
            <w:pPr>
              <w:jc w:val="both"/>
              <w:rPr>
                <w:color w:val="000000"/>
                <w:sz w:val="20"/>
                <w:szCs w:val="20"/>
                <w:lang w:eastAsia="zh-TW"/>
              </w:rPr>
            </w:pPr>
          </w:p>
        </w:tc>
        <w:tc>
          <w:tcPr>
            <w:tcW w:w="283" w:type="pct"/>
          </w:tcPr>
          <w:p w14:paraId="0C49259D" w14:textId="77777777" w:rsidR="003C7D23" w:rsidRPr="00596193" w:rsidRDefault="003C7D23" w:rsidP="00303804">
            <w:pPr>
              <w:jc w:val="both"/>
              <w:rPr>
                <w:color w:val="000000"/>
                <w:sz w:val="20"/>
                <w:szCs w:val="20"/>
                <w:lang w:eastAsia="zh-TW"/>
              </w:rPr>
            </w:pPr>
          </w:p>
        </w:tc>
        <w:tc>
          <w:tcPr>
            <w:tcW w:w="307" w:type="pct"/>
          </w:tcPr>
          <w:p w14:paraId="5A161DCC" w14:textId="77777777" w:rsidR="003C7D23" w:rsidRPr="00596193" w:rsidRDefault="003C7D23" w:rsidP="00303804">
            <w:pPr>
              <w:jc w:val="both"/>
              <w:rPr>
                <w:color w:val="000000"/>
                <w:sz w:val="20"/>
                <w:szCs w:val="20"/>
                <w:lang w:eastAsia="zh-TW"/>
              </w:rPr>
            </w:pPr>
          </w:p>
        </w:tc>
        <w:tc>
          <w:tcPr>
            <w:tcW w:w="350" w:type="pct"/>
          </w:tcPr>
          <w:p w14:paraId="167D0783" w14:textId="3A834C62" w:rsidR="003C7D23" w:rsidRPr="00596193" w:rsidRDefault="003C7D23" w:rsidP="00303804">
            <w:pPr>
              <w:jc w:val="both"/>
              <w:rPr>
                <w:color w:val="000000"/>
                <w:sz w:val="20"/>
                <w:szCs w:val="20"/>
                <w:lang w:eastAsia="zh-TW"/>
              </w:rPr>
            </w:pPr>
          </w:p>
        </w:tc>
        <w:tc>
          <w:tcPr>
            <w:tcW w:w="380" w:type="pct"/>
          </w:tcPr>
          <w:p w14:paraId="700B1B4D" w14:textId="120CF76F" w:rsidR="003C7D23" w:rsidRPr="00596193" w:rsidRDefault="003C7D23" w:rsidP="00303804">
            <w:pPr>
              <w:jc w:val="both"/>
              <w:rPr>
                <w:color w:val="000000"/>
                <w:sz w:val="20"/>
                <w:szCs w:val="20"/>
                <w:lang w:eastAsia="zh-TW"/>
              </w:rPr>
            </w:pPr>
          </w:p>
        </w:tc>
        <w:tc>
          <w:tcPr>
            <w:tcW w:w="275" w:type="pct"/>
          </w:tcPr>
          <w:p w14:paraId="1B085F68" w14:textId="77777777" w:rsidR="003C7D23" w:rsidRPr="00596193" w:rsidRDefault="003C7D23" w:rsidP="00303804">
            <w:pPr>
              <w:jc w:val="both"/>
              <w:rPr>
                <w:color w:val="000000"/>
                <w:sz w:val="20"/>
                <w:szCs w:val="20"/>
                <w:lang w:eastAsia="zh-TW"/>
              </w:rPr>
            </w:pPr>
          </w:p>
        </w:tc>
      </w:tr>
      <w:tr w:rsidR="003C7D23" w:rsidRPr="00596193" w14:paraId="669D7F8E" w14:textId="2B40D45A" w:rsidTr="00580BE8">
        <w:trPr>
          <w:trHeight w:val="300"/>
        </w:trPr>
        <w:tc>
          <w:tcPr>
            <w:tcW w:w="1059" w:type="pct"/>
            <w:shd w:val="clear" w:color="auto" w:fill="auto"/>
            <w:noWrap/>
            <w:vAlign w:val="bottom"/>
            <w:hideMark/>
          </w:tcPr>
          <w:p w14:paraId="0242C21E" w14:textId="77777777" w:rsidR="003C7D23" w:rsidRPr="00596193" w:rsidRDefault="003C7D23" w:rsidP="00303804">
            <w:pPr>
              <w:jc w:val="both"/>
              <w:rPr>
                <w:color w:val="000000"/>
                <w:sz w:val="20"/>
                <w:szCs w:val="20"/>
                <w:lang w:eastAsia="zh-TW"/>
              </w:rPr>
            </w:pPr>
            <w:r w:rsidRPr="00596193">
              <w:rPr>
                <w:color w:val="000000"/>
                <w:sz w:val="20"/>
                <w:szCs w:val="20"/>
                <w:lang w:eastAsia="zh-TW"/>
              </w:rPr>
              <w:t>Low-risk urban women (45-54)</w:t>
            </w:r>
          </w:p>
        </w:tc>
        <w:tc>
          <w:tcPr>
            <w:tcW w:w="295" w:type="pct"/>
            <w:shd w:val="clear" w:color="auto" w:fill="auto"/>
            <w:noWrap/>
            <w:vAlign w:val="bottom"/>
            <w:hideMark/>
          </w:tcPr>
          <w:p w14:paraId="561DA122" w14:textId="77777777" w:rsidR="003C7D23" w:rsidRPr="00596193" w:rsidRDefault="003C7D23" w:rsidP="00303804">
            <w:pPr>
              <w:jc w:val="both"/>
              <w:rPr>
                <w:color w:val="000000"/>
                <w:sz w:val="20"/>
                <w:szCs w:val="20"/>
                <w:lang w:eastAsia="zh-TW"/>
              </w:rPr>
            </w:pPr>
          </w:p>
        </w:tc>
        <w:tc>
          <w:tcPr>
            <w:tcW w:w="363" w:type="pct"/>
          </w:tcPr>
          <w:p w14:paraId="49BB83F3" w14:textId="77777777" w:rsidR="003C7D23" w:rsidRPr="00596193" w:rsidRDefault="003C7D23" w:rsidP="00303804">
            <w:pPr>
              <w:jc w:val="both"/>
              <w:rPr>
                <w:color w:val="000000"/>
                <w:sz w:val="20"/>
                <w:szCs w:val="20"/>
                <w:lang w:eastAsia="zh-TW"/>
              </w:rPr>
            </w:pPr>
          </w:p>
        </w:tc>
        <w:tc>
          <w:tcPr>
            <w:tcW w:w="368" w:type="pct"/>
          </w:tcPr>
          <w:p w14:paraId="39C1CFA7" w14:textId="77777777" w:rsidR="003C7D23" w:rsidRPr="00596193" w:rsidRDefault="003C7D23" w:rsidP="00303804">
            <w:pPr>
              <w:jc w:val="both"/>
              <w:rPr>
                <w:color w:val="000000"/>
                <w:sz w:val="20"/>
                <w:szCs w:val="20"/>
                <w:lang w:eastAsia="zh-TW"/>
              </w:rPr>
            </w:pPr>
          </w:p>
        </w:tc>
        <w:tc>
          <w:tcPr>
            <w:tcW w:w="290" w:type="pct"/>
          </w:tcPr>
          <w:p w14:paraId="5B48135B" w14:textId="77777777" w:rsidR="003C7D23" w:rsidRPr="00596193" w:rsidRDefault="003C7D23" w:rsidP="00303804">
            <w:pPr>
              <w:jc w:val="both"/>
              <w:rPr>
                <w:color w:val="000000"/>
                <w:sz w:val="20"/>
                <w:szCs w:val="20"/>
                <w:lang w:eastAsia="zh-TW"/>
              </w:rPr>
            </w:pPr>
          </w:p>
        </w:tc>
        <w:tc>
          <w:tcPr>
            <w:tcW w:w="301" w:type="pct"/>
            <w:vAlign w:val="bottom"/>
          </w:tcPr>
          <w:p w14:paraId="771B7427" w14:textId="77777777" w:rsidR="003C7D23" w:rsidRPr="00596193" w:rsidRDefault="003C7D23" w:rsidP="00303804">
            <w:pPr>
              <w:jc w:val="both"/>
              <w:rPr>
                <w:color w:val="000000"/>
                <w:sz w:val="20"/>
                <w:szCs w:val="20"/>
                <w:lang w:eastAsia="zh-TW"/>
              </w:rPr>
            </w:pPr>
          </w:p>
        </w:tc>
        <w:tc>
          <w:tcPr>
            <w:tcW w:w="356" w:type="pct"/>
          </w:tcPr>
          <w:p w14:paraId="73440429" w14:textId="77777777" w:rsidR="003C7D23" w:rsidRPr="00596193" w:rsidRDefault="003C7D23" w:rsidP="00303804">
            <w:pPr>
              <w:jc w:val="both"/>
              <w:rPr>
                <w:color w:val="000000"/>
                <w:sz w:val="20"/>
                <w:szCs w:val="20"/>
                <w:lang w:eastAsia="zh-TW"/>
              </w:rPr>
            </w:pPr>
          </w:p>
        </w:tc>
        <w:tc>
          <w:tcPr>
            <w:tcW w:w="374" w:type="pct"/>
          </w:tcPr>
          <w:p w14:paraId="13608CD0" w14:textId="77777777" w:rsidR="003C7D23" w:rsidRPr="00596193" w:rsidRDefault="003C7D23" w:rsidP="00303804">
            <w:pPr>
              <w:jc w:val="both"/>
              <w:rPr>
                <w:color w:val="000000"/>
                <w:sz w:val="20"/>
                <w:szCs w:val="20"/>
                <w:lang w:eastAsia="zh-TW"/>
              </w:rPr>
            </w:pPr>
          </w:p>
        </w:tc>
        <w:tc>
          <w:tcPr>
            <w:tcW w:w="283" w:type="pct"/>
          </w:tcPr>
          <w:p w14:paraId="7A06BB09" w14:textId="77777777" w:rsidR="003C7D23" w:rsidRPr="00596193" w:rsidRDefault="003C7D23" w:rsidP="00303804">
            <w:pPr>
              <w:jc w:val="both"/>
              <w:rPr>
                <w:color w:val="000000"/>
                <w:sz w:val="20"/>
                <w:szCs w:val="20"/>
                <w:lang w:eastAsia="zh-TW"/>
              </w:rPr>
            </w:pPr>
          </w:p>
        </w:tc>
        <w:tc>
          <w:tcPr>
            <w:tcW w:w="307" w:type="pct"/>
          </w:tcPr>
          <w:p w14:paraId="1F1D2EC0" w14:textId="77777777" w:rsidR="003C7D23" w:rsidRPr="00596193" w:rsidRDefault="003C7D23" w:rsidP="00303804">
            <w:pPr>
              <w:jc w:val="both"/>
              <w:rPr>
                <w:color w:val="000000"/>
                <w:sz w:val="20"/>
                <w:szCs w:val="20"/>
                <w:lang w:eastAsia="zh-TW"/>
              </w:rPr>
            </w:pPr>
          </w:p>
        </w:tc>
        <w:tc>
          <w:tcPr>
            <w:tcW w:w="350" w:type="pct"/>
          </w:tcPr>
          <w:p w14:paraId="7345CC63" w14:textId="1D81FEEB" w:rsidR="003C7D23" w:rsidRPr="00596193" w:rsidRDefault="003C7D23" w:rsidP="00303804">
            <w:pPr>
              <w:jc w:val="both"/>
              <w:rPr>
                <w:color w:val="000000"/>
                <w:sz w:val="20"/>
                <w:szCs w:val="20"/>
                <w:lang w:eastAsia="zh-TW"/>
              </w:rPr>
            </w:pPr>
          </w:p>
        </w:tc>
        <w:tc>
          <w:tcPr>
            <w:tcW w:w="380" w:type="pct"/>
          </w:tcPr>
          <w:p w14:paraId="63E26184" w14:textId="5595EA2E" w:rsidR="003C7D23" w:rsidRPr="00596193" w:rsidRDefault="003C7D23" w:rsidP="00303804">
            <w:pPr>
              <w:jc w:val="both"/>
              <w:rPr>
                <w:color w:val="000000"/>
                <w:sz w:val="20"/>
                <w:szCs w:val="20"/>
                <w:lang w:eastAsia="zh-TW"/>
              </w:rPr>
            </w:pPr>
          </w:p>
        </w:tc>
        <w:tc>
          <w:tcPr>
            <w:tcW w:w="275" w:type="pct"/>
          </w:tcPr>
          <w:p w14:paraId="711F5211" w14:textId="77777777" w:rsidR="003C7D23" w:rsidRPr="00596193" w:rsidRDefault="003C7D23" w:rsidP="00303804">
            <w:pPr>
              <w:jc w:val="both"/>
              <w:rPr>
                <w:color w:val="000000"/>
                <w:sz w:val="20"/>
                <w:szCs w:val="20"/>
                <w:lang w:eastAsia="zh-TW"/>
              </w:rPr>
            </w:pPr>
          </w:p>
        </w:tc>
      </w:tr>
      <w:tr w:rsidR="003C7D23" w:rsidRPr="00596193" w14:paraId="72F1EEE9" w14:textId="599C3A0E" w:rsidTr="00580BE8">
        <w:trPr>
          <w:trHeight w:val="300"/>
        </w:trPr>
        <w:tc>
          <w:tcPr>
            <w:tcW w:w="1059" w:type="pct"/>
            <w:shd w:val="clear" w:color="auto" w:fill="auto"/>
            <w:noWrap/>
            <w:vAlign w:val="bottom"/>
            <w:hideMark/>
          </w:tcPr>
          <w:p w14:paraId="43336B2A" w14:textId="77777777" w:rsidR="003C7D23" w:rsidRPr="00596193" w:rsidRDefault="003C7D23" w:rsidP="00303804">
            <w:pPr>
              <w:jc w:val="both"/>
              <w:rPr>
                <w:color w:val="000000"/>
                <w:sz w:val="20"/>
                <w:szCs w:val="20"/>
                <w:lang w:eastAsia="zh-TW"/>
              </w:rPr>
            </w:pPr>
            <w:r w:rsidRPr="00596193">
              <w:rPr>
                <w:color w:val="000000"/>
                <w:sz w:val="20"/>
                <w:szCs w:val="20"/>
                <w:lang w:eastAsia="zh-TW"/>
              </w:rPr>
              <w:t>Low-risk urban women (55-64)</w:t>
            </w:r>
          </w:p>
        </w:tc>
        <w:tc>
          <w:tcPr>
            <w:tcW w:w="295" w:type="pct"/>
            <w:shd w:val="clear" w:color="auto" w:fill="auto"/>
            <w:noWrap/>
            <w:vAlign w:val="bottom"/>
            <w:hideMark/>
          </w:tcPr>
          <w:p w14:paraId="26A2F869" w14:textId="77777777" w:rsidR="003C7D23" w:rsidRPr="00596193" w:rsidRDefault="003C7D23" w:rsidP="00303804">
            <w:pPr>
              <w:jc w:val="both"/>
              <w:rPr>
                <w:color w:val="000000"/>
                <w:sz w:val="20"/>
                <w:szCs w:val="20"/>
                <w:lang w:eastAsia="zh-TW"/>
              </w:rPr>
            </w:pPr>
          </w:p>
        </w:tc>
        <w:tc>
          <w:tcPr>
            <w:tcW w:w="363" w:type="pct"/>
          </w:tcPr>
          <w:p w14:paraId="552098EE" w14:textId="77777777" w:rsidR="003C7D23" w:rsidRPr="00596193" w:rsidRDefault="003C7D23" w:rsidP="00303804">
            <w:pPr>
              <w:jc w:val="both"/>
              <w:rPr>
                <w:color w:val="000000"/>
                <w:sz w:val="20"/>
                <w:szCs w:val="20"/>
                <w:lang w:eastAsia="zh-TW"/>
              </w:rPr>
            </w:pPr>
          </w:p>
        </w:tc>
        <w:tc>
          <w:tcPr>
            <w:tcW w:w="368" w:type="pct"/>
          </w:tcPr>
          <w:p w14:paraId="5E97B28F" w14:textId="77777777" w:rsidR="003C7D23" w:rsidRPr="00596193" w:rsidRDefault="003C7D23" w:rsidP="00303804">
            <w:pPr>
              <w:jc w:val="both"/>
              <w:rPr>
                <w:color w:val="000000"/>
                <w:sz w:val="20"/>
                <w:szCs w:val="20"/>
                <w:lang w:eastAsia="zh-TW"/>
              </w:rPr>
            </w:pPr>
          </w:p>
        </w:tc>
        <w:tc>
          <w:tcPr>
            <w:tcW w:w="290" w:type="pct"/>
          </w:tcPr>
          <w:p w14:paraId="7CA9F874" w14:textId="77777777" w:rsidR="003C7D23" w:rsidRPr="00596193" w:rsidRDefault="003C7D23" w:rsidP="00303804">
            <w:pPr>
              <w:jc w:val="both"/>
              <w:rPr>
                <w:color w:val="000000"/>
                <w:sz w:val="20"/>
                <w:szCs w:val="20"/>
                <w:lang w:eastAsia="zh-TW"/>
              </w:rPr>
            </w:pPr>
          </w:p>
        </w:tc>
        <w:tc>
          <w:tcPr>
            <w:tcW w:w="301" w:type="pct"/>
            <w:vAlign w:val="bottom"/>
          </w:tcPr>
          <w:p w14:paraId="1FAD788C" w14:textId="77777777" w:rsidR="003C7D23" w:rsidRPr="00596193" w:rsidRDefault="003C7D23" w:rsidP="00303804">
            <w:pPr>
              <w:jc w:val="both"/>
              <w:rPr>
                <w:color w:val="000000"/>
                <w:sz w:val="20"/>
                <w:szCs w:val="20"/>
                <w:lang w:eastAsia="zh-TW"/>
              </w:rPr>
            </w:pPr>
          </w:p>
        </w:tc>
        <w:tc>
          <w:tcPr>
            <w:tcW w:w="356" w:type="pct"/>
          </w:tcPr>
          <w:p w14:paraId="5CF656D1" w14:textId="77777777" w:rsidR="003C7D23" w:rsidRPr="00596193" w:rsidRDefault="003C7D23" w:rsidP="00303804">
            <w:pPr>
              <w:jc w:val="both"/>
              <w:rPr>
                <w:color w:val="000000"/>
                <w:sz w:val="20"/>
                <w:szCs w:val="20"/>
                <w:lang w:eastAsia="zh-TW"/>
              </w:rPr>
            </w:pPr>
          </w:p>
        </w:tc>
        <w:tc>
          <w:tcPr>
            <w:tcW w:w="374" w:type="pct"/>
          </w:tcPr>
          <w:p w14:paraId="716D8676" w14:textId="77777777" w:rsidR="003C7D23" w:rsidRPr="00596193" w:rsidRDefault="003C7D23" w:rsidP="00303804">
            <w:pPr>
              <w:jc w:val="both"/>
              <w:rPr>
                <w:color w:val="000000"/>
                <w:sz w:val="20"/>
                <w:szCs w:val="20"/>
                <w:lang w:eastAsia="zh-TW"/>
              </w:rPr>
            </w:pPr>
          </w:p>
        </w:tc>
        <w:tc>
          <w:tcPr>
            <w:tcW w:w="283" w:type="pct"/>
          </w:tcPr>
          <w:p w14:paraId="11CC4459" w14:textId="77777777" w:rsidR="003C7D23" w:rsidRPr="00596193" w:rsidRDefault="003C7D23" w:rsidP="00303804">
            <w:pPr>
              <w:jc w:val="both"/>
              <w:rPr>
                <w:color w:val="000000"/>
                <w:sz w:val="20"/>
                <w:szCs w:val="20"/>
                <w:lang w:eastAsia="zh-TW"/>
              </w:rPr>
            </w:pPr>
          </w:p>
        </w:tc>
        <w:tc>
          <w:tcPr>
            <w:tcW w:w="307" w:type="pct"/>
          </w:tcPr>
          <w:p w14:paraId="70038750" w14:textId="77777777" w:rsidR="003C7D23" w:rsidRPr="00596193" w:rsidRDefault="003C7D23" w:rsidP="00303804">
            <w:pPr>
              <w:jc w:val="both"/>
              <w:rPr>
                <w:color w:val="000000"/>
                <w:sz w:val="20"/>
                <w:szCs w:val="20"/>
                <w:lang w:eastAsia="zh-TW"/>
              </w:rPr>
            </w:pPr>
          </w:p>
        </w:tc>
        <w:tc>
          <w:tcPr>
            <w:tcW w:w="350" w:type="pct"/>
          </w:tcPr>
          <w:p w14:paraId="50692F4E" w14:textId="3D974A20" w:rsidR="003C7D23" w:rsidRPr="00596193" w:rsidRDefault="003C7D23" w:rsidP="00303804">
            <w:pPr>
              <w:jc w:val="both"/>
              <w:rPr>
                <w:color w:val="000000"/>
                <w:sz w:val="20"/>
                <w:szCs w:val="20"/>
                <w:lang w:eastAsia="zh-TW"/>
              </w:rPr>
            </w:pPr>
          </w:p>
        </w:tc>
        <w:tc>
          <w:tcPr>
            <w:tcW w:w="380" w:type="pct"/>
          </w:tcPr>
          <w:p w14:paraId="3F96B1C2" w14:textId="57BEDE76" w:rsidR="003C7D23" w:rsidRPr="00596193" w:rsidRDefault="003C7D23" w:rsidP="00303804">
            <w:pPr>
              <w:jc w:val="both"/>
              <w:rPr>
                <w:color w:val="000000"/>
                <w:sz w:val="20"/>
                <w:szCs w:val="20"/>
                <w:lang w:eastAsia="zh-TW"/>
              </w:rPr>
            </w:pPr>
          </w:p>
        </w:tc>
        <w:tc>
          <w:tcPr>
            <w:tcW w:w="275" w:type="pct"/>
          </w:tcPr>
          <w:p w14:paraId="596C09DE" w14:textId="77777777" w:rsidR="003C7D23" w:rsidRPr="00596193" w:rsidRDefault="003C7D23" w:rsidP="00303804">
            <w:pPr>
              <w:jc w:val="both"/>
              <w:rPr>
                <w:color w:val="000000"/>
                <w:sz w:val="20"/>
                <w:szCs w:val="20"/>
                <w:lang w:eastAsia="zh-TW"/>
              </w:rPr>
            </w:pPr>
          </w:p>
        </w:tc>
      </w:tr>
      <w:tr w:rsidR="003C7D23" w:rsidRPr="00596193" w14:paraId="380714CE" w14:textId="20C3813C" w:rsidTr="00580BE8">
        <w:trPr>
          <w:trHeight w:val="300"/>
        </w:trPr>
        <w:tc>
          <w:tcPr>
            <w:tcW w:w="1059" w:type="pct"/>
            <w:shd w:val="clear" w:color="auto" w:fill="auto"/>
            <w:noWrap/>
            <w:vAlign w:val="bottom"/>
            <w:hideMark/>
          </w:tcPr>
          <w:p w14:paraId="46674EF0" w14:textId="77777777" w:rsidR="003C7D23" w:rsidRPr="00596193" w:rsidRDefault="003C7D23" w:rsidP="00303804">
            <w:pPr>
              <w:jc w:val="both"/>
              <w:rPr>
                <w:color w:val="000000"/>
                <w:sz w:val="20"/>
                <w:szCs w:val="20"/>
                <w:lang w:eastAsia="zh-TW"/>
              </w:rPr>
            </w:pPr>
            <w:r w:rsidRPr="00596193">
              <w:rPr>
                <w:color w:val="000000"/>
                <w:sz w:val="20"/>
                <w:szCs w:val="20"/>
                <w:lang w:eastAsia="zh-TW"/>
              </w:rPr>
              <w:t>Low-risk rural women (15-24)</w:t>
            </w:r>
          </w:p>
        </w:tc>
        <w:tc>
          <w:tcPr>
            <w:tcW w:w="295" w:type="pct"/>
            <w:shd w:val="clear" w:color="auto" w:fill="auto"/>
            <w:noWrap/>
            <w:vAlign w:val="bottom"/>
            <w:hideMark/>
          </w:tcPr>
          <w:p w14:paraId="044C356B" w14:textId="77777777" w:rsidR="003C7D23" w:rsidRPr="00596193" w:rsidRDefault="003C7D23" w:rsidP="00303804">
            <w:pPr>
              <w:jc w:val="both"/>
              <w:rPr>
                <w:color w:val="000000"/>
                <w:sz w:val="20"/>
                <w:szCs w:val="20"/>
                <w:lang w:eastAsia="zh-TW"/>
              </w:rPr>
            </w:pPr>
          </w:p>
        </w:tc>
        <w:tc>
          <w:tcPr>
            <w:tcW w:w="363" w:type="pct"/>
          </w:tcPr>
          <w:p w14:paraId="7AA9F062" w14:textId="77777777" w:rsidR="003C7D23" w:rsidRPr="00596193" w:rsidRDefault="003C7D23" w:rsidP="00303804">
            <w:pPr>
              <w:jc w:val="both"/>
              <w:rPr>
                <w:color w:val="000000"/>
                <w:sz w:val="20"/>
                <w:szCs w:val="20"/>
                <w:lang w:eastAsia="zh-TW"/>
              </w:rPr>
            </w:pPr>
          </w:p>
        </w:tc>
        <w:tc>
          <w:tcPr>
            <w:tcW w:w="368" w:type="pct"/>
          </w:tcPr>
          <w:p w14:paraId="6477C760" w14:textId="77777777" w:rsidR="003C7D23" w:rsidRPr="00596193" w:rsidRDefault="003C7D23" w:rsidP="00303804">
            <w:pPr>
              <w:jc w:val="both"/>
              <w:rPr>
                <w:color w:val="000000"/>
                <w:sz w:val="20"/>
                <w:szCs w:val="20"/>
                <w:lang w:eastAsia="zh-TW"/>
              </w:rPr>
            </w:pPr>
          </w:p>
        </w:tc>
        <w:tc>
          <w:tcPr>
            <w:tcW w:w="290" w:type="pct"/>
          </w:tcPr>
          <w:p w14:paraId="62289DBE" w14:textId="77777777" w:rsidR="003C7D23" w:rsidRPr="00596193" w:rsidRDefault="003C7D23" w:rsidP="00303804">
            <w:pPr>
              <w:jc w:val="both"/>
              <w:rPr>
                <w:color w:val="000000"/>
                <w:sz w:val="20"/>
                <w:szCs w:val="20"/>
                <w:lang w:eastAsia="zh-TW"/>
              </w:rPr>
            </w:pPr>
          </w:p>
        </w:tc>
        <w:tc>
          <w:tcPr>
            <w:tcW w:w="301" w:type="pct"/>
            <w:vAlign w:val="bottom"/>
          </w:tcPr>
          <w:p w14:paraId="4B386321" w14:textId="77777777" w:rsidR="003C7D23" w:rsidRPr="00596193" w:rsidRDefault="003C7D23" w:rsidP="00303804">
            <w:pPr>
              <w:jc w:val="both"/>
              <w:rPr>
                <w:color w:val="000000"/>
                <w:sz w:val="20"/>
                <w:szCs w:val="20"/>
                <w:lang w:eastAsia="zh-TW"/>
              </w:rPr>
            </w:pPr>
          </w:p>
        </w:tc>
        <w:tc>
          <w:tcPr>
            <w:tcW w:w="356" w:type="pct"/>
          </w:tcPr>
          <w:p w14:paraId="4D3FD269" w14:textId="77777777" w:rsidR="003C7D23" w:rsidRPr="00596193" w:rsidRDefault="003C7D23" w:rsidP="00303804">
            <w:pPr>
              <w:jc w:val="both"/>
              <w:rPr>
                <w:color w:val="000000"/>
                <w:sz w:val="20"/>
                <w:szCs w:val="20"/>
                <w:lang w:eastAsia="zh-TW"/>
              </w:rPr>
            </w:pPr>
          </w:p>
        </w:tc>
        <w:tc>
          <w:tcPr>
            <w:tcW w:w="374" w:type="pct"/>
          </w:tcPr>
          <w:p w14:paraId="2477F5CA" w14:textId="77777777" w:rsidR="003C7D23" w:rsidRPr="00596193" w:rsidRDefault="003C7D23" w:rsidP="00303804">
            <w:pPr>
              <w:jc w:val="both"/>
              <w:rPr>
                <w:color w:val="000000"/>
                <w:sz w:val="20"/>
                <w:szCs w:val="20"/>
                <w:lang w:eastAsia="zh-TW"/>
              </w:rPr>
            </w:pPr>
          </w:p>
        </w:tc>
        <w:tc>
          <w:tcPr>
            <w:tcW w:w="283" w:type="pct"/>
          </w:tcPr>
          <w:p w14:paraId="291D1296" w14:textId="77777777" w:rsidR="003C7D23" w:rsidRPr="00596193" w:rsidRDefault="003C7D23" w:rsidP="00303804">
            <w:pPr>
              <w:jc w:val="both"/>
              <w:rPr>
                <w:color w:val="000000"/>
                <w:sz w:val="20"/>
                <w:szCs w:val="20"/>
                <w:lang w:eastAsia="zh-TW"/>
              </w:rPr>
            </w:pPr>
          </w:p>
        </w:tc>
        <w:tc>
          <w:tcPr>
            <w:tcW w:w="307" w:type="pct"/>
          </w:tcPr>
          <w:p w14:paraId="6BD8F086" w14:textId="77777777" w:rsidR="003C7D23" w:rsidRPr="00596193" w:rsidRDefault="003C7D23" w:rsidP="00303804">
            <w:pPr>
              <w:jc w:val="both"/>
              <w:rPr>
                <w:color w:val="000000"/>
                <w:sz w:val="20"/>
                <w:szCs w:val="20"/>
                <w:lang w:eastAsia="zh-TW"/>
              </w:rPr>
            </w:pPr>
          </w:p>
        </w:tc>
        <w:tc>
          <w:tcPr>
            <w:tcW w:w="350" w:type="pct"/>
          </w:tcPr>
          <w:p w14:paraId="7424291C" w14:textId="526AF229" w:rsidR="003C7D23" w:rsidRPr="00596193" w:rsidRDefault="003C7D23" w:rsidP="00303804">
            <w:pPr>
              <w:jc w:val="both"/>
              <w:rPr>
                <w:color w:val="000000"/>
                <w:sz w:val="20"/>
                <w:szCs w:val="20"/>
                <w:lang w:eastAsia="zh-TW"/>
              </w:rPr>
            </w:pPr>
          </w:p>
        </w:tc>
        <w:tc>
          <w:tcPr>
            <w:tcW w:w="380" w:type="pct"/>
          </w:tcPr>
          <w:p w14:paraId="6DDE3B2B" w14:textId="6E48A663" w:rsidR="003C7D23" w:rsidRPr="00596193" w:rsidRDefault="003C7D23" w:rsidP="00303804">
            <w:pPr>
              <w:jc w:val="both"/>
              <w:rPr>
                <w:color w:val="000000"/>
                <w:sz w:val="20"/>
                <w:szCs w:val="20"/>
                <w:lang w:eastAsia="zh-TW"/>
              </w:rPr>
            </w:pPr>
          </w:p>
        </w:tc>
        <w:tc>
          <w:tcPr>
            <w:tcW w:w="275" w:type="pct"/>
          </w:tcPr>
          <w:p w14:paraId="0741B0BE" w14:textId="77777777" w:rsidR="003C7D23" w:rsidRPr="00596193" w:rsidRDefault="003C7D23" w:rsidP="00303804">
            <w:pPr>
              <w:jc w:val="both"/>
              <w:rPr>
                <w:color w:val="000000"/>
                <w:sz w:val="20"/>
                <w:szCs w:val="20"/>
                <w:lang w:eastAsia="zh-TW"/>
              </w:rPr>
            </w:pPr>
          </w:p>
        </w:tc>
      </w:tr>
      <w:tr w:rsidR="003C7D23" w:rsidRPr="00596193" w14:paraId="4E78E5EF" w14:textId="7E26299C" w:rsidTr="00580BE8">
        <w:trPr>
          <w:trHeight w:val="300"/>
        </w:trPr>
        <w:tc>
          <w:tcPr>
            <w:tcW w:w="1059" w:type="pct"/>
            <w:shd w:val="clear" w:color="auto" w:fill="auto"/>
            <w:noWrap/>
            <w:vAlign w:val="bottom"/>
            <w:hideMark/>
          </w:tcPr>
          <w:p w14:paraId="02B5E1B4" w14:textId="77777777" w:rsidR="003C7D23" w:rsidRPr="00596193" w:rsidRDefault="003C7D23" w:rsidP="00303804">
            <w:pPr>
              <w:jc w:val="both"/>
              <w:rPr>
                <w:color w:val="000000"/>
                <w:sz w:val="20"/>
                <w:szCs w:val="20"/>
                <w:lang w:eastAsia="zh-TW"/>
              </w:rPr>
            </w:pPr>
            <w:r w:rsidRPr="00596193">
              <w:rPr>
                <w:color w:val="000000"/>
                <w:sz w:val="20"/>
                <w:szCs w:val="20"/>
                <w:lang w:eastAsia="zh-TW"/>
              </w:rPr>
              <w:t>Low-risk rural women (25-34)</w:t>
            </w:r>
          </w:p>
        </w:tc>
        <w:tc>
          <w:tcPr>
            <w:tcW w:w="295" w:type="pct"/>
            <w:shd w:val="clear" w:color="auto" w:fill="auto"/>
            <w:noWrap/>
            <w:vAlign w:val="bottom"/>
            <w:hideMark/>
          </w:tcPr>
          <w:p w14:paraId="16A07914" w14:textId="77777777" w:rsidR="003C7D23" w:rsidRPr="00596193" w:rsidRDefault="003C7D23" w:rsidP="00303804">
            <w:pPr>
              <w:jc w:val="both"/>
              <w:rPr>
                <w:color w:val="000000"/>
                <w:sz w:val="20"/>
                <w:szCs w:val="20"/>
                <w:lang w:eastAsia="zh-TW"/>
              </w:rPr>
            </w:pPr>
          </w:p>
        </w:tc>
        <w:tc>
          <w:tcPr>
            <w:tcW w:w="363" w:type="pct"/>
          </w:tcPr>
          <w:p w14:paraId="2551C112" w14:textId="77777777" w:rsidR="003C7D23" w:rsidRPr="00596193" w:rsidRDefault="003C7D23" w:rsidP="00303804">
            <w:pPr>
              <w:jc w:val="both"/>
              <w:rPr>
                <w:color w:val="000000"/>
                <w:sz w:val="20"/>
                <w:szCs w:val="20"/>
                <w:lang w:eastAsia="zh-TW"/>
              </w:rPr>
            </w:pPr>
          </w:p>
        </w:tc>
        <w:tc>
          <w:tcPr>
            <w:tcW w:w="368" w:type="pct"/>
          </w:tcPr>
          <w:p w14:paraId="4C68A0FC" w14:textId="77777777" w:rsidR="003C7D23" w:rsidRPr="00596193" w:rsidRDefault="003C7D23" w:rsidP="00303804">
            <w:pPr>
              <w:jc w:val="both"/>
              <w:rPr>
                <w:color w:val="000000"/>
                <w:sz w:val="20"/>
                <w:szCs w:val="20"/>
                <w:lang w:eastAsia="zh-TW"/>
              </w:rPr>
            </w:pPr>
          </w:p>
        </w:tc>
        <w:tc>
          <w:tcPr>
            <w:tcW w:w="290" w:type="pct"/>
          </w:tcPr>
          <w:p w14:paraId="64F4CE65" w14:textId="77777777" w:rsidR="003C7D23" w:rsidRPr="00596193" w:rsidRDefault="003C7D23" w:rsidP="00303804">
            <w:pPr>
              <w:jc w:val="both"/>
              <w:rPr>
                <w:color w:val="000000"/>
                <w:sz w:val="20"/>
                <w:szCs w:val="20"/>
                <w:lang w:eastAsia="zh-TW"/>
              </w:rPr>
            </w:pPr>
          </w:p>
        </w:tc>
        <w:tc>
          <w:tcPr>
            <w:tcW w:w="301" w:type="pct"/>
            <w:vAlign w:val="bottom"/>
          </w:tcPr>
          <w:p w14:paraId="1E9ED348" w14:textId="77777777" w:rsidR="003C7D23" w:rsidRPr="00596193" w:rsidRDefault="003C7D23" w:rsidP="00303804">
            <w:pPr>
              <w:jc w:val="both"/>
              <w:rPr>
                <w:color w:val="000000"/>
                <w:sz w:val="20"/>
                <w:szCs w:val="20"/>
                <w:lang w:eastAsia="zh-TW"/>
              </w:rPr>
            </w:pPr>
          </w:p>
        </w:tc>
        <w:tc>
          <w:tcPr>
            <w:tcW w:w="356" w:type="pct"/>
          </w:tcPr>
          <w:p w14:paraId="4E1C3BC9" w14:textId="77777777" w:rsidR="003C7D23" w:rsidRPr="00596193" w:rsidRDefault="003C7D23" w:rsidP="00303804">
            <w:pPr>
              <w:jc w:val="both"/>
              <w:rPr>
                <w:color w:val="000000"/>
                <w:sz w:val="20"/>
                <w:szCs w:val="20"/>
                <w:lang w:eastAsia="zh-TW"/>
              </w:rPr>
            </w:pPr>
          </w:p>
        </w:tc>
        <w:tc>
          <w:tcPr>
            <w:tcW w:w="374" w:type="pct"/>
          </w:tcPr>
          <w:p w14:paraId="2C2E6490" w14:textId="77777777" w:rsidR="003C7D23" w:rsidRPr="00596193" w:rsidRDefault="003C7D23" w:rsidP="00303804">
            <w:pPr>
              <w:jc w:val="both"/>
              <w:rPr>
                <w:color w:val="000000"/>
                <w:sz w:val="20"/>
                <w:szCs w:val="20"/>
                <w:lang w:eastAsia="zh-TW"/>
              </w:rPr>
            </w:pPr>
          </w:p>
        </w:tc>
        <w:tc>
          <w:tcPr>
            <w:tcW w:w="283" w:type="pct"/>
          </w:tcPr>
          <w:p w14:paraId="0AD4BA4A" w14:textId="77777777" w:rsidR="003C7D23" w:rsidRPr="00596193" w:rsidRDefault="003C7D23" w:rsidP="00303804">
            <w:pPr>
              <w:jc w:val="both"/>
              <w:rPr>
                <w:color w:val="000000"/>
                <w:sz w:val="20"/>
                <w:szCs w:val="20"/>
                <w:lang w:eastAsia="zh-TW"/>
              </w:rPr>
            </w:pPr>
          </w:p>
        </w:tc>
        <w:tc>
          <w:tcPr>
            <w:tcW w:w="307" w:type="pct"/>
          </w:tcPr>
          <w:p w14:paraId="43D51943" w14:textId="77777777" w:rsidR="003C7D23" w:rsidRPr="00596193" w:rsidRDefault="003C7D23" w:rsidP="00303804">
            <w:pPr>
              <w:jc w:val="both"/>
              <w:rPr>
                <w:color w:val="000000"/>
                <w:sz w:val="20"/>
                <w:szCs w:val="20"/>
                <w:lang w:eastAsia="zh-TW"/>
              </w:rPr>
            </w:pPr>
          </w:p>
        </w:tc>
        <w:tc>
          <w:tcPr>
            <w:tcW w:w="350" w:type="pct"/>
          </w:tcPr>
          <w:p w14:paraId="7627DE5D" w14:textId="7C903884" w:rsidR="003C7D23" w:rsidRPr="00596193" w:rsidRDefault="003C7D23" w:rsidP="00303804">
            <w:pPr>
              <w:jc w:val="both"/>
              <w:rPr>
                <w:color w:val="000000"/>
                <w:sz w:val="20"/>
                <w:szCs w:val="20"/>
                <w:lang w:eastAsia="zh-TW"/>
              </w:rPr>
            </w:pPr>
          </w:p>
        </w:tc>
        <w:tc>
          <w:tcPr>
            <w:tcW w:w="380" w:type="pct"/>
          </w:tcPr>
          <w:p w14:paraId="2945477E" w14:textId="2A4A0ED6" w:rsidR="003C7D23" w:rsidRPr="00596193" w:rsidRDefault="003C7D23" w:rsidP="00303804">
            <w:pPr>
              <w:jc w:val="both"/>
              <w:rPr>
                <w:color w:val="000000"/>
                <w:sz w:val="20"/>
                <w:szCs w:val="20"/>
                <w:lang w:eastAsia="zh-TW"/>
              </w:rPr>
            </w:pPr>
          </w:p>
        </w:tc>
        <w:tc>
          <w:tcPr>
            <w:tcW w:w="275" w:type="pct"/>
          </w:tcPr>
          <w:p w14:paraId="1917358B" w14:textId="77777777" w:rsidR="003C7D23" w:rsidRPr="00596193" w:rsidRDefault="003C7D23" w:rsidP="00303804">
            <w:pPr>
              <w:jc w:val="both"/>
              <w:rPr>
                <w:color w:val="000000"/>
                <w:sz w:val="20"/>
                <w:szCs w:val="20"/>
                <w:lang w:eastAsia="zh-TW"/>
              </w:rPr>
            </w:pPr>
          </w:p>
        </w:tc>
      </w:tr>
      <w:tr w:rsidR="003C7D23" w:rsidRPr="00596193" w14:paraId="0690AC2C" w14:textId="2A6DD051" w:rsidTr="00580BE8">
        <w:trPr>
          <w:trHeight w:val="300"/>
        </w:trPr>
        <w:tc>
          <w:tcPr>
            <w:tcW w:w="1059" w:type="pct"/>
            <w:shd w:val="clear" w:color="auto" w:fill="auto"/>
            <w:noWrap/>
            <w:vAlign w:val="bottom"/>
            <w:hideMark/>
          </w:tcPr>
          <w:p w14:paraId="0F19DDD7" w14:textId="77777777" w:rsidR="003C7D23" w:rsidRPr="00596193" w:rsidRDefault="003C7D23" w:rsidP="00303804">
            <w:pPr>
              <w:jc w:val="both"/>
              <w:rPr>
                <w:color w:val="000000"/>
                <w:sz w:val="20"/>
                <w:szCs w:val="20"/>
                <w:lang w:eastAsia="zh-TW"/>
              </w:rPr>
            </w:pPr>
            <w:r w:rsidRPr="00596193">
              <w:rPr>
                <w:color w:val="000000"/>
                <w:sz w:val="20"/>
                <w:szCs w:val="20"/>
                <w:lang w:eastAsia="zh-TW"/>
              </w:rPr>
              <w:t>Low-risk rural women (35-44)</w:t>
            </w:r>
          </w:p>
        </w:tc>
        <w:tc>
          <w:tcPr>
            <w:tcW w:w="295" w:type="pct"/>
            <w:shd w:val="clear" w:color="auto" w:fill="auto"/>
            <w:noWrap/>
            <w:vAlign w:val="bottom"/>
            <w:hideMark/>
          </w:tcPr>
          <w:p w14:paraId="6E6036AD" w14:textId="77777777" w:rsidR="003C7D23" w:rsidRPr="00596193" w:rsidRDefault="003C7D23" w:rsidP="00303804">
            <w:pPr>
              <w:jc w:val="both"/>
              <w:rPr>
                <w:color w:val="000000"/>
                <w:sz w:val="20"/>
                <w:szCs w:val="20"/>
                <w:lang w:eastAsia="zh-TW"/>
              </w:rPr>
            </w:pPr>
          </w:p>
        </w:tc>
        <w:tc>
          <w:tcPr>
            <w:tcW w:w="363" w:type="pct"/>
          </w:tcPr>
          <w:p w14:paraId="7C1E862D" w14:textId="77777777" w:rsidR="003C7D23" w:rsidRPr="00596193" w:rsidRDefault="003C7D23" w:rsidP="00303804">
            <w:pPr>
              <w:jc w:val="both"/>
              <w:rPr>
                <w:color w:val="000000"/>
                <w:sz w:val="20"/>
                <w:szCs w:val="20"/>
                <w:lang w:eastAsia="zh-TW"/>
              </w:rPr>
            </w:pPr>
          </w:p>
        </w:tc>
        <w:tc>
          <w:tcPr>
            <w:tcW w:w="368" w:type="pct"/>
          </w:tcPr>
          <w:p w14:paraId="3A0E6BF4" w14:textId="77777777" w:rsidR="003C7D23" w:rsidRPr="00596193" w:rsidRDefault="003C7D23" w:rsidP="00303804">
            <w:pPr>
              <w:jc w:val="both"/>
              <w:rPr>
                <w:color w:val="000000"/>
                <w:sz w:val="20"/>
                <w:szCs w:val="20"/>
                <w:lang w:eastAsia="zh-TW"/>
              </w:rPr>
            </w:pPr>
          </w:p>
        </w:tc>
        <w:tc>
          <w:tcPr>
            <w:tcW w:w="290" w:type="pct"/>
          </w:tcPr>
          <w:p w14:paraId="56503001" w14:textId="77777777" w:rsidR="003C7D23" w:rsidRPr="00596193" w:rsidRDefault="003C7D23" w:rsidP="00303804">
            <w:pPr>
              <w:jc w:val="both"/>
              <w:rPr>
                <w:color w:val="000000"/>
                <w:sz w:val="20"/>
                <w:szCs w:val="20"/>
                <w:lang w:eastAsia="zh-TW"/>
              </w:rPr>
            </w:pPr>
          </w:p>
        </w:tc>
        <w:tc>
          <w:tcPr>
            <w:tcW w:w="301" w:type="pct"/>
            <w:vAlign w:val="bottom"/>
          </w:tcPr>
          <w:p w14:paraId="5D4E7153" w14:textId="77777777" w:rsidR="003C7D23" w:rsidRPr="00596193" w:rsidRDefault="003C7D23" w:rsidP="00303804">
            <w:pPr>
              <w:jc w:val="both"/>
              <w:rPr>
                <w:color w:val="000000"/>
                <w:sz w:val="20"/>
                <w:szCs w:val="20"/>
                <w:lang w:eastAsia="zh-TW"/>
              </w:rPr>
            </w:pPr>
          </w:p>
        </w:tc>
        <w:tc>
          <w:tcPr>
            <w:tcW w:w="356" w:type="pct"/>
          </w:tcPr>
          <w:p w14:paraId="255E6AA0" w14:textId="77777777" w:rsidR="003C7D23" w:rsidRPr="00596193" w:rsidRDefault="003C7D23" w:rsidP="00303804">
            <w:pPr>
              <w:jc w:val="both"/>
              <w:rPr>
                <w:color w:val="000000"/>
                <w:sz w:val="20"/>
                <w:szCs w:val="20"/>
                <w:lang w:eastAsia="zh-TW"/>
              </w:rPr>
            </w:pPr>
          </w:p>
        </w:tc>
        <w:tc>
          <w:tcPr>
            <w:tcW w:w="374" w:type="pct"/>
          </w:tcPr>
          <w:p w14:paraId="322D3E10" w14:textId="77777777" w:rsidR="003C7D23" w:rsidRPr="00596193" w:rsidRDefault="003C7D23" w:rsidP="00303804">
            <w:pPr>
              <w:jc w:val="both"/>
              <w:rPr>
                <w:color w:val="000000"/>
                <w:sz w:val="20"/>
                <w:szCs w:val="20"/>
                <w:lang w:eastAsia="zh-TW"/>
              </w:rPr>
            </w:pPr>
          </w:p>
        </w:tc>
        <w:tc>
          <w:tcPr>
            <w:tcW w:w="283" w:type="pct"/>
          </w:tcPr>
          <w:p w14:paraId="0CB2BFA9" w14:textId="77777777" w:rsidR="003C7D23" w:rsidRPr="00596193" w:rsidRDefault="003C7D23" w:rsidP="00303804">
            <w:pPr>
              <w:jc w:val="both"/>
              <w:rPr>
                <w:color w:val="000000"/>
                <w:sz w:val="20"/>
                <w:szCs w:val="20"/>
                <w:lang w:eastAsia="zh-TW"/>
              </w:rPr>
            </w:pPr>
          </w:p>
        </w:tc>
        <w:tc>
          <w:tcPr>
            <w:tcW w:w="307" w:type="pct"/>
          </w:tcPr>
          <w:p w14:paraId="15752636" w14:textId="77777777" w:rsidR="003C7D23" w:rsidRPr="00596193" w:rsidRDefault="003C7D23" w:rsidP="00303804">
            <w:pPr>
              <w:jc w:val="both"/>
              <w:rPr>
                <w:color w:val="000000"/>
                <w:sz w:val="20"/>
                <w:szCs w:val="20"/>
                <w:lang w:eastAsia="zh-TW"/>
              </w:rPr>
            </w:pPr>
          </w:p>
        </w:tc>
        <w:tc>
          <w:tcPr>
            <w:tcW w:w="350" w:type="pct"/>
          </w:tcPr>
          <w:p w14:paraId="464D6340" w14:textId="6136FC2D" w:rsidR="003C7D23" w:rsidRPr="00596193" w:rsidRDefault="003C7D23" w:rsidP="00303804">
            <w:pPr>
              <w:jc w:val="both"/>
              <w:rPr>
                <w:color w:val="000000"/>
                <w:sz w:val="20"/>
                <w:szCs w:val="20"/>
                <w:lang w:eastAsia="zh-TW"/>
              </w:rPr>
            </w:pPr>
          </w:p>
        </w:tc>
        <w:tc>
          <w:tcPr>
            <w:tcW w:w="380" w:type="pct"/>
          </w:tcPr>
          <w:p w14:paraId="30D876BC" w14:textId="728A7F95" w:rsidR="003C7D23" w:rsidRPr="00596193" w:rsidRDefault="003C7D23" w:rsidP="00303804">
            <w:pPr>
              <w:jc w:val="both"/>
              <w:rPr>
                <w:color w:val="000000"/>
                <w:sz w:val="20"/>
                <w:szCs w:val="20"/>
                <w:lang w:eastAsia="zh-TW"/>
              </w:rPr>
            </w:pPr>
          </w:p>
        </w:tc>
        <w:tc>
          <w:tcPr>
            <w:tcW w:w="275" w:type="pct"/>
          </w:tcPr>
          <w:p w14:paraId="51DD7D74" w14:textId="77777777" w:rsidR="003C7D23" w:rsidRPr="00596193" w:rsidRDefault="003C7D23" w:rsidP="00303804">
            <w:pPr>
              <w:jc w:val="both"/>
              <w:rPr>
                <w:color w:val="000000"/>
                <w:sz w:val="20"/>
                <w:szCs w:val="20"/>
                <w:lang w:eastAsia="zh-TW"/>
              </w:rPr>
            </w:pPr>
          </w:p>
        </w:tc>
      </w:tr>
      <w:tr w:rsidR="003C7D23" w:rsidRPr="00596193" w14:paraId="19CBA305" w14:textId="3922B6AA" w:rsidTr="00580BE8">
        <w:trPr>
          <w:trHeight w:val="300"/>
        </w:trPr>
        <w:tc>
          <w:tcPr>
            <w:tcW w:w="1059" w:type="pct"/>
            <w:shd w:val="clear" w:color="auto" w:fill="auto"/>
            <w:noWrap/>
            <w:vAlign w:val="bottom"/>
            <w:hideMark/>
          </w:tcPr>
          <w:p w14:paraId="7729D911" w14:textId="77777777" w:rsidR="003C7D23" w:rsidRPr="00596193" w:rsidRDefault="003C7D23" w:rsidP="00303804">
            <w:pPr>
              <w:jc w:val="both"/>
              <w:rPr>
                <w:color w:val="000000"/>
                <w:sz w:val="20"/>
                <w:szCs w:val="20"/>
                <w:lang w:eastAsia="zh-TW"/>
              </w:rPr>
            </w:pPr>
            <w:r w:rsidRPr="00596193">
              <w:rPr>
                <w:color w:val="000000"/>
                <w:sz w:val="20"/>
                <w:szCs w:val="20"/>
                <w:lang w:eastAsia="zh-TW"/>
              </w:rPr>
              <w:t>Low-risk rural women (45-54)</w:t>
            </w:r>
          </w:p>
        </w:tc>
        <w:tc>
          <w:tcPr>
            <w:tcW w:w="295" w:type="pct"/>
            <w:shd w:val="clear" w:color="auto" w:fill="auto"/>
            <w:noWrap/>
            <w:vAlign w:val="bottom"/>
            <w:hideMark/>
          </w:tcPr>
          <w:p w14:paraId="1B794D26" w14:textId="77777777" w:rsidR="003C7D23" w:rsidRPr="00596193" w:rsidRDefault="003C7D23" w:rsidP="00303804">
            <w:pPr>
              <w:jc w:val="both"/>
              <w:rPr>
                <w:color w:val="000000"/>
                <w:sz w:val="20"/>
                <w:szCs w:val="20"/>
                <w:lang w:eastAsia="zh-TW"/>
              </w:rPr>
            </w:pPr>
          </w:p>
        </w:tc>
        <w:tc>
          <w:tcPr>
            <w:tcW w:w="363" w:type="pct"/>
          </w:tcPr>
          <w:p w14:paraId="17917AE8" w14:textId="77777777" w:rsidR="003C7D23" w:rsidRPr="00596193" w:rsidRDefault="003C7D23" w:rsidP="00303804">
            <w:pPr>
              <w:jc w:val="both"/>
              <w:rPr>
                <w:color w:val="000000"/>
                <w:sz w:val="20"/>
                <w:szCs w:val="20"/>
                <w:lang w:eastAsia="zh-TW"/>
              </w:rPr>
            </w:pPr>
          </w:p>
        </w:tc>
        <w:tc>
          <w:tcPr>
            <w:tcW w:w="368" w:type="pct"/>
          </w:tcPr>
          <w:p w14:paraId="4324D06D" w14:textId="77777777" w:rsidR="003C7D23" w:rsidRPr="00596193" w:rsidRDefault="003C7D23" w:rsidP="00303804">
            <w:pPr>
              <w:jc w:val="both"/>
              <w:rPr>
                <w:color w:val="000000"/>
                <w:sz w:val="20"/>
                <w:szCs w:val="20"/>
                <w:lang w:eastAsia="zh-TW"/>
              </w:rPr>
            </w:pPr>
          </w:p>
        </w:tc>
        <w:tc>
          <w:tcPr>
            <w:tcW w:w="290" w:type="pct"/>
          </w:tcPr>
          <w:p w14:paraId="765CBDA3" w14:textId="77777777" w:rsidR="003C7D23" w:rsidRPr="00596193" w:rsidRDefault="003C7D23" w:rsidP="00303804">
            <w:pPr>
              <w:jc w:val="both"/>
              <w:rPr>
                <w:color w:val="000000"/>
                <w:sz w:val="20"/>
                <w:szCs w:val="20"/>
                <w:lang w:eastAsia="zh-TW"/>
              </w:rPr>
            </w:pPr>
          </w:p>
        </w:tc>
        <w:tc>
          <w:tcPr>
            <w:tcW w:w="301" w:type="pct"/>
            <w:vAlign w:val="bottom"/>
          </w:tcPr>
          <w:p w14:paraId="5EE40076" w14:textId="77777777" w:rsidR="003C7D23" w:rsidRPr="00596193" w:rsidRDefault="003C7D23" w:rsidP="00303804">
            <w:pPr>
              <w:jc w:val="both"/>
              <w:rPr>
                <w:color w:val="000000"/>
                <w:sz w:val="20"/>
                <w:szCs w:val="20"/>
                <w:lang w:eastAsia="zh-TW"/>
              </w:rPr>
            </w:pPr>
          </w:p>
        </w:tc>
        <w:tc>
          <w:tcPr>
            <w:tcW w:w="356" w:type="pct"/>
          </w:tcPr>
          <w:p w14:paraId="6BF29E95" w14:textId="77777777" w:rsidR="003C7D23" w:rsidRPr="00596193" w:rsidRDefault="003C7D23" w:rsidP="00303804">
            <w:pPr>
              <w:jc w:val="both"/>
              <w:rPr>
                <w:color w:val="000000"/>
                <w:sz w:val="20"/>
                <w:szCs w:val="20"/>
                <w:lang w:eastAsia="zh-TW"/>
              </w:rPr>
            </w:pPr>
          </w:p>
        </w:tc>
        <w:tc>
          <w:tcPr>
            <w:tcW w:w="374" w:type="pct"/>
          </w:tcPr>
          <w:p w14:paraId="55BAB3A9" w14:textId="77777777" w:rsidR="003C7D23" w:rsidRPr="00596193" w:rsidRDefault="003C7D23" w:rsidP="00303804">
            <w:pPr>
              <w:jc w:val="both"/>
              <w:rPr>
                <w:color w:val="000000"/>
                <w:sz w:val="20"/>
                <w:szCs w:val="20"/>
                <w:lang w:eastAsia="zh-TW"/>
              </w:rPr>
            </w:pPr>
          </w:p>
        </w:tc>
        <w:tc>
          <w:tcPr>
            <w:tcW w:w="283" w:type="pct"/>
          </w:tcPr>
          <w:p w14:paraId="768B4C35" w14:textId="77777777" w:rsidR="003C7D23" w:rsidRPr="00596193" w:rsidRDefault="003C7D23" w:rsidP="00303804">
            <w:pPr>
              <w:jc w:val="both"/>
              <w:rPr>
                <w:color w:val="000000"/>
                <w:sz w:val="20"/>
                <w:szCs w:val="20"/>
                <w:lang w:eastAsia="zh-TW"/>
              </w:rPr>
            </w:pPr>
          </w:p>
        </w:tc>
        <w:tc>
          <w:tcPr>
            <w:tcW w:w="307" w:type="pct"/>
          </w:tcPr>
          <w:p w14:paraId="3BC2919C" w14:textId="77777777" w:rsidR="003C7D23" w:rsidRPr="00596193" w:rsidRDefault="003C7D23" w:rsidP="00303804">
            <w:pPr>
              <w:jc w:val="both"/>
              <w:rPr>
                <w:color w:val="000000"/>
                <w:sz w:val="20"/>
                <w:szCs w:val="20"/>
                <w:lang w:eastAsia="zh-TW"/>
              </w:rPr>
            </w:pPr>
          </w:p>
        </w:tc>
        <w:tc>
          <w:tcPr>
            <w:tcW w:w="350" w:type="pct"/>
          </w:tcPr>
          <w:p w14:paraId="797804C8" w14:textId="4A47B39E" w:rsidR="003C7D23" w:rsidRPr="00596193" w:rsidRDefault="003C7D23" w:rsidP="00303804">
            <w:pPr>
              <w:jc w:val="both"/>
              <w:rPr>
                <w:color w:val="000000"/>
                <w:sz w:val="20"/>
                <w:szCs w:val="20"/>
                <w:lang w:eastAsia="zh-TW"/>
              </w:rPr>
            </w:pPr>
          </w:p>
        </w:tc>
        <w:tc>
          <w:tcPr>
            <w:tcW w:w="380" w:type="pct"/>
          </w:tcPr>
          <w:p w14:paraId="43B07BB9" w14:textId="21E56C4A" w:rsidR="003C7D23" w:rsidRPr="00596193" w:rsidRDefault="003C7D23" w:rsidP="00303804">
            <w:pPr>
              <w:jc w:val="both"/>
              <w:rPr>
                <w:color w:val="000000"/>
                <w:sz w:val="20"/>
                <w:szCs w:val="20"/>
                <w:lang w:eastAsia="zh-TW"/>
              </w:rPr>
            </w:pPr>
          </w:p>
        </w:tc>
        <w:tc>
          <w:tcPr>
            <w:tcW w:w="275" w:type="pct"/>
          </w:tcPr>
          <w:p w14:paraId="03C66457" w14:textId="77777777" w:rsidR="003C7D23" w:rsidRPr="00596193" w:rsidRDefault="003C7D23" w:rsidP="00303804">
            <w:pPr>
              <w:jc w:val="both"/>
              <w:rPr>
                <w:color w:val="000000"/>
                <w:sz w:val="20"/>
                <w:szCs w:val="20"/>
                <w:lang w:eastAsia="zh-TW"/>
              </w:rPr>
            </w:pPr>
          </w:p>
        </w:tc>
      </w:tr>
      <w:tr w:rsidR="003C7D23" w:rsidRPr="00596193" w14:paraId="2CC87EF8" w14:textId="6D040324" w:rsidTr="00580BE8">
        <w:trPr>
          <w:trHeight w:val="300"/>
        </w:trPr>
        <w:tc>
          <w:tcPr>
            <w:tcW w:w="1059" w:type="pct"/>
            <w:shd w:val="clear" w:color="auto" w:fill="auto"/>
            <w:noWrap/>
            <w:vAlign w:val="bottom"/>
            <w:hideMark/>
          </w:tcPr>
          <w:p w14:paraId="3439C245" w14:textId="77777777" w:rsidR="003C7D23" w:rsidRPr="00596193" w:rsidRDefault="003C7D23" w:rsidP="00303804">
            <w:pPr>
              <w:jc w:val="both"/>
              <w:rPr>
                <w:color w:val="000000"/>
                <w:sz w:val="20"/>
                <w:szCs w:val="20"/>
                <w:lang w:eastAsia="zh-TW"/>
              </w:rPr>
            </w:pPr>
            <w:r w:rsidRPr="00596193">
              <w:rPr>
                <w:color w:val="000000"/>
                <w:sz w:val="20"/>
                <w:szCs w:val="20"/>
                <w:lang w:eastAsia="zh-TW"/>
              </w:rPr>
              <w:t>Low-risk rural women (55-64)</w:t>
            </w:r>
          </w:p>
        </w:tc>
        <w:tc>
          <w:tcPr>
            <w:tcW w:w="295" w:type="pct"/>
            <w:shd w:val="clear" w:color="auto" w:fill="auto"/>
            <w:noWrap/>
            <w:vAlign w:val="bottom"/>
            <w:hideMark/>
          </w:tcPr>
          <w:p w14:paraId="26DEA789" w14:textId="77777777" w:rsidR="003C7D23" w:rsidRPr="00596193" w:rsidRDefault="003C7D23" w:rsidP="00303804">
            <w:pPr>
              <w:jc w:val="both"/>
              <w:rPr>
                <w:color w:val="000000"/>
                <w:sz w:val="20"/>
                <w:szCs w:val="20"/>
                <w:lang w:eastAsia="zh-TW"/>
              </w:rPr>
            </w:pPr>
          </w:p>
        </w:tc>
        <w:tc>
          <w:tcPr>
            <w:tcW w:w="363" w:type="pct"/>
          </w:tcPr>
          <w:p w14:paraId="46CDFDC6" w14:textId="77777777" w:rsidR="003C7D23" w:rsidRPr="00596193" w:rsidRDefault="003C7D23" w:rsidP="00303804">
            <w:pPr>
              <w:jc w:val="both"/>
              <w:rPr>
                <w:color w:val="000000"/>
                <w:sz w:val="20"/>
                <w:szCs w:val="20"/>
                <w:lang w:eastAsia="zh-TW"/>
              </w:rPr>
            </w:pPr>
          </w:p>
        </w:tc>
        <w:tc>
          <w:tcPr>
            <w:tcW w:w="368" w:type="pct"/>
          </w:tcPr>
          <w:p w14:paraId="678D67F3" w14:textId="77777777" w:rsidR="003C7D23" w:rsidRPr="00596193" w:rsidRDefault="003C7D23" w:rsidP="00303804">
            <w:pPr>
              <w:jc w:val="both"/>
              <w:rPr>
                <w:color w:val="000000"/>
                <w:sz w:val="20"/>
                <w:szCs w:val="20"/>
                <w:lang w:eastAsia="zh-TW"/>
              </w:rPr>
            </w:pPr>
          </w:p>
        </w:tc>
        <w:tc>
          <w:tcPr>
            <w:tcW w:w="290" w:type="pct"/>
          </w:tcPr>
          <w:p w14:paraId="36D9B902" w14:textId="77777777" w:rsidR="003C7D23" w:rsidRPr="00596193" w:rsidRDefault="003C7D23" w:rsidP="00303804">
            <w:pPr>
              <w:jc w:val="both"/>
              <w:rPr>
                <w:color w:val="000000"/>
                <w:sz w:val="20"/>
                <w:szCs w:val="20"/>
                <w:lang w:eastAsia="zh-TW"/>
              </w:rPr>
            </w:pPr>
          </w:p>
        </w:tc>
        <w:tc>
          <w:tcPr>
            <w:tcW w:w="301" w:type="pct"/>
            <w:vAlign w:val="bottom"/>
          </w:tcPr>
          <w:p w14:paraId="599B527F" w14:textId="77777777" w:rsidR="003C7D23" w:rsidRPr="00596193" w:rsidRDefault="003C7D23" w:rsidP="00303804">
            <w:pPr>
              <w:jc w:val="both"/>
              <w:rPr>
                <w:color w:val="000000"/>
                <w:sz w:val="20"/>
                <w:szCs w:val="20"/>
                <w:lang w:eastAsia="zh-TW"/>
              </w:rPr>
            </w:pPr>
          </w:p>
        </w:tc>
        <w:tc>
          <w:tcPr>
            <w:tcW w:w="356" w:type="pct"/>
          </w:tcPr>
          <w:p w14:paraId="36B8CAFF" w14:textId="77777777" w:rsidR="003C7D23" w:rsidRPr="00596193" w:rsidRDefault="003C7D23" w:rsidP="00303804">
            <w:pPr>
              <w:jc w:val="both"/>
              <w:rPr>
                <w:color w:val="000000"/>
                <w:sz w:val="20"/>
                <w:szCs w:val="20"/>
                <w:lang w:eastAsia="zh-TW"/>
              </w:rPr>
            </w:pPr>
          </w:p>
        </w:tc>
        <w:tc>
          <w:tcPr>
            <w:tcW w:w="374" w:type="pct"/>
          </w:tcPr>
          <w:p w14:paraId="6A5071F3" w14:textId="77777777" w:rsidR="003C7D23" w:rsidRPr="00596193" w:rsidRDefault="003C7D23" w:rsidP="00303804">
            <w:pPr>
              <w:jc w:val="both"/>
              <w:rPr>
                <w:color w:val="000000"/>
                <w:sz w:val="20"/>
                <w:szCs w:val="20"/>
                <w:lang w:eastAsia="zh-TW"/>
              </w:rPr>
            </w:pPr>
          </w:p>
        </w:tc>
        <w:tc>
          <w:tcPr>
            <w:tcW w:w="283" w:type="pct"/>
          </w:tcPr>
          <w:p w14:paraId="2B3064E6" w14:textId="77777777" w:rsidR="003C7D23" w:rsidRPr="00596193" w:rsidRDefault="003C7D23" w:rsidP="00303804">
            <w:pPr>
              <w:jc w:val="both"/>
              <w:rPr>
                <w:color w:val="000000"/>
                <w:sz w:val="20"/>
                <w:szCs w:val="20"/>
                <w:lang w:eastAsia="zh-TW"/>
              </w:rPr>
            </w:pPr>
          </w:p>
        </w:tc>
        <w:tc>
          <w:tcPr>
            <w:tcW w:w="307" w:type="pct"/>
          </w:tcPr>
          <w:p w14:paraId="177CE0DA" w14:textId="77777777" w:rsidR="003C7D23" w:rsidRPr="00596193" w:rsidRDefault="003C7D23" w:rsidP="00303804">
            <w:pPr>
              <w:jc w:val="both"/>
              <w:rPr>
                <w:color w:val="000000"/>
                <w:sz w:val="20"/>
                <w:szCs w:val="20"/>
                <w:lang w:eastAsia="zh-TW"/>
              </w:rPr>
            </w:pPr>
          </w:p>
        </w:tc>
        <w:tc>
          <w:tcPr>
            <w:tcW w:w="350" w:type="pct"/>
          </w:tcPr>
          <w:p w14:paraId="50A0C77A" w14:textId="3258E603" w:rsidR="003C7D23" w:rsidRPr="00596193" w:rsidRDefault="003C7D23" w:rsidP="00303804">
            <w:pPr>
              <w:jc w:val="both"/>
              <w:rPr>
                <w:color w:val="000000"/>
                <w:sz w:val="20"/>
                <w:szCs w:val="20"/>
                <w:lang w:eastAsia="zh-TW"/>
              </w:rPr>
            </w:pPr>
          </w:p>
        </w:tc>
        <w:tc>
          <w:tcPr>
            <w:tcW w:w="380" w:type="pct"/>
          </w:tcPr>
          <w:p w14:paraId="32CCE5BE" w14:textId="0C5C6BD0" w:rsidR="003C7D23" w:rsidRPr="00596193" w:rsidRDefault="003C7D23" w:rsidP="00303804">
            <w:pPr>
              <w:jc w:val="both"/>
              <w:rPr>
                <w:color w:val="000000"/>
                <w:sz w:val="20"/>
                <w:szCs w:val="20"/>
                <w:lang w:eastAsia="zh-TW"/>
              </w:rPr>
            </w:pPr>
          </w:p>
        </w:tc>
        <w:tc>
          <w:tcPr>
            <w:tcW w:w="275" w:type="pct"/>
          </w:tcPr>
          <w:p w14:paraId="4DF97C5B" w14:textId="77777777" w:rsidR="003C7D23" w:rsidRPr="00596193" w:rsidRDefault="003C7D23" w:rsidP="00303804">
            <w:pPr>
              <w:jc w:val="both"/>
              <w:rPr>
                <w:color w:val="000000"/>
                <w:sz w:val="20"/>
                <w:szCs w:val="20"/>
                <w:lang w:eastAsia="zh-TW"/>
              </w:rPr>
            </w:pPr>
          </w:p>
        </w:tc>
      </w:tr>
      <w:tr w:rsidR="003C7D23" w:rsidRPr="00596193" w14:paraId="03AA91B0" w14:textId="772487B2" w:rsidTr="00580BE8">
        <w:trPr>
          <w:trHeight w:val="300"/>
        </w:trPr>
        <w:tc>
          <w:tcPr>
            <w:tcW w:w="1059" w:type="pct"/>
            <w:shd w:val="clear" w:color="auto" w:fill="auto"/>
            <w:noWrap/>
            <w:vAlign w:val="bottom"/>
            <w:hideMark/>
          </w:tcPr>
          <w:p w14:paraId="22BBCD28" w14:textId="77777777" w:rsidR="003C7D23" w:rsidRPr="00596193" w:rsidRDefault="003C7D23" w:rsidP="00303804">
            <w:pPr>
              <w:jc w:val="both"/>
              <w:rPr>
                <w:color w:val="000000"/>
                <w:sz w:val="20"/>
                <w:szCs w:val="20"/>
                <w:lang w:eastAsia="zh-TW"/>
              </w:rPr>
            </w:pPr>
            <w:r w:rsidRPr="00596193">
              <w:rPr>
                <w:color w:val="000000"/>
                <w:sz w:val="20"/>
                <w:szCs w:val="20"/>
                <w:lang w:eastAsia="zh-TW"/>
              </w:rPr>
              <w:t>Urban men (15-24)</w:t>
            </w:r>
          </w:p>
        </w:tc>
        <w:tc>
          <w:tcPr>
            <w:tcW w:w="295" w:type="pct"/>
            <w:shd w:val="clear" w:color="auto" w:fill="auto"/>
            <w:noWrap/>
            <w:vAlign w:val="bottom"/>
            <w:hideMark/>
          </w:tcPr>
          <w:p w14:paraId="19BA41F0" w14:textId="77777777" w:rsidR="003C7D23" w:rsidRPr="00596193" w:rsidRDefault="003C7D23" w:rsidP="00303804">
            <w:pPr>
              <w:jc w:val="both"/>
              <w:rPr>
                <w:color w:val="000000"/>
                <w:sz w:val="20"/>
                <w:szCs w:val="20"/>
                <w:lang w:eastAsia="zh-TW"/>
              </w:rPr>
            </w:pPr>
          </w:p>
        </w:tc>
        <w:tc>
          <w:tcPr>
            <w:tcW w:w="363" w:type="pct"/>
          </w:tcPr>
          <w:p w14:paraId="198055D4" w14:textId="77777777" w:rsidR="003C7D23" w:rsidRPr="00596193" w:rsidRDefault="003C7D23" w:rsidP="00303804">
            <w:pPr>
              <w:jc w:val="both"/>
              <w:rPr>
                <w:color w:val="000000"/>
                <w:sz w:val="20"/>
                <w:szCs w:val="20"/>
                <w:lang w:eastAsia="zh-TW"/>
              </w:rPr>
            </w:pPr>
          </w:p>
        </w:tc>
        <w:tc>
          <w:tcPr>
            <w:tcW w:w="368" w:type="pct"/>
          </w:tcPr>
          <w:p w14:paraId="6B695DFC" w14:textId="77777777" w:rsidR="003C7D23" w:rsidRPr="00596193" w:rsidRDefault="003C7D23" w:rsidP="00303804">
            <w:pPr>
              <w:jc w:val="both"/>
              <w:rPr>
                <w:color w:val="000000"/>
                <w:sz w:val="20"/>
                <w:szCs w:val="20"/>
                <w:lang w:eastAsia="zh-TW"/>
              </w:rPr>
            </w:pPr>
          </w:p>
        </w:tc>
        <w:tc>
          <w:tcPr>
            <w:tcW w:w="290" w:type="pct"/>
          </w:tcPr>
          <w:p w14:paraId="444780B0" w14:textId="77777777" w:rsidR="003C7D23" w:rsidRPr="00596193" w:rsidRDefault="003C7D23" w:rsidP="00303804">
            <w:pPr>
              <w:jc w:val="both"/>
              <w:rPr>
                <w:color w:val="000000"/>
                <w:sz w:val="20"/>
                <w:szCs w:val="20"/>
                <w:lang w:eastAsia="zh-TW"/>
              </w:rPr>
            </w:pPr>
          </w:p>
        </w:tc>
        <w:tc>
          <w:tcPr>
            <w:tcW w:w="301" w:type="pct"/>
            <w:vAlign w:val="bottom"/>
          </w:tcPr>
          <w:p w14:paraId="0620A866" w14:textId="77777777" w:rsidR="003C7D23" w:rsidRPr="00596193" w:rsidRDefault="003C7D23" w:rsidP="00303804">
            <w:pPr>
              <w:jc w:val="both"/>
              <w:rPr>
                <w:color w:val="000000"/>
                <w:sz w:val="20"/>
                <w:szCs w:val="20"/>
                <w:lang w:eastAsia="zh-TW"/>
              </w:rPr>
            </w:pPr>
          </w:p>
        </w:tc>
        <w:tc>
          <w:tcPr>
            <w:tcW w:w="356" w:type="pct"/>
          </w:tcPr>
          <w:p w14:paraId="2DE8F6F8" w14:textId="77777777" w:rsidR="003C7D23" w:rsidRPr="00596193" w:rsidRDefault="003C7D23" w:rsidP="00303804">
            <w:pPr>
              <w:jc w:val="both"/>
              <w:rPr>
                <w:color w:val="000000"/>
                <w:sz w:val="20"/>
                <w:szCs w:val="20"/>
                <w:lang w:eastAsia="zh-TW"/>
              </w:rPr>
            </w:pPr>
          </w:p>
        </w:tc>
        <w:tc>
          <w:tcPr>
            <w:tcW w:w="374" w:type="pct"/>
          </w:tcPr>
          <w:p w14:paraId="5D575E7C" w14:textId="77777777" w:rsidR="003C7D23" w:rsidRPr="00596193" w:rsidRDefault="003C7D23" w:rsidP="00303804">
            <w:pPr>
              <w:jc w:val="both"/>
              <w:rPr>
                <w:color w:val="000000"/>
                <w:sz w:val="20"/>
                <w:szCs w:val="20"/>
                <w:lang w:eastAsia="zh-TW"/>
              </w:rPr>
            </w:pPr>
          </w:p>
        </w:tc>
        <w:tc>
          <w:tcPr>
            <w:tcW w:w="283" w:type="pct"/>
          </w:tcPr>
          <w:p w14:paraId="7BD0A571" w14:textId="77777777" w:rsidR="003C7D23" w:rsidRPr="00596193" w:rsidRDefault="003C7D23" w:rsidP="00303804">
            <w:pPr>
              <w:jc w:val="both"/>
              <w:rPr>
                <w:color w:val="000000"/>
                <w:sz w:val="20"/>
                <w:szCs w:val="20"/>
                <w:lang w:eastAsia="zh-TW"/>
              </w:rPr>
            </w:pPr>
          </w:p>
        </w:tc>
        <w:tc>
          <w:tcPr>
            <w:tcW w:w="307" w:type="pct"/>
          </w:tcPr>
          <w:p w14:paraId="79CAD51A" w14:textId="77777777" w:rsidR="003C7D23" w:rsidRPr="00596193" w:rsidRDefault="003C7D23" w:rsidP="00303804">
            <w:pPr>
              <w:jc w:val="both"/>
              <w:rPr>
                <w:color w:val="000000"/>
                <w:sz w:val="20"/>
                <w:szCs w:val="20"/>
                <w:lang w:eastAsia="zh-TW"/>
              </w:rPr>
            </w:pPr>
          </w:p>
        </w:tc>
        <w:tc>
          <w:tcPr>
            <w:tcW w:w="350" w:type="pct"/>
          </w:tcPr>
          <w:p w14:paraId="127542F4" w14:textId="2CCAC3EB" w:rsidR="003C7D23" w:rsidRPr="00596193" w:rsidRDefault="003C7D23" w:rsidP="00303804">
            <w:pPr>
              <w:jc w:val="both"/>
              <w:rPr>
                <w:color w:val="000000"/>
                <w:sz w:val="20"/>
                <w:szCs w:val="20"/>
                <w:lang w:eastAsia="zh-TW"/>
              </w:rPr>
            </w:pPr>
          </w:p>
        </w:tc>
        <w:tc>
          <w:tcPr>
            <w:tcW w:w="380" w:type="pct"/>
          </w:tcPr>
          <w:p w14:paraId="1AB5B058" w14:textId="43118702" w:rsidR="003C7D23" w:rsidRPr="00596193" w:rsidRDefault="003C7D23" w:rsidP="00303804">
            <w:pPr>
              <w:jc w:val="both"/>
              <w:rPr>
                <w:color w:val="000000"/>
                <w:sz w:val="20"/>
                <w:szCs w:val="20"/>
                <w:lang w:eastAsia="zh-TW"/>
              </w:rPr>
            </w:pPr>
          </w:p>
        </w:tc>
        <w:tc>
          <w:tcPr>
            <w:tcW w:w="275" w:type="pct"/>
          </w:tcPr>
          <w:p w14:paraId="4F76B34C" w14:textId="77777777" w:rsidR="003C7D23" w:rsidRPr="00596193" w:rsidRDefault="003C7D23" w:rsidP="00303804">
            <w:pPr>
              <w:jc w:val="both"/>
              <w:rPr>
                <w:color w:val="000000"/>
                <w:sz w:val="20"/>
                <w:szCs w:val="20"/>
                <w:lang w:eastAsia="zh-TW"/>
              </w:rPr>
            </w:pPr>
          </w:p>
        </w:tc>
      </w:tr>
      <w:tr w:rsidR="003C7D23" w:rsidRPr="00596193" w14:paraId="56EEEDCB" w14:textId="17C9395D" w:rsidTr="00580BE8">
        <w:trPr>
          <w:trHeight w:val="300"/>
        </w:trPr>
        <w:tc>
          <w:tcPr>
            <w:tcW w:w="1059" w:type="pct"/>
            <w:shd w:val="clear" w:color="auto" w:fill="auto"/>
            <w:noWrap/>
            <w:vAlign w:val="bottom"/>
            <w:hideMark/>
          </w:tcPr>
          <w:p w14:paraId="41A3BBEB" w14:textId="77777777" w:rsidR="003C7D23" w:rsidRPr="00596193" w:rsidRDefault="003C7D23" w:rsidP="00303804">
            <w:pPr>
              <w:jc w:val="both"/>
              <w:rPr>
                <w:color w:val="000000"/>
                <w:sz w:val="20"/>
                <w:szCs w:val="20"/>
                <w:lang w:eastAsia="zh-TW"/>
              </w:rPr>
            </w:pPr>
            <w:r w:rsidRPr="00596193">
              <w:rPr>
                <w:color w:val="000000"/>
                <w:sz w:val="20"/>
                <w:szCs w:val="20"/>
                <w:lang w:eastAsia="zh-TW"/>
              </w:rPr>
              <w:t>Urban men (25-34)</w:t>
            </w:r>
          </w:p>
        </w:tc>
        <w:tc>
          <w:tcPr>
            <w:tcW w:w="295" w:type="pct"/>
            <w:shd w:val="clear" w:color="auto" w:fill="auto"/>
            <w:noWrap/>
            <w:vAlign w:val="bottom"/>
            <w:hideMark/>
          </w:tcPr>
          <w:p w14:paraId="416CFBF0" w14:textId="77777777" w:rsidR="003C7D23" w:rsidRPr="00596193" w:rsidRDefault="003C7D23" w:rsidP="00303804">
            <w:pPr>
              <w:jc w:val="both"/>
              <w:rPr>
                <w:color w:val="000000"/>
                <w:sz w:val="20"/>
                <w:szCs w:val="20"/>
                <w:lang w:eastAsia="zh-TW"/>
              </w:rPr>
            </w:pPr>
          </w:p>
        </w:tc>
        <w:tc>
          <w:tcPr>
            <w:tcW w:w="363" w:type="pct"/>
          </w:tcPr>
          <w:p w14:paraId="0D0A10AA" w14:textId="77777777" w:rsidR="003C7D23" w:rsidRPr="00596193" w:rsidRDefault="003C7D23" w:rsidP="00303804">
            <w:pPr>
              <w:jc w:val="both"/>
              <w:rPr>
                <w:color w:val="000000"/>
                <w:sz w:val="20"/>
                <w:szCs w:val="20"/>
                <w:lang w:eastAsia="zh-TW"/>
              </w:rPr>
            </w:pPr>
          </w:p>
        </w:tc>
        <w:tc>
          <w:tcPr>
            <w:tcW w:w="368" w:type="pct"/>
          </w:tcPr>
          <w:p w14:paraId="562E0181" w14:textId="77777777" w:rsidR="003C7D23" w:rsidRPr="00596193" w:rsidRDefault="003C7D23" w:rsidP="00303804">
            <w:pPr>
              <w:jc w:val="both"/>
              <w:rPr>
                <w:color w:val="000000"/>
                <w:sz w:val="20"/>
                <w:szCs w:val="20"/>
                <w:lang w:eastAsia="zh-TW"/>
              </w:rPr>
            </w:pPr>
          </w:p>
        </w:tc>
        <w:tc>
          <w:tcPr>
            <w:tcW w:w="290" w:type="pct"/>
          </w:tcPr>
          <w:p w14:paraId="3DFC9119" w14:textId="77777777" w:rsidR="003C7D23" w:rsidRPr="00596193" w:rsidRDefault="003C7D23" w:rsidP="00303804">
            <w:pPr>
              <w:jc w:val="both"/>
              <w:rPr>
                <w:color w:val="000000"/>
                <w:sz w:val="20"/>
                <w:szCs w:val="20"/>
                <w:lang w:eastAsia="zh-TW"/>
              </w:rPr>
            </w:pPr>
          </w:p>
        </w:tc>
        <w:tc>
          <w:tcPr>
            <w:tcW w:w="301" w:type="pct"/>
            <w:vAlign w:val="bottom"/>
          </w:tcPr>
          <w:p w14:paraId="1D5740C1" w14:textId="77777777" w:rsidR="003C7D23" w:rsidRPr="00596193" w:rsidRDefault="003C7D23" w:rsidP="00303804">
            <w:pPr>
              <w:jc w:val="both"/>
              <w:rPr>
                <w:color w:val="000000"/>
                <w:sz w:val="20"/>
                <w:szCs w:val="20"/>
                <w:lang w:eastAsia="zh-TW"/>
              </w:rPr>
            </w:pPr>
          </w:p>
        </w:tc>
        <w:tc>
          <w:tcPr>
            <w:tcW w:w="356" w:type="pct"/>
          </w:tcPr>
          <w:p w14:paraId="375BE955" w14:textId="77777777" w:rsidR="003C7D23" w:rsidRPr="00596193" w:rsidRDefault="003C7D23" w:rsidP="00303804">
            <w:pPr>
              <w:jc w:val="both"/>
              <w:rPr>
                <w:color w:val="000000"/>
                <w:sz w:val="20"/>
                <w:szCs w:val="20"/>
                <w:lang w:eastAsia="zh-TW"/>
              </w:rPr>
            </w:pPr>
          </w:p>
        </w:tc>
        <w:tc>
          <w:tcPr>
            <w:tcW w:w="374" w:type="pct"/>
          </w:tcPr>
          <w:p w14:paraId="5C1324B7" w14:textId="77777777" w:rsidR="003C7D23" w:rsidRPr="00596193" w:rsidRDefault="003C7D23" w:rsidP="00303804">
            <w:pPr>
              <w:jc w:val="both"/>
              <w:rPr>
                <w:color w:val="000000"/>
                <w:sz w:val="20"/>
                <w:szCs w:val="20"/>
                <w:lang w:eastAsia="zh-TW"/>
              </w:rPr>
            </w:pPr>
          </w:p>
        </w:tc>
        <w:tc>
          <w:tcPr>
            <w:tcW w:w="283" w:type="pct"/>
          </w:tcPr>
          <w:p w14:paraId="65745B37" w14:textId="77777777" w:rsidR="003C7D23" w:rsidRPr="00596193" w:rsidRDefault="003C7D23" w:rsidP="00303804">
            <w:pPr>
              <w:jc w:val="both"/>
              <w:rPr>
                <w:color w:val="000000"/>
                <w:sz w:val="20"/>
                <w:szCs w:val="20"/>
                <w:lang w:eastAsia="zh-TW"/>
              </w:rPr>
            </w:pPr>
          </w:p>
        </w:tc>
        <w:tc>
          <w:tcPr>
            <w:tcW w:w="307" w:type="pct"/>
          </w:tcPr>
          <w:p w14:paraId="39BB433B" w14:textId="77777777" w:rsidR="003C7D23" w:rsidRPr="00596193" w:rsidRDefault="003C7D23" w:rsidP="00303804">
            <w:pPr>
              <w:jc w:val="both"/>
              <w:rPr>
                <w:color w:val="000000"/>
                <w:sz w:val="20"/>
                <w:szCs w:val="20"/>
                <w:lang w:eastAsia="zh-TW"/>
              </w:rPr>
            </w:pPr>
          </w:p>
        </w:tc>
        <w:tc>
          <w:tcPr>
            <w:tcW w:w="350" w:type="pct"/>
          </w:tcPr>
          <w:p w14:paraId="196F7B5C" w14:textId="755E3244" w:rsidR="003C7D23" w:rsidRPr="00596193" w:rsidRDefault="003C7D23" w:rsidP="00303804">
            <w:pPr>
              <w:jc w:val="both"/>
              <w:rPr>
                <w:color w:val="000000"/>
                <w:sz w:val="20"/>
                <w:szCs w:val="20"/>
                <w:lang w:eastAsia="zh-TW"/>
              </w:rPr>
            </w:pPr>
          </w:p>
        </w:tc>
        <w:tc>
          <w:tcPr>
            <w:tcW w:w="380" w:type="pct"/>
          </w:tcPr>
          <w:p w14:paraId="38EAF5C6" w14:textId="37963B58" w:rsidR="003C7D23" w:rsidRPr="00596193" w:rsidRDefault="003C7D23" w:rsidP="00303804">
            <w:pPr>
              <w:jc w:val="both"/>
              <w:rPr>
                <w:color w:val="000000"/>
                <w:sz w:val="20"/>
                <w:szCs w:val="20"/>
                <w:lang w:eastAsia="zh-TW"/>
              </w:rPr>
            </w:pPr>
          </w:p>
        </w:tc>
        <w:tc>
          <w:tcPr>
            <w:tcW w:w="275" w:type="pct"/>
          </w:tcPr>
          <w:p w14:paraId="1DAA5498" w14:textId="77777777" w:rsidR="003C7D23" w:rsidRPr="00596193" w:rsidRDefault="003C7D23" w:rsidP="00303804">
            <w:pPr>
              <w:jc w:val="both"/>
              <w:rPr>
                <w:color w:val="000000"/>
                <w:sz w:val="20"/>
                <w:szCs w:val="20"/>
                <w:lang w:eastAsia="zh-TW"/>
              </w:rPr>
            </w:pPr>
          </w:p>
        </w:tc>
      </w:tr>
      <w:tr w:rsidR="003C7D23" w:rsidRPr="00596193" w14:paraId="45575F79" w14:textId="2A7BFA5A" w:rsidTr="00580BE8">
        <w:trPr>
          <w:trHeight w:val="300"/>
        </w:trPr>
        <w:tc>
          <w:tcPr>
            <w:tcW w:w="1059" w:type="pct"/>
            <w:shd w:val="clear" w:color="auto" w:fill="auto"/>
            <w:noWrap/>
            <w:vAlign w:val="bottom"/>
            <w:hideMark/>
          </w:tcPr>
          <w:p w14:paraId="27257C1C" w14:textId="77777777" w:rsidR="003C7D23" w:rsidRPr="00596193" w:rsidRDefault="003C7D23" w:rsidP="00303804">
            <w:pPr>
              <w:jc w:val="both"/>
              <w:rPr>
                <w:color w:val="000000"/>
                <w:sz w:val="20"/>
                <w:szCs w:val="20"/>
                <w:lang w:eastAsia="zh-TW"/>
              </w:rPr>
            </w:pPr>
            <w:r w:rsidRPr="00596193">
              <w:rPr>
                <w:color w:val="000000"/>
                <w:sz w:val="20"/>
                <w:szCs w:val="20"/>
                <w:lang w:eastAsia="zh-TW"/>
              </w:rPr>
              <w:t>Urban men (35-44)</w:t>
            </w:r>
          </w:p>
        </w:tc>
        <w:tc>
          <w:tcPr>
            <w:tcW w:w="295" w:type="pct"/>
            <w:shd w:val="clear" w:color="auto" w:fill="auto"/>
            <w:noWrap/>
            <w:vAlign w:val="bottom"/>
            <w:hideMark/>
          </w:tcPr>
          <w:p w14:paraId="6416FF35" w14:textId="77777777" w:rsidR="003C7D23" w:rsidRPr="00596193" w:rsidRDefault="003C7D23" w:rsidP="00303804">
            <w:pPr>
              <w:jc w:val="both"/>
              <w:rPr>
                <w:color w:val="000000"/>
                <w:sz w:val="20"/>
                <w:szCs w:val="20"/>
                <w:lang w:eastAsia="zh-TW"/>
              </w:rPr>
            </w:pPr>
          </w:p>
        </w:tc>
        <w:tc>
          <w:tcPr>
            <w:tcW w:w="363" w:type="pct"/>
          </w:tcPr>
          <w:p w14:paraId="61498791" w14:textId="77777777" w:rsidR="003C7D23" w:rsidRPr="00596193" w:rsidRDefault="003C7D23" w:rsidP="00303804">
            <w:pPr>
              <w:jc w:val="both"/>
              <w:rPr>
                <w:color w:val="000000"/>
                <w:sz w:val="20"/>
                <w:szCs w:val="20"/>
                <w:lang w:eastAsia="zh-TW"/>
              </w:rPr>
            </w:pPr>
          </w:p>
        </w:tc>
        <w:tc>
          <w:tcPr>
            <w:tcW w:w="368" w:type="pct"/>
          </w:tcPr>
          <w:p w14:paraId="5CE2B46B" w14:textId="77777777" w:rsidR="003C7D23" w:rsidRPr="00596193" w:rsidRDefault="003C7D23" w:rsidP="00303804">
            <w:pPr>
              <w:jc w:val="both"/>
              <w:rPr>
                <w:color w:val="000000"/>
                <w:sz w:val="20"/>
                <w:szCs w:val="20"/>
                <w:lang w:eastAsia="zh-TW"/>
              </w:rPr>
            </w:pPr>
          </w:p>
        </w:tc>
        <w:tc>
          <w:tcPr>
            <w:tcW w:w="290" w:type="pct"/>
          </w:tcPr>
          <w:p w14:paraId="0030588C" w14:textId="77777777" w:rsidR="003C7D23" w:rsidRPr="00596193" w:rsidRDefault="003C7D23" w:rsidP="00303804">
            <w:pPr>
              <w:jc w:val="both"/>
              <w:rPr>
                <w:color w:val="000000"/>
                <w:sz w:val="20"/>
                <w:szCs w:val="20"/>
                <w:lang w:eastAsia="zh-TW"/>
              </w:rPr>
            </w:pPr>
          </w:p>
        </w:tc>
        <w:tc>
          <w:tcPr>
            <w:tcW w:w="301" w:type="pct"/>
            <w:vAlign w:val="bottom"/>
          </w:tcPr>
          <w:p w14:paraId="59C1A702" w14:textId="77777777" w:rsidR="003C7D23" w:rsidRPr="00596193" w:rsidRDefault="003C7D23" w:rsidP="00303804">
            <w:pPr>
              <w:jc w:val="both"/>
              <w:rPr>
                <w:color w:val="000000"/>
                <w:sz w:val="20"/>
                <w:szCs w:val="20"/>
                <w:lang w:eastAsia="zh-TW"/>
              </w:rPr>
            </w:pPr>
          </w:p>
        </w:tc>
        <w:tc>
          <w:tcPr>
            <w:tcW w:w="356" w:type="pct"/>
          </w:tcPr>
          <w:p w14:paraId="7530E1C0" w14:textId="77777777" w:rsidR="003C7D23" w:rsidRPr="00596193" w:rsidRDefault="003C7D23" w:rsidP="00303804">
            <w:pPr>
              <w:jc w:val="both"/>
              <w:rPr>
                <w:color w:val="000000"/>
                <w:sz w:val="20"/>
                <w:szCs w:val="20"/>
                <w:lang w:eastAsia="zh-TW"/>
              </w:rPr>
            </w:pPr>
          </w:p>
        </w:tc>
        <w:tc>
          <w:tcPr>
            <w:tcW w:w="374" w:type="pct"/>
          </w:tcPr>
          <w:p w14:paraId="6F516BCC" w14:textId="77777777" w:rsidR="003C7D23" w:rsidRPr="00596193" w:rsidRDefault="003C7D23" w:rsidP="00303804">
            <w:pPr>
              <w:jc w:val="both"/>
              <w:rPr>
                <w:color w:val="000000"/>
                <w:sz w:val="20"/>
                <w:szCs w:val="20"/>
                <w:lang w:eastAsia="zh-TW"/>
              </w:rPr>
            </w:pPr>
          </w:p>
        </w:tc>
        <w:tc>
          <w:tcPr>
            <w:tcW w:w="283" w:type="pct"/>
          </w:tcPr>
          <w:p w14:paraId="21A1646D" w14:textId="77777777" w:rsidR="003C7D23" w:rsidRPr="00596193" w:rsidRDefault="003C7D23" w:rsidP="00303804">
            <w:pPr>
              <w:jc w:val="both"/>
              <w:rPr>
                <w:color w:val="000000"/>
                <w:sz w:val="20"/>
                <w:szCs w:val="20"/>
                <w:lang w:eastAsia="zh-TW"/>
              </w:rPr>
            </w:pPr>
          </w:p>
        </w:tc>
        <w:tc>
          <w:tcPr>
            <w:tcW w:w="307" w:type="pct"/>
          </w:tcPr>
          <w:p w14:paraId="383C5F74" w14:textId="77777777" w:rsidR="003C7D23" w:rsidRPr="00596193" w:rsidRDefault="003C7D23" w:rsidP="00303804">
            <w:pPr>
              <w:jc w:val="both"/>
              <w:rPr>
                <w:color w:val="000000"/>
                <w:sz w:val="20"/>
                <w:szCs w:val="20"/>
                <w:lang w:eastAsia="zh-TW"/>
              </w:rPr>
            </w:pPr>
          </w:p>
        </w:tc>
        <w:tc>
          <w:tcPr>
            <w:tcW w:w="350" w:type="pct"/>
          </w:tcPr>
          <w:p w14:paraId="6D564AAE" w14:textId="600EF0E5" w:rsidR="003C7D23" w:rsidRPr="00596193" w:rsidRDefault="003C7D23" w:rsidP="00303804">
            <w:pPr>
              <w:jc w:val="both"/>
              <w:rPr>
                <w:color w:val="000000"/>
                <w:sz w:val="20"/>
                <w:szCs w:val="20"/>
                <w:lang w:eastAsia="zh-TW"/>
              </w:rPr>
            </w:pPr>
          </w:p>
        </w:tc>
        <w:tc>
          <w:tcPr>
            <w:tcW w:w="380" w:type="pct"/>
          </w:tcPr>
          <w:p w14:paraId="3A8552F3" w14:textId="64DC2A79" w:rsidR="003C7D23" w:rsidRPr="00596193" w:rsidRDefault="003C7D23" w:rsidP="00303804">
            <w:pPr>
              <w:jc w:val="both"/>
              <w:rPr>
                <w:color w:val="000000"/>
                <w:sz w:val="20"/>
                <w:szCs w:val="20"/>
                <w:lang w:eastAsia="zh-TW"/>
              </w:rPr>
            </w:pPr>
          </w:p>
        </w:tc>
        <w:tc>
          <w:tcPr>
            <w:tcW w:w="275" w:type="pct"/>
          </w:tcPr>
          <w:p w14:paraId="71400BD6" w14:textId="77777777" w:rsidR="003C7D23" w:rsidRPr="00596193" w:rsidRDefault="003C7D23" w:rsidP="00303804">
            <w:pPr>
              <w:jc w:val="both"/>
              <w:rPr>
                <w:color w:val="000000"/>
                <w:sz w:val="20"/>
                <w:szCs w:val="20"/>
                <w:lang w:eastAsia="zh-TW"/>
              </w:rPr>
            </w:pPr>
          </w:p>
        </w:tc>
      </w:tr>
      <w:tr w:rsidR="003C7D23" w:rsidRPr="00596193" w14:paraId="333A11BB" w14:textId="4112F2F9" w:rsidTr="00580BE8">
        <w:trPr>
          <w:trHeight w:val="300"/>
        </w:trPr>
        <w:tc>
          <w:tcPr>
            <w:tcW w:w="1059" w:type="pct"/>
            <w:shd w:val="clear" w:color="auto" w:fill="auto"/>
            <w:noWrap/>
            <w:vAlign w:val="bottom"/>
            <w:hideMark/>
          </w:tcPr>
          <w:p w14:paraId="43F68B3C" w14:textId="77777777" w:rsidR="003C7D23" w:rsidRPr="00596193" w:rsidRDefault="003C7D23" w:rsidP="00303804">
            <w:pPr>
              <w:jc w:val="both"/>
              <w:rPr>
                <w:color w:val="000000"/>
                <w:sz w:val="20"/>
                <w:szCs w:val="20"/>
                <w:lang w:eastAsia="zh-TW"/>
              </w:rPr>
            </w:pPr>
            <w:r w:rsidRPr="00596193">
              <w:rPr>
                <w:color w:val="000000"/>
                <w:sz w:val="20"/>
                <w:szCs w:val="20"/>
                <w:lang w:eastAsia="zh-TW"/>
              </w:rPr>
              <w:t>Urban men (45-54)</w:t>
            </w:r>
          </w:p>
        </w:tc>
        <w:tc>
          <w:tcPr>
            <w:tcW w:w="295" w:type="pct"/>
            <w:shd w:val="clear" w:color="auto" w:fill="auto"/>
            <w:noWrap/>
            <w:vAlign w:val="bottom"/>
            <w:hideMark/>
          </w:tcPr>
          <w:p w14:paraId="64485450" w14:textId="77777777" w:rsidR="003C7D23" w:rsidRPr="00596193" w:rsidRDefault="003C7D23" w:rsidP="00303804">
            <w:pPr>
              <w:jc w:val="both"/>
              <w:rPr>
                <w:color w:val="000000"/>
                <w:sz w:val="20"/>
                <w:szCs w:val="20"/>
                <w:lang w:eastAsia="zh-TW"/>
              </w:rPr>
            </w:pPr>
          </w:p>
        </w:tc>
        <w:tc>
          <w:tcPr>
            <w:tcW w:w="363" w:type="pct"/>
          </w:tcPr>
          <w:p w14:paraId="45D760E5" w14:textId="77777777" w:rsidR="003C7D23" w:rsidRPr="00596193" w:rsidRDefault="003C7D23" w:rsidP="00303804">
            <w:pPr>
              <w:jc w:val="both"/>
              <w:rPr>
                <w:color w:val="000000"/>
                <w:sz w:val="20"/>
                <w:szCs w:val="20"/>
                <w:lang w:eastAsia="zh-TW"/>
              </w:rPr>
            </w:pPr>
          </w:p>
        </w:tc>
        <w:tc>
          <w:tcPr>
            <w:tcW w:w="368" w:type="pct"/>
          </w:tcPr>
          <w:p w14:paraId="72AD173E" w14:textId="77777777" w:rsidR="003C7D23" w:rsidRPr="00596193" w:rsidRDefault="003C7D23" w:rsidP="00303804">
            <w:pPr>
              <w:jc w:val="both"/>
              <w:rPr>
                <w:color w:val="000000"/>
                <w:sz w:val="20"/>
                <w:szCs w:val="20"/>
                <w:lang w:eastAsia="zh-TW"/>
              </w:rPr>
            </w:pPr>
          </w:p>
        </w:tc>
        <w:tc>
          <w:tcPr>
            <w:tcW w:w="290" w:type="pct"/>
          </w:tcPr>
          <w:p w14:paraId="75618E7F" w14:textId="77777777" w:rsidR="003C7D23" w:rsidRPr="00596193" w:rsidRDefault="003C7D23" w:rsidP="00303804">
            <w:pPr>
              <w:jc w:val="both"/>
              <w:rPr>
                <w:color w:val="000000"/>
                <w:sz w:val="20"/>
                <w:szCs w:val="20"/>
                <w:lang w:eastAsia="zh-TW"/>
              </w:rPr>
            </w:pPr>
          </w:p>
        </w:tc>
        <w:tc>
          <w:tcPr>
            <w:tcW w:w="301" w:type="pct"/>
            <w:vAlign w:val="bottom"/>
          </w:tcPr>
          <w:p w14:paraId="3AA48A69" w14:textId="77777777" w:rsidR="003C7D23" w:rsidRPr="00596193" w:rsidRDefault="003C7D23" w:rsidP="00303804">
            <w:pPr>
              <w:jc w:val="both"/>
              <w:rPr>
                <w:color w:val="000000"/>
                <w:sz w:val="20"/>
                <w:szCs w:val="20"/>
                <w:lang w:eastAsia="zh-TW"/>
              </w:rPr>
            </w:pPr>
          </w:p>
        </w:tc>
        <w:tc>
          <w:tcPr>
            <w:tcW w:w="356" w:type="pct"/>
          </w:tcPr>
          <w:p w14:paraId="555EA3C0" w14:textId="77777777" w:rsidR="003C7D23" w:rsidRPr="00596193" w:rsidRDefault="003C7D23" w:rsidP="00303804">
            <w:pPr>
              <w:jc w:val="both"/>
              <w:rPr>
                <w:color w:val="000000"/>
                <w:sz w:val="20"/>
                <w:szCs w:val="20"/>
                <w:lang w:eastAsia="zh-TW"/>
              </w:rPr>
            </w:pPr>
          </w:p>
        </w:tc>
        <w:tc>
          <w:tcPr>
            <w:tcW w:w="374" w:type="pct"/>
          </w:tcPr>
          <w:p w14:paraId="2ABCF323" w14:textId="77777777" w:rsidR="003C7D23" w:rsidRPr="00596193" w:rsidRDefault="003C7D23" w:rsidP="00303804">
            <w:pPr>
              <w:jc w:val="both"/>
              <w:rPr>
                <w:color w:val="000000"/>
                <w:sz w:val="20"/>
                <w:szCs w:val="20"/>
                <w:lang w:eastAsia="zh-TW"/>
              </w:rPr>
            </w:pPr>
          </w:p>
        </w:tc>
        <w:tc>
          <w:tcPr>
            <w:tcW w:w="283" w:type="pct"/>
          </w:tcPr>
          <w:p w14:paraId="2DC85F41" w14:textId="77777777" w:rsidR="003C7D23" w:rsidRPr="00596193" w:rsidRDefault="003C7D23" w:rsidP="00303804">
            <w:pPr>
              <w:jc w:val="both"/>
              <w:rPr>
                <w:color w:val="000000"/>
                <w:sz w:val="20"/>
                <w:szCs w:val="20"/>
                <w:lang w:eastAsia="zh-TW"/>
              </w:rPr>
            </w:pPr>
          </w:p>
        </w:tc>
        <w:tc>
          <w:tcPr>
            <w:tcW w:w="307" w:type="pct"/>
          </w:tcPr>
          <w:p w14:paraId="099F55B5" w14:textId="77777777" w:rsidR="003C7D23" w:rsidRPr="00596193" w:rsidRDefault="003C7D23" w:rsidP="00303804">
            <w:pPr>
              <w:jc w:val="both"/>
              <w:rPr>
                <w:color w:val="000000"/>
                <w:sz w:val="20"/>
                <w:szCs w:val="20"/>
                <w:lang w:eastAsia="zh-TW"/>
              </w:rPr>
            </w:pPr>
          </w:p>
        </w:tc>
        <w:tc>
          <w:tcPr>
            <w:tcW w:w="350" w:type="pct"/>
          </w:tcPr>
          <w:p w14:paraId="08ADD365" w14:textId="7F26ABF2" w:rsidR="003C7D23" w:rsidRPr="00596193" w:rsidRDefault="003C7D23" w:rsidP="00303804">
            <w:pPr>
              <w:jc w:val="both"/>
              <w:rPr>
                <w:color w:val="000000"/>
                <w:sz w:val="20"/>
                <w:szCs w:val="20"/>
                <w:lang w:eastAsia="zh-TW"/>
              </w:rPr>
            </w:pPr>
          </w:p>
        </w:tc>
        <w:tc>
          <w:tcPr>
            <w:tcW w:w="380" w:type="pct"/>
          </w:tcPr>
          <w:p w14:paraId="56AE8FF4" w14:textId="227BF68A" w:rsidR="003C7D23" w:rsidRPr="00596193" w:rsidRDefault="003C7D23" w:rsidP="00303804">
            <w:pPr>
              <w:jc w:val="both"/>
              <w:rPr>
                <w:color w:val="000000"/>
                <w:sz w:val="20"/>
                <w:szCs w:val="20"/>
                <w:lang w:eastAsia="zh-TW"/>
              </w:rPr>
            </w:pPr>
          </w:p>
        </w:tc>
        <w:tc>
          <w:tcPr>
            <w:tcW w:w="275" w:type="pct"/>
          </w:tcPr>
          <w:p w14:paraId="0F001965" w14:textId="77777777" w:rsidR="003C7D23" w:rsidRPr="00596193" w:rsidRDefault="003C7D23" w:rsidP="00303804">
            <w:pPr>
              <w:jc w:val="both"/>
              <w:rPr>
                <w:color w:val="000000"/>
                <w:sz w:val="20"/>
                <w:szCs w:val="20"/>
                <w:lang w:eastAsia="zh-TW"/>
              </w:rPr>
            </w:pPr>
          </w:p>
        </w:tc>
      </w:tr>
      <w:tr w:rsidR="003C7D23" w:rsidRPr="00596193" w14:paraId="00781664" w14:textId="11DAF07D" w:rsidTr="00580BE8">
        <w:trPr>
          <w:trHeight w:val="300"/>
        </w:trPr>
        <w:tc>
          <w:tcPr>
            <w:tcW w:w="1059" w:type="pct"/>
            <w:shd w:val="clear" w:color="auto" w:fill="auto"/>
            <w:noWrap/>
            <w:vAlign w:val="bottom"/>
            <w:hideMark/>
          </w:tcPr>
          <w:p w14:paraId="55C70CB2" w14:textId="77777777" w:rsidR="003C7D23" w:rsidRPr="00596193" w:rsidRDefault="003C7D23" w:rsidP="00303804">
            <w:pPr>
              <w:jc w:val="both"/>
              <w:rPr>
                <w:color w:val="000000"/>
                <w:sz w:val="20"/>
                <w:szCs w:val="20"/>
                <w:lang w:eastAsia="zh-TW"/>
              </w:rPr>
            </w:pPr>
            <w:r w:rsidRPr="00596193">
              <w:rPr>
                <w:color w:val="000000"/>
                <w:sz w:val="20"/>
                <w:szCs w:val="20"/>
                <w:lang w:eastAsia="zh-TW"/>
              </w:rPr>
              <w:t>Urban men (55-64)</w:t>
            </w:r>
          </w:p>
        </w:tc>
        <w:tc>
          <w:tcPr>
            <w:tcW w:w="295" w:type="pct"/>
            <w:shd w:val="clear" w:color="auto" w:fill="auto"/>
            <w:noWrap/>
            <w:vAlign w:val="bottom"/>
            <w:hideMark/>
          </w:tcPr>
          <w:p w14:paraId="503EF9BB" w14:textId="77777777" w:rsidR="003C7D23" w:rsidRPr="00596193" w:rsidRDefault="003C7D23" w:rsidP="00303804">
            <w:pPr>
              <w:jc w:val="both"/>
              <w:rPr>
                <w:color w:val="000000"/>
                <w:sz w:val="20"/>
                <w:szCs w:val="20"/>
                <w:lang w:eastAsia="zh-TW"/>
              </w:rPr>
            </w:pPr>
          </w:p>
        </w:tc>
        <w:tc>
          <w:tcPr>
            <w:tcW w:w="363" w:type="pct"/>
          </w:tcPr>
          <w:p w14:paraId="1AFF5872" w14:textId="77777777" w:rsidR="003C7D23" w:rsidRPr="00596193" w:rsidRDefault="003C7D23" w:rsidP="00303804">
            <w:pPr>
              <w:jc w:val="both"/>
              <w:rPr>
                <w:color w:val="000000"/>
                <w:sz w:val="20"/>
                <w:szCs w:val="20"/>
                <w:lang w:eastAsia="zh-TW"/>
              </w:rPr>
            </w:pPr>
          </w:p>
        </w:tc>
        <w:tc>
          <w:tcPr>
            <w:tcW w:w="368" w:type="pct"/>
          </w:tcPr>
          <w:p w14:paraId="50F0DB44" w14:textId="77777777" w:rsidR="003C7D23" w:rsidRPr="00596193" w:rsidRDefault="003C7D23" w:rsidP="00303804">
            <w:pPr>
              <w:jc w:val="both"/>
              <w:rPr>
                <w:color w:val="000000"/>
                <w:sz w:val="20"/>
                <w:szCs w:val="20"/>
                <w:lang w:eastAsia="zh-TW"/>
              </w:rPr>
            </w:pPr>
          </w:p>
        </w:tc>
        <w:tc>
          <w:tcPr>
            <w:tcW w:w="290" w:type="pct"/>
          </w:tcPr>
          <w:p w14:paraId="43188EFA" w14:textId="77777777" w:rsidR="003C7D23" w:rsidRPr="00596193" w:rsidRDefault="003C7D23" w:rsidP="00303804">
            <w:pPr>
              <w:jc w:val="both"/>
              <w:rPr>
                <w:color w:val="000000"/>
                <w:sz w:val="20"/>
                <w:szCs w:val="20"/>
                <w:lang w:eastAsia="zh-TW"/>
              </w:rPr>
            </w:pPr>
          </w:p>
        </w:tc>
        <w:tc>
          <w:tcPr>
            <w:tcW w:w="301" w:type="pct"/>
            <w:vAlign w:val="bottom"/>
          </w:tcPr>
          <w:p w14:paraId="2031ED68" w14:textId="77777777" w:rsidR="003C7D23" w:rsidRPr="00596193" w:rsidRDefault="003C7D23" w:rsidP="00303804">
            <w:pPr>
              <w:jc w:val="both"/>
              <w:rPr>
                <w:color w:val="000000"/>
                <w:sz w:val="20"/>
                <w:szCs w:val="20"/>
                <w:lang w:eastAsia="zh-TW"/>
              </w:rPr>
            </w:pPr>
          </w:p>
        </w:tc>
        <w:tc>
          <w:tcPr>
            <w:tcW w:w="356" w:type="pct"/>
          </w:tcPr>
          <w:p w14:paraId="366D676E" w14:textId="77777777" w:rsidR="003C7D23" w:rsidRPr="00596193" w:rsidRDefault="003C7D23" w:rsidP="00303804">
            <w:pPr>
              <w:jc w:val="both"/>
              <w:rPr>
                <w:color w:val="000000"/>
                <w:sz w:val="20"/>
                <w:szCs w:val="20"/>
                <w:lang w:eastAsia="zh-TW"/>
              </w:rPr>
            </w:pPr>
          </w:p>
        </w:tc>
        <w:tc>
          <w:tcPr>
            <w:tcW w:w="374" w:type="pct"/>
          </w:tcPr>
          <w:p w14:paraId="1E25A6BA" w14:textId="77777777" w:rsidR="003C7D23" w:rsidRPr="00596193" w:rsidRDefault="003C7D23" w:rsidP="00303804">
            <w:pPr>
              <w:jc w:val="both"/>
              <w:rPr>
                <w:color w:val="000000"/>
                <w:sz w:val="20"/>
                <w:szCs w:val="20"/>
                <w:lang w:eastAsia="zh-TW"/>
              </w:rPr>
            </w:pPr>
          </w:p>
        </w:tc>
        <w:tc>
          <w:tcPr>
            <w:tcW w:w="283" w:type="pct"/>
          </w:tcPr>
          <w:p w14:paraId="2579F727" w14:textId="77777777" w:rsidR="003C7D23" w:rsidRPr="00596193" w:rsidRDefault="003C7D23" w:rsidP="00303804">
            <w:pPr>
              <w:jc w:val="both"/>
              <w:rPr>
                <w:color w:val="000000"/>
                <w:sz w:val="20"/>
                <w:szCs w:val="20"/>
                <w:lang w:eastAsia="zh-TW"/>
              </w:rPr>
            </w:pPr>
          </w:p>
        </w:tc>
        <w:tc>
          <w:tcPr>
            <w:tcW w:w="307" w:type="pct"/>
          </w:tcPr>
          <w:p w14:paraId="7E4C7AFF" w14:textId="77777777" w:rsidR="003C7D23" w:rsidRPr="00596193" w:rsidRDefault="003C7D23" w:rsidP="00303804">
            <w:pPr>
              <w:jc w:val="both"/>
              <w:rPr>
                <w:color w:val="000000"/>
                <w:sz w:val="20"/>
                <w:szCs w:val="20"/>
                <w:lang w:eastAsia="zh-TW"/>
              </w:rPr>
            </w:pPr>
          </w:p>
        </w:tc>
        <w:tc>
          <w:tcPr>
            <w:tcW w:w="350" w:type="pct"/>
          </w:tcPr>
          <w:p w14:paraId="26B75D7F" w14:textId="40A7BEB8" w:rsidR="003C7D23" w:rsidRPr="00596193" w:rsidRDefault="003C7D23" w:rsidP="00303804">
            <w:pPr>
              <w:jc w:val="both"/>
              <w:rPr>
                <w:color w:val="000000"/>
                <w:sz w:val="20"/>
                <w:szCs w:val="20"/>
                <w:lang w:eastAsia="zh-TW"/>
              </w:rPr>
            </w:pPr>
          </w:p>
        </w:tc>
        <w:tc>
          <w:tcPr>
            <w:tcW w:w="380" w:type="pct"/>
          </w:tcPr>
          <w:p w14:paraId="7386B14C" w14:textId="0F937334" w:rsidR="003C7D23" w:rsidRPr="00596193" w:rsidRDefault="003C7D23" w:rsidP="00303804">
            <w:pPr>
              <w:jc w:val="both"/>
              <w:rPr>
                <w:color w:val="000000"/>
                <w:sz w:val="20"/>
                <w:szCs w:val="20"/>
                <w:lang w:eastAsia="zh-TW"/>
              </w:rPr>
            </w:pPr>
          </w:p>
        </w:tc>
        <w:tc>
          <w:tcPr>
            <w:tcW w:w="275" w:type="pct"/>
          </w:tcPr>
          <w:p w14:paraId="1748B91D" w14:textId="77777777" w:rsidR="003C7D23" w:rsidRPr="00596193" w:rsidRDefault="003C7D23" w:rsidP="00303804">
            <w:pPr>
              <w:jc w:val="both"/>
              <w:rPr>
                <w:color w:val="000000"/>
                <w:sz w:val="20"/>
                <w:szCs w:val="20"/>
                <w:lang w:eastAsia="zh-TW"/>
              </w:rPr>
            </w:pPr>
          </w:p>
        </w:tc>
      </w:tr>
      <w:tr w:rsidR="003C7D23" w:rsidRPr="00596193" w14:paraId="72ABE8E9" w14:textId="5BF24EDF" w:rsidTr="00580BE8">
        <w:trPr>
          <w:trHeight w:val="300"/>
        </w:trPr>
        <w:tc>
          <w:tcPr>
            <w:tcW w:w="1059" w:type="pct"/>
            <w:shd w:val="clear" w:color="auto" w:fill="auto"/>
            <w:noWrap/>
            <w:vAlign w:val="bottom"/>
            <w:hideMark/>
          </w:tcPr>
          <w:p w14:paraId="19FF99E0" w14:textId="77777777" w:rsidR="003C7D23" w:rsidRPr="00596193" w:rsidRDefault="003C7D23" w:rsidP="00303804">
            <w:pPr>
              <w:jc w:val="both"/>
              <w:rPr>
                <w:color w:val="000000"/>
                <w:sz w:val="20"/>
                <w:szCs w:val="20"/>
                <w:lang w:eastAsia="zh-TW"/>
              </w:rPr>
            </w:pPr>
            <w:r w:rsidRPr="00596193">
              <w:rPr>
                <w:color w:val="000000"/>
                <w:sz w:val="20"/>
                <w:szCs w:val="20"/>
                <w:lang w:eastAsia="zh-TW"/>
              </w:rPr>
              <w:t>Rural men (15-24)</w:t>
            </w:r>
          </w:p>
        </w:tc>
        <w:tc>
          <w:tcPr>
            <w:tcW w:w="295" w:type="pct"/>
            <w:shd w:val="clear" w:color="auto" w:fill="auto"/>
            <w:noWrap/>
            <w:vAlign w:val="bottom"/>
            <w:hideMark/>
          </w:tcPr>
          <w:p w14:paraId="7DBEEBE8" w14:textId="77777777" w:rsidR="003C7D23" w:rsidRPr="00596193" w:rsidRDefault="003C7D23" w:rsidP="00303804">
            <w:pPr>
              <w:jc w:val="both"/>
              <w:rPr>
                <w:color w:val="000000"/>
                <w:sz w:val="20"/>
                <w:szCs w:val="20"/>
                <w:lang w:eastAsia="zh-TW"/>
              </w:rPr>
            </w:pPr>
          </w:p>
        </w:tc>
        <w:tc>
          <w:tcPr>
            <w:tcW w:w="363" w:type="pct"/>
          </w:tcPr>
          <w:p w14:paraId="206D1E34" w14:textId="77777777" w:rsidR="003C7D23" w:rsidRPr="00596193" w:rsidRDefault="003C7D23" w:rsidP="00303804">
            <w:pPr>
              <w:jc w:val="both"/>
              <w:rPr>
                <w:color w:val="000000"/>
                <w:sz w:val="20"/>
                <w:szCs w:val="20"/>
                <w:lang w:eastAsia="zh-TW"/>
              </w:rPr>
            </w:pPr>
          </w:p>
        </w:tc>
        <w:tc>
          <w:tcPr>
            <w:tcW w:w="368" w:type="pct"/>
          </w:tcPr>
          <w:p w14:paraId="152C76F4" w14:textId="77777777" w:rsidR="003C7D23" w:rsidRPr="00596193" w:rsidRDefault="003C7D23" w:rsidP="00303804">
            <w:pPr>
              <w:jc w:val="both"/>
              <w:rPr>
                <w:color w:val="000000"/>
                <w:sz w:val="20"/>
                <w:szCs w:val="20"/>
                <w:lang w:eastAsia="zh-TW"/>
              </w:rPr>
            </w:pPr>
          </w:p>
        </w:tc>
        <w:tc>
          <w:tcPr>
            <w:tcW w:w="290" w:type="pct"/>
          </w:tcPr>
          <w:p w14:paraId="65DC1BBF" w14:textId="77777777" w:rsidR="003C7D23" w:rsidRPr="00596193" w:rsidRDefault="003C7D23" w:rsidP="00303804">
            <w:pPr>
              <w:jc w:val="both"/>
              <w:rPr>
                <w:color w:val="000000"/>
                <w:sz w:val="20"/>
                <w:szCs w:val="20"/>
                <w:lang w:eastAsia="zh-TW"/>
              </w:rPr>
            </w:pPr>
          </w:p>
        </w:tc>
        <w:tc>
          <w:tcPr>
            <w:tcW w:w="301" w:type="pct"/>
            <w:vAlign w:val="bottom"/>
          </w:tcPr>
          <w:p w14:paraId="48215590" w14:textId="77777777" w:rsidR="003C7D23" w:rsidRPr="00596193" w:rsidRDefault="003C7D23" w:rsidP="00303804">
            <w:pPr>
              <w:jc w:val="both"/>
              <w:rPr>
                <w:color w:val="000000"/>
                <w:sz w:val="20"/>
                <w:szCs w:val="20"/>
                <w:lang w:eastAsia="zh-TW"/>
              </w:rPr>
            </w:pPr>
          </w:p>
        </w:tc>
        <w:tc>
          <w:tcPr>
            <w:tcW w:w="356" w:type="pct"/>
          </w:tcPr>
          <w:p w14:paraId="41DC53B9" w14:textId="77777777" w:rsidR="003C7D23" w:rsidRPr="00596193" w:rsidRDefault="003C7D23" w:rsidP="00303804">
            <w:pPr>
              <w:jc w:val="both"/>
              <w:rPr>
                <w:color w:val="000000"/>
                <w:sz w:val="20"/>
                <w:szCs w:val="20"/>
                <w:lang w:eastAsia="zh-TW"/>
              </w:rPr>
            </w:pPr>
          </w:p>
        </w:tc>
        <w:tc>
          <w:tcPr>
            <w:tcW w:w="374" w:type="pct"/>
          </w:tcPr>
          <w:p w14:paraId="3C84B4F4" w14:textId="77777777" w:rsidR="003C7D23" w:rsidRPr="00596193" w:rsidRDefault="003C7D23" w:rsidP="00303804">
            <w:pPr>
              <w:jc w:val="both"/>
              <w:rPr>
                <w:color w:val="000000"/>
                <w:sz w:val="20"/>
                <w:szCs w:val="20"/>
                <w:lang w:eastAsia="zh-TW"/>
              </w:rPr>
            </w:pPr>
          </w:p>
        </w:tc>
        <w:tc>
          <w:tcPr>
            <w:tcW w:w="283" w:type="pct"/>
          </w:tcPr>
          <w:p w14:paraId="4A1EB8D3" w14:textId="77777777" w:rsidR="003C7D23" w:rsidRPr="00596193" w:rsidRDefault="003C7D23" w:rsidP="00303804">
            <w:pPr>
              <w:jc w:val="both"/>
              <w:rPr>
                <w:color w:val="000000"/>
                <w:sz w:val="20"/>
                <w:szCs w:val="20"/>
                <w:lang w:eastAsia="zh-TW"/>
              </w:rPr>
            </w:pPr>
          </w:p>
        </w:tc>
        <w:tc>
          <w:tcPr>
            <w:tcW w:w="307" w:type="pct"/>
          </w:tcPr>
          <w:p w14:paraId="3C9EB537" w14:textId="77777777" w:rsidR="003C7D23" w:rsidRPr="00596193" w:rsidRDefault="003C7D23" w:rsidP="00303804">
            <w:pPr>
              <w:jc w:val="both"/>
              <w:rPr>
                <w:color w:val="000000"/>
                <w:sz w:val="20"/>
                <w:szCs w:val="20"/>
                <w:lang w:eastAsia="zh-TW"/>
              </w:rPr>
            </w:pPr>
          </w:p>
        </w:tc>
        <w:tc>
          <w:tcPr>
            <w:tcW w:w="350" w:type="pct"/>
          </w:tcPr>
          <w:p w14:paraId="55A39A79" w14:textId="571786E4" w:rsidR="003C7D23" w:rsidRPr="00596193" w:rsidRDefault="003C7D23" w:rsidP="00303804">
            <w:pPr>
              <w:jc w:val="both"/>
              <w:rPr>
                <w:color w:val="000000"/>
                <w:sz w:val="20"/>
                <w:szCs w:val="20"/>
                <w:lang w:eastAsia="zh-TW"/>
              </w:rPr>
            </w:pPr>
          </w:p>
        </w:tc>
        <w:tc>
          <w:tcPr>
            <w:tcW w:w="380" w:type="pct"/>
          </w:tcPr>
          <w:p w14:paraId="463383B8" w14:textId="638A8F2D" w:rsidR="003C7D23" w:rsidRPr="00596193" w:rsidRDefault="003C7D23" w:rsidP="00303804">
            <w:pPr>
              <w:jc w:val="both"/>
              <w:rPr>
                <w:color w:val="000000"/>
                <w:sz w:val="20"/>
                <w:szCs w:val="20"/>
                <w:lang w:eastAsia="zh-TW"/>
              </w:rPr>
            </w:pPr>
          </w:p>
        </w:tc>
        <w:tc>
          <w:tcPr>
            <w:tcW w:w="275" w:type="pct"/>
          </w:tcPr>
          <w:p w14:paraId="79C8A9D5" w14:textId="77777777" w:rsidR="003C7D23" w:rsidRPr="00596193" w:rsidRDefault="003C7D23" w:rsidP="00303804">
            <w:pPr>
              <w:jc w:val="both"/>
              <w:rPr>
                <w:color w:val="000000"/>
                <w:sz w:val="20"/>
                <w:szCs w:val="20"/>
                <w:lang w:eastAsia="zh-TW"/>
              </w:rPr>
            </w:pPr>
          </w:p>
        </w:tc>
      </w:tr>
      <w:tr w:rsidR="003C7D23" w:rsidRPr="00596193" w14:paraId="7EEE7CC4" w14:textId="22285501" w:rsidTr="00580BE8">
        <w:trPr>
          <w:trHeight w:val="300"/>
        </w:trPr>
        <w:tc>
          <w:tcPr>
            <w:tcW w:w="1059" w:type="pct"/>
            <w:shd w:val="clear" w:color="auto" w:fill="auto"/>
            <w:noWrap/>
            <w:vAlign w:val="bottom"/>
            <w:hideMark/>
          </w:tcPr>
          <w:p w14:paraId="4813359E" w14:textId="77777777" w:rsidR="003C7D23" w:rsidRPr="00596193" w:rsidRDefault="003C7D23" w:rsidP="00303804">
            <w:pPr>
              <w:jc w:val="both"/>
              <w:rPr>
                <w:color w:val="000000"/>
                <w:sz w:val="20"/>
                <w:szCs w:val="20"/>
                <w:lang w:eastAsia="zh-TW"/>
              </w:rPr>
            </w:pPr>
            <w:r w:rsidRPr="00596193">
              <w:rPr>
                <w:color w:val="000000"/>
                <w:sz w:val="20"/>
                <w:szCs w:val="20"/>
                <w:lang w:eastAsia="zh-TW"/>
              </w:rPr>
              <w:t>Rural men (25-34)</w:t>
            </w:r>
          </w:p>
        </w:tc>
        <w:tc>
          <w:tcPr>
            <w:tcW w:w="295" w:type="pct"/>
            <w:shd w:val="clear" w:color="auto" w:fill="auto"/>
            <w:noWrap/>
            <w:vAlign w:val="bottom"/>
            <w:hideMark/>
          </w:tcPr>
          <w:p w14:paraId="23FCDBB9" w14:textId="77777777" w:rsidR="003C7D23" w:rsidRPr="00596193" w:rsidRDefault="003C7D23" w:rsidP="00303804">
            <w:pPr>
              <w:jc w:val="both"/>
              <w:rPr>
                <w:color w:val="000000"/>
                <w:sz w:val="20"/>
                <w:szCs w:val="20"/>
                <w:lang w:eastAsia="zh-TW"/>
              </w:rPr>
            </w:pPr>
          </w:p>
        </w:tc>
        <w:tc>
          <w:tcPr>
            <w:tcW w:w="363" w:type="pct"/>
          </w:tcPr>
          <w:p w14:paraId="3685FC35" w14:textId="77777777" w:rsidR="003C7D23" w:rsidRPr="00596193" w:rsidRDefault="003C7D23" w:rsidP="00303804">
            <w:pPr>
              <w:jc w:val="both"/>
              <w:rPr>
                <w:color w:val="000000"/>
                <w:sz w:val="20"/>
                <w:szCs w:val="20"/>
                <w:lang w:eastAsia="zh-TW"/>
              </w:rPr>
            </w:pPr>
          </w:p>
        </w:tc>
        <w:tc>
          <w:tcPr>
            <w:tcW w:w="368" w:type="pct"/>
          </w:tcPr>
          <w:p w14:paraId="4D295957" w14:textId="77777777" w:rsidR="003C7D23" w:rsidRPr="00596193" w:rsidRDefault="003C7D23" w:rsidP="00303804">
            <w:pPr>
              <w:jc w:val="both"/>
              <w:rPr>
                <w:color w:val="000000"/>
                <w:sz w:val="20"/>
                <w:szCs w:val="20"/>
                <w:lang w:eastAsia="zh-TW"/>
              </w:rPr>
            </w:pPr>
          </w:p>
        </w:tc>
        <w:tc>
          <w:tcPr>
            <w:tcW w:w="290" w:type="pct"/>
          </w:tcPr>
          <w:p w14:paraId="46554183" w14:textId="77777777" w:rsidR="003C7D23" w:rsidRPr="00596193" w:rsidRDefault="003C7D23" w:rsidP="00303804">
            <w:pPr>
              <w:jc w:val="both"/>
              <w:rPr>
                <w:color w:val="000000"/>
                <w:sz w:val="20"/>
                <w:szCs w:val="20"/>
                <w:lang w:eastAsia="zh-TW"/>
              </w:rPr>
            </w:pPr>
          </w:p>
        </w:tc>
        <w:tc>
          <w:tcPr>
            <w:tcW w:w="301" w:type="pct"/>
            <w:vAlign w:val="bottom"/>
          </w:tcPr>
          <w:p w14:paraId="4FBF0F70" w14:textId="77777777" w:rsidR="003C7D23" w:rsidRPr="00596193" w:rsidRDefault="003C7D23" w:rsidP="00303804">
            <w:pPr>
              <w:jc w:val="both"/>
              <w:rPr>
                <w:color w:val="000000"/>
                <w:sz w:val="20"/>
                <w:szCs w:val="20"/>
                <w:lang w:eastAsia="zh-TW"/>
              </w:rPr>
            </w:pPr>
          </w:p>
        </w:tc>
        <w:tc>
          <w:tcPr>
            <w:tcW w:w="356" w:type="pct"/>
          </w:tcPr>
          <w:p w14:paraId="6FC01526" w14:textId="77777777" w:rsidR="003C7D23" w:rsidRPr="00596193" w:rsidRDefault="003C7D23" w:rsidP="00303804">
            <w:pPr>
              <w:jc w:val="both"/>
              <w:rPr>
                <w:color w:val="000000"/>
                <w:sz w:val="20"/>
                <w:szCs w:val="20"/>
                <w:lang w:eastAsia="zh-TW"/>
              </w:rPr>
            </w:pPr>
          </w:p>
        </w:tc>
        <w:tc>
          <w:tcPr>
            <w:tcW w:w="374" w:type="pct"/>
          </w:tcPr>
          <w:p w14:paraId="36F84E5D" w14:textId="77777777" w:rsidR="003C7D23" w:rsidRPr="00596193" w:rsidRDefault="003C7D23" w:rsidP="00303804">
            <w:pPr>
              <w:jc w:val="both"/>
              <w:rPr>
                <w:color w:val="000000"/>
                <w:sz w:val="20"/>
                <w:szCs w:val="20"/>
                <w:lang w:eastAsia="zh-TW"/>
              </w:rPr>
            </w:pPr>
          </w:p>
        </w:tc>
        <w:tc>
          <w:tcPr>
            <w:tcW w:w="283" w:type="pct"/>
          </w:tcPr>
          <w:p w14:paraId="6EE30D7D" w14:textId="77777777" w:rsidR="003C7D23" w:rsidRPr="00596193" w:rsidRDefault="003C7D23" w:rsidP="00303804">
            <w:pPr>
              <w:jc w:val="both"/>
              <w:rPr>
                <w:color w:val="000000"/>
                <w:sz w:val="20"/>
                <w:szCs w:val="20"/>
                <w:lang w:eastAsia="zh-TW"/>
              </w:rPr>
            </w:pPr>
          </w:p>
        </w:tc>
        <w:tc>
          <w:tcPr>
            <w:tcW w:w="307" w:type="pct"/>
          </w:tcPr>
          <w:p w14:paraId="6246246B" w14:textId="77777777" w:rsidR="003C7D23" w:rsidRPr="00596193" w:rsidRDefault="003C7D23" w:rsidP="00303804">
            <w:pPr>
              <w:jc w:val="both"/>
              <w:rPr>
                <w:color w:val="000000"/>
                <w:sz w:val="20"/>
                <w:szCs w:val="20"/>
                <w:lang w:eastAsia="zh-TW"/>
              </w:rPr>
            </w:pPr>
          </w:p>
        </w:tc>
        <w:tc>
          <w:tcPr>
            <w:tcW w:w="350" w:type="pct"/>
          </w:tcPr>
          <w:p w14:paraId="79EBA741" w14:textId="2F9AD766" w:rsidR="003C7D23" w:rsidRPr="00596193" w:rsidRDefault="003C7D23" w:rsidP="00303804">
            <w:pPr>
              <w:jc w:val="both"/>
              <w:rPr>
                <w:color w:val="000000"/>
                <w:sz w:val="20"/>
                <w:szCs w:val="20"/>
                <w:lang w:eastAsia="zh-TW"/>
              </w:rPr>
            </w:pPr>
          </w:p>
        </w:tc>
        <w:tc>
          <w:tcPr>
            <w:tcW w:w="380" w:type="pct"/>
          </w:tcPr>
          <w:p w14:paraId="5DE16CE8" w14:textId="0069E7BB" w:rsidR="003C7D23" w:rsidRPr="00596193" w:rsidRDefault="003C7D23" w:rsidP="00303804">
            <w:pPr>
              <w:jc w:val="both"/>
              <w:rPr>
                <w:color w:val="000000"/>
                <w:sz w:val="20"/>
                <w:szCs w:val="20"/>
                <w:lang w:eastAsia="zh-TW"/>
              </w:rPr>
            </w:pPr>
          </w:p>
        </w:tc>
        <w:tc>
          <w:tcPr>
            <w:tcW w:w="275" w:type="pct"/>
          </w:tcPr>
          <w:p w14:paraId="0051CE53" w14:textId="77777777" w:rsidR="003C7D23" w:rsidRPr="00596193" w:rsidRDefault="003C7D23" w:rsidP="00303804">
            <w:pPr>
              <w:jc w:val="both"/>
              <w:rPr>
                <w:color w:val="000000"/>
                <w:sz w:val="20"/>
                <w:szCs w:val="20"/>
                <w:lang w:eastAsia="zh-TW"/>
              </w:rPr>
            </w:pPr>
          </w:p>
        </w:tc>
      </w:tr>
      <w:tr w:rsidR="003C7D23" w:rsidRPr="00596193" w14:paraId="795D331D" w14:textId="5D64FA27" w:rsidTr="00580BE8">
        <w:trPr>
          <w:trHeight w:val="300"/>
        </w:trPr>
        <w:tc>
          <w:tcPr>
            <w:tcW w:w="1059" w:type="pct"/>
            <w:shd w:val="clear" w:color="auto" w:fill="auto"/>
            <w:noWrap/>
            <w:vAlign w:val="bottom"/>
            <w:hideMark/>
          </w:tcPr>
          <w:p w14:paraId="1E35797F" w14:textId="77777777" w:rsidR="003C7D23" w:rsidRPr="00596193" w:rsidRDefault="003C7D23" w:rsidP="00303804">
            <w:pPr>
              <w:jc w:val="both"/>
              <w:rPr>
                <w:color w:val="000000"/>
                <w:sz w:val="20"/>
                <w:szCs w:val="20"/>
                <w:lang w:eastAsia="zh-TW"/>
              </w:rPr>
            </w:pPr>
            <w:r w:rsidRPr="00596193">
              <w:rPr>
                <w:color w:val="000000"/>
                <w:sz w:val="20"/>
                <w:szCs w:val="20"/>
                <w:lang w:eastAsia="zh-TW"/>
              </w:rPr>
              <w:t>Rural men (35-44)</w:t>
            </w:r>
          </w:p>
        </w:tc>
        <w:tc>
          <w:tcPr>
            <w:tcW w:w="295" w:type="pct"/>
            <w:shd w:val="clear" w:color="auto" w:fill="auto"/>
            <w:noWrap/>
            <w:vAlign w:val="bottom"/>
            <w:hideMark/>
          </w:tcPr>
          <w:p w14:paraId="0482AE38" w14:textId="77777777" w:rsidR="003C7D23" w:rsidRPr="00596193" w:rsidRDefault="003C7D23" w:rsidP="00303804">
            <w:pPr>
              <w:jc w:val="both"/>
              <w:rPr>
                <w:color w:val="000000"/>
                <w:sz w:val="20"/>
                <w:szCs w:val="20"/>
                <w:lang w:eastAsia="zh-TW"/>
              </w:rPr>
            </w:pPr>
          </w:p>
        </w:tc>
        <w:tc>
          <w:tcPr>
            <w:tcW w:w="363" w:type="pct"/>
          </w:tcPr>
          <w:p w14:paraId="24624CD9" w14:textId="77777777" w:rsidR="003C7D23" w:rsidRPr="00596193" w:rsidRDefault="003C7D23" w:rsidP="00303804">
            <w:pPr>
              <w:jc w:val="both"/>
              <w:rPr>
                <w:color w:val="000000"/>
                <w:sz w:val="20"/>
                <w:szCs w:val="20"/>
                <w:lang w:eastAsia="zh-TW"/>
              </w:rPr>
            </w:pPr>
          </w:p>
        </w:tc>
        <w:tc>
          <w:tcPr>
            <w:tcW w:w="368" w:type="pct"/>
          </w:tcPr>
          <w:p w14:paraId="6A2AE4A4" w14:textId="77777777" w:rsidR="003C7D23" w:rsidRPr="00596193" w:rsidRDefault="003C7D23" w:rsidP="00303804">
            <w:pPr>
              <w:jc w:val="both"/>
              <w:rPr>
                <w:color w:val="000000"/>
                <w:sz w:val="20"/>
                <w:szCs w:val="20"/>
                <w:lang w:eastAsia="zh-TW"/>
              </w:rPr>
            </w:pPr>
          </w:p>
        </w:tc>
        <w:tc>
          <w:tcPr>
            <w:tcW w:w="290" w:type="pct"/>
          </w:tcPr>
          <w:p w14:paraId="0A92502E" w14:textId="77777777" w:rsidR="003C7D23" w:rsidRPr="00596193" w:rsidRDefault="003C7D23" w:rsidP="00303804">
            <w:pPr>
              <w:jc w:val="both"/>
              <w:rPr>
                <w:color w:val="000000"/>
                <w:sz w:val="20"/>
                <w:szCs w:val="20"/>
                <w:lang w:eastAsia="zh-TW"/>
              </w:rPr>
            </w:pPr>
          </w:p>
        </w:tc>
        <w:tc>
          <w:tcPr>
            <w:tcW w:w="301" w:type="pct"/>
            <w:vAlign w:val="bottom"/>
          </w:tcPr>
          <w:p w14:paraId="2A1ABE11" w14:textId="77777777" w:rsidR="003C7D23" w:rsidRPr="00596193" w:rsidRDefault="003C7D23" w:rsidP="00303804">
            <w:pPr>
              <w:jc w:val="both"/>
              <w:rPr>
                <w:color w:val="000000"/>
                <w:sz w:val="20"/>
                <w:szCs w:val="20"/>
                <w:lang w:eastAsia="zh-TW"/>
              </w:rPr>
            </w:pPr>
          </w:p>
        </w:tc>
        <w:tc>
          <w:tcPr>
            <w:tcW w:w="356" w:type="pct"/>
          </w:tcPr>
          <w:p w14:paraId="5EFA6558" w14:textId="77777777" w:rsidR="003C7D23" w:rsidRPr="00596193" w:rsidRDefault="003C7D23" w:rsidP="00303804">
            <w:pPr>
              <w:jc w:val="both"/>
              <w:rPr>
                <w:color w:val="000000"/>
                <w:sz w:val="20"/>
                <w:szCs w:val="20"/>
                <w:lang w:eastAsia="zh-TW"/>
              </w:rPr>
            </w:pPr>
          </w:p>
        </w:tc>
        <w:tc>
          <w:tcPr>
            <w:tcW w:w="374" w:type="pct"/>
          </w:tcPr>
          <w:p w14:paraId="470ED2A3" w14:textId="77777777" w:rsidR="003C7D23" w:rsidRPr="00596193" w:rsidRDefault="003C7D23" w:rsidP="00303804">
            <w:pPr>
              <w:jc w:val="both"/>
              <w:rPr>
                <w:color w:val="000000"/>
                <w:sz w:val="20"/>
                <w:szCs w:val="20"/>
                <w:lang w:eastAsia="zh-TW"/>
              </w:rPr>
            </w:pPr>
          </w:p>
        </w:tc>
        <w:tc>
          <w:tcPr>
            <w:tcW w:w="283" w:type="pct"/>
          </w:tcPr>
          <w:p w14:paraId="1EB37FBF" w14:textId="77777777" w:rsidR="003C7D23" w:rsidRPr="00596193" w:rsidRDefault="003C7D23" w:rsidP="00303804">
            <w:pPr>
              <w:jc w:val="both"/>
              <w:rPr>
                <w:color w:val="000000"/>
                <w:sz w:val="20"/>
                <w:szCs w:val="20"/>
                <w:lang w:eastAsia="zh-TW"/>
              </w:rPr>
            </w:pPr>
          </w:p>
        </w:tc>
        <w:tc>
          <w:tcPr>
            <w:tcW w:w="307" w:type="pct"/>
          </w:tcPr>
          <w:p w14:paraId="0C0393DA" w14:textId="77777777" w:rsidR="003C7D23" w:rsidRPr="00596193" w:rsidRDefault="003C7D23" w:rsidP="00303804">
            <w:pPr>
              <w:jc w:val="both"/>
              <w:rPr>
                <w:color w:val="000000"/>
                <w:sz w:val="20"/>
                <w:szCs w:val="20"/>
                <w:lang w:eastAsia="zh-TW"/>
              </w:rPr>
            </w:pPr>
          </w:p>
        </w:tc>
        <w:tc>
          <w:tcPr>
            <w:tcW w:w="350" w:type="pct"/>
          </w:tcPr>
          <w:p w14:paraId="1E04EE8D" w14:textId="37EFF7D6" w:rsidR="003C7D23" w:rsidRPr="00596193" w:rsidRDefault="003C7D23" w:rsidP="00303804">
            <w:pPr>
              <w:jc w:val="both"/>
              <w:rPr>
                <w:color w:val="000000"/>
                <w:sz w:val="20"/>
                <w:szCs w:val="20"/>
                <w:lang w:eastAsia="zh-TW"/>
              </w:rPr>
            </w:pPr>
          </w:p>
        </w:tc>
        <w:tc>
          <w:tcPr>
            <w:tcW w:w="380" w:type="pct"/>
          </w:tcPr>
          <w:p w14:paraId="450FB779" w14:textId="607C5CE7" w:rsidR="003C7D23" w:rsidRPr="00596193" w:rsidRDefault="003C7D23" w:rsidP="00303804">
            <w:pPr>
              <w:jc w:val="both"/>
              <w:rPr>
                <w:color w:val="000000"/>
                <w:sz w:val="20"/>
                <w:szCs w:val="20"/>
                <w:lang w:eastAsia="zh-TW"/>
              </w:rPr>
            </w:pPr>
          </w:p>
        </w:tc>
        <w:tc>
          <w:tcPr>
            <w:tcW w:w="275" w:type="pct"/>
          </w:tcPr>
          <w:p w14:paraId="05DD8643" w14:textId="77777777" w:rsidR="003C7D23" w:rsidRPr="00596193" w:rsidRDefault="003C7D23" w:rsidP="00303804">
            <w:pPr>
              <w:jc w:val="both"/>
              <w:rPr>
                <w:color w:val="000000"/>
                <w:sz w:val="20"/>
                <w:szCs w:val="20"/>
                <w:lang w:eastAsia="zh-TW"/>
              </w:rPr>
            </w:pPr>
          </w:p>
        </w:tc>
      </w:tr>
      <w:tr w:rsidR="003C7D23" w:rsidRPr="00596193" w14:paraId="2091742C" w14:textId="1E745CE8" w:rsidTr="00580BE8">
        <w:trPr>
          <w:trHeight w:val="300"/>
        </w:trPr>
        <w:tc>
          <w:tcPr>
            <w:tcW w:w="1059" w:type="pct"/>
            <w:shd w:val="clear" w:color="auto" w:fill="auto"/>
            <w:noWrap/>
            <w:vAlign w:val="bottom"/>
            <w:hideMark/>
          </w:tcPr>
          <w:p w14:paraId="077EDB18" w14:textId="77777777" w:rsidR="003C7D23" w:rsidRPr="00596193" w:rsidRDefault="003C7D23" w:rsidP="00303804">
            <w:pPr>
              <w:jc w:val="both"/>
              <w:rPr>
                <w:color w:val="000000"/>
                <w:sz w:val="20"/>
                <w:szCs w:val="20"/>
                <w:lang w:eastAsia="zh-TW"/>
              </w:rPr>
            </w:pPr>
            <w:r w:rsidRPr="00596193">
              <w:rPr>
                <w:color w:val="000000"/>
                <w:sz w:val="20"/>
                <w:szCs w:val="20"/>
                <w:lang w:eastAsia="zh-TW"/>
              </w:rPr>
              <w:t>Rural men (45-54)</w:t>
            </w:r>
          </w:p>
        </w:tc>
        <w:tc>
          <w:tcPr>
            <w:tcW w:w="295" w:type="pct"/>
            <w:shd w:val="clear" w:color="auto" w:fill="auto"/>
            <w:noWrap/>
            <w:vAlign w:val="bottom"/>
            <w:hideMark/>
          </w:tcPr>
          <w:p w14:paraId="28A7EF6D" w14:textId="77777777" w:rsidR="003C7D23" w:rsidRPr="00596193" w:rsidRDefault="003C7D23" w:rsidP="00303804">
            <w:pPr>
              <w:jc w:val="both"/>
              <w:rPr>
                <w:color w:val="000000"/>
                <w:sz w:val="20"/>
                <w:szCs w:val="20"/>
                <w:lang w:eastAsia="zh-TW"/>
              </w:rPr>
            </w:pPr>
          </w:p>
        </w:tc>
        <w:tc>
          <w:tcPr>
            <w:tcW w:w="363" w:type="pct"/>
          </w:tcPr>
          <w:p w14:paraId="4D98FBEB" w14:textId="77777777" w:rsidR="003C7D23" w:rsidRPr="00596193" w:rsidRDefault="003C7D23" w:rsidP="00303804">
            <w:pPr>
              <w:jc w:val="both"/>
              <w:rPr>
                <w:color w:val="000000"/>
                <w:sz w:val="20"/>
                <w:szCs w:val="20"/>
                <w:lang w:eastAsia="zh-TW"/>
              </w:rPr>
            </w:pPr>
          </w:p>
        </w:tc>
        <w:tc>
          <w:tcPr>
            <w:tcW w:w="368" w:type="pct"/>
          </w:tcPr>
          <w:p w14:paraId="01053F9D" w14:textId="77777777" w:rsidR="003C7D23" w:rsidRPr="00596193" w:rsidRDefault="003C7D23" w:rsidP="00303804">
            <w:pPr>
              <w:jc w:val="both"/>
              <w:rPr>
                <w:color w:val="000000"/>
                <w:sz w:val="20"/>
                <w:szCs w:val="20"/>
                <w:lang w:eastAsia="zh-TW"/>
              </w:rPr>
            </w:pPr>
          </w:p>
        </w:tc>
        <w:tc>
          <w:tcPr>
            <w:tcW w:w="290" w:type="pct"/>
          </w:tcPr>
          <w:p w14:paraId="41662A53" w14:textId="77777777" w:rsidR="003C7D23" w:rsidRPr="00596193" w:rsidRDefault="003C7D23" w:rsidP="00303804">
            <w:pPr>
              <w:jc w:val="both"/>
              <w:rPr>
                <w:color w:val="000000"/>
                <w:sz w:val="20"/>
                <w:szCs w:val="20"/>
                <w:lang w:eastAsia="zh-TW"/>
              </w:rPr>
            </w:pPr>
          </w:p>
        </w:tc>
        <w:tc>
          <w:tcPr>
            <w:tcW w:w="301" w:type="pct"/>
            <w:vAlign w:val="bottom"/>
          </w:tcPr>
          <w:p w14:paraId="07728627" w14:textId="77777777" w:rsidR="003C7D23" w:rsidRPr="00596193" w:rsidRDefault="003C7D23" w:rsidP="00303804">
            <w:pPr>
              <w:jc w:val="both"/>
              <w:rPr>
                <w:color w:val="000000"/>
                <w:sz w:val="20"/>
                <w:szCs w:val="20"/>
                <w:lang w:eastAsia="zh-TW"/>
              </w:rPr>
            </w:pPr>
          </w:p>
        </w:tc>
        <w:tc>
          <w:tcPr>
            <w:tcW w:w="356" w:type="pct"/>
          </w:tcPr>
          <w:p w14:paraId="4F91367F" w14:textId="77777777" w:rsidR="003C7D23" w:rsidRPr="00596193" w:rsidRDefault="003C7D23" w:rsidP="00303804">
            <w:pPr>
              <w:jc w:val="both"/>
              <w:rPr>
                <w:color w:val="000000"/>
                <w:sz w:val="20"/>
                <w:szCs w:val="20"/>
                <w:lang w:eastAsia="zh-TW"/>
              </w:rPr>
            </w:pPr>
          </w:p>
        </w:tc>
        <w:tc>
          <w:tcPr>
            <w:tcW w:w="374" w:type="pct"/>
          </w:tcPr>
          <w:p w14:paraId="10E4860C" w14:textId="77777777" w:rsidR="003C7D23" w:rsidRPr="00596193" w:rsidRDefault="003C7D23" w:rsidP="00303804">
            <w:pPr>
              <w:jc w:val="both"/>
              <w:rPr>
                <w:color w:val="000000"/>
                <w:sz w:val="20"/>
                <w:szCs w:val="20"/>
                <w:lang w:eastAsia="zh-TW"/>
              </w:rPr>
            </w:pPr>
          </w:p>
        </w:tc>
        <w:tc>
          <w:tcPr>
            <w:tcW w:w="283" w:type="pct"/>
          </w:tcPr>
          <w:p w14:paraId="29F74105" w14:textId="77777777" w:rsidR="003C7D23" w:rsidRPr="00596193" w:rsidRDefault="003C7D23" w:rsidP="00303804">
            <w:pPr>
              <w:jc w:val="both"/>
              <w:rPr>
                <w:color w:val="000000"/>
                <w:sz w:val="20"/>
                <w:szCs w:val="20"/>
                <w:lang w:eastAsia="zh-TW"/>
              </w:rPr>
            </w:pPr>
          </w:p>
        </w:tc>
        <w:tc>
          <w:tcPr>
            <w:tcW w:w="307" w:type="pct"/>
          </w:tcPr>
          <w:p w14:paraId="7815F031" w14:textId="77777777" w:rsidR="003C7D23" w:rsidRPr="00596193" w:rsidRDefault="003C7D23" w:rsidP="00303804">
            <w:pPr>
              <w:jc w:val="both"/>
              <w:rPr>
                <w:color w:val="000000"/>
                <w:sz w:val="20"/>
                <w:szCs w:val="20"/>
                <w:lang w:eastAsia="zh-TW"/>
              </w:rPr>
            </w:pPr>
          </w:p>
        </w:tc>
        <w:tc>
          <w:tcPr>
            <w:tcW w:w="350" w:type="pct"/>
          </w:tcPr>
          <w:p w14:paraId="432B2A73" w14:textId="004BD423" w:rsidR="003C7D23" w:rsidRPr="00596193" w:rsidRDefault="003C7D23" w:rsidP="00303804">
            <w:pPr>
              <w:jc w:val="both"/>
              <w:rPr>
                <w:color w:val="000000"/>
                <w:sz w:val="20"/>
                <w:szCs w:val="20"/>
                <w:lang w:eastAsia="zh-TW"/>
              </w:rPr>
            </w:pPr>
          </w:p>
        </w:tc>
        <w:tc>
          <w:tcPr>
            <w:tcW w:w="380" w:type="pct"/>
          </w:tcPr>
          <w:p w14:paraId="6DEC0194" w14:textId="3E404887" w:rsidR="003C7D23" w:rsidRPr="00596193" w:rsidRDefault="003C7D23" w:rsidP="00303804">
            <w:pPr>
              <w:jc w:val="both"/>
              <w:rPr>
                <w:color w:val="000000"/>
                <w:sz w:val="20"/>
                <w:szCs w:val="20"/>
                <w:lang w:eastAsia="zh-TW"/>
              </w:rPr>
            </w:pPr>
          </w:p>
        </w:tc>
        <w:tc>
          <w:tcPr>
            <w:tcW w:w="275" w:type="pct"/>
          </w:tcPr>
          <w:p w14:paraId="711CFC55" w14:textId="77777777" w:rsidR="003C7D23" w:rsidRPr="00596193" w:rsidRDefault="003C7D23" w:rsidP="00303804">
            <w:pPr>
              <w:jc w:val="both"/>
              <w:rPr>
                <w:color w:val="000000"/>
                <w:sz w:val="20"/>
                <w:szCs w:val="20"/>
                <w:lang w:eastAsia="zh-TW"/>
              </w:rPr>
            </w:pPr>
          </w:p>
        </w:tc>
      </w:tr>
      <w:tr w:rsidR="003C7D23" w:rsidRPr="00596193" w14:paraId="38820D15" w14:textId="000930BC" w:rsidTr="00580BE8">
        <w:trPr>
          <w:trHeight w:val="300"/>
        </w:trPr>
        <w:tc>
          <w:tcPr>
            <w:tcW w:w="1059" w:type="pct"/>
            <w:shd w:val="clear" w:color="auto" w:fill="auto"/>
            <w:noWrap/>
            <w:vAlign w:val="bottom"/>
            <w:hideMark/>
          </w:tcPr>
          <w:p w14:paraId="072289B0" w14:textId="77777777" w:rsidR="003C7D23" w:rsidRPr="00596193" w:rsidRDefault="003C7D23" w:rsidP="00303804">
            <w:pPr>
              <w:jc w:val="both"/>
              <w:rPr>
                <w:color w:val="000000"/>
                <w:sz w:val="20"/>
                <w:szCs w:val="20"/>
                <w:lang w:eastAsia="zh-TW"/>
              </w:rPr>
            </w:pPr>
            <w:r w:rsidRPr="00596193">
              <w:rPr>
                <w:color w:val="000000"/>
                <w:sz w:val="20"/>
                <w:szCs w:val="20"/>
                <w:lang w:eastAsia="zh-TW"/>
              </w:rPr>
              <w:t>Rural men (55-64)</w:t>
            </w:r>
          </w:p>
        </w:tc>
        <w:tc>
          <w:tcPr>
            <w:tcW w:w="295" w:type="pct"/>
            <w:shd w:val="clear" w:color="auto" w:fill="auto"/>
            <w:noWrap/>
            <w:vAlign w:val="bottom"/>
            <w:hideMark/>
          </w:tcPr>
          <w:p w14:paraId="5308E646" w14:textId="77777777" w:rsidR="003C7D23" w:rsidRPr="00596193" w:rsidRDefault="003C7D23" w:rsidP="00303804">
            <w:pPr>
              <w:jc w:val="both"/>
              <w:rPr>
                <w:color w:val="000000"/>
                <w:sz w:val="20"/>
                <w:szCs w:val="20"/>
                <w:lang w:eastAsia="zh-TW"/>
              </w:rPr>
            </w:pPr>
          </w:p>
        </w:tc>
        <w:tc>
          <w:tcPr>
            <w:tcW w:w="363" w:type="pct"/>
          </w:tcPr>
          <w:p w14:paraId="1776F442" w14:textId="77777777" w:rsidR="003C7D23" w:rsidRPr="00596193" w:rsidRDefault="003C7D23" w:rsidP="00303804">
            <w:pPr>
              <w:jc w:val="both"/>
              <w:rPr>
                <w:color w:val="000000"/>
                <w:sz w:val="20"/>
                <w:szCs w:val="20"/>
                <w:lang w:eastAsia="zh-TW"/>
              </w:rPr>
            </w:pPr>
          </w:p>
        </w:tc>
        <w:tc>
          <w:tcPr>
            <w:tcW w:w="368" w:type="pct"/>
          </w:tcPr>
          <w:p w14:paraId="49853FDF" w14:textId="77777777" w:rsidR="003C7D23" w:rsidRPr="00596193" w:rsidRDefault="003C7D23" w:rsidP="00303804">
            <w:pPr>
              <w:jc w:val="both"/>
              <w:rPr>
                <w:color w:val="000000"/>
                <w:sz w:val="20"/>
                <w:szCs w:val="20"/>
                <w:lang w:eastAsia="zh-TW"/>
              </w:rPr>
            </w:pPr>
          </w:p>
        </w:tc>
        <w:tc>
          <w:tcPr>
            <w:tcW w:w="290" w:type="pct"/>
          </w:tcPr>
          <w:p w14:paraId="17F03B2F" w14:textId="77777777" w:rsidR="003C7D23" w:rsidRPr="00596193" w:rsidRDefault="003C7D23" w:rsidP="00303804">
            <w:pPr>
              <w:jc w:val="both"/>
              <w:rPr>
                <w:color w:val="000000"/>
                <w:sz w:val="20"/>
                <w:szCs w:val="20"/>
                <w:lang w:eastAsia="zh-TW"/>
              </w:rPr>
            </w:pPr>
          </w:p>
        </w:tc>
        <w:tc>
          <w:tcPr>
            <w:tcW w:w="301" w:type="pct"/>
            <w:vAlign w:val="bottom"/>
          </w:tcPr>
          <w:p w14:paraId="761B4680" w14:textId="77777777" w:rsidR="003C7D23" w:rsidRPr="00596193" w:rsidRDefault="003C7D23" w:rsidP="00303804">
            <w:pPr>
              <w:jc w:val="both"/>
              <w:rPr>
                <w:color w:val="000000"/>
                <w:sz w:val="20"/>
                <w:szCs w:val="20"/>
                <w:lang w:eastAsia="zh-TW"/>
              </w:rPr>
            </w:pPr>
          </w:p>
        </w:tc>
        <w:tc>
          <w:tcPr>
            <w:tcW w:w="356" w:type="pct"/>
          </w:tcPr>
          <w:p w14:paraId="0F6C80D5" w14:textId="77777777" w:rsidR="003C7D23" w:rsidRPr="00596193" w:rsidRDefault="003C7D23" w:rsidP="00303804">
            <w:pPr>
              <w:jc w:val="both"/>
              <w:rPr>
                <w:color w:val="000000"/>
                <w:sz w:val="20"/>
                <w:szCs w:val="20"/>
                <w:lang w:eastAsia="zh-TW"/>
              </w:rPr>
            </w:pPr>
          </w:p>
        </w:tc>
        <w:tc>
          <w:tcPr>
            <w:tcW w:w="374" w:type="pct"/>
          </w:tcPr>
          <w:p w14:paraId="5097273F" w14:textId="77777777" w:rsidR="003C7D23" w:rsidRPr="00596193" w:rsidRDefault="003C7D23" w:rsidP="00303804">
            <w:pPr>
              <w:jc w:val="both"/>
              <w:rPr>
                <w:color w:val="000000"/>
                <w:sz w:val="20"/>
                <w:szCs w:val="20"/>
                <w:lang w:eastAsia="zh-TW"/>
              </w:rPr>
            </w:pPr>
          </w:p>
        </w:tc>
        <w:tc>
          <w:tcPr>
            <w:tcW w:w="283" w:type="pct"/>
          </w:tcPr>
          <w:p w14:paraId="51C97ABF" w14:textId="77777777" w:rsidR="003C7D23" w:rsidRPr="00596193" w:rsidRDefault="003C7D23" w:rsidP="00303804">
            <w:pPr>
              <w:jc w:val="both"/>
              <w:rPr>
                <w:color w:val="000000"/>
                <w:sz w:val="20"/>
                <w:szCs w:val="20"/>
                <w:lang w:eastAsia="zh-TW"/>
              </w:rPr>
            </w:pPr>
          </w:p>
        </w:tc>
        <w:tc>
          <w:tcPr>
            <w:tcW w:w="307" w:type="pct"/>
          </w:tcPr>
          <w:p w14:paraId="0362FD7C" w14:textId="77777777" w:rsidR="003C7D23" w:rsidRPr="00596193" w:rsidRDefault="003C7D23" w:rsidP="00303804">
            <w:pPr>
              <w:jc w:val="both"/>
              <w:rPr>
                <w:color w:val="000000"/>
                <w:sz w:val="20"/>
                <w:szCs w:val="20"/>
                <w:lang w:eastAsia="zh-TW"/>
              </w:rPr>
            </w:pPr>
          </w:p>
        </w:tc>
        <w:tc>
          <w:tcPr>
            <w:tcW w:w="350" w:type="pct"/>
          </w:tcPr>
          <w:p w14:paraId="5DAE7337" w14:textId="7CAC91D1" w:rsidR="003C7D23" w:rsidRPr="00596193" w:rsidRDefault="003C7D23" w:rsidP="00303804">
            <w:pPr>
              <w:jc w:val="both"/>
              <w:rPr>
                <w:color w:val="000000"/>
                <w:sz w:val="20"/>
                <w:szCs w:val="20"/>
                <w:lang w:eastAsia="zh-TW"/>
              </w:rPr>
            </w:pPr>
          </w:p>
        </w:tc>
        <w:tc>
          <w:tcPr>
            <w:tcW w:w="380" w:type="pct"/>
          </w:tcPr>
          <w:p w14:paraId="7552F038" w14:textId="6A085B96" w:rsidR="003C7D23" w:rsidRPr="00596193" w:rsidRDefault="003C7D23" w:rsidP="00303804">
            <w:pPr>
              <w:jc w:val="both"/>
              <w:rPr>
                <w:color w:val="000000"/>
                <w:sz w:val="20"/>
                <w:szCs w:val="20"/>
                <w:lang w:eastAsia="zh-TW"/>
              </w:rPr>
            </w:pPr>
          </w:p>
        </w:tc>
        <w:tc>
          <w:tcPr>
            <w:tcW w:w="275" w:type="pct"/>
          </w:tcPr>
          <w:p w14:paraId="7B9F467A" w14:textId="77777777" w:rsidR="003C7D23" w:rsidRPr="00596193" w:rsidRDefault="003C7D23" w:rsidP="00303804">
            <w:pPr>
              <w:jc w:val="both"/>
              <w:rPr>
                <w:color w:val="000000"/>
                <w:sz w:val="20"/>
                <w:szCs w:val="20"/>
                <w:lang w:eastAsia="zh-TW"/>
              </w:rPr>
            </w:pPr>
          </w:p>
        </w:tc>
      </w:tr>
      <w:tr w:rsidR="003C7D23" w:rsidRPr="00596193" w14:paraId="701DF100" w14:textId="285FC0A4" w:rsidTr="00580BE8">
        <w:trPr>
          <w:trHeight w:val="300"/>
        </w:trPr>
        <w:tc>
          <w:tcPr>
            <w:tcW w:w="1059" w:type="pct"/>
            <w:shd w:val="clear" w:color="auto" w:fill="auto"/>
            <w:noWrap/>
            <w:vAlign w:val="bottom"/>
            <w:hideMark/>
          </w:tcPr>
          <w:p w14:paraId="703CB17F" w14:textId="77777777" w:rsidR="003C7D23" w:rsidRPr="00BB5C25" w:rsidRDefault="003C7D23" w:rsidP="00303804">
            <w:pPr>
              <w:jc w:val="both"/>
              <w:rPr>
                <w:color w:val="000000"/>
                <w:sz w:val="20"/>
                <w:szCs w:val="20"/>
                <w:vertAlign w:val="superscript"/>
              </w:rPr>
            </w:pPr>
            <w:r w:rsidRPr="00596193">
              <w:rPr>
                <w:color w:val="000000"/>
                <w:sz w:val="20"/>
                <w:szCs w:val="20"/>
                <w:lang w:eastAsia="zh-TW"/>
              </w:rPr>
              <w:t>High risk women (15-</w:t>
            </w:r>
            <w:r w:rsidRPr="00596193">
              <w:rPr>
                <w:color w:val="000000"/>
                <w:sz w:val="20"/>
                <w:szCs w:val="20"/>
              </w:rPr>
              <w:t>24)</w:t>
            </w:r>
          </w:p>
        </w:tc>
        <w:tc>
          <w:tcPr>
            <w:tcW w:w="295" w:type="pct"/>
            <w:shd w:val="clear" w:color="auto" w:fill="auto"/>
            <w:noWrap/>
            <w:vAlign w:val="bottom"/>
            <w:hideMark/>
          </w:tcPr>
          <w:p w14:paraId="6372514B" w14:textId="77777777" w:rsidR="003C7D23" w:rsidRPr="00596193" w:rsidRDefault="003C7D23" w:rsidP="00303804">
            <w:pPr>
              <w:jc w:val="both"/>
              <w:rPr>
                <w:color w:val="000000"/>
                <w:sz w:val="20"/>
                <w:szCs w:val="20"/>
              </w:rPr>
            </w:pPr>
          </w:p>
        </w:tc>
        <w:tc>
          <w:tcPr>
            <w:tcW w:w="363" w:type="pct"/>
          </w:tcPr>
          <w:p w14:paraId="33A58356" w14:textId="77777777" w:rsidR="003C7D23" w:rsidRPr="00596193" w:rsidRDefault="003C7D23" w:rsidP="00303804">
            <w:pPr>
              <w:jc w:val="both"/>
              <w:rPr>
                <w:color w:val="000000"/>
                <w:sz w:val="20"/>
                <w:szCs w:val="20"/>
              </w:rPr>
            </w:pPr>
          </w:p>
        </w:tc>
        <w:tc>
          <w:tcPr>
            <w:tcW w:w="368" w:type="pct"/>
          </w:tcPr>
          <w:p w14:paraId="6FAC52F4" w14:textId="77777777" w:rsidR="003C7D23" w:rsidRPr="00596193" w:rsidRDefault="003C7D23" w:rsidP="00303804">
            <w:pPr>
              <w:jc w:val="both"/>
              <w:rPr>
                <w:color w:val="000000"/>
                <w:sz w:val="20"/>
                <w:szCs w:val="20"/>
              </w:rPr>
            </w:pPr>
          </w:p>
        </w:tc>
        <w:tc>
          <w:tcPr>
            <w:tcW w:w="290" w:type="pct"/>
          </w:tcPr>
          <w:p w14:paraId="40F75D3E" w14:textId="77777777" w:rsidR="003C7D23" w:rsidRPr="00596193" w:rsidRDefault="003C7D23" w:rsidP="00303804">
            <w:pPr>
              <w:jc w:val="both"/>
              <w:rPr>
                <w:color w:val="000000"/>
                <w:sz w:val="20"/>
                <w:szCs w:val="20"/>
              </w:rPr>
            </w:pPr>
          </w:p>
        </w:tc>
        <w:tc>
          <w:tcPr>
            <w:tcW w:w="301" w:type="pct"/>
            <w:vAlign w:val="bottom"/>
          </w:tcPr>
          <w:p w14:paraId="6CC0DE13" w14:textId="77777777" w:rsidR="003C7D23" w:rsidRPr="00596193" w:rsidRDefault="003C7D23" w:rsidP="00303804">
            <w:pPr>
              <w:jc w:val="both"/>
              <w:rPr>
                <w:color w:val="000000"/>
                <w:sz w:val="20"/>
                <w:szCs w:val="20"/>
              </w:rPr>
            </w:pPr>
          </w:p>
        </w:tc>
        <w:tc>
          <w:tcPr>
            <w:tcW w:w="356" w:type="pct"/>
          </w:tcPr>
          <w:p w14:paraId="3E1474D7" w14:textId="77777777" w:rsidR="003C7D23" w:rsidRPr="00596193" w:rsidRDefault="003C7D23" w:rsidP="00303804">
            <w:pPr>
              <w:jc w:val="both"/>
              <w:rPr>
                <w:color w:val="000000"/>
                <w:sz w:val="20"/>
                <w:szCs w:val="20"/>
              </w:rPr>
            </w:pPr>
          </w:p>
        </w:tc>
        <w:tc>
          <w:tcPr>
            <w:tcW w:w="374" w:type="pct"/>
          </w:tcPr>
          <w:p w14:paraId="31D33259" w14:textId="77777777" w:rsidR="003C7D23" w:rsidRPr="00596193" w:rsidRDefault="003C7D23" w:rsidP="00303804">
            <w:pPr>
              <w:jc w:val="both"/>
              <w:rPr>
                <w:color w:val="000000"/>
                <w:sz w:val="20"/>
                <w:szCs w:val="20"/>
              </w:rPr>
            </w:pPr>
          </w:p>
        </w:tc>
        <w:tc>
          <w:tcPr>
            <w:tcW w:w="283" w:type="pct"/>
          </w:tcPr>
          <w:p w14:paraId="0E3F5CCC" w14:textId="77777777" w:rsidR="003C7D23" w:rsidRPr="00596193" w:rsidRDefault="003C7D23" w:rsidP="00303804">
            <w:pPr>
              <w:jc w:val="both"/>
              <w:rPr>
                <w:color w:val="000000"/>
                <w:sz w:val="20"/>
                <w:szCs w:val="20"/>
              </w:rPr>
            </w:pPr>
          </w:p>
        </w:tc>
        <w:tc>
          <w:tcPr>
            <w:tcW w:w="307" w:type="pct"/>
          </w:tcPr>
          <w:p w14:paraId="197F0110" w14:textId="77777777" w:rsidR="003C7D23" w:rsidRPr="00596193" w:rsidRDefault="003C7D23" w:rsidP="00303804">
            <w:pPr>
              <w:jc w:val="both"/>
              <w:rPr>
                <w:color w:val="000000"/>
                <w:sz w:val="20"/>
                <w:szCs w:val="20"/>
              </w:rPr>
            </w:pPr>
          </w:p>
        </w:tc>
        <w:tc>
          <w:tcPr>
            <w:tcW w:w="350" w:type="pct"/>
          </w:tcPr>
          <w:p w14:paraId="3AD0FC6F" w14:textId="07A32995" w:rsidR="003C7D23" w:rsidRPr="00596193" w:rsidRDefault="003C7D23" w:rsidP="00303804">
            <w:pPr>
              <w:jc w:val="both"/>
              <w:rPr>
                <w:color w:val="000000"/>
                <w:sz w:val="20"/>
                <w:szCs w:val="20"/>
              </w:rPr>
            </w:pPr>
          </w:p>
        </w:tc>
        <w:tc>
          <w:tcPr>
            <w:tcW w:w="380" w:type="pct"/>
          </w:tcPr>
          <w:p w14:paraId="08D9A781" w14:textId="0886EA23" w:rsidR="003C7D23" w:rsidRPr="00596193" w:rsidRDefault="003C7D23" w:rsidP="00303804">
            <w:pPr>
              <w:jc w:val="both"/>
              <w:rPr>
                <w:color w:val="000000"/>
                <w:sz w:val="20"/>
                <w:szCs w:val="20"/>
              </w:rPr>
            </w:pPr>
          </w:p>
        </w:tc>
        <w:tc>
          <w:tcPr>
            <w:tcW w:w="275" w:type="pct"/>
          </w:tcPr>
          <w:p w14:paraId="7C6E20AD" w14:textId="77777777" w:rsidR="003C7D23" w:rsidRPr="00596193" w:rsidRDefault="003C7D23" w:rsidP="00303804">
            <w:pPr>
              <w:jc w:val="both"/>
              <w:rPr>
                <w:color w:val="000000"/>
                <w:sz w:val="20"/>
                <w:szCs w:val="20"/>
              </w:rPr>
            </w:pPr>
          </w:p>
        </w:tc>
      </w:tr>
      <w:tr w:rsidR="003C7D23" w:rsidRPr="00596193" w14:paraId="5F1140ED" w14:textId="27E88988" w:rsidTr="00580BE8">
        <w:trPr>
          <w:trHeight w:val="300"/>
        </w:trPr>
        <w:tc>
          <w:tcPr>
            <w:tcW w:w="1059" w:type="pct"/>
            <w:shd w:val="clear" w:color="auto" w:fill="auto"/>
            <w:noWrap/>
            <w:vAlign w:val="bottom"/>
            <w:hideMark/>
          </w:tcPr>
          <w:p w14:paraId="47B38808" w14:textId="77777777" w:rsidR="003C7D23" w:rsidRPr="00BB5C25" w:rsidRDefault="003C7D23" w:rsidP="00303804">
            <w:pPr>
              <w:jc w:val="both"/>
              <w:rPr>
                <w:color w:val="000000"/>
                <w:sz w:val="20"/>
                <w:szCs w:val="20"/>
                <w:vertAlign w:val="superscript"/>
              </w:rPr>
            </w:pPr>
            <w:r w:rsidRPr="00596193">
              <w:rPr>
                <w:color w:val="000000"/>
                <w:sz w:val="20"/>
                <w:szCs w:val="20"/>
              </w:rPr>
              <w:t>High risk women (25-34)</w:t>
            </w:r>
          </w:p>
        </w:tc>
        <w:tc>
          <w:tcPr>
            <w:tcW w:w="295" w:type="pct"/>
            <w:shd w:val="clear" w:color="auto" w:fill="auto"/>
            <w:noWrap/>
            <w:vAlign w:val="bottom"/>
            <w:hideMark/>
          </w:tcPr>
          <w:p w14:paraId="4D767EA3" w14:textId="77777777" w:rsidR="003C7D23" w:rsidRPr="00596193" w:rsidRDefault="003C7D23" w:rsidP="00303804">
            <w:pPr>
              <w:jc w:val="both"/>
              <w:rPr>
                <w:color w:val="000000"/>
                <w:sz w:val="20"/>
                <w:szCs w:val="20"/>
              </w:rPr>
            </w:pPr>
          </w:p>
        </w:tc>
        <w:tc>
          <w:tcPr>
            <w:tcW w:w="363" w:type="pct"/>
          </w:tcPr>
          <w:p w14:paraId="55E503FD" w14:textId="77777777" w:rsidR="003C7D23" w:rsidRPr="00596193" w:rsidRDefault="003C7D23" w:rsidP="00303804">
            <w:pPr>
              <w:jc w:val="both"/>
              <w:rPr>
                <w:color w:val="000000"/>
                <w:sz w:val="20"/>
                <w:szCs w:val="20"/>
              </w:rPr>
            </w:pPr>
          </w:p>
        </w:tc>
        <w:tc>
          <w:tcPr>
            <w:tcW w:w="368" w:type="pct"/>
          </w:tcPr>
          <w:p w14:paraId="4DD6D368" w14:textId="77777777" w:rsidR="003C7D23" w:rsidRPr="00596193" w:rsidRDefault="003C7D23" w:rsidP="00303804">
            <w:pPr>
              <w:jc w:val="both"/>
              <w:rPr>
                <w:color w:val="000000"/>
                <w:sz w:val="20"/>
                <w:szCs w:val="20"/>
              </w:rPr>
            </w:pPr>
          </w:p>
        </w:tc>
        <w:tc>
          <w:tcPr>
            <w:tcW w:w="290" w:type="pct"/>
          </w:tcPr>
          <w:p w14:paraId="45791619" w14:textId="77777777" w:rsidR="003C7D23" w:rsidRPr="00596193" w:rsidRDefault="003C7D23" w:rsidP="00303804">
            <w:pPr>
              <w:jc w:val="both"/>
              <w:rPr>
                <w:color w:val="000000"/>
                <w:sz w:val="20"/>
                <w:szCs w:val="20"/>
              </w:rPr>
            </w:pPr>
          </w:p>
        </w:tc>
        <w:tc>
          <w:tcPr>
            <w:tcW w:w="301" w:type="pct"/>
            <w:vAlign w:val="bottom"/>
          </w:tcPr>
          <w:p w14:paraId="51518457" w14:textId="77777777" w:rsidR="003C7D23" w:rsidRPr="00596193" w:rsidRDefault="003C7D23" w:rsidP="00303804">
            <w:pPr>
              <w:jc w:val="both"/>
              <w:rPr>
                <w:color w:val="000000"/>
                <w:sz w:val="20"/>
                <w:szCs w:val="20"/>
              </w:rPr>
            </w:pPr>
          </w:p>
        </w:tc>
        <w:tc>
          <w:tcPr>
            <w:tcW w:w="356" w:type="pct"/>
          </w:tcPr>
          <w:p w14:paraId="3F4ECD7B" w14:textId="77777777" w:rsidR="003C7D23" w:rsidRPr="00596193" w:rsidRDefault="003C7D23" w:rsidP="00303804">
            <w:pPr>
              <w:jc w:val="both"/>
              <w:rPr>
                <w:color w:val="000000"/>
                <w:sz w:val="20"/>
                <w:szCs w:val="20"/>
              </w:rPr>
            </w:pPr>
          </w:p>
        </w:tc>
        <w:tc>
          <w:tcPr>
            <w:tcW w:w="374" w:type="pct"/>
          </w:tcPr>
          <w:p w14:paraId="4D2DB349" w14:textId="77777777" w:rsidR="003C7D23" w:rsidRPr="00596193" w:rsidRDefault="003C7D23" w:rsidP="00303804">
            <w:pPr>
              <w:jc w:val="both"/>
              <w:rPr>
                <w:color w:val="000000"/>
                <w:sz w:val="20"/>
                <w:szCs w:val="20"/>
              </w:rPr>
            </w:pPr>
          </w:p>
        </w:tc>
        <w:tc>
          <w:tcPr>
            <w:tcW w:w="283" w:type="pct"/>
          </w:tcPr>
          <w:p w14:paraId="6D43DBEC" w14:textId="77777777" w:rsidR="003C7D23" w:rsidRPr="00596193" w:rsidRDefault="003C7D23" w:rsidP="00303804">
            <w:pPr>
              <w:jc w:val="both"/>
              <w:rPr>
                <w:color w:val="000000"/>
                <w:sz w:val="20"/>
                <w:szCs w:val="20"/>
              </w:rPr>
            </w:pPr>
          </w:p>
        </w:tc>
        <w:tc>
          <w:tcPr>
            <w:tcW w:w="307" w:type="pct"/>
          </w:tcPr>
          <w:p w14:paraId="36E6ADBA" w14:textId="77777777" w:rsidR="003C7D23" w:rsidRPr="00596193" w:rsidRDefault="003C7D23" w:rsidP="00303804">
            <w:pPr>
              <w:jc w:val="both"/>
              <w:rPr>
                <w:color w:val="000000"/>
                <w:sz w:val="20"/>
                <w:szCs w:val="20"/>
              </w:rPr>
            </w:pPr>
          </w:p>
        </w:tc>
        <w:tc>
          <w:tcPr>
            <w:tcW w:w="350" w:type="pct"/>
          </w:tcPr>
          <w:p w14:paraId="4FFCF452" w14:textId="385884AD" w:rsidR="003C7D23" w:rsidRPr="00596193" w:rsidRDefault="003C7D23" w:rsidP="00303804">
            <w:pPr>
              <w:jc w:val="both"/>
              <w:rPr>
                <w:color w:val="000000"/>
                <w:sz w:val="20"/>
                <w:szCs w:val="20"/>
              </w:rPr>
            </w:pPr>
          </w:p>
        </w:tc>
        <w:tc>
          <w:tcPr>
            <w:tcW w:w="380" w:type="pct"/>
          </w:tcPr>
          <w:p w14:paraId="71869482" w14:textId="7E70FF3E" w:rsidR="003C7D23" w:rsidRPr="00596193" w:rsidRDefault="003C7D23" w:rsidP="00303804">
            <w:pPr>
              <w:jc w:val="both"/>
              <w:rPr>
                <w:color w:val="000000"/>
                <w:sz w:val="20"/>
                <w:szCs w:val="20"/>
              </w:rPr>
            </w:pPr>
          </w:p>
        </w:tc>
        <w:tc>
          <w:tcPr>
            <w:tcW w:w="275" w:type="pct"/>
          </w:tcPr>
          <w:p w14:paraId="1EF0E37A" w14:textId="77777777" w:rsidR="003C7D23" w:rsidRPr="00596193" w:rsidRDefault="003C7D23" w:rsidP="00303804">
            <w:pPr>
              <w:jc w:val="both"/>
              <w:rPr>
                <w:color w:val="000000"/>
                <w:sz w:val="20"/>
                <w:szCs w:val="20"/>
              </w:rPr>
            </w:pPr>
          </w:p>
        </w:tc>
      </w:tr>
      <w:tr w:rsidR="003C7D23" w:rsidRPr="00596193" w14:paraId="710BCA10" w14:textId="1A537439" w:rsidTr="00580BE8">
        <w:trPr>
          <w:trHeight w:val="300"/>
        </w:trPr>
        <w:tc>
          <w:tcPr>
            <w:tcW w:w="1059" w:type="pct"/>
            <w:shd w:val="clear" w:color="auto" w:fill="auto"/>
            <w:noWrap/>
            <w:vAlign w:val="bottom"/>
            <w:hideMark/>
          </w:tcPr>
          <w:p w14:paraId="33F4BB29" w14:textId="77777777" w:rsidR="003C7D23" w:rsidRPr="00596193" w:rsidRDefault="003C7D23" w:rsidP="00303804">
            <w:pPr>
              <w:jc w:val="both"/>
              <w:rPr>
                <w:color w:val="000000"/>
                <w:sz w:val="20"/>
                <w:szCs w:val="20"/>
              </w:rPr>
            </w:pPr>
            <w:r w:rsidRPr="00596193">
              <w:rPr>
                <w:color w:val="000000"/>
                <w:sz w:val="20"/>
                <w:szCs w:val="20"/>
              </w:rPr>
              <w:t>High risk women (35-44)</w:t>
            </w:r>
          </w:p>
        </w:tc>
        <w:tc>
          <w:tcPr>
            <w:tcW w:w="295" w:type="pct"/>
            <w:shd w:val="clear" w:color="auto" w:fill="auto"/>
            <w:noWrap/>
            <w:vAlign w:val="bottom"/>
            <w:hideMark/>
          </w:tcPr>
          <w:p w14:paraId="4EBCDF6C" w14:textId="77777777" w:rsidR="003C7D23" w:rsidRPr="00596193" w:rsidRDefault="003C7D23" w:rsidP="00303804">
            <w:pPr>
              <w:jc w:val="both"/>
              <w:rPr>
                <w:color w:val="000000"/>
                <w:sz w:val="20"/>
                <w:szCs w:val="20"/>
              </w:rPr>
            </w:pPr>
          </w:p>
        </w:tc>
        <w:tc>
          <w:tcPr>
            <w:tcW w:w="363" w:type="pct"/>
          </w:tcPr>
          <w:p w14:paraId="3ED40FAC" w14:textId="77777777" w:rsidR="003C7D23" w:rsidRPr="00596193" w:rsidRDefault="003C7D23" w:rsidP="00303804">
            <w:pPr>
              <w:jc w:val="both"/>
              <w:rPr>
                <w:color w:val="000000"/>
                <w:sz w:val="20"/>
                <w:szCs w:val="20"/>
              </w:rPr>
            </w:pPr>
          </w:p>
        </w:tc>
        <w:tc>
          <w:tcPr>
            <w:tcW w:w="368" w:type="pct"/>
          </w:tcPr>
          <w:p w14:paraId="686A005D" w14:textId="77777777" w:rsidR="003C7D23" w:rsidRPr="00596193" w:rsidRDefault="003C7D23" w:rsidP="00303804">
            <w:pPr>
              <w:jc w:val="both"/>
              <w:rPr>
                <w:color w:val="000000"/>
                <w:sz w:val="20"/>
                <w:szCs w:val="20"/>
              </w:rPr>
            </w:pPr>
          </w:p>
        </w:tc>
        <w:tc>
          <w:tcPr>
            <w:tcW w:w="290" w:type="pct"/>
          </w:tcPr>
          <w:p w14:paraId="459CE98B" w14:textId="77777777" w:rsidR="003C7D23" w:rsidRPr="00596193" w:rsidRDefault="003C7D23" w:rsidP="00303804">
            <w:pPr>
              <w:jc w:val="both"/>
              <w:rPr>
                <w:color w:val="000000"/>
                <w:sz w:val="20"/>
                <w:szCs w:val="20"/>
              </w:rPr>
            </w:pPr>
          </w:p>
        </w:tc>
        <w:tc>
          <w:tcPr>
            <w:tcW w:w="301" w:type="pct"/>
            <w:vAlign w:val="bottom"/>
          </w:tcPr>
          <w:p w14:paraId="2FB859B5" w14:textId="77777777" w:rsidR="003C7D23" w:rsidRPr="00596193" w:rsidRDefault="003C7D23" w:rsidP="00303804">
            <w:pPr>
              <w:jc w:val="both"/>
              <w:rPr>
                <w:color w:val="000000"/>
                <w:sz w:val="20"/>
                <w:szCs w:val="20"/>
              </w:rPr>
            </w:pPr>
          </w:p>
        </w:tc>
        <w:tc>
          <w:tcPr>
            <w:tcW w:w="356" w:type="pct"/>
          </w:tcPr>
          <w:p w14:paraId="4E5630EC" w14:textId="77777777" w:rsidR="003C7D23" w:rsidRPr="00596193" w:rsidRDefault="003C7D23" w:rsidP="00303804">
            <w:pPr>
              <w:jc w:val="both"/>
              <w:rPr>
                <w:color w:val="000000"/>
                <w:sz w:val="20"/>
                <w:szCs w:val="20"/>
              </w:rPr>
            </w:pPr>
          </w:p>
        </w:tc>
        <w:tc>
          <w:tcPr>
            <w:tcW w:w="374" w:type="pct"/>
          </w:tcPr>
          <w:p w14:paraId="5B9FA21A" w14:textId="77777777" w:rsidR="003C7D23" w:rsidRPr="00596193" w:rsidRDefault="003C7D23" w:rsidP="00303804">
            <w:pPr>
              <w:jc w:val="both"/>
              <w:rPr>
                <w:color w:val="000000"/>
                <w:sz w:val="20"/>
                <w:szCs w:val="20"/>
              </w:rPr>
            </w:pPr>
          </w:p>
        </w:tc>
        <w:tc>
          <w:tcPr>
            <w:tcW w:w="283" w:type="pct"/>
          </w:tcPr>
          <w:p w14:paraId="161AAD85" w14:textId="77777777" w:rsidR="003C7D23" w:rsidRPr="00596193" w:rsidRDefault="003C7D23" w:rsidP="00303804">
            <w:pPr>
              <w:jc w:val="both"/>
              <w:rPr>
                <w:color w:val="000000"/>
                <w:sz w:val="20"/>
                <w:szCs w:val="20"/>
              </w:rPr>
            </w:pPr>
          </w:p>
        </w:tc>
        <w:tc>
          <w:tcPr>
            <w:tcW w:w="307" w:type="pct"/>
          </w:tcPr>
          <w:p w14:paraId="7C8B81F9" w14:textId="77777777" w:rsidR="003C7D23" w:rsidRPr="00596193" w:rsidRDefault="003C7D23" w:rsidP="00303804">
            <w:pPr>
              <w:jc w:val="both"/>
              <w:rPr>
                <w:color w:val="000000"/>
                <w:sz w:val="20"/>
                <w:szCs w:val="20"/>
              </w:rPr>
            </w:pPr>
          </w:p>
        </w:tc>
        <w:tc>
          <w:tcPr>
            <w:tcW w:w="350" w:type="pct"/>
          </w:tcPr>
          <w:p w14:paraId="46EACC29" w14:textId="4AA379FB" w:rsidR="003C7D23" w:rsidRPr="00596193" w:rsidRDefault="003C7D23" w:rsidP="00303804">
            <w:pPr>
              <w:jc w:val="both"/>
              <w:rPr>
                <w:color w:val="000000"/>
                <w:sz w:val="20"/>
                <w:szCs w:val="20"/>
              </w:rPr>
            </w:pPr>
          </w:p>
        </w:tc>
        <w:tc>
          <w:tcPr>
            <w:tcW w:w="380" w:type="pct"/>
          </w:tcPr>
          <w:p w14:paraId="32E087B6" w14:textId="3635BEF0" w:rsidR="003C7D23" w:rsidRPr="00596193" w:rsidRDefault="003C7D23" w:rsidP="00303804">
            <w:pPr>
              <w:jc w:val="both"/>
              <w:rPr>
                <w:color w:val="000000"/>
                <w:sz w:val="20"/>
                <w:szCs w:val="20"/>
              </w:rPr>
            </w:pPr>
          </w:p>
        </w:tc>
        <w:tc>
          <w:tcPr>
            <w:tcW w:w="275" w:type="pct"/>
          </w:tcPr>
          <w:p w14:paraId="0E9E6B54" w14:textId="77777777" w:rsidR="003C7D23" w:rsidRPr="00596193" w:rsidRDefault="003C7D23" w:rsidP="00303804">
            <w:pPr>
              <w:jc w:val="both"/>
              <w:rPr>
                <w:color w:val="000000"/>
                <w:sz w:val="20"/>
                <w:szCs w:val="20"/>
              </w:rPr>
            </w:pPr>
          </w:p>
        </w:tc>
      </w:tr>
      <w:tr w:rsidR="003C7D23" w:rsidRPr="00596193" w14:paraId="6F3440FE" w14:textId="6E8826F7" w:rsidTr="00580BE8">
        <w:trPr>
          <w:trHeight w:val="300"/>
        </w:trPr>
        <w:tc>
          <w:tcPr>
            <w:tcW w:w="1059" w:type="pct"/>
            <w:tcBorders>
              <w:bottom w:val="single" w:sz="4" w:space="0" w:color="auto"/>
            </w:tcBorders>
            <w:shd w:val="clear" w:color="auto" w:fill="auto"/>
            <w:noWrap/>
            <w:vAlign w:val="bottom"/>
            <w:hideMark/>
          </w:tcPr>
          <w:p w14:paraId="6C53CDDC" w14:textId="77777777" w:rsidR="003C7D23" w:rsidRPr="00596193" w:rsidRDefault="003C7D23" w:rsidP="00303804">
            <w:pPr>
              <w:jc w:val="both"/>
              <w:rPr>
                <w:color w:val="000000"/>
                <w:sz w:val="20"/>
                <w:szCs w:val="20"/>
              </w:rPr>
            </w:pPr>
            <w:r w:rsidRPr="00596193">
              <w:rPr>
                <w:color w:val="000000"/>
                <w:sz w:val="20"/>
                <w:szCs w:val="20"/>
              </w:rPr>
              <w:t>High risk women (45-54)</w:t>
            </w:r>
          </w:p>
        </w:tc>
        <w:tc>
          <w:tcPr>
            <w:tcW w:w="295" w:type="pct"/>
            <w:shd w:val="clear" w:color="auto" w:fill="auto"/>
            <w:noWrap/>
            <w:vAlign w:val="bottom"/>
            <w:hideMark/>
          </w:tcPr>
          <w:p w14:paraId="660D600A" w14:textId="77777777" w:rsidR="003C7D23" w:rsidRPr="00596193" w:rsidRDefault="003C7D23" w:rsidP="00303804">
            <w:pPr>
              <w:jc w:val="both"/>
              <w:rPr>
                <w:color w:val="000000"/>
                <w:sz w:val="20"/>
                <w:szCs w:val="20"/>
              </w:rPr>
            </w:pPr>
          </w:p>
        </w:tc>
        <w:tc>
          <w:tcPr>
            <w:tcW w:w="363" w:type="pct"/>
          </w:tcPr>
          <w:p w14:paraId="2A2A47DC" w14:textId="77777777" w:rsidR="003C7D23" w:rsidRPr="00596193" w:rsidRDefault="003C7D23" w:rsidP="00303804">
            <w:pPr>
              <w:jc w:val="both"/>
              <w:rPr>
                <w:color w:val="000000"/>
                <w:sz w:val="20"/>
                <w:szCs w:val="20"/>
              </w:rPr>
            </w:pPr>
          </w:p>
        </w:tc>
        <w:tc>
          <w:tcPr>
            <w:tcW w:w="368" w:type="pct"/>
          </w:tcPr>
          <w:p w14:paraId="33138FCD" w14:textId="77777777" w:rsidR="003C7D23" w:rsidRPr="00596193" w:rsidRDefault="003C7D23" w:rsidP="00303804">
            <w:pPr>
              <w:jc w:val="both"/>
              <w:rPr>
                <w:color w:val="000000"/>
                <w:sz w:val="20"/>
                <w:szCs w:val="20"/>
              </w:rPr>
            </w:pPr>
          </w:p>
        </w:tc>
        <w:tc>
          <w:tcPr>
            <w:tcW w:w="290" w:type="pct"/>
          </w:tcPr>
          <w:p w14:paraId="10806CE3" w14:textId="77777777" w:rsidR="003C7D23" w:rsidRPr="00596193" w:rsidRDefault="003C7D23" w:rsidP="00303804">
            <w:pPr>
              <w:jc w:val="both"/>
              <w:rPr>
                <w:color w:val="000000"/>
                <w:sz w:val="20"/>
                <w:szCs w:val="20"/>
              </w:rPr>
            </w:pPr>
          </w:p>
        </w:tc>
        <w:tc>
          <w:tcPr>
            <w:tcW w:w="301" w:type="pct"/>
            <w:tcBorders>
              <w:bottom w:val="single" w:sz="4" w:space="0" w:color="auto"/>
            </w:tcBorders>
            <w:vAlign w:val="bottom"/>
          </w:tcPr>
          <w:p w14:paraId="29DE09E5" w14:textId="77777777" w:rsidR="003C7D23" w:rsidRPr="00596193" w:rsidRDefault="003C7D23" w:rsidP="00303804">
            <w:pPr>
              <w:jc w:val="both"/>
              <w:rPr>
                <w:color w:val="000000"/>
                <w:sz w:val="20"/>
                <w:szCs w:val="20"/>
              </w:rPr>
            </w:pPr>
          </w:p>
        </w:tc>
        <w:tc>
          <w:tcPr>
            <w:tcW w:w="356" w:type="pct"/>
            <w:tcBorders>
              <w:bottom w:val="single" w:sz="4" w:space="0" w:color="auto"/>
            </w:tcBorders>
          </w:tcPr>
          <w:p w14:paraId="462E7055" w14:textId="77777777" w:rsidR="003C7D23" w:rsidRPr="00596193" w:rsidRDefault="003C7D23" w:rsidP="00303804">
            <w:pPr>
              <w:jc w:val="both"/>
              <w:rPr>
                <w:color w:val="000000"/>
                <w:sz w:val="20"/>
                <w:szCs w:val="20"/>
              </w:rPr>
            </w:pPr>
          </w:p>
        </w:tc>
        <w:tc>
          <w:tcPr>
            <w:tcW w:w="374" w:type="pct"/>
            <w:tcBorders>
              <w:bottom w:val="single" w:sz="4" w:space="0" w:color="auto"/>
            </w:tcBorders>
          </w:tcPr>
          <w:p w14:paraId="7E98340F" w14:textId="77777777" w:rsidR="003C7D23" w:rsidRPr="00596193" w:rsidRDefault="003C7D23" w:rsidP="00303804">
            <w:pPr>
              <w:jc w:val="both"/>
              <w:rPr>
                <w:color w:val="000000"/>
                <w:sz w:val="20"/>
                <w:szCs w:val="20"/>
              </w:rPr>
            </w:pPr>
          </w:p>
        </w:tc>
        <w:tc>
          <w:tcPr>
            <w:tcW w:w="283" w:type="pct"/>
            <w:tcBorders>
              <w:bottom w:val="single" w:sz="4" w:space="0" w:color="auto"/>
            </w:tcBorders>
          </w:tcPr>
          <w:p w14:paraId="301212B8" w14:textId="77777777" w:rsidR="003C7D23" w:rsidRPr="00596193" w:rsidRDefault="003C7D23" w:rsidP="00303804">
            <w:pPr>
              <w:jc w:val="both"/>
              <w:rPr>
                <w:color w:val="000000"/>
                <w:sz w:val="20"/>
                <w:szCs w:val="20"/>
              </w:rPr>
            </w:pPr>
          </w:p>
        </w:tc>
        <w:tc>
          <w:tcPr>
            <w:tcW w:w="307" w:type="pct"/>
            <w:tcBorders>
              <w:bottom w:val="single" w:sz="4" w:space="0" w:color="auto"/>
            </w:tcBorders>
          </w:tcPr>
          <w:p w14:paraId="7B1DFD9F" w14:textId="77777777" w:rsidR="003C7D23" w:rsidRPr="00596193" w:rsidRDefault="003C7D23" w:rsidP="00303804">
            <w:pPr>
              <w:jc w:val="both"/>
              <w:rPr>
                <w:color w:val="000000"/>
                <w:sz w:val="20"/>
                <w:szCs w:val="20"/>
              </w:rPr>
            </w:pPr>
          </w:p>
        </w:tc>
        <w:tc>
          <w:tcPr>
            <w:tcW w:w="350" w:type="pct"/>
            <w:tcBorders>
              <w:bottom w:val="single" w:sz="4" w:space="0" w:color="auto"/>
            </w:tcBorders>
          </w:tcPr>
          <w:p w14:paraId="004E923A" w14:textId="0F062DF6" w:rsidR="003C7D23" w:rsidRPr="00596193" w:rsidRDefault="003C7D23" w:rsidP="00303804">
            <w:pPr>
              <w:jc w:val="both"/>
              <w:rPr>
                <w:color w:val="000000"/>
                <w:sz w:val="20"/>
                <w:szCs w:val="20"/>
              </w:rPr>
            </w:pPr>
          </w:p>
        </w:tc>
        <w:tc>
          <w:tcPr>
            <w:tcW w:w="380" w:type="pct"/>
            <w:tcBorders>
              <w:bottom w:val="single" w:sz="4" w:space="0" w:color="auto"/>
            </w:tcBorders>
          </w:tcPr>
          <w:p w14:paraId="59E406BD" w14:textId="38A72BF8" w:rsidR="003C7D23" w:rsidRPr="00596193" w:rsidRDefault="003C7D23" w:rsidP="00303804">
            <w:pPr>
              <w:jc w:val="both"/>
              <w:rPr>
                <w:color w:val="000000"/>
                <w:sz w:val="20"/>
                <w:szCs w:val="20"/>
              </w:rPr>
            </w:pPr>
          </w:p>
        </w:tc>
        <w:tc>
          <w:tcPr>
            <w:tcW w:w="275" w:type="pct"/>
            <w:tcBorders>
              <w:bottom w:val="single" w:sz="4" w:space="0" w:color="auto"/>
            </w:tcBorders>
          </w:tcPr>
          <w:p w14:paraId="784BCD6F" w14:textId="77777777" w:rsidR="003C7D23" w:rsidRPr="00596193" w:rsidRDefault="003C7D23" w:rsidP="00303804">
            <w:pPr>
              <w:jc w:val="both"/>
              <w:rPr>
                <w:color w:val="000000"/>
                <w:sz w:val="20"/>
                <w:szCs w:val="20"/>
              </w:rPr>
            </w:pPr>
          </w:p>
        </w:tc>
      </w:tr>
      <w:tr w:rsidR="003C7D23" w:rsidRPr="00596193" w14:paraId="5A24B418" w14:textId="0F151755" w:rsidTr="00580BE8">
        <w:trPr>
          <w:trHeight w:val="300"/>
        </w:trPr>
        <w:tc>
          <w:tcPr>
            <w:tcW w:w="1059" w:type="pct"/>
            <w:tcBorders>
              <w:bottom w:val="single" w:sz="4" w:space="0" w:color="auto"/>
            </w:tcBorders>
            <w:shd w:val="clear" w:color="auto" w:fill="auto"/>
            <w:noWrap/>
            <w:vAlign w:val="bottom"/>
            <w:hideMark/>
          </w:tcPr>
          <w:p w14:paraId="42AE3D72" w14:textId="77777777" w:rsidR="003C7D23" w:rsidRPr="00596193" w:rsidRDefault="003C7D23" w:rsidP="00303804">
            <w:pPr>
              <w:jc w:val="both"/>
              <w:rPr>
                <w:color w:val="000000"/>
                <w:sz w:val="20"/>
                <w:szCs w:val="20"/>
              </w:rPr>
            </w:pPr>
            <w:r w:rsidRPr="00596193">
              <w:rPr>
                <w:color w:val="000000"/>
                <w:sz w:val="20"/>
                <w:szCs w:val="20"/>
              </w:rPr>
              <w:t>High risk women (55-64)</w:t>
            </w:r>
          </w:p>
        </w:tc>
        <w:tc>
          <w:tcPr>
            <w:tcW w:w="295" w:type="pct"/>
            <w:tcBorders>
              <w:bottom w:val="single" w:sz="4" w:space="0" w:color="auto"/>
            </w:tcBorders>
            <w:shd w:val="clear" w:color="auto" w:fill="auto"/>
            <w:noWrap/>
            <w:vAlign w:val="bottom"/>
            <w:hideMark/>
          </w:tcPr>
          <w:p w14:paraId="31780AEB" w14:textId="77777777" w:rsidR="003C7D23" w:rsidRPr="00596193" w:rsidRDefault="003C7D23" w:rsidP="00303804">
            <w:pPr>
              <w:jc w:val="both"/>
              <w:rPr>
                <w:color w:val="000000"/>
                <w:sz w:val="20"/>
                <w:szCs w:val="20"/>
              </w:rPr>
            </w:pPr>
          </w:p>
        </w:tc>
        <w:tc>
          <w:tcPr>
            <w:tcW w:w="363" w:type="pct"/>
            <w:tcBorders>
              <w:bottom w:val="single" w:sz="4" w:space="0" w:color="auto"/>
            </w:tcBorders>
          </w:tcPr>
          <w:p w14:paraId="65479E4E" w14:textId="77777777" w:rsidR="003C7D23" w:rsidRPr="00596193" w:rsidRDefault="003C7D23" w:rsidP="00303804">
            <w:pPr>
              <w:jc w:val="both"/>
              <w:rPr>
                <w:color w:val="000000"/>
                <w:sz w:val="20"/>
                <w:szCs w:val="20"/>
              </w:rPr>
            </w:pPr>
          </w:p>
        </w:tc>
        <w:tc>
          <w:tcPr>
            <w:tcW w:w="368" w:type="pct"/>
            <w:tcBorders>
              <w:bottom w:val="single" w:sz="4" w:space="0" w:color="auto"/>
            </w:tcBorders>
          </w:tcPr>
          <w:p w14:paraId="0790F460" w14:textId="77777777" w:rsidR="003C7D23" w:rsidRPr="00596193" w:rsidRDefault="003C7D23" w:rsidP="00303804">
            <w:pPr>
              <w:jc w:val="both"/>
              <w:rPr>
                <w:color w:val="000000"/>
                <w:sz w:val="20"/>
                <w:szCs w:val="20"/>
              </w:rPr>
            </w:pPr>
          </w:p>
        </w:tc>
        <w:tc>
          <w:tcPr>
            <w:tcW w:w="290" w:type="pct"/>
            <w:tcBorders>
              <w:bottom w:val="single" w:sz="4" w:space="0" w:color="auto"/>
            </w:tcBorders>
          </w:tcPr>
          <w:p w14:paraId="5EFBB8C7" w14:textId="77777777" w:rsidR="003C7D23" w:rsidRPr="00596193" w:rsidRDefault="003C7D23" w:rsidP="00303804">
            <w:pPr>
              <w:jc w:val="both"/>
              <w:rPr>
                <w:color w:val="000000"/>
                <w:sz w:val="20"/>
                <w:szCs w:val="20"/>
              </w:rPr>
            </w:pPr>
          </w:p>
        </w:tc>
        <w:tc>
          <w:tcPr>
            <w:tcW w:w="301" w:type="pct"/>
            <w:tcBorders>
              <w:bottom w:val="single" w:sz="4" w:space="0" w:color="auto"/>
            </w:tcBorders>
            <w:vAlign w:val="bottom"/>
          </w:tcPr>
          <w:p w14:paraId="79EC8314" w14:textId="77777777" w:rsidR="003C7D23" w:rsidRPr="00596193" w:rsidRDefault="003C7D23" w:rsidP="00303804">
            <w:pPr>
              <w:jc w:val="both"/>
              <w:rPr>
                <w:color w:val="000000"/>
                <w:sz w:val="20"/>
                <w:szCs w:val="20"/>
              </w:rPr>
            </w:pPr>
          </w:p>
        </w:tc>
        <w:tc>
          <w:tcPr>
            <w:tcW w:w="356" w:type="pct"/>
            <w:tcBorders>
              <w:bottom w:val="single" w:sz="4" w:space="0" w:color="auto"/>
            </w:tcBorders>
          </w:tcPr>
          <w:p w14:paraId="016D9FD7" w14:textId="77777777" w:rsidR="003C7D23" w:rsidRPr="00596193" w:rsidRDefault="003C7D23" w:rsidP="00303804">
            <w:pPr>
              <w:jc w:val="both"/>
              <w:rPr>
                <w:color w:val="000000"/>
                <w:sz w:val="20"/>
                <w:szCs w:val="20"/>
              </w:rPr>
            </w:pPr>
          </w:p>
        </w:tc>
        <w:tc>
          <w:tcPr>
            <w:tcW w:w="374" w:type="pct"/>
            <w:tcBorders>
              <w:bottom w:val="single" w:sz="4" w:space="0" w:color="auto"/>
            </w:tcBorders>
          </w:tcPr>
          <w:p w14:paraId="65999B19" w14:textId="77777777" w:rsidR="003C7D23" w:rsidRPr="00596193" w:rsidRDefault="003C7D23" w:rsidP="00303804">
            <w:pPr>
              <w:jc w:val="both"/>
              <w:rPr>
                <w:color w:val="000000"/>
                <w:sz w:val="20"/>
                <w:szCs w:val="20"/>
              </w:rPr>
            </w:pPr>
          </w:p>
        </w:tc>
        <w:tc>
          <w:tcPr>
            <w:tcW w:w="283" w:type="pct"/>
            <w:tcBorders>
              <w:bottom w:val="single" w:sz="4" w:space="0" w:color="auto"/>
            </w:tcBorders>
          </w:tcPr>
          <w:p w14:paraId="50DFFD6D" w14:textId="77777777" w:rsidR="003C7D23" w:rsidRPr="00596193" w:rsidRDefault="003C7D23" w:rsidP="00303804">
            <w:pPr>
              <w:jc w:val="both"/>
              <w:rPr>
                <w:color w:val="000000"/>
                <w:sz w:val="20"/>
                <w:szCs w:val="20"/>
              </w:rPr>
            </w:pPr>
          </w:p>
        </w:tc>
        <w:tc>
          <w:tcPr>
            <w:tcW w:w="307" w:type="pct"/>
            <w:tcBorders>
              <w:bottom w:val="single" w:sz="4" w:space="0" w:color="auto"/>
            </w:tcBorders>
          </w:tcPr>
          <w:p w14:paraId="7EBAD2C0" w14:textId="77777777" w:rsidR="003C7D23" w:rsidRPr="00596193" w:rsidRDefault="003C7D23" w:rsidP="00303804">
            <w:pPr>
              <w:jc w:val="both"/>
              <w:rPr>
                <w:color w:val="000000"/>
                <w:sz w:val="20"/>
                <w:szCs w:val="20"/>
              </w:rPr>
            </w:pPr>
          </w:p>
        </w:tc>
        <w:tc>
          <w:tcPr>
            <w:tcW w:w="350" w:type="pct"/>
            <w:tcBorders>
              <w:bottom w:val="single" w:sz="4" w:space="0" w:color="auto"/>
            </w:tcBorders>
          </w:tcPr>
          <w:p w14:paraId="4DD7AFE9" w14:textId="4897B300" w:rsidR="003C7D23" w:rsidRPr="00596193" w:rsidRDefault="003C7D23" w:rsidP="00303804">
            <w:pPr>
              <w:jc w:val="both"/>
              <w:rPr>
                <w:color w:val="000000"/>
                <w:sz w:val="20"/>
                <w:szCs w:val="20"/>
              </w:rPr>
            </w:pPr>
          </w:p>
        </w:tc>
        <w:tc>
          <w:tcPr>
            <w:tcW w:w="380" w:type="pct"/>
            <w:tcBorders>
              <w:bottom w:val="single" w:sz="4" w:space="0" w:color="auto"/>
            </w:tcBorders>
          </w:tcPr>
          <w:p w14:paraId="7DCB7E62" w14:textId="614C7956" w:rsidR="003C7D23" w:rsidRPr="00596193" w:rsidRDefault="003C7D23" w:rsidP="00303804">
            <w:pPr>
              <w:jc w:val="both"/>
              <w:rPr>
                <w:color w:val="000000"/>
                <w:sz w:val="20"/>
                <w:szCs w:val="20"/>
              </w:rPr>
            </w:pPr>
          </w:p>
        </w:tc>
        <w:tc>
          <w:tcPr>
            <w:tcW w:w="275" w:type="pct"/>
            <w:tcBorders>
              <w:bottom w:val="single" w:sz="4" w:space="0" w:color="auto"/>
            </w:tcBorders>
          </w:tcPr>
          <w:p w14:paraId="372CE308" w14:textId="77777777" w:rsidR="003C7D23" w:rsidRPr="00596193" w:rsidRDefault="003C7D23" w:rsidP="00303804">
            <w:pPr>
              <w:jc w:val="both"/>
              <w:rPr>
                <w:color w:val="000000"/>
                <w:sz w:val="20"/>
                <w:szCs w:val="20"/>
              </w:rPr>
            </w:pPr>
          </w:p>
        </w:tc>
      </w:tr>
    </w:tbl>
    <w:p w14:paraId="7E3EAE15" w14:textId="6B1809C7" w:rsidR="00925B9D" w:rsidRPr="00473A23" w:rsidRDefault="00925B9D">
      <w:pPr>
        <w:jc w:val="both"/>
        <w:rPr>
          <w:sz w:val="20"/>
          <w:szCs w:val="20"/>
        </w:rPr>
        <w:sectPr w:rsidR="00925B9D" w:rsidRPr="00473A23" w:rsidSect="00AD4AF4">
          <w:pgSz w:w="15840" w:h="12240" w:orient="landscape"/>
          <w:pgMar w:top="1440" w:right="1440" w:bottom="1440" w:left="1440" w:header="720" w:footer="720" w:gutter="0"/>
          <w:cols w:space="720"/>
          <w:docGrid w:linePitch="360"/>
        </w:sectPr>
      </w:pPr>
      <w:commentRangeStart w:id="218"/>
      <w:commentRangeEnd w:id="218"/>
      <w:r w:rsidRPr="00473A23">
        <w:rPr>
          <w:rStyle w:val="CommentReference"/>
          <w:sz w:val="20"/>
          <w:szCs w:val="20"/>
        </w:rPr>
        <w:commentReference w:id="218"/>
      </w:r>
    </w:p>
    <w:p w14:paraId="45A95144" w14:textId="56838694" w:rsidR="00925B9D" w:rsidRPr="00392AA9" w:rsidRDefault="00925B9D">
      <w:pPr>
        <w:keepNext/>
        <w:rPr>
          <w:b/>
          <w:bCs/>
          <w:color w:val="000000" w:themeColor="text1"/>
          <w:vertAlign w:val="superscript"/>
        </w:rPr>
      </w:pPr>
      <w:bookmarkStart w:id="219" w:name="_Ref82432028"/>
      <w:bookmarkStart w:id="220" w:name="_Toc82448076"/>
      <w:bookmarkStart w:id="221" w:name="_Toc82592507"/>
      <w:bookmarkStart w:id="222" w:name="_Toc82599272"/>
      <w:r w:rsidRPr="004F6186">
        <w:rPr>
          <w:b/>
          <w:bCs/>
          <w:color w:val="000000" w:themeColor="text1"/>
        </w:rPr>
        <w:lastRenderedPageBreak/>
        <w:t xml:space="preserve">Table </w:t>
      </w:r>
      <w:r w:rsidRPr="004F6186">
        <w:rPr>
          <w:b/>
          <w:bCs/>
          <w:color w:val="000000" w:themeColor="text1"/>
        </w:rPr>
        <w:fldChar w:fldCharType="begin"/>
      </w:r>
      <w:r w:rsidRPr="004F6186">
        <w:rPr>
          <w:b/>
          <w:bCs/>
          <w:color w:val="000000" w:themeColor="text1"/>
        </w:rPr>
        <w:instrText xml:space="preserve"> SEQ Table \* ARABIC </w:instrText>
      </w:r>
      <w:r w:rsidRPr="004F6186">
        <w:rPr>
          <w:b/>
          <w:bCs/>
          <w:color w:val="000000" w:themeColor="text1"/>
        </w:rPr>
        <w:fldChar w:fldCharType="separate"/>
      </w:r>
      <w:r w:rsidR="001E49BE">
        <w:rPr>
          <w:b/>
          <w:bCs/>
          <w:noProof/>
          <w:color w:val="000000" w:themeColor="text1"/>
        </w:rPr>
        <w:t>13</w:t>
      </w:r>
      <w:r w:rsidRPr="004F6186">
        <w:rPr>
          <w:b/>
          <w:bCs/>
          <w:color w:val="000000" w:themeColor="text1"/>
        </w:rPr>
        <w:fldChar w:fldCharType="end"/>
      </w:r>
      <w:bookmarkEnd w:id="219"/>
      <w:r w:rsidRPr="004F6186">
        <w:rPr>
          <w:b/>
          <w:bCs/>
          <w:color w:val="000000" w:themeColor="text1"/>
        </w:rPr>
        <w:t xml:space="preserve">: </w:t>
      </w:r>
      <w:bookmarkStart w:id="223" w:name="_Hlk74741684"/>
      <w:proofErr w:type="spellStart"/>
      <w:r>
        <w:rPr>
          <w:b/>
          <w:bCs/>
          <w:color w:val="000000" w:themeColor="text1"/>
        </w:rPr>
        <w:t>IeDEA</w:t>
      </w:r>
      <w:proofErr w:type="spellEnd"/>
      <w:r>
        <w:rPr>
          <w:b/>
          <w:bCs/>
          <w:color w:val="000000" w:themeColor="text1"/>
        </w:rPr>
        <w:t xml:space="preserve"> v</w:t>
      </w:r>
      <w:r w:rsidRPr="004F6186">
        <w:rPr>
          <w:b/>
          <w:bCs/>
          <w:color w:val="000000" w:themeColor="text1"/>
        </w:rPr>
        <w:t xml:space="preserve">ariables </w:t>
      </w:r>
      <w:r>
        <w:rPr>
          <w:b/>
          <w:bCs/>
          <w:color w:val="000000" w:themeColor="text1"/>
        </w:rPr>
        <w:t xml:space="preserve">for estimating </w:t>
      </w:r>
      <w:bookmarkEnd w:id="223"/>
      <w:r>
        <w:rPr>
          <w:b/>
          <w:bCs/>
          <w:color w:val="000000" w:themeColor="text1"/>
        </w:rPr>
        <w:t xml:space="preserve">model parameter </w:t>
      </w:r>
      <w:proofErr w:type="spellStart"/>
      <w:r>
        <w:rPr>
          <w:b/>
          <w:bCs/>
          <w:color w:val="000000" w:themeColor="text1"/>
        </w:rPr>
        <w:t>inputs</w:t>
      </w:r>
      <w:r>
        <w:rPr>
          <w:b/>
          <w:bCs/>
          <w:color w:val="000000" w:themeColor="text1"/>
          <w:vertAlign w:val="superscript"/>
        </w:rPr>
        <w:t>a</w:t>
      </w:r>
      <w:bookmarkEnd w:id="220"/>
      <w:bookmarkEnd w:id="221"/>
      <w:bookmarkEnd w:id="222"/>
      <w:proofErr w:type="spellEnd"/>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50"/>
        <w:gridCol w:w="1620"/>
        <w:gridCol w:w="3690"/>
      </w:tblGrid>
      <w:tr w:rsidR="00C9678A" w:rsidRPr="00473A23" w14:paraId="0885B7F6" w14:textId="77777777" w:rsidTr="00B11104">
        <w:trPr>
          <w:trHeight w:val="20"/>
        </w:trPr>
        <w:tc>
          <w:tcPr>
            <w:tcW w:w="4050" w:type="dxa"/>
            <w:gridSpan w:val="2"/>
          </w:tcPr>
          <w:p w14:paraId="05A3D634" w14:textId="6D8AEEAD" w:rsidR="00C9678A" w:rsidRPr="00473A23" w:rsidRDefault="00C9678A">
            <w:pPr>
              <w:rPr>
                <w:b/>
                <w:bCs/>
                <w:sz w:val="20"/>
                <w:szCs w:val="20"/>
                <w:vertAlign w:val="superscript"/>
              </w:rPr>
            </w:pPr>
            <w:proofErr w:type="spellStart"/>
            <w:r w:rsidRPr="00473A23">
              <w:rPr>
                <w:b/>
                <w:bCs/>
                <w:sz w:val="20"/>
                <w:szCs w:val="20"/>
              </w:rPr>
              <w:t>Variables</w:t>
            </w:r>
            <w:r w:rsidR="00925B9D" w:rsidRPr="00473A23">
              <w:rPr>
                <w:b/>
                <w:bCs/>
                <w:sz w:val="20"/>
                <w:szCs w:val="20"/>
                <w:vertAlign w:val="superscript"/>
              </w:rPr>
              <w:t>b</w:t>
            </w:r>
            <w:proofErr w:type="spellEnd"/>
          </w:p>
        </w:tc>
        <w:tc>
          <w:tcPr>
            <w:tcW w:w="5310" w:type="dxa"/>
            <w:gridSpan w:val="2"/>
          </w:tcPr>
          <w:p w14:paraId="795D39F7" w14:textId="77E02EF7" w:rsidR="00C9678A" w:rsidRPr="00473A23" w:rsidRDefault="00C9678A">
            <w:pPr>
              <w:rPr>
                <w:b/>
                <w:bCs/>
                <w:sz w:val="20"/>
                <w:szCs w:val="20"/>
                <w:vertAlign w:val="superscript"/>
              </w:rPr>
            </w:pPr>
            <w:proofErr w:type="spellStart"/>
            <w:r w:rsidRPr="00473A23">
              <w:rPr>
                <w:b/>
                <w:bCs/>
                <w:sz w:val="20"/>
                <w:szCs w:val="20"/>
              </w:rPr>
              <w:t>IeDEA</w:t>
            </w:r>
            <w:proofErr w:type="spellEnd"/>
            <w:r w:rsidRPr="00473A23">
              <w:rPr>
                <w:b/>
                <w:bCs/>
                <w:sz w:val="20"/>
                <w:szCs w:val="20"/>
              </w:rPr>
              <w:t xml:space="preserve"> data </w:t>
            </w:r>
            <w:proofErr w:type="spellStart"/>
            <w:r w:rsidRPr="00473A23">
              <w:rPr>
                <w:b/>
                <w:bCs/>
                <w:sz w:val="20"/>
                <w:szCs w:val="20"/>
              </w:rPr>
              <w:t>used</w:t>
            </w:r>
            <w:r w:rsidR="00C57E69" w:rsidRPr="00473A23">
              <w:rPr>
                <w:b/>
                <w:bCs/>
                <w:sz w:val="20"/>
                <w:szCs w:val="20"/>
                <w:vertAlign w:val="superscript"/>
              </w:rPr>
              <w:t>b</w:t>
            </w:r>
            <w:proofErr w:type="spellEnd"/>
          </w:p>
        </w:tc>
      </w:tr>
      <w:tr w:rsidR="00C9678A" w:rsidRPr="00473A23" w14:paraId="3679F739" w14:textId="77777777" w:rsidTr="00B11104">
        <w:trPr>
          <w:trHeight w:val="288"/>
        </w:trPr>
        <w:tc>
          <w:tcPr>
            <w:tcW w:w="1800" w:type="dxa"/>
          </w:tcPr>
          <w:p w14:paraId="0CEF1C55" w14:textId="77777777" w:rsidR="00C9678A" w:rsidRPr="00473A23" w:rsidRDefault="00C9678A" w:rsidP="00122CDD">
            <w:pPr>
              <w:rPr>
                <w:b/>
                <w:bCs/>
                <w:i/>
                <w:iCs/>
                <w:sz w:val="20"/>
                <w:szCs w:val="20"/>
              </w:rPr>
            </w:pPr>
            <w:r w:rsidRPr="00473A23">
              <w:rPr>
                <w:b/>
                <w:bCs/>
                <w:i/>
                <w:iCs/>
                <w:sz w:val="20"/>
                <w:szCs w:val="20"/>
              </w:rPr>
              <w:t>Variable</w:t>
            </w:r>
          </w:p>
        </w:tc>
        <w:tc>
          <w:tcPr>
            <w:tcW w:w="2250" w:type="dxa"/>
          </w:tcPr>
          <w:p w14:paraId="4C1E92B0" w14:textId="77777777" w:rsidR="00C9678A" w:rsidRPr="00473A23" w:rsidRDefault="00C9678A" w:rsidP="001D10D4">
            <w:pPr>
              <w:rPr>
                <w:b/>
                <w:bCs/>
                <w:i/>
                <w:iCs/>
                <w:sz w:val="20"/>
                <w:szCs w:val="20"/>
              </w:rPr>
            </w:pPr>
            <w:r w:rsidRPr="00473A23">
              <w:rPr>
                <w:b/>
                <w:bCs/>
                <w:i/>
                <w:iCs/>
                <w:sz w:val="20"/>
                <w:szCs w:val="20"/>
              </w:rPr>
              <w:t>Definition</w:t>
            </w:r>
          </w:p>
        </w:tc>
        <w:tc>
          <w:tcPr>
            <w:tcW w:w="1620" w:type="dxa"/>
          </w:tcPr>
          <w:p w14:paraId="4BEE516A" w14:textId="77777777" w:rsidR="00C9678A" w:rsidRPr="00473A23" w:rsidRDefault="00C9678A" w:rsidP="00527179">
            <w:pPr>
              <w:jc w:val="both"/>
              <w:rPr>
                <w:b/>
                <w:bCs/>
                <w:i/>
                <w:iCs/>
                <w:sz w:val="20"/>
                <w:szCs w:val="20"/>
              </w:rPr>
            </w:pPr>
            <w:r w:rsidRPr="00473A23">
              <w:rPr>
                <w:b/>
                <w:bCs/>
                <w:i/>
                <w:iCs/>
                <w:sz w:val="20"/>
                <w:szCs w:val="20"/>
              </w:rPr>
              <w:t>Variable</w:t>
            </w:r>
          </w:p>
        </w:tc>
        <w:tc>
          <w:tcPr>
            <w:tcW w:w="3690" w:type="dxa"/>
          </w:tcPr>
          <w:p w14:paraId="10B6236E" w14:textId="77777777" w:rsidR="00C9678A" w:rsidRPr="00473A23" w:rsidRDefault="00C9678A" w:rsidP="00527179">
            <w:pPr>
              <w:jc w:val="both"/>
              <w:rPr>
                <w:b/>
                <w:bCs/>
                <w:i/>
                <w:iCs/>
                <w:sz w:val="20"/>
                <w:szCs w:val="20"/>
              </w:rPr>
            </w:pPr>
            <w:r w:rsidRPr="00473A23">
              <w:rPr>
                <w:b/>
                <w:bCs/>
                <w:i/>
                <w:iCs/>
                <w:sz w:val="20"/>
                <w:szCs w:val="20"/>
              </w:rPr>
              <w:t>Definition</w:t>
            </w:r>
          </w:p>
        </w:tc>
      </w:tr>
      <w:tr w:rsidR="00C9678A" w:rsidRPr="00473A23" w14:paraId="3D163E33" w14:textId="77777777" w:rsidTr="00B11104">
        <w:tc>
          <w:tcPr>
            <w:tcW w:w="1800" w:type="dxa"/>
          </w:tcPr>
          <w:p w14:paraId="000E0B65" w14:textId="77777777" w:rsidR="00C9678A" w:rsidRPr="00473A23" w:rsidRDefault="00C9678A" w:rsidP="00122CDD">
            <w:pPr>
              <w:rPr>
                <w:sz w:val="20"/>
                <w:szCs w:val="20"/>
              </w:rPr>
            </w:pPr>
            <w:r w:rsidRPr="00473A23">
              <w:rPr>
                <w:sz w:val="20"/>
                <w:szCs w:val="20"/>
              </w:rPr>
              <w:t>Patient ID</w:t>
            </w:r>
          </w:p>
        </w:tc>
        <w:tc>
          <w:tcPr>
            <w:tcW w:w="2250" w:type="dxa"/>
          </w:tcPr>
          <w:p w14:paraId="35D7D252" w14:textId="77777777" w:rsidR="00C9678A" w:rsidRPr="00473A23" w:rsidRDefault="00C9678A" w:rsidP="001D10D4">
            <w:pPr>
              <w:rPr>
                <w:sz w:val="20"/>
                <w:szCs w:val="20"/>
              </w:rPr>
            </w:pPr>
            <w:r w:rsidRPr="00473A23">
              <w:rPr>
                <w:sz w:val="20"/>
                <w:szCs w:val="20"/>
              </w:rPr>
              <w:t>Unique patient ID</w:t>
            </w:r>
          </w:p>
        </w:tc>
        <w:tc>
          <w:tcPr>
            <w:tcW w:w="1620" w:type="dxa"/>
          </w:tcPr>
          <w:p w14:paraId="33AC6936" w14:textId="77777777" w:rsidR="00C9678A" w:rsidRPr="00473A23" w:rsidRDefault="00C9678A" w:rsidP="00527179">
            <w:pPr>
              <w:jc w:val="both"/>
              <w:rPr>
                <w:sz w:val="20"/>
                <w:szCs w:val="20"/>
              </w:rPr>
            </w:pPr>
            <w:r w:rsidRPr="00473A23">
              <w:rPr>
                <w:sz w:val="20"/>
                <w:szCs w:val="20"/>
              </w:rPr>
              <w:t>Patient ID</w:t>
            </w:r>
          </w:p>
        </w:tc>
        <w:tc>
          <w:tcPr>
            <w:tcW w:w="3690" w:type="dxa"/>
          </w:tcPr>
          <w:p w14:paraId="784D006D" w14:textId="77777777" w:rsidR="00C9678A" w:rsidRPr="00473A23" w:rsidRDefault="00C9678A" w:rsidP="00527179">
            <w:pPr>
              <w:jc w:val="both"/>
              <w:rPr>
                <w:sz w:val="20"/>
                <w:szCs w:val="20"/>
              </w:rPr>
            </w:pPr>
            <w:r w:rsidRPr="00473A23">
              <w:rPr>
                <w:sz w:val="20"/>
                <w:szCs w:val="20"/>
              </w:rPr>
              <w:t xml:space="preserve">Unique patient ID </w:t>
            </w:r>
          </w:p>
        </w:tc>
      </w:tr>
      <w:tr w:rsidR="00C9678A" w:rsidRPr="00473A23" w14:paraId="1A8D9C43" w14:textId="77777777" w:rsidTr="00B11104">
        <w:tc>
          <w:tcPr>
            <w:tcW w:w="1800" w:type="dxa"/>
            <w:vMerge w:val="restart"/>
          </w:tcPr>
          <w:p w14:paraId="195CF3E3" w14:textId="77777777" w:rsidR="00C9678A" w:rsidRPr="00473A23" w:rsidRDefault="00C9678A" w:rsidP="00122CDD">
            <w:pPr>
              <w:rPr>
                <w:sz w:val="20"/>
                <w:szCs w:val="20"/>
              </w:rPr>
            </w:pPr>
            <w:r w:rsidRPr="00473A23">
              <w:rPr>
                <w:sz w:val="20"/>
                <w:szCs w:val="20"/>
              </w:rPr>
              <w:t xml:space="preserve">LTFU </w:t>
            </w:r>
          </w:p>
        </w:tc>
        <w:tc>
          <w:tcPr>
            <w:tcW w:w="2250" w:type="dxa"/>
            <w:vMerge w:val="restart"/>
          </w:tcPr>
          <w:p w14:paraId="1E04F846" w14:textId="77777777" w:rsidR="00C9678A" w:rsidRPr="00473A23" w:rsidRDefault="00C9678A" w:rsidP="001D10D4">
            <w:pPr>
              <w:rPr>
                <w:sz w:val="20"/>
                <w:szCs w:val="20"/>
              </w:rPr>
            </w:pPr>
            <w:r w:rsidRPr="00473A23">
              <w:rPr>
                <w:sz w:val="20"/>
                <w:szCs w:val="20"/>
              </w:rPr>
              <w:t xml:space="preserve">Patient classified as LTFU </w:t>
            </w:r>
          </w:p>
        </w:tc>
        <w:tc>
          <w:tcPr>
            <w:tcW w:w="1620" w:type="dxa"/>
          </w:tcPr>
          <w:p w14:paraId="3FB560BC" w14:textId="77777777" w:rsidR="00C9678A" w:rsidRPr="00473A23" w:rsidRDefault="00C9678A" w:rsidP="00527179">
            <w:pPr>
              <w:jc w:val="both"/>
              <w:rPr>
                <w:sz w:val="20"/>
                <w:szCs w:val="20"/>
              </w:rPr>
            </w:pPr>
            <w:r w:rsidRPr="00473A23">
              <w:rPr>
                <w:sz w:val="20"/>
                <w:szCs w:val="20"/>
              </w:rPr>
              <w:t>ENROL_D</w:t>
            </w:r>
          </w:p>
        </w:tc>
        <w:tc>
          <w:tcPr>
            <w:tcW w:w="3690" w:type="dxa"/>
          </w:tcPr>
          <w:p w14:paraId="2C4CD4D4" w14:textId="77777777" w:rsidR="00C9678A" w:rsidRPr="00473A23" w:rsidRDefault="00C9678A" w:rsidP="00527179">
            <w:pPr>
              <w:jc w:val="both"/>
              <w:rPr>
                <w:sz w:val="20"/>
                <w:szCs w:val="20"/>
              </w:rPr>
            </w:pPr>
            <w:r w:rsidRPr="00473A23">
              <w:rPr>
                <w:sz w:val="20"/>
                <w:szCs w:val="20"/>
              </w:rPr>
              <w:t>Date of enrollment</w:t>
            </w:r>
          </w:p>
        </w:tc>
      </w:tr>
      <w:tr w:rsidR="00C9678A" w:rsidRPr="00473A23" w14:paraId="5EC78DFB" w14:textId="77777777" w:rsidTr="00B11104">
        <w:tc>
          <w:tcPr>
            <w:tcW w:w="1800" w:type="dxa"/>
            <w:vMerge/>
          </w:tcPr>
          <w:p w14:paraId="45B0889C" w14:textId="77777777" w:rsidR="00C9678A" w:rsidRPr="00473A23" w:rsidRDefault="00C9678A">
            <w:pPr>
              <w:rPr>
                <w:sz w:val="20"/>
                <w:szCs w:val="20"/>
              </w:rPr>
            </w:pPr>
          </w:p>
        </w:tc>
        <w:tc>
          <w:tcPr>
            <w:tcW w:w="2250" w:type="dxa"/>
            <w:vMerge/>
          </w:tcPr>
          <w:p w14:paraId="2075B372" w14:textId="77777777" w:rsidR="00C9678A" w:rsidRPr="00473A23" w:rsidRDefault="00C9678A">
            <w:pPr>
              <w:rPr>
                <w:sz w:val="20"/>
                <w:szCs w:val="20"/>
              </w:rPr>
            </w:pPr>
          </w:p>
        </w:tc>
        <w:tc>
          <w:tcPr>
            <w:tcW w:w="1620" w:type="dxa"/>
          </w:tcPr>
          <w:p w14:paraId="5E71F008" w14:textId="28720FBD" w:rsidR="00C9678A" w:rsidRPr="00473A23" w:rsidRDefault="00C9678A">
            <w:pPr>
              <w:jc w:val="both"/>
              <w:rPr>
                <w:sz w:val="20"/>
                <w:szCs w:val="20"/>
              </w:rPr>
            </w:pPr>
            <w:r w:rsidRPr="00473A23">
              <w:rPr>
                <w:sz w:val="20"/>
                <w:szCs w:val="20"/>
              </w:rPr>
              <w:t>HIV_POS_D</w:t>
            </w:r>
          </w:p>
        </w:tc>
        <w:tc>
          <w:tcPr>
            <w:tcW w:w="3690" w:type="dxa"/>
          </w:tcPr>
          <w:p w14:paraId="54125805" w14:textId="77777777" w:rsidR="00C9678A" w:rsidRPr="00473A23" w:rsidRDefault="00C9678A">
            <w:pPr>
              <w:rPr>
                <w:color w:val="000000" w:themeColor="text1"/>
                <w:sz w:val="20"/>
                <w:szCs w:val="20"/>
              </w:rPr>
            </w:pPr>
            <w:r w:rsidRPr="00473A23">
              <w:rPr>
                <w:sz w:val="20"/>
                <w:szCs w:val="20"/>
              </w:rPr>
              <w:t>Date of first positive HIV test</w:t>
            </w:r>
          </w:p>
        </w:tc>
      </w:tr>
      <w:tr w:rsidR="00C9678A" w:rsidRPr="00473A23" w14:paraId="77B53EFD" w14:textId="77777777" w:rsidTr="00B11104">
        <w:tc>
          <w:tcPr>
            <w:tcW w:w="1800" w:type="dxa"/>
            <w:vMerge/>
          </w:tcPr>
          <w:p w14:paraId="289ED20B" w14:textId="77777777" w:rsidR="00C9678A" w:rsidRPr="00473A23" w:rsidRDefault="00C9678A">
            <w:pPr>
              <w:rPr>
                <w:sz w:val="20"/>
                <w:szCs w:val="20"/>
              </w:rPr>
            </w:pPr>
          </w:p>
        </w:tc>
        <w:tc>
          <w:tcPr>
            <w:tcW w:w="2250" w:type="dxa"/>
            <w:vMerge/>
          </w:tcPr>
          <w:p w14:paraId="6FECAD23" w14:textId="77777777" w:rsidR="00C9678A" w:rsidRPr="00473A23" w:rsidRDefault="00C9678A">
            <w:pPr>
              <w:rPr>
                <w:sz w:val="20"/>
                <w:szCs w:val="20"/>
              </w:rPr>
            </w:pPr>
          </w:p>
        </w:tc>
        <w:tc>
          <w:tcPr>
            <w:tcW w:w="1620" w:type="dxa"/>
          </w:tcPr>
          <w:p w14:paraId="65BAF9F2" w14:textId="77777777" w:rsidR="00C9678A" w:rsidRPr="00473A23" w:rsidRDefault="00C9678A">
            <w:pPr>
              <w:jc w:val="both"/>
              <w:rPr>
                <w:sz w:val="20"/>
                <w:szCs w:val="20"/>
              </w:rPr>
            </w:pPr>
            <w:r w:rsidRPr="00473A23">
              <w:rPr>
                <w:sz w:val="20"/>
                <w:szCs w:val="20"/>
              </w:rPr>
              <w:t xml:space="preserve">VIS_D </w:t>
            </w:r>
          </w:p>
        </w:tc>
        <w:tc>
          <w:tcPr>
            <w:tcW w:w="3690" w:type="dxa"/>
          </w:tcPr>
          <w:p w14:paraId="511397D9" w14:textId="77777777" w:rsidR="00C9678A" w:rsidRPr="00473A23" w:rsidRDefault="00C9678A">
            <w:pPr>
              <w:rPr>
                <w:sz w:val="20"/>
                <w:szCs w:val="20"/>
              </w:rPr>
            </w:pPr>
            <w:r w:rsidRPr="00473A23">
              <w:rPr>
                <w:sz w:val="20"/>
                <w:szCs w:val="20"/>
              </w:rPr>
              <w:t xml:space="preserve">Date of last clinic visit </w:t>
            </w:r>
          </w:p>
        </w:tc>
      </w:tr>
      <w:tr w:rsidR="00C9678A" w:rsidRPr="00473A23" w14:paraId="2B53F1B1" w14:textId="77777777" w:rsidTr="00B11104">
        <w:tc>
          <w:tcPr>
            <w:tcW w:w="1800" w:type="dxa"/>
          </w:tcPr>
          <w:p w14:paraId="7F3E63F8" w14:textId="77777777" w:rsidR="00C9678A" w:rsidRPr="00473A23" w:rsidRDefault="00C9678A" w:rsidP="00122CDD">
            <w:pPr>
              <w:rPr>
                <w:sz w:val="20"/>
                <w:szCs w:val="20"/>
              </w:rPr>
            </w:pPr>
            <w:r w:rsidRPr="00473A23">
              <w:rPr>
                <w:sz w:val="20"/>
                <w:szCs w:val="20"/>
              </w:rPr>
              <w:t>Dead</w:t>
            </w:r>
          </w:p>
        </w:tc>
        <w:tc>
          <w:tcPr>
            <w:tcW w:w="2250" w:type="dxa"/>
          </w:tcPr>
          <w:p w14:paraId="178E2F3C" w14:textId="77777777" w:rsidR="00C9678A" w:rsidRPr="00473A23" w:rsidRDefault="00C9678A" w:rsidP="001D10D4">
            <w:pPr>
              <w:rPr>
                <w:sz w:val="20"/>
                <w:szCs w:val="20"/>
              </w:rPr>
            </w:pPr>
            <w:r w:rsidRPr="00473A23">
              <w:rPr>
                <w:sz w:val="20"/>
                <w:szCs w:val="20"/>
              </w:rPr>
              <w:t xml:space="preserve">Patient classified as dead </w:t>
            </w:r>
          </w:p>
        </w:tc>
        <w:tc>
          <w:tcPr>
            <w:tcW w:w="1620" w:type="dxa"/>
          </w:tcPr>
          <w:p w14:paraId="44B6DA4D" w14:textId="77777777" w:rsidR="00C9678A" w:rsidRPr="00473A23" w:rsidRDefault="00C9678A" w:rsidP="00527179">
            <w:pPr>
              <w:jc w:val="both"/>
              <w:rPr>
                <w:sz w:val="20"/>
                <w:szCs w:val="20"/>
              </w:rPr>
            </w:pPr>
            <w:r w:rsidRPr="00473A23">
              <w:rPr>
                <w:sz w:val="20"/>
                <w:szCs w:val="20"/>
              </w:rPr>
              <w:t>DEATH_D</w:t>
            </w:r>
          </w:p>
        </w:tc>
        <w:tc>
          <w:tcPr>
            <w:tcW w:w="3690" w:type="dxa"/>
          </w:tcPr>
          <w:p w14:paraId="35E19D15" w14:textId="77777777" w:rsidR="00C9678A" w:rsidRPr="00473A23" w:rsidRDefault="00C9678A" w:rsidP="00527179">
            <w:pPr>
              <w:jc w:val="both"/>
              <w:rPr>
                <w:color w:val="000000" w:themeColor="text1"/>
                <w:sz w:val="20"/>
                <w:szCs w:val="20"/>
              </w:rPr>
            </w:pPr>
            <w:r w:rsidRPr="00473A23">
              <w:rPr>
                <w:sz w:val="20"/>
                <w:szCs w:val="20"/>
              </w:rPr>
              <w:t xml:space="preserve">Date of death </w:t>
            </w:r>
          </w:p>
        </w:tc>
      </w:tr>
      <w:tr w:rsidR="00C573B0" w:rsidRPr="00473A23" w14:paraId="7080788A" w14:textId="77777777" w:rsidTr="00B11104">
        <w:tc>
          <w:tcPr>
            <w:tcW w:w="1800" w:type="dxa"/>
            <w:vMerge w:val="restart"/>
          </w:tcPr>
          <w:p w14:paraId="4E6BDC95" w14:textId="77777777" w:rsidR="00C573B0" w:rsidRPr="00473A23" w:rsidRDefault="00C573B0" w:rsidP="00C573B0">
            <w:pPr>
              <w:rPr>
                <w:sz w:val="20"/>
                <w:szCs w:val="20"/>
              </w:rPr>
            </w:pPr>
            <w:r w:rsidRPr="00473A23">
              <w:rPr>
                <w:sz w:val="20"/>
                <w:szCs w:val="20"/>
              </w:rPr>
              <w:t>Transfer</w:t>
            </w:r>
          </w:p>
        </w:tc>
        <w:tc>
          <w:tcPr>
            <w:tcW w:w="2250" w:type="dxa"/>
            <w:vMerge w:val="restart"/>
          </w:tcPr>
          <w:p w14:paraId="1AFA0C55" w14:textId="77777777" w:rsidR="00C573B0" w:rsidRPr="00473A23" w:rsidRDefault="00C573B0" w:rsidP="00C573B0">
            <w:pPr>
              <w:rPr>
                <w:sz w:val="20"/>
                <w:szCs w:val="20"/>
              </w:rPr>
            </w:pPr>
            <w:r w:rsidRPr="00473A23">
              <w:rPr>
                <w:sz w:val="20"/>
                <w:szCs w:val="20"/>
              </w:rPr>
              <w:t>Patient classified as transferred</w:t>
            </w:r>
          </w:p>
        </w:tc>
        <w:tc>
          <w:tcPr>
            <w:tcW w:w="1620" w:type="dxa"/>
          </w:tcPr>
          <w:p w14:paraId="05B7E84F" w14:textId="1A727B7C" w:rsidR="00C573B0" w:rsidRPr="00473A23" w:rsidRDefault="00C573B0" w:rsidP="00C573B0">
            <w:pPr>
              <w:jc w:val="both"/>
              <w:rPr>
                <w:sz w:val="20"/>
                <w:szCs w:val="20"/>
              </w:rPr>
            </w:pPr>
            <w:r w:rsidRPr="00473A23">
              <w:rPr>
                <w:sz w:val="20"/>
                <w:szCs w:val="20"/>
              </w:rPr>
              <w:t>DROP_RS</w:t>
            </w:r>
          </w:p>
        </w:tc>
        <w:tc>
          <w:tcPr>
            <w:tcW w:w="3690" w:type="dxa"/>
          </w:tcPr>
          <w:p w14:paraId="7B57C07D" w14:textId="2794E4B7" w:rsidR="00C573B0" w:rsidRPr="00473A23" w:rsidRDefault="00C573B0" w:rsidP="00C573B0">
            <w:pPr>
              <w:jc w:val="both"/>
              <w:rPr>
                <w:sz w:val="20"/>
                <w:szCs w:val="20"/>
              </w:rPr>
            </w:pPr>
            <w:r w:rsidRPr="00473A23">
              <w:rPr>
                <w:sz w:val="20"/>
                <w:szCs w:val="20"/>
              </w:rPr>
              <w:t>Reason for drop</w:t>
            </w:r>
          </w:p>
        </w:tc>
      </w:tr>
      <w:tr w:rsidR="00C573B0" w:rsidRPr="00473A23" w14:paraId="7251FBC7" w14:textId="77777777" w:rsidTr="00B11104">
        <w:tc>
          <w:tcPr>
            <w:tcW w:w="1800" w:type="dxa"/>
            <w:vMerge/>
          </w:tcPr>
          <w:p w14:paraId="44FD28F4" w14:textId="77777777" w:rsidR="00C573B0" w:rsidRPr="00473A23" w:rsidRDefault="00C573B0" w:rsidP="00C573B0">
            <w:pPr>
              <w:rPr>
                <w:sz w:val="20"/>
                <w:szCs w:val="20"/>
              </w:rPr>
            </w:pPr>
          </w:p>
        </w:tc>
        <w:tc>
          <w:tcPr>
            <w:tcW w:w="2250" w:type="dxa"/>
            <w:vMerge/>
          </w:tcPr>
          <w:p w14:paraId="3F18FCBF" w14:textId="77777777" w:rsidR="00C573B0" w:rsidRPr="00473A23" w:rsidRDefault="00C573B0" w:rsidP="00C573B0">
            <w:pPr>
              <w:rPr>
                <w:sz w:val="20"/>
                <w:szCs w:val="20"/>
              </w:rPr>
            </w:pPr>
          </w:p>
        </w:tc>
        <w:tc>
          <w:tcPr>
            <w:tcW w:w="1620" w:type="dxa"/>
          </w:tcPr>
          <w:p w14:paraId="3CA4F8A3" w14:textId="76487B6A" w:rsidR="00C573B0" w:rsidRPr="00473A23" w:rsidRDefault="00C573B0" w:rsidP="00C573B0">
            <w:pPr>
              <w:jc w:val="both"/>
              <w:rPr>
                <w:sz w:val="20"/>
                <w:szCs w:val="20"/>
              </w:rPr>
            </w:pPr>
            <w:r w:rsidRPr="00473A23">
              <w:rPr>
                <w:sz w:val="20"/>
                <w:szCs w:val="20"/>
              </w:rPr>
              <w:t>DROP_D_A</w:t>
            </w:r>
          </w:p>
        </w:tc>
        <w:tc>
          <w:tcPr>
            <w:tcW w:w="3690" w:type="dxa"/>
          </w:tcPr>
          <w:p w14:paraId="1FE36979" w14:textId="1A8B6D7A" w:rsidR="00C573B0" w:rsidRPr="00473A23" w:rsidRDefault="00C573B0" w:rsidP="00C573B0">
            <w:pPr>
              <w:jc w:val="both"/>
              <w:rPr>
                <w:sz w:val="20"/>
                <w:szCs w:val="20"/>
              </w:rPr>
            </w:pPr>
            <w:r w:rsidRPr="00473A23">
              <w:rPr>
                <w:sz w:val="20"/>
                <w:szCs w:val="20"/>
              </w:rPr>
              <w:t>Date of drop out</w:t>
            </w:r>
          </w:p>
        </w:tc>
      </w:tr>
      <w:tr w:rsidR="00C573B0" w:rsidRPr="00473A23" w14:paraId="38F8F934" w14:textId="77777777" w:rsidTr="00B11104">
        <w:tc>
          <w:tcPr>
            <w:tcW w:w="1800" w:type="dxa"/>
            <w:vMerge w:val="restart"/>
          </w:tcPr>
          <w:p w14:paraId="0B9D2D2A" w14:textId="77777777" w:rsidR="00C573B0" w:rsidRPr="00473A23" w:rsidRDefault="00C573B0" w:rsidP="00C573B0">
            <w:pPr>
              <w:rPr>
                <w:sz w:val="20"/>
                <w:szCs w:val="20"/>
              </w:rPr>
            </w:pPr>
            <w:r w:rsidRPr="00473A23">
              <w:rPr>
                <w:sz w:val="20"/>
                <w:szCs w:val="20"/>
              </w:rPr>
              <w:t>CD4_count</w:t>
            </w:r>
          </w:p>
        </w:tc>
        <w:tc>
          <w:tcPr>
            <w:tcW w:w="2250" w:type="dxa"/>
            <w:vMerge w:val="restart"/>
          </w:tcPr>
          <w:p w14:paraId="27DA4E72" w14:textId="77777777" w:rsidR="00C573B0" w:rsidRPr="00473A23" w:rsidRDefault="00C573B0" w:rsidP="00C573B0">
            <w:pPr>
              <w:rPr>
                <w:sz w:val="20"/>
                <w:szCs w:val="20"/>
              </w:rPr>
            </w:pPr>
            <w:r w:rsidRPr="00473A23">
              <w:rPr>
                <w:sz w:val="20"/>
                <w:szCs w:val="20"/>
              </w:rPr>
              <w:t>Patient’s CD4 cell count stratum based on predicted CD4</w:t>
            </w:r>
          </w:p>
        </w:tc>
        <w:tc>
          <w:tcPr>
            <w:tcW w:w="1620" w:type="dxa"/>
          </w:tcPr>
          <w:p w14:paraId="7D002900" w14:textId="77777777" w:rsidR="00C573B0" w:rsidRPr="00473A23" w:rsidRDefault="00C573B0" w:rsidP="00C573B0">
            <w:pPr>
              <w:jc w:val="both"/>
              <w:rPr>
                <w:sz w:val="20"/>
                <w:szCs w:val="20"/>
              </w:rPr>
            </w:pPr>
            <w:r w:rsidRPr="00473A23">
              <w:rPr>
                <w:sz w:val="20"/>
                <w:szCs w:val="20"/>
              </w:rPr>
              <w:t>CD4_D</w:t>
            </w:r>
          </w:p>
        </w:tc>
        <w:tc>
          <w:tcPr>
            <w:tcW w:w="3690" w:type="dxa"/>
          </w:tcPr>
          <w:p w14:paraId="0A31F10B" w14:textId="77777777" w:rsidR="00C573B0" w:rsidRPr="00473A23" w:rsidRDefault="00C573B0" w:rsidP="00C573B0">
            <w:pPr>
              <w:jc w:val="both"/>
              <w:rPr>
                <w:sz w:val="20"/>
                <w:szCs w:val="20"/>
              </w:rPr>
            </w:pPr>
            <w:r w:rsidRPr="00473A23">
              <w:rPr>
                <w:sz w:val="20"/>
                <w:szCs w:val="20"/>
              </w:rPr>
              <w:t>Date of CD4 measurement</w:t>
            </w:r>
          </w:p>
        </w:tc>
      </w:tr>
      <w:tr w:rsidR="00C573B0" w:rsidRPr="00473A23" w14:paraId="782585A2" w14:textId="77777777" w:rsidTr="00B11104">
        <w:tc>
          <w:tcPr>
            <w:tcW w:w="1800" w:type="dxa"/>
            <w:vMerge/>
          </w:tcPr>
          <w:p w14:paraId="427D214C" w14:textId="77777777" w:rsidR="00C573B0" w:rsidRPr="00473A23" w:rsidRDefault="00C573B0" w:rsidP="00C573B0">
            <w:pPr>
              <w:rPr>
                <w:sz w:val="20"/>
                <w:szCs w:val="20"/>
              </w:rPr>
            </w:pPr>
          </w:p>
        </w:tc>
        <w:tc>
          <w:tcPr>
            <w:tcW w:w="2250" w:type="dxa"/>
            <w:vMerge/>
          </w:tcPr>
          <w:p w14:paraId="55733F8B" w14:textId="77777777" w:rsidR="00C573B0" w:rsidRPr="00473A23" w:rsidRDefault="00C573B0" w:rsidP="00C573B0">
            <w:pPr>
              <w:rPr>
                <w:sz w:val="20"/>
                <w:szCs w:val="20"/>
              </w:rPr>
            </w:pPr>
          </w:p>
        </w:tc>
        <w:tc>
          <w:tcPr>
            <w:tcW w:w="1620" w:type="dxa"/>
          </w:tcPr>
          <w:p w14:paraId="415996A8" w14:textId="77777777" w:rsidR="00C573B0" w:rsidRPr="00473A23" w:rsidRDefault="00C573B0" w:rsidP="00C573B0">
            <w:pPr>
              <w:jc w:val="both"/>
              <w:rPr>
                <w:sz w:val="20"/>
                <w:szCs w:val="20"/>
              </w:rPr>
            </w:pPr>
            <w:r w:rsidRPr="00473A23">
              <w:rPr>
                <w:sz w:val="20"/>
                <w:szCs w:val="20"/>
              </w:rPr>
              <w:t>CD4_V</w:t>
            </w:r>
          </w:p>
        </w:tc>
        <w:tc>
          <w:tcPr>
            <w:tcW w:w="3690" w:type="dxa"/>
          </w:tcPr>
          <w:p w14:paraId="24F578BC" w14:textId="77777777" w:rsidR="00C573B0" w:rsidRPr="00473A23" w:rsidRDefault="00C573B0" w:rsidP="00C573B0">
            <w:pPr>
              <w:jc w:val="both"/>
              <w:rPr>
                <w:sz w:val="20"/>
                <w:szCs w:val="20"/>
              </w:rPr>
            </w:pPr>
            <w:r w:rsidRPr="00473A23">
              <w:rPr>
                <w:sz w:val="20"/>
                <w:szCs w:val="20"/>
              </w:rPr>
              <w:t xml:space="preserve">Value of CD4 measurement </w:t>
            </w:r>
          </w:p>
        </w:tc>
      </w:tr>
      <w:tr w:rsidR="00C573B0" w:rsidRPr="00473A23" w14:paraId="1FC7E935" w14:textId="77777777" w:rsidTr="00B11104">
        <w:tc>
          <w:tcPr>
            <w:tcW w:w="1800" w:type="dxa"/>
            <w:vMerge/>
          </w:tcPr>
          <w:p w14:paraId="528480AD" w14:textId="77777777" w:rsidR="00C573B0" w:rsidRPr="00473A23" w:rsidRDefault="00C573B0" w:rsidP="00C573B0">
            <w:pPr>
              <w:rPr>
                <w:sz w:val="20"/>
                <w:szCs w:val="20"/>
              </w:rPr>
            </w:pPr>
          </w:p>
        </w:tc>
        <w:tc>
          <w:tcPr>
            <w:tcW w:w="2250" w:type="dxa"/>
            <w:vMerge/>
          </w:tcPr>
          <w:p w14:paraId="40494B2F" w14:textId="77777777" w:rsidR="00C573B0" w:rsidRPr="00473A23" w:rsidRDefault="00C573B0" w:rsidP="00C573B0">
            <w:pPr>
              <w:rPr>
                <w:sz w:val="20"/>
                <w:szCs w:val="20"/>
              </w:rPr>
            </w:pPr>
          </w:p>
        </w:tc>
        <w:tc>
          <w:tcPr>
            <w:tcW w:w="1620" w:type="dxa"/>
          </w:tcPr>
          <w:p w14:paraId="56D617D9" w14:textId="77777777" w:rsidR="00C573B0" w:rsidRPr="00473A23" w:rsidRDefault="00C573B0" w:rsidP="00C573B0">
            <w:pPr>
              <w:jc w:val="both"/>
              <w:rPr>
                <w:sz w:val="20"/>
                <w:szCs w:val="20"/>
              </w:rPr>
            </w:pPr>
            <w:r w:rsidRPr="00473A23">
              <w:rPr>
                <w:sz w:val="20"/>
                <w:szCs w:val="20"/>
              </w:rPr>
              <w:t>CD4_U</w:t>
            </w:r>
          </w:p>
        </w:tc>
        <w:tc>
          <w:tcPr>
            <w:tcW w:w="3690" w:type="dxa"/>
          </w:tcPr>
          <w:p w14:paraId="6E5DCE80" w14:textId="77777777" w:rsidR="00C573B0" w:rsidRPr="00473A23" w:rsidRDefault="00C573B0" w:rsidP="00C573B0">
            <w:pPr>
              <w:jc w:val="both"/>
              <w:rPr>
                <w:sz w:val="20"/>
                <w:szCs w:val="20"/>
              </w:rPr>
            </w:pPr>
            <w:r w:rsidRPr="00473A23">
              <w:rPr>
                <w:sz w:val="20"/>
                <w:szCs w:val="20"/>
              </w:rPr>
              <w:t>Unit of measurement (cells/mm</w:t>
            </w:r>
            <w:r w:rsidRPr="00473A23">
              <w:rPr>
                <w:sz w:val="20"/>
                <w:szCs w:val="20"/>
                <w:vertAlign w:val="superscript"/>
              </w:rPr>
              <w:t>3</w:t>
            </w:r>
            <w:r w:rsidRPr="00473A23">
              <w:rPr>
                <w:sz w:val="20"/>
                <w:szCs w:val="20"/>
              </w:rPr>
              <w:t>)</w:t>
            </w:r>
          </w:p>
        </w:tc>
      </w:tr>
      <w:tr w:rsidR="00925B9D" w:rsidRPr="00473A23" w14:paraId="178823D8" w14:textId="77777777" w:rsidTr="00392AA9">
        <w:tc>
          <w:tcPr>
            <w:tcW w:w="1800" w:type="dxa"/>
            <w:vMerge w:val="restart"/>
          </w:tcPr>
          <w:p w14:paraId="1649FC1C" w14:textId="77777777" w:rsidR="00925B9D" w:rsidRPr="00473A23" w:rsidRDefault="00925B9D" w:rsidP="00917334">
            <w:pPr>
              <w:rPr>
                <w:sz w:val="20"/>
                <w:szCs w:val="20"/>
              </w:rPr>
            </w:pPr>
            <w:r w:rsidRPr="00473A23">
              <w:rPr>
                <w:sz w:val="20"/>
                <w:szCs w:val="20"/>
              </w:rPr>
              <w:t>Viral suppression</w:t>
            </w:r>
          </w:p>
        </w:tc>
        <w:tc>
          <w:tcPr>
            <w:tcW w:w="2250" w:type="dxa"/>
            <w:vMerge w:val="restart"/>
          </w:tcPr>
          <w:p w14:paraId="2F5971A6" w14:textId="77777777" w:rsidR="00925B9D" w:rsidRPr="00473A23" w:rsidRDefault="00925B9D" w:rsidP="00917334">
            <w:pPr>
              <w:rPr>
                <w:sz w:val="20"/>
                <w:szCs w:val="20"/>
              </w:rPr>
            </w:pPr>
            <w:r w:rsidRPr="00473A23">
              <w:rPr>
                <w:sz w:val="20"/>
                <w:szCs w:val="20"/>
              </w:rPr>
              <w:t>Patient’s level of viral load</w:t>
            </w:r>
          </w:p>
        </w:tc>
        <w:tc>
          <w:tcPr>
            <w:tcW w:w="1620" w:type="dxa"/>
          </w:tcPr>
          <w:p w14:paraId="1569BEFB" w14:textId="77777777" w:rsidR="00925B9D" w:rsidRPr="00473A23" w:rsidRDefault="00925B9D" w:rsidP="00917334">
            <w:pPr>
              <w:jc w:val="both"/>
              <w:rPr>
                <w:sz w:val="20"/>
                <w:szCs w:val="20"/>
              </w:rPr>
            </w:pPr>
            <w:r w:rsidRPr="00473A23">
              <w:rPr>
                <w:sz w:val="20"/>
                <w:szCs w:val="20"/>
              </w:rPr>
              <w:t>HIV RNA_D</w:t>
            </w:r>
          </w:p>
        </w:tc>
        <w:tc>
          <w:tcPr>
            <w:tcW w:w="3690" w:type="dxa"/>
          </w:tcPr>
          <w:p w14:paraId="14D05636" w14:textId="77777777" w:rsidR="00925B9D" w:rsidRPr="00473A23" w:rsidRDefault="00925B9D" w:rsidP="00917334">
            <w:pPr>
              <w:jc w:val="both"/>
              <w:rPr>
                <w:sz w:val="20"/>
                <w:szCs w:val="20"/>
              </w:rPr>
            </w:pPr>
            <w:r w:rsidRPr="00473A23">
              <w:rPr>
                <w:sz w:val="20"/>
                <w:szCs w:val="20"/>
              </w:rPr>
              <w:t xml:space="preserve">Date of viral load measurement </w:t>
            </w:r>
          </w:p>
        </w:tc>
      </w:tr>
      <w:tr w:rsidR="00925B9D" w:rsidRPr="00473A23" w14:paraId="49E54DD3" w14:textId="77777777" w:rsidTr="00392AA9">
        <w:tc>
          <w:tcPr>
            <w:tcW w:w="1800" w:type="dxa"/>
            <w:vMerge/>
          </w:tcPr>
          <w:p w14:paraId="5CD3E138" w14:textId="77777777" w:rsidR="00925B9D" w:rsidRPr="00473A23" w:rsidRDefault="00925B9D" w:rsidP="00917334">
            <w:pPr>
              <w:rPr>
                <w:sz w:val="20"/>
                <w:szCs w:val="20"/>
              </w:rPr>
            </w:pPr>
          </w:p>
        </w:tc>
        <w:tc>
          <w:tcPr>
            <w:tcW w:w="2250" w:type="dxa"/>
            <w:vMerge/>
          </w:tcPr>
          <w:p w14:paraId="477413AF" w14:textId="77777777" w:rsidR="00925B9D" w:rsidRPr="00473A23" w:rsidRDefault="00925B9D" w:rsidP="00917334">
            <w:pPr>
              <w:rPr>
                <w:sz w:val="20"/>
                <w:szCs w:val="20"/>
              </w:rPr>
            </w:pPr>
          </w:p>
        </w:tc>
        <w:tc>
          <w:tcPr>
            <w:tcW w:w="1620" w:type="dxa"/>
          </w:tcPr>
          <w:p w14:paraId="4B240175" w14:textId="77777777" w:rsidR="00925B9D" w:rsidRPr="00473A23" w:rsidRDefault="00925B9D" w:rsidP="00917334">
            <w:pPr>
              <w:jc w:val="both"/>
              <w:rPr>
                <w:sz w:val="20"/>
                <w:szCs w:val="20"/>
              </w:rPr>
            </w:pPr>
            <w:r w:rsidRPr="00473A23">
              <w:rPr>
                <w:sz w:val="20"/>
                <w:szCs w:val="20"/>
              </w:rPr>
              <w:t>HIV RNA_V</w:t>
            </w:r>
          </w:p>
        </w:tc>
        <w:tc>
          <w:tcPr>
            <w:tcW w:w="3690" w:type="dxa"/>
          </w:tcPr>
          <w:p w14:paraId="3F58BA06" w14:textId="77777777" w:rsidR="00925B9D" w:rsidRPr="00473A23" w:rsidRDefault="00925B9D" w:rsidP="00917334">
            <w:pPr>
              <w:jc w:val="both"/>
              <w:rPr>
                <w:sz w:val="20"/>
                <w:szCs w:val="20"/>
              </w:rPr>
            </w:pPr>
            <w:r w:rsidRPr="00473A23">
              <w:rPr>
                <w:color w:val="000000" w:themeColor="text1"/>
                <w:sz w:val="20"/>
                <w:szCs w:val="20"/>
              </w:rPr>
              <w:t>HIV-RNA measurement value i</w:t>
            </w:r>
            <w:r w:rsidRPr="00473A23">
              <w:rPr>
                <w:rStyle w:val="Emphasis"/>
                <w:color w:val="000000" w:themeColor="text1"/>
                <w:sz w:val="20"/>
                <w:szCs w:val="20"/>
              </w:rPr>
              <w:t xml:space="preserve">n copies/mL </w:t>
            </w:r>
          </w:p>
        </w:tc>
      </w:tr>
      <w:tr w:rsidR="00C573B0" w:rsidRPr="00473A23" w14:paraId="48BA94FB" w14:textId="77777777" w:rsidTr="00B11104">
        <w:tc>
          <w:tcPr>
            <w:tcW w:w="1800" w:type="dxa"/>
            <w:vMerge w:val="restart"/>
          </w:tcPr>
          <w:p w14:paraId="534A4E86" w14:textId="77777777" w:rsidR="00C573B0" w:rsidRPr="00473A23" w:rsidRDefault="00C573B0" w:rsidP="00C573B0">
            <w:pPr>
              <w:rPr>
                <w:sz w:val="20"/>
                <w:szCs w:val="20"/>
              </w:rPr>
            </w:pPr>
            <w:r w:rsidRPr="00473A23">
              <w:rPr>
                <w:sz w:val="20"/>
                <w:szCs w:val="20"/>
              </w:rPr>
              <w:t>Age</w:t>
            </w:r>
          </w:p>
        </w:tc>
        <w:tc>
          <w:tcPr>
            <w:tcW w:w="2250" w:type="dxa"/>
            <w:vMerge w:val="restart"/>
          </w:tcPr>
          <w:p w14:paraId="64B35454" w14:textId="77777777" w:rsidR="00C573B0" w:rsidRPr="00473A23" w:rsidRDefault="00C573B0" w:rsidP="00C573B0">
            <w:pPr>
              <w:rPr>
                <w:sz w:val="20"/>
                <w:szCs w:val="20"/>
              </w:rPr>
            </w:pPr>
            <w:r w:rsidRPr="00473A23">
              <w:rPr>
                <w:sz w:val="20"/>
                <w:szCs w:val="20"/>
              </w:rPr>
              <w:t>Patient age</w:t>
            </w:r>
          </w:p>
        </w:tc>
        <w:tc>
          <w:tcPr>
            <w:tcW w:w="1620" w:type="dxa"/>
          </w:tcPr>
          <w:p w14:paraId="4EB6F8B3" w14:textId="77777777" w:rsidR="00C573B0" w:rsidRPr="00473A23" w:rsidRDefault="00C573B0" w:rsidP="00C573B0">
            <w:pPr>
              <w:jc w:val="both"/>
              <w:rPr>
                <w:sz w:val="20"/>
                <w:szCs w:val="20"/>
              </w:rPr>
            </w:pPr>
            <w:r w:rsidRPr="00473A23">
              <w:rPr>
                <w:sz w:val="20"/>
                <w:szCs w:val="20"/>
              </w:rPr>
              <w:t>BIRTH_D</w:t>
            </w:r>
          </w:p>
        </w:tc>
        <w:tc>
          <w:tcPr>
            <w:tcW w:w="3690" w:type="dxa"/>
          </w:tcPr>
          <w:p w14:paraId="5C6FD13A" w14:textId="77777777" w:rsidR="00C573B0" w:rsidRPr="00473A23" w:rsidRDefault="00C573B0" w:rsidP="00C573B0">
            <w:pPr>
              <w:jc w:val="both"/>
              <w:rPr>
                <w:sz w:val="20"/>
                <w:szCs w:val="20"/>
              </w:rPr>
            </w:pPr>
            <w:r w:rsidRPr="00473A23">
              <w:rPr>
                <w:sz w:val="20"/>
                <w:szCs w:val="20"/>
              </w:rPr>
              <w:t>Date of birth</w:t>
            </w:r>
          </w:p>
        </w:tc>
      </w:tr>
      <w:tr w:rsidR="00C573B0" w:rsidRPr="00473A23" w14:paraId="06677B6A" w14:textId="77777777" w:rsidTr="00B11104">
        <w:tc>
          <w:tcPr>
            <w:tcW w:w="1800" w:type="dxa"/>
            <w:vMerge/>
          </w:tcPr>
          <w:p w14:paraId="38F24524" w14:textId="77777777" w:rsidR="00C573B0" w:rsidRPr="00473A23" w:rsidRDefault="00C573B0" w:rsidP="00C573B0">
            <w:pPr>
              <w:rPr>
                <w:sz w:val="20"/>
                <w:szCs w:val="20"/>
              </w:rPr>
            </w:pPr>
          </w:p>
        </w:tc>
        <w:tc>
          <w:tcPr>
            <w:tcW w:w="2250" w:type="dxa"/>
            <w:vMerge/>
          </w:tcPr>
          <w:p w14:paraId="41533565" w14:textId="77777777" w:rsidR="00C573B0" w:rsidRPr="00473A23" w:rsidRDefault="00C573B0" w:rsidP="00C573B0">
            <w:pPr>
              <w:rPr>
                <w:sz w:val="20"/>
                <w:szCs w:val="20"/>
              </w:rPr>
            </w:pPr>
          </w:p>
        </w:tc>
        <w:tc>
          <w:tcPr>
            <w:tcW w:w="1620" w:type="dxa"/>
          </w:tcPr>
          <w:p w14:paraId="303429D3" w14:textId="77777777" w:rsidR="00C573B0" w:rsidRPr="00473A23" w:rsidRDefault="00C573B0" w:rsidP="00C573B0">
            <w:pPr>
              <w:jc w:val="both"/>
              <w:rPr>
                <w:sz w:val="20"/>
                <w:szCs w:val="20"/>
              </w:rPr>
            </w:pPr>
            <w:r w:rsidRPr="00473A23">
              <w:rPr>
                <w:sz w:val="20"/>
                <w:szCs w:val="20"/>
              </w:rPr>
              <w:t xml:space="preserve">VIS_D </w:t>
            </w:r>
          </w:p>
        </w:tc>
        <w:tc>
          <w:tcPr>
            <w:tcW w:w="3690" w:type="dxa"/>
          </w:tcPr>
          <w:p w14:paraId="5C355E17" w14:textId="77777777" w:rsidR="00C573B0" w:rsidRPr="00473A23" w:rsidRDefault="00C573B0" w:rsidP="00C573B0">
            <w:pPr>
              <w:jc w:val="both"/>
              <w:rPr>
                <w:sz w:val="20"/>
                <w:szCs w:val="20"/>
              </w:rPr>
            </w:pPr>
            <w:r w:rsidRPr="00473A23">
              <w:rPr>
                <w:sz w:val="20"/>
                <w:szCs w:val="20"/>
              </w:rPr>
              <w:t xml:space="preserve">Date of last visit </w:t>
            </w:r>
          </w:p>
        </w:tc>
      </w:tr>
      <w:tr w:rsidR="00C573B0" w:rsidRPr="00473A23" w14:paraId="5C1B8AC9" w14:textId="77777777" w:rsidTr="00B11104">
        <w:tc>
          <w:tcPr>
            <w:tcW w:w="1800" w:type="dxa"/>
            <w:vMerge/>
          </w:tcPr>
          <w:p w14:paraId="4AF649EE" w14:textId="77777777" w:rsidR="00C573B0" w:rsidRPr="00473A23" w:rsidRDefault="00C573B0" w:rsidP="00C573B0">
            <w:pPr>
              <w:rPr>
                <w:sz w:val="20"/>
                <w:szCs w:val="20"/>
              </w:rPr>
            </w:pPr>
          </w:p>
        </w:tc>
        <w:tc>
          <w:tcPr>
            <w:tcW w:w="2250" w:type="dxa"/>
            <w:vMerge/>
          </w:tcPr>
          <w:p w14:paraId="657F00AE" w14:textId="77777777" w:rsidR="00C573B0" w:rsidRPr="00473A23" w:rsidRDefault="00C573B0" w:rsidP="00C573B0">
            <w:pPr>
              <w:rPr>
                <w:sz w:val="20"/>
                <w:szCs w:val="20"/>
              </w:rPr>
            </w:pPr>
          </w:p>
        </w:tc>
        <w:tc>
          <w:tcPr>
            <w:tcW w:w="1620" w:type="dxa"/>
          </w:tcPr>
          <w:p w14:paraId="544A0F84" w14:textId="77777777" w:rsidR="00C573B0" w:rsidRPr="00473A23" w:rsidRDefault="00C573B0" w:rsidP="00C573B0">
            <w:pPr>
              <w:jc w:val="both"/>
              <w:rPr>
                <w:sz w:val="20"/>
                <w:szCs w:val="20"/>
              </w:rPr>
            </w:pPr>
            <w:r w:rsidRPr="00473A23">
              <w:rPr>
                <w:sz w:val="20"/>
                <w:szCs w:val="20"/>
              </w:rPr>
              <w:t>ENROL_D</w:t>
            </w:r>
          </w:p>
        </w:tc>
        <w:tc>
          <w:tcPr>
            <w:tcW w:w="3690" w:type="dxa"/>
          </w:tcPr>
          <w:p w14:paraId="384221E8" w14:textId="77777777" w:rsidR="00C573B0" w:rsidRPr="00473A23" w:rsidRDefault="00C573B0" w:rsidP="00C573B0">
            <w:pPr>
              <w:jc w:val="both"/>
              <w:rPr>
                <w:sz w:val="20"/>
                <w:szCs w:val="20"/>
              </w:rPr>
            </w:pPr>
            <w:r w:rsidRPr="00473A23">
              <w:rPr>
                <w:sz w:val="20"/>
                <w:szCs w:val="20"/>
              </w:rPr>
              <w:t>Date of enrollment</w:t>
            </w:r>
          </w:p>
        </w:tc>
      </w:tr>
      <w:tr w:rsidR="00C573B0" w:rsidRPr="00473A23" w14:paraId="0FD81AD8" w14:textId="77777777" w:rsidTr="00B11104">
        <w:tc>
          <w:tcPr>
            <w:tcW w:w="1800" w:type="dxa"/>
          </w:tcPr>
          <w:p w14:paraId="27A82221" w14:textId="77777777" w:rsidR="00C573B0" w:rsidRPr="00473A23" w:rsidRDefault="00C573B0" w:rsidP="00C573B0">
            <w:pPr>
              <w:rPr>
                <w:sz w:val="20"/>
                <w:szCs w:val="20"/>
              </w:rPr>
            </w:pPr>
            <w:r w:rsidRPr="00473A23">
              <w:rPr>
                <w:sz w:val="20"/>
                <w:szCs w:val="20"/>
              </w:rPr>
              <w:t>Sex</w:t>
            </w:r>
          </w:p>
        </w:tc>
        <w:tc>
          <w:tcPr>
            <w:tcW w:w="2250" w:type="dxa"/>
          </w:tcPr>
          <w:p w14:paraId="78320F0C" w14:textId="77777777" w:rsidR="00C573B0" w:rsidRPr="00473A23" w:rsidRDefault="00C573B0" w:rsidP="00C573B0">
            <w:pPr>
              <w:rPr>
                <w:sz w:val="20"/>
                <w:szCs w:val="20"/>
              </w:rPr>
            </w:pPr>
            <w:r w:rsidRPr="00473A23">
              <w:rPr>
                <w:sz w:val="20"/>
                <w:szCs w:val="20"/>
              </w:rPr>
              <w:t>Patient sex</w:t>
            </w:r>
          </w:p>
        </w:tc>
        <w:tc>
          <w:tcPr>
            <w:tcW w:w="1620" w:type="dxa"/>
          </w:tcPr>
          <w:p w14:paraId="33782F01" w14:textId="77777777" w:rsidR="00C573B0" w:rsidRPr="00473A23" w:rsidRDefault="00C573B0" w:rsidP="00C573B0">
            <w:pPr>
              <w:jc w:val="both"/>
              <w:rPr>
                <w:sz w:val="20"/>
                <w:szCs w:val="20"/>
              </w:rPr>
            </w:pPr>
            <w:r w:rsidRPr="00473A23">
              <w:rPr>
                <w:sz w:val="20"/>
                <w:szCs w:val="20"/>
              </w:rPr>
              <w:t>SEX</w:t>
            </w:r>
          </w:p>
        </w:tc>
        <w:tc>
          <w:tcPr>
            <w:tcW w:w="3690" w:type="dxa"/>
          </w:tcPr>
          <w:p w14:paraId="24B005B8" w14:textId="77777777" w:rsidR="00C573B0" w:rsidRPr="00473A23" w:rsidRDefault="00C573B0" w:rsidP="00C573B0">
            <w:pPr>
              <w:jc w:val="both"/>
              <w:rPr>
                <w:sz w:val="20"/>
                <w:szCs w:val="20"/>
              </w:rPr>
            </w:pPr>
            <w:r w:rsidRPr="00473A23">
              <w:rPr>
                <w:sz w:val="20"/>
                <w:szCs w:val="20"/>
              </w:rPr>
              <w:t>Sex at birth (1 = Male; 2 = Female; 9 = Unknown)</w:t>
            </w:r>
          </w:p>
        </w:tc>
      </w:tr>
      <w:tr w:rsidR="00C573B0" w:rsidRPr="00473A23" w14:paraId="300C0C86" w14:textId="77777777" w:rsidTr="00B11104">
        <w:tc>
          <w:tcPr>
            <w:tcW w:w="1800" w:type="dxa"/>
          </w:tcPr>
          <w:p w14:paraId="708A9061" w14:textId="77777777" w:rsidR="00C573B0" w:rsidRPr="00473A23" w:rsidRDefault="00C573B0" w:rsidP="00C573B0">
            <w:pPr>
              <w:rPr>
                <w:sz w:val="20"/>
                <w:szCs w:val="20"/>
              </w:rPr>
            </w:pPr>
            <w:r w:rsidRPr="00473A23">
              <w:rPr>
                <w:sz w:val="20"/>
                <w:szCs w:val="20"/>
              </w:rPr>
              <w:t>Urbanicity</w:t>
            </w:r>
          </w:p>
        </w:tc>
        <w:tc>
          <w:tcPr>
            <w:tcW w:w="2250" w:type="dxa"/>
          </w:tcPr>
          <w:p w14:paraId="0ED1D71F" w14:textId="77777777" w:rsidR="00C573B0" w:rsidRPr="00473A23" w:rsidRDefault="00C573B0" w:rsidP="00C573B0">
            <w:pPr>
              <w:rPr>
                <w:sz w:val="20"/>
                <w:szCs w:val="20"/>
              </w:rPr>
            </w:pPr>
            <w:r w:rsidRPr="00473A23">
              <w:rPr>
                <w:sz w:val="20"/>
                <w:szCs w:val="20"/>
              </w:rPr>
              <w:t>Residence of the patient</w:t>
            </w:r>
          </w:p>
        </w:tc>
        <w:tc>
          <w:tcPr>
            <w:tcW w:w="1620" w:type="dxa"/>
          </w:tcPr>
          <w:p w14:paraId="233679BC" w14:textId="77777777" w:rsidR="00C573B0" w:rsidRPr="00473A23" w:rsidRDefault="00C573B0" w:rsidP="00C573B0">
            <w:pPr>
              <w:jc w:val="both"/>
              <w:rPr>
                <w:sz w:val="20"/>
                <w:szCs w:val="20"/>
              </w:rPr>
            </w:pPr>
            <w:r w:rsidRPr="00473A23">
              <w:rPr>
                <w:sz w:val="20"/>
                <w:szCs w:val="20"/>
              </w:rPr>
              <w:t>RURAL</w:t>
            </w:r>
          </w:p>
        </w:tc>
        <w:tc>
          <w:tcPr>
            <w:tcW w:w="3690" w:type="dxa"/>
          </w:tcPr>
          <w:p w14:paraId="7BE8E0FC" w14:textId="77777777" w:rsidR="00C573B0" w:rsidRPr="00473A23" w:rsidRDefault="00C573B0" w:rsidP="00C573B0">
            <w:pPr>
              <w:jc w:val="both"/>
              <w:rPr>
                <w:sz w:val="20"/>
                <w:szCs w:val="20"/>
              </w:rPr>
            </w:pPr>
            <w:r w:rsidRPr="00473A23">
              <w:rPr>
                <w:sz w:val="20"/>
                <w:szCs w:val="20"/>
              </w:rPr>
              <w:t>Clinic location (1=urban, 2=mostly urban, 3=mostly rural, 4=rural, 9=unknown</w:t>
            </w:r>
          </w:p>
        </w:tc>
      </w:tr>
      <w:tr w:rsidR="00C573B0" w:rsidRPr="00473A23" w14:paraId="2A25E021" w14:textId="77777777" w:rsidTr="00B11104">
        <w:tc>
          <w:tcPr>
            <w:tcW w:w="1800" w:type="dxa"/>
          </w:tcPr>
          <w:p w14:paraId="59493696" w14:textId="77777777" w:rsidR="00C573B0" w:rsidRPr="00473A23" w:rsidRDefault="00C573B0" w:rsidP="00C573B0">
            <w:pPr>
              <w:rPr>
                <w:sz w:val="20"/>
                <w:szCs w:val="20"/>
              </w:rPr>
            </w:pPr>
            <w:r w:rsidRPr="00473A23">
              <w:rPr>
                <w:sz w:val="20"/>
                <w:szCs w:val="20"/>
              </w:rPr>
              <w:t>Clinic</w:t>
            </w:r>
          </w:p>
        </w:tc>
        <w:tc>
          <w:tcPr>
            <w:tcW w:w="2250" w:type="dxa"/>
          </w:tcPr>
          <w:p w14:paraId="68C00463" w14:textId="77777777" w:rsidR="00C573B0" w:rsidRPr="00473A23" w:rsidRDefault="00C573B0" w:rsidP="00C573B0">
            <w:pPr>
              <w:rPr>
                <w:sz w:val="20"/>
                <w:szCs w:val="20"/>
              </w:rPr>
            </w:pPr>
            <w:r w:rsidRPr="00473A23">
              <w:rPr>
                <w:sz w:val="20"/>
                <w:szCs w:val="20"/>
              </w:rPr>
              <w:t>Clinic the patient is receiving treatment</w:t>
            </w:r>
          </w:p>
        </w:tc>
        <w:tc>
          <w:tcPr>
            <w:tcW w:w="1620" w:type="dxa"/>
          </w:tcPr>
          <w:p w14:paraId="29753963" w14:textId="77777777" w:rsidR="00C573B0" w:rsidRPr="00473A23" w:rsidRDefault="00C573B0" w:rsidP="00C573B0">
            <w:pPr>
              <w:jc w:val="both"/>
              <w:rPr>
                <w:sz w:val="20"/>
                <w:szCs w:val="20"/>
              </w:rPr>
            </w:pPr>
            <w:r w:rsidRPr="00473A23">
              <w:rPr>
                <w:sz w:val="20"/>
                <w:szCs w:val="20"/>
              </w:rPr>
              <w:t>CENTER</w:t>
            </w:r>
          </w:p>
        </w:tc>
        <w:tc>
          <w:tcPr>
            <w:tcW w:w="3690" w:type="dxa"/>
          </w:tcPr>
          <w:p w14:paraId="11274244" w14:textId="77777777" w:rsidR="00C573B0" w:rsidRPr="00473A23" w:rsidRDefault="00C573B0" w:rsidP="00C573B0">
            <w:pPr>
              <w:jc w:val="both"/>
              <w:rPr>
                <w:sz w:val="20"/>
                <w:szCs w:val="20"/>
              </w:rPr>
            </w:pPr>
            <w:r w:rsidRPr="00473A23">
              <w:rPr>
                <w:sz w:val="20"/>
                <w:szCs w:val="20"/>
              </w:rPr>
              <w:t>Clinic code</w:t>
            </w:r>
          </w:p>
        </w:tc>
      </w:tr>
    </w:tbl>
    <w:p w14:paraId="6E9FC87F" w14:textId="77DAF9C2" w:rsidR="00925B9D" w:rsidRPr="00392AA9" w:rsidRDefault="002E7661" w:rsidP="002E7661">
      <w:pPr>
        <w:jc w:val="both"/>
        <w:rPr>
          <w:sz w:val="20"/>
          <w:szCs w:val="20"/>
        </w:rPr>
      </w:pPr>
      <w:proofErr w:type="spellStart"/>
      <w:r w:rsidRPr="00392AA9">
        <w:rPr>
          <w:sz w:val="20"/>
          <w:szCs w:val="20"/>
          <w:vertAlign w:val="superscript"/>
        </w:rPr>
        <w:t>a</w:t>
      </w:r>
      <w:proofErr w:type="spellEnd"/>
      <w:r w:rsidRPr="00392AA9">
        <w:rPr>
          <w:sz w:val="20"/>
          <w:szCs w:val="20"/>
        </w:rPr>
        <w:t xml:space="preserve"> </w:t>
      </w:r>
      <w:proofErr w:type="gramStart"/>
      <w:r w:rsidR="00925B9D" w:rsidRPr="00392AA9">
        <w:rPr>
          <w:sz w:val="20"/>
          <w:szCs w:val="20"/>
        </w:rPr>
        <w:t>The</w:t>
      </w:r>
      <w:proofErr w:type="gramEnd"/>
      <w:r w:rsidR="00925B9D" w:rsidRPr="00392AA9">
        <w:rPr>
          <w:sz w:val="20"/>
          <w:szCs w:val="20"/>
        </w:rPr>
        <w:t xml:space="preserve"> model parameter inputs include the probability of disease progression, LTFU, On ART_ suppressed, On </w:t>
      </w:r>
      <w:proofErr w:type="spellStart"/>
      <w:r w:rsidR="00925B9D" w:rsidRPr="00392AA9">
        <w:rPr>
          <w:sz w:val="20"/>
          <w:szCs w:val="20"/>
        </w:rPr>
        <w:t>ART_not</w:t>
      </w:r>
      <w:proofErr w:type="spellEnd"/>
      <w:r w:rsidR="00925B9D" w:rsidRPr="00392AA9">
        <w:rPr>
          <w:sz w:val="20"/>
          <w:szCs w:val="20"/>
        </w:rPr>
        <w:t xml:space="preserve"> suppressed, and death. </w:t>
      </w:r>
    </w:p>
    <w:p w14:paraId="0A141906" w14:textId="05F34B14" w:rsidR="00C9678A" w:rsidRPr="00392AA9" w:rsidRDefault="00925B9D" w:rsidP="002E7661">
      <w:pPr>
        <w:jc w:val="both"/>
        <w:rPr>
          <w:sz w:val="20"/>
          <w:szCs w:val="20"/>
        </w:rPr>
      </w:pPr>
      <w:r w:rsidRPr="00392AA9">
        <w:rPr>
          <w:sz w:val="20"/>
          <w:szCs w:val="20"/>
          <w:vertAlign w:val="superscript"/>
        </w:rPr>
        <w:t xml:space="preserve">b </w:t>
      </w:r>
      <w:r w:rsidR="00C57E69" w:rsidRPr="00392AA9">
        <w:rPr>
          <w:sz w:val="20"/>
          <w:szCs w:val="20"/>
        </w:rPr>
        <w:t xml:space="preserve">Variables are the variables we use in the </w:t>
      </w:r>
      <w:r w:rsidRPr="00392AA9">
        <w:rPr>
          <w:sz w:val="20"/>
          <w:szCs w:val="20"/>
        </w:rPr>
        <w:t xml:space="preserve">regression </w:t>
      </w:r>
      <w:r w:rsidR="00C57E69" w:rsidRPr="00392AA9">
        <w:rPr>
          <w:sz w:val="20"/>
          <w:szCs w:val="20"/>
        </w:rPr>
        <w:t>model</w:t>
      </w:r>
      <w:r w:rsidRPr="00392AA9">
        <w:rPr>
          <w:sz w:val="20"/>
          <w:szCs w:val="20"/>
        </w:rPr>
        <w:t xml:space="preserve"> to estimate parameter inputs</w:t>
      </w:r>
      <w:r w:rsidR="00C57E69" w:rsidRPr="00392AA9">
        <w:rPr>
          <w:sz w:val="20"/>
          <w:szCs w:val="20"/>
        </w:rPr>
        <w:t xml:space="preserve">, which will be informed or constructed by the variables in the </w:t>
      </w:r>
      <w:proofErr w:type="spellStart"/>
      <w:r w:rsidR="00C57E69" w:rsidRPr="00392AA9">
        <w:rPr>
          <w:sz w:val="20"/>
          <w:szCs w:val="20"/>
        </w:rPr>
        <w:t>IeDEA</w:t>
      </w:r>
      <w:proofErr w:type="spellEnd"/>
      <w:r w:rsidR="00C57E69" w:rsidRPr="00392AA9">
        <w:rPr>
          <w:sz w:val="20"/>
          <w:szCs w:val="20"/>
        </w:rPr>
        <w:t xml:space="preserve"> databased listed. </w:t>
      </w:r>
    </w:p>
    <w:p w14:paraId="4010B626" w14:textId="77777777" w:rsidR="00C9678A" w:rsidRPr="00050905" w:rsidRDefault="00C9678A">
      <w:pPr>
        <w:jc w:val="both"/>
        <w:sectPr w:rsidR="00C9678A" w:rsidRPr="00050905" w:rsidSect="00C57E69">
          <w:pgSz w:w="12240" w:h="15840"/>
          <w:pgMar w:top="1440" w:right="1440" w:bottom="1440" w:left="1440" w:header="720" w:footer="720" w:gutter="0"/>
          <w:cols w:space="720"/>
          <w:docGrid w:linePitch="360"/>
        </w:sectPr>
      </w:pPr>
    </w:p>
    <w:p w14:paraId="6D87F8A4" w14:textId="757E6F82" w:rsidR="00C9678A" w:rsidRPr="00A25EAD" w:rsidRDefault="00E60A0C" w:rsidP="00C27F3E">
      <w:pPr>
        <w:pStyle w:val="Heading2"/>
        <w:spacing w:before="0"/>
        <w:rPr>
          <w:rFonts w:cs="Times New Roman"/>
          <w:szCs w:val="24"/>
        </w:rPr>
      </w:pPr>
      <w:bookmarkStart w:id="224" w:name="_Toc81774631"/>
      <w:bookmarkStart w:id="225" w:name="_Toc81775234"/>
      <w:bookmarkStart w:id="226" w:name="_Toc81775358"/>
      <w:bookmarkStart w:id="227" w:name="_Toc81775480"/>
      <w:bookmarkStart w:id="228" w:name="_Toc81775602"/>
      <w:bookmarkStart w:id="229" w:name="_Toc81777524"/>
      <w:bookmarkStart w:id="230" w:name="_Toc81777680"/>
      <w:bookmarkStart w:id="231" w:name="_Toc81777844"/>
      <w:bookmarkStart w:id="232" w:name="_Toc81778117"/>
      <w:bookmarkStart w:id="233" w:name="_Toc81778388"/>
      <w:bookmarkStart w:id="234" w:name="_Toc82440232"/>
      <w:bookmarkStart w:id="235" w:name="_Toc82447954"/>
      <w:bookmarkStart w:id="236" w:name="_Toc82592662"/>
      <w:bookmarkStart w:id="237" w:name="_Toc81774714"/>
      <w:bookmarkStart w:id="238" w:name="_Toc81775317"/>
      <w:bookmarkStart w:id="239" w:name="_Toc81775441"/>
      <w:bookmarkStart w:id="240" w:name="_Toc81775563"/>
      <w:bookmarkStart w:id="241" w:name="_Toc81775685"/>
      <w:bookmarkStart w:id="242" w:name="_Toc81777607"/>
      <w:bookmarkStart w:id="243" w:name="_Toc81777763"/>
      <w:bookmarkStart w:id="244" w:name="_Toc81777927"/>
      <w:bookmarkStart w:id="245" w:name="_Toc81778200"/>
      <w:bookmarkStart w:id="246" w:name="_Toc81778471"/>
      <w:bookmarkStart w:id="247" w:name="_Toc82440315"/>
      <w:bookmarkStart w:id="248" w:name="_Toc82448037"/>
      <w:bookmarkStart w:id="249" w:name="_Toc82592745"/>
      <w:bookmarkStart w:id="250" w:name="_Toc81774715"/>
      <w:bookmarkStart w:id="251" w:name="_Toc81775318"/>
      <w:bookmarkStart w:id="252" w:name="_Toc81775442"/>
      <w:bookmarkStart w:id="253" w:name="_Toc81775564"/>
      <w:bookmarkStart w:id="254" w:name="_Toc81775686"/>
      <w:bookmarkStart w:id="255" w:name="_Toc81777608"/>
      <w:bookmarkStart w:id="256" w:name="_Toc81777764"/>
      <w:bookmarkStart w:id="257" w:name="_Toc81777928"/>
      <w:bookmarkStart w:id="258" w:name="_Toc81778201"/>
      <w:bookmarkStart w:id="259" w:name="_Toc81778472"/>
      <w:bookmarkStart w:id="260" w:name="_Toc82440316"/>
      <w:bookmarkStart w:id="261" w:name="_Toc82448038"/>
      <w:bookmarkStart w:id="262" w:name="_Toc82592746"/>
      <w:bookmarkStart w:id="263" w:name="_Toc81774716"/>
      <w:bookmarkStart w:id="264" w:name="_Toc81775319"/>
      <w:bookmarkStart w:id="265" w:name="_Toc81775443"/>
      <w:bookmarkStart w:id="266" w:name="_Toc81775565"/>
      <w:bookmarkStart w:id="267" w:name="_Toc81775687"/>
      <w:bookmarkStart w:id="268" w:name="_Toc81777609"/>
      <w:bookmarkStart w:id="269" w:name="_Toc81777765"/>
      <w:bookmarkStart w:id="270" w:name="_Toc81777929"/>
      <w:bookmarkStart w:id="271" w:name="_Toc81778202"/>
      <w:bookmarkStart w:id="272" w:name="_Toc81778473"/>
      <w:bookmarkStart w:id="273" w:name="_Toc82440317"/>
      <w:bookmarkStart w:id="274" w:name="_Toc82448039"/>
      <w:bookmarkStart w:id="275" w:name="_Toc82592747"/>
      <w:bookmarkStart w:id="276" w:name="_On_ART,_Suppressed"/>
      <w:bookmarkStart w:id="277" w:name="_Toc82592748"/>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r>
        <w:rPr>
          <w:rFonts w:cs="Times New Roman"/>
          <w:szCs w:val="24"/>
        </w:rPr>
        <w:lastRenderedPageBreak/>
        <w:t>On ART, Suppressed</w:t>
      </w:r>
      <w:bookmarkEnd w:id="277"/>
    </w:p>
    <w:p w14:paraId="16B4F534" w14:textId="77777777" w:rsidR="00C27F3E" w:rsidRDefault="00C27F3E" w:rsidP="00122CDD">
      <w:pPr>
        <w:jc w:val="both"/>
      </w:pPr>
    </w:p>
    <w:p w14:paraId="145AA2CB" w14:textId="3D40205D" w:rsidR="00C9678A" w:rsidRDefault="00925B9D" w:rsidP="00122CDD">
      <w:pPr>
        <w:jc w:val="both"/>
      </w:pPr>
      <w:r>
        <w:rPr>
          <w:rFonts w:hint="eastAsia"/>
        </w:rPr>
        <w:t>P</w:t>
      </w:r>
      <w:r w:rsidRPr="00050905">
        <w:t xml:space="preserve">atients who </w:t>
      </w:r>
      <w:r>
        <w:rPr>
          <w:rFonts w:hint="eastAsia"/>
        </w:rPr>
        <w:t>are</w:t>
      </w:r>
      <w:r>
        <w:t xml:space="preserve"> on ART and virally suppressed are assumed to be those on</w:t>
      </w:r>
      <w:r w:rsidRPr="00050905">
        <w:t xml:space="preserve"> ART </w:t>
      </w:r>
      <w:r>
        <w:t>and without evidence of virological failure</w:t>
      </w:r>
      <w:r w:rsidRPr="00050905">
        <w:t>.</w:t>
      </w:r>
      <w:r w:rsidRPr="00050905">
        <w:fldChar w:fldCharType="begin" w:fldLock="1"/>
      </w:r>
      <w:r w:rsidR="007527CC">
        <w:instrText>ADDIN CSL_CITATION {"citationItems":[{"id":"ITEM-1","itemData":{"author":[{"dropping-particle":"","family":"Rwanda Ministry of Health","given":"","non-dropping-particle":"","parse-names":false,"suffix":""}],"id":"ITEM-1","issued":{"date-parts":[["2018"]]},"number-of-pages":"1-40","title":"National Guidelines for Prevention and Managment of HIV - Edition 2018","type":"report"},"uris":["http://www.mendeley.com/documents/?uuid=a0b1743d-776f-4749-8f67-65bf09c0c005"]}],"mendeley":{"formattedCitation":"&lt;sup&gt;68&lt;/sup&gt;","plainTextFormattedCitation":"68","previouslyFormattedCitation":"&lt;sup&gt;68&lt;/sup&gt;"},"properties":{"noteIndex":0},"schema":"https://github.com/citation-style-language/schema/raw/master/csl-citation.json"}</w:instrText>
      </w:r>
      <w:r w:rsidRPr="00050905">
        <w:fldChar w:fldCharType="separate"/>
      </w:r>
      <w:r w:rsidR="00036C3E" w:rsidRPr="00036C3E">
        <w:rPr>
          <w:noProof/>
          <w:vertAlign w:val="superscript"/>
        </w:rPr>
        <w:t>68</w:t>
      </w:r>
      <w:r w:rsidRPr="00050905">
        <w:fldChar w:fldCharType="end"/>
      </w:r>
      <w:r>
        <w:t xml:space="preserve"> </w:t>
      </w:r>
      <w:commentRangeStart w:id="278"/>
      <w:r>
        <w:rPr>
          <w:rFonts w:hint="eastAsia"/>
        </w:rPr>
        <w:t>Vi</w:t>
      </w:r>
      <w:r>
        <w:t xml:space="preserve">rological failure is defined </w:t>
      </w:r>
      <w:commentRangeStart w:id="279"/>
      <w:r w:rsidR="00C573B0" w:rsidRPr="00DC1005">
        <w:t xml:space="preserve">as HIV RNA </w:t>
      </w:r>
      <w:r>
        <w:t>&gt;10</w:t>
      </w:r>
      <w:r w:rsidR="00C573B0" w:rsidRPr="00DC1005">
        <w:t xml:space="preserve">00 </w:t>
      </w:r>
      <w:commentRangeEnd w:id="279"/>
      <w:r w:rsidR="00E60A0C">
        <w:rPr>
          <w:rStyle w:val="CommentReference"/>
        </w:rPr>
        <w:commentReference w:id="279"/>
      </w:r>
      <w:r w:rsidR="00C573B0" w:rsidRPr="00DC1005">
        <w:t>copies/ml based on Rwandan HIV guidelines to account for differences in the probability of HIV transmission.</w:t>
      </w:r>
      <w:r w:rsidR="00C573B0" w:rsidRPr="00DC1005">
        <w:fldChar w:fldCharType="begin" w:fldLock="1"/>
      </w:r>
      <w:r w:rsidR="007527CC">
        <w:instrText>ADDIN CSL_CITATION {"citationItems":[{"id":"ITEM-1","itemData":{"author":[{"dropping-particle":"","family":"Rwanda Ministry of Health","given":"","non-dropping-particle":"","parse-names":false,"suffix":""}],"id":"ITEM-1","issued":{"date-parts":[["2018"]]},"number-of-pages":"1-40","title":"National Guidelines for Prevention and Managment of HIV - Edition 2018","type":"report"},"uris":["http://www.mendeley.com/documents/?uuid=bc05a4f6-c152-4497-b5fa-71d19690ee32","http://www.mendeley.com/documents/?uuid=a0b1743d-776f-4749-8f67-65bf09c0c005"]}],"mendeley":{"formattedCitation":"&lt;sup&gt;68&lt;/sup&gt;","plainTextFormattedCitation":"68","previouslyFormattedCitation":"&lt;sup&gt;68&lt;/sup&gt;"},"properties":{"noteIndex":0},"schema":"https://github.com/citation-style-language/schema/raw/master/csl-citation.json"}</w:instrText>
      </w:r>
      <w:r w:rsidR="00C573B0" w:rsidRPr="00DC1005">
        <w:fldChar w:fldCharType="separate"/>
      </w:r>
      <w:r w:rsidR="00036C3E" w:rsidRPr="00036C3E">
        <w:rPr>
          <w:noProof/>
          <w:vertAlign w:val="superscript"/>
        </w:rPr>
        <w:t>68</w:t>
      </w:r>
      <w:r w:rsidR="00C573B0" w:rsidRPr="00DC1005">
        <w:fldChar w:fldCharType="end"/>
      </w:r>
      <w:r w:rsidR="00C573B0" w:rsidRPr="00DC1005">
        <w:t xml:space="preserve"> </w:t>
      </w:r>
      <w:commentRangeEnd w:id="278"/>
      <w:r>
        <w:rPr>
          <w:rStyle w:val="CommentReference"/>
        </w:rPr>
        <w:commentReference w:id="278"/>
      </w:r>
      <w:r w:rsidR="00C9678A" w:rsidRPr="00DC1005">
        <w:t>Parameter values for probability of on ART and viral suppressed will vary based on disease progression and sub-group. Model compartments that apply to probability of on ART and viral suppression include only linkage to care.</w:t>
      </w:r>
    </w:p>
    <w:p w14:paraId="2F150A9C" w14:textId="77777777" w:rsidR="00C573B0" w:rsidRDefault="00C573B0" w:rsidP="00C573B0">
      <w:pPr>
        <w:jc w:val="both"/>
        <w:rPr>
          <w:b/>
          <w:bCs/>
          <w:i/>
          <w:iCs/>
        </w:rPr>
      </w:pPr>
    </w:p>
    <w:p w14:paraId="68C455AD" w14:textId="22F1BE0F" w:rsidR="00C573B0" w:rsidRDefault="00C573B0" w:rsidP="00C573B0">
      <w:pPr>
        <w:jc w:val="both"/>
        <w:rPr>
          <w:b/>
          <w:bCs/>
          <w:i/>
          <w:iCs/>
        </w:rPr>
      </w:pPr>
      <w:r w:rsidRPr="00675361">
        <w:rPr>
          <w:b/>
          <w:bCs/>
          <w:i/>
          <w:iCs/>
        </w:rPr>
        <w:t>Data source</w:t>
      </w:r>
      <w:r>
        <w:rPr>
          <w:b/>
          <w:bCs/>
          <w:i/>
          <w:iCs/>
        </w:rPr>
        <w:t xml:space="preserve">. </w:t>
      </w:r>
    </w:p>
    <w:p w14:paraId="4F17BDDD" w14:textId="3BC61B46" w:rsidR="00C573B0" w:rsidRDefault="00C573B0" w:rsidP="002E50FA">
      <w:pPr>
        <w:pStyle w:val="ListParagraph"/>
        <w:numPr>
          <w:ilvl w:val="0"/>
          <w:numId w:val="28"/>
        </w:numPr>
        <w:jc w:val="both"/>
      </w:pPr>
      <w:commentRangeStart w:id="280"/>
      <w:r>
        <w:t xml:space="preserve">To </w:t>
      </w:r>
      <w:r w:rsidR="00925B9D">
        <w:t>estimate the probability of being on ART and viral suppressed among individuals linked to care</w:t>
      </w:r>
      <w:r>
        <w:t>, we will use the International epidemiology databases to evaluate AIDS (</w:t>
      </w:r>
      <w:proofErr w:type="spellStart"/>
      <w:r>
        <w:t>IeDEA</w:t>
      </w:r>
      <w:proofErr w:type="spellEnd"/>
      <w:r>
        <w:t>) consortium in Rwanda from 2004 to most current data.</w:t>
      </w:r>
      <w:r>
        <w:fldChar w:fldCharType="begin" w:fldLock="1"/>
      </w:r>
      <w:r w:rsidR="007527CC">
        <w:instrText>ADDIN CSL_CITATION {"citationItems":[{"id":"ITEM-1","itemData":{"author":[{"dropping-particle":"","family":"National Institute of Allergy and Infectious Diseases","given":"","non-dropping-particle":"","parse-names":false,"suffix":""}],"id":"ITEM-1","issued":{"date-parts":[["0"]]},"title":"International Epidemiological Databases to Evaluate AIDS","type":"article"},"uris":["http://www.mendeley.com/documents/?uuid=666acb78-cec1-4b66-b410-933fc01451ce"]}],"mendeley":{"formattedCitation":"&lt;sup&gt;51&lt;/sup&gt;","plainTextFormattedCitation":"51","previouslyFormattedCitation":"&lt;sup&gt;51&lt;/sup&gt;"},"properties":{"noteIndex":0},"schema":"https://github.com/citation-style-language/schema/raw/master/csl-citation.json"}</w:instrText>
      </w:r>
      <w:r>
        <w:fldChar w:fldCharType="separate"/>
      </w:r>
      <w:r w:rsidR="00036C3E" w:rsidRPr="00036C3E">
        <w:rPr>
          <w:noProof/>
          <w:vertAlign w:val="superscript"/>
        </w:rPr>
        <w:t>51</w:t>
      </w:r>
      <w:r>
        <w:fldChar w:fldCharType="end"/>
      </w:r>
      <w:r>
        <w:t xml:space="preserve">  </w:t>
      </w:r>
      <w:commentRangeEnd w:id="280"/>
      <w:r w:rsidR="00E60A0C">
        <w:rPr>
          <w:rStyle w:val="CommentReference"/>
        </w:rPr>
        <w:commentReference w:id="280"/>
      </w:r>
    </w:p>
    <w:p w14:paraId="53D22C29" w14:textId="65575BF6" w:rsidR="00C573B0" w:rsidRPr="00E60418" w:rsidRDefault="00C573B0" w:rsidP="002E50FA">
      <w:pPr>
        <w:pStyle w:val="BodyText"/>
        <w:numPr>
          <w:ilvl w:val="0"/>
          <w:numId w:val="28"/>
        </w:numPr>
        <w:spacing w:before="0" w:after="0"/>
        <w:jc w:val="both"/>
        <w:rPr>
          <w:b/>
          <w:bCs/>
        </w:rPr>
      </w:pPr>
      <w:r w:rsidRPr="00E60418">
        <w:rPr>
          <w:color w:val="000000"/>
          <w:lang w:eastAsia="ja-JP"/>
        </w:rPr>
        <w:t>For patients on ART, the weight applied</w:t>
      </w:r>
      <w:r w:rsidR="00E60418" w:rsidRPr="00E60418">
        <w:rPr>
          <w:color w:val="000000"/>
          <w:lang w:eastAsia="ja-JP"/>
        </w:rPr>
        <w:t xml:space="preserve"> to adjust for the misclassification of patients is extracted from previous study examining LTFU using </w:t>
      </w:r>
      <w:proofErr w:type="spellStart"/>
      <w:r w:rsidR="00E60418" w:rsidRPr="00E60418">
        <w:rPr>
          <w:color w:val="000000"/>
          <w:lang w:eastAsia="ja-JP"/>
        </w:rPr>
        <w:t>IeDEA</w:t>
      </w:r>
      <w:proofErr w:type="spellEnd"/>
      <w:r w:rsidR="00E60418" w:rsidRPr="00E60418">
        <w:rPr>
          <w:color w:val="000000"/>
          <w:lang w:eastAsia="ja-JP"/>
        </w:rPr>
        <w:t xml:space="preserve"> data, which is calculated based on a meta-analysis in sub-Saharan area. </w:t>
      </w:r>
      <w:r w:rsidRPr="00E60418">
        <w:rPr>
          <w:color w:val="000000"/>
          <w:lang w:eastAsia="ja-JP"/>
        </w:rPr>
        <w:t>The proportion of patients LTFU having died is 20.8%.</w:t>
      </w:r>
      <w:r w:rsidRPr="00E60418">
        <w:rPr>
          <w:color w:val="000000" w:themeColor="text1"/>
        </w:rPr>
        <w:fldChar w:fldCharType="begin" w:fldLock="1"/>
      </w:r>
      <w:r w:rsidR="007527CC">
        <w:rPr>
          <w:color w:val="000000" w:themeColor="text1"/>
          <w:lang w:eastAsia="ja-JP"/>
        </w:rPr>
        <w:instrText>ADDIN CSL_CITATION {"citationItems":[{"id":"ITEM-1","itemData":{"DOI":"10.1002/jia2.25084","ISSN":"17582652","abstract":"Introduction: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Society","id":"ITEM-1","issue":"2","issued":{"date-parts":[["2018"]]},"page":"1-7","title":"Retention and mortality on antiretroviral therapy in sub-Saharan Africa: Collaborative analyses of HIV treatment programmes: Collaborative","type":"article-journal","volume":"21"},"uris":["http://www.mendeley.com/documents/?uuid=973be433-f329-438c-a007-d6d819f544b0"]}],"mendeley":{"formattedCitation":"&lt;sup&gt;56&lt;/sup&gt;","plainTextFormattedCitation":"56","previouslyFormattedCitation":"&lt;sup&gt;56&lt;/sup&gt;"},"properties":{"noteIndex":0},"schema":"https://github.com/citation-style-language/schema/raw/master/csl-citation.json"}</w:instrText>
      </w:r>
      <w:r w:rsidRPr="00E60418">
        <w:rPr>
          <w:color w:val="000000" w:themeColor="text1"/>
        </w:rPr>
        <w:fldChar w:fldCharType="separate"/>
      </w:r>
      <w:r w:rsidR="00036C3E" w:rsidRPr="00036C3E">
        <w:rPr>
          <w:noProof/>
          <w:color w:val="000000" w:themeColor="text1"/>
          <w:vertAlign w:val="superscript"/>
        </w:rPr>
        <w:t>56</w:t>
      </w:r>
      <w:r w:rsidRPr="00E60418">
        <w:rPr>
          <w:color w:val="000000" w:themeColor="text1"/>
        </w:rPr>
        <w:fldChar w:fldCharType="end"/>
      </w:r>
    </w:p>
    <w:p w14:paraId="7423F8EB" w14:textId="77777777" w:rsidR="00C9678A" w:rsidRPr="00DC1005" w:rsidRDefault="00C9678A" w:rsidP="001D10D4">
      <w:pPr>
        <w:jc w:val="both"/>
      </w:pPr>
    </w:p>
    <w:p w14:paraId="385D6174" w14:textId="77777777" w:rsidR="00C573B0" w:rsidRDefault="00C573B0" w:rsidP="00C573B0">
      <w:pPr>
        <w:jc w:val="both"/>
        <w:rPr>
          <w:b/>
          <w:bCs/>
          <w:i/>
          <w:iCs/>
        </w:rPr>
      </w:pPr>
      <w:r>
        <w:rPr>
          <w:b/>
          <w:bCs/>
          <w:i/>
          <w:iCs/>
        </w:rPr>
        <w:t xml:space="preserve">Assumptions. </w:t>
      </w:r>
    </w:p>
    <w:p w14:paraId="7170705C" w14:textId="7ED582CE" w:rsidR="00C573B0" w:rsidRDefault="00C573B0" w:rsidP="002E50FA">
      <w:pPr>
        <w:pStyle w:val="ListParagraph"/>
        <w:numPr>
          <w:ilvl w:val="0"/>
          <w:numId w:val="27"/>
        </w:numPr>
        <w:jc w:val="both"/>
      </w:pPr>
      <w:r>
        <w:t xml:space="preserve">We assume a linear trend in the decrease of CD4 level for individuals living with HIV. </w:t>
      </w:r>
    </w:p>
    <w:p w14:paraId="60081C1C" w14:textId="2EEBB4F6" w:rsidR="00925B9D" w:rsidRDefault="00925B9D" w:rsidP="002E50FA">
      <w:pPr>
        <w:pStyle w:val="ListParagraph"/>
        <w:numPr>
          <w:ilvl w:val="0"/>
          <w:numId w:val="27"/>
        </w:numPr>
        <w:jc w:val="both"/>
      </w:pPr>
      <w:r>
        <w:t>W</w:t>
      </w:r>
      <w:r w:rsidRPr="00050905">
        <w:t>e assume that all patients who initiate ART are viral</w:t>
      </w:r>
      <w:r>
        <w:t>ly</w:t>
      </w:r>
      <w:r w:rsidRPr="00050905">
        <w:t xml:space="preserve"> suppressed unless there is evidence of </w:t>
      </w:r>
      <w:r>
        <w:t>virological failure</w:t>
      </w:r>
      <w:r w:rsidRPr="00050905">
        <w:t>.</w:t>
      </w:r>
      <w:r w:rsidRPr="00050905">
        <w:fldChar w:fldCharType="begin" w:fldLock="1"/>
      </w:r>
      <w:r w:rsidR="007527CC">
        <w:instrText>ADDIN CSL_CITATION {"citationItems":[{"id":"ITEM-1","itemData":{"author":[{"dropping-particle":"","family":"Rwanda Ministry of Health","given":"","non-dropping-particle":"","parse-names":false,"suffix":""}],"id":"ITEM-1","issued":{"date-parts":[["2018"]]},"number-of-pages":"1-40","title":"National Guidelines for Prevention and Managment of HIV - Edition 2018","type":"report"},"uris":["http://www.mendeley.com/documents/?uuid=a0b1743d-776f-4749-8f67-65bf09c0c005"]}],"mendeley":{"formattedCitation":"&lt;sup&gt;68&lt;/sup&gt;","plainTextFormattedCitation":"68","previouslyFormattedCitation":"&lt;sup&gt;68&lt;/sup&gt;"},"properties":{"noteIndex":0},"schema":"https://github.com/citation-style-language/schema/raw/master/csl-citation.json"}</w:instrText>
      </w:r>
      <w:r w:rsidRPr="00050905">
        <w:fldChar w:fldCharType="separate"/>
      </w:r>
      <w:r w:rsidR="00036C3E" w:rsidRPr="00036C3E">
        <w:rPr>
          <w:noProof/>
          <w:vertAlign w:val="superscript"/>
        </w:rPr>
        <w:t>68</w:t>
      </w:r>
      <w:r w:rsidRPr="00050905">
        <w:fldChar w:fldCharType="end"/>
      </w:r>
      <w:r>
        <w:t xml:space="preserve"> </w:t>
      </w:r>
    </w:p>
    <w:p w14:paraId="0C6641C5" w14:textId="0F54C974" w:rsidR="00FB6B71" w:rsidRDefault="00FB6B71" w:rsidP="002E50FA">
      <w:pPr>
        <w:pStyle w:val="ListParagraph"/>
        <w:numPr>
          <w:ilvl w:val="0"/>
          <w:numId w:val="27"/>
        </w:numPr>
        <w:jc w:val="both"/>
      </w:pPr>
      <w:r>
        <w:t>We assume that a single HIV RNA test results of &gt;1000 copies/ml will indicate the virological failure.</w:t>
      </w:r>
    </w:p>
    <w:p w14:paraId="6A7FA836" w14:textId="430347CD" w:rsidR="00C9678A" w:rsidRDefault="00C9678A" w:rsidP="00527179">
      <w:pPr>
        <w:jc w:val="both"/>
        <w:rPr>
          <w:b/>
          <w:bCs/>
        </w:rPr>
      </w:pPr>
    </w:p>
    <w:p w14:paraId="75E6BD17" w14:textId="77777777" w:rsidR="00C573B0" w:rsidRPr="002F5853" w:rsidRDefault="00C573B0" w:rsidP="00C573B0">
      <w:pPr>
        <w:jc w:val="both"/>
        <w:rPr>
          <w:b/>
          <w:bCs/>
          <w:i/>
          <w:iCs/>
        </w:rPr>
      </w:pPr>
      <w:r w:rsidRPr="002F5853">
        <w:rPr>
          <w:b/>
          <w:bCs/>
          <w:i/>
          <w:iCs/>
        </w:rPr>
        <w:t>Estimati</w:t>
      </w:r>
      <w:r>
        <w:rPr>
          <w:b/>
          <w:bCs/>
          <w:i/>
          <w:iCs/>
        </w:rPr>
        <w:t>on</w:t>
      </w:r>
    </w:p>
    <w:p w14:paraId="2FF1162A" w14:textId="14EE743F" w:rsidR="00C573B0" w:rsidRDefault="00C573B0" w:rsidP="00C573B0">
      <w:pPr>
        <w:jc w:val="both"/>
      </w:pPr>
      <w:r w:rsidRPr="005E7705">
        <w:t xml:space="preserve">The probability of </w:t>
      </w:r>
      <w:r>
        <w:t>on ART and viral suppression</w:t>
      </w:r>
      <w:r w:rsidR="003C7D23">
        <w:t xml:space="preserve"> (</w:t>
      </w:r>
      <w:r w:rsidR="00BB226C">
        <w:rPr>
          <w:b/>
          <w:bCs/>
        </w:rPr>
        <w:fldChar w:fldCharType="begin"/>
      </w:r>
      <w:r w:rsidR="00BB226C">
        <w:instrText xml:space="preserve"> REF _Ref82432163 \h </w:instrText>
      </w:r>
      <w:r w:rsidR="00BB226C">
        <w:rPr>
          <w:b/>
          <w:bCs/>
        </w:rPr>
      </w:r>
      <w:r w:rsidR="00BB226C">
        <w:rPr>
          <w:b/>
          <w:bCs/>
        </w:rPr>
        <w:fldChar w:fldCharType="separate"/>
      </w:r>
      <w:r w:rsidR="001E49BE" w:rsidRPr="00B97521">
        <w:rPr>
          <w:b/>
          <w:bCs/>
        </w:rPr>
        <w:t xml:space="preserve">Table </w:t>
      </w:r>
      <w:r w:rsidR="001E49BE">
        <w:rPr>
          <w:b/>
          <w:bCs/>
          <w:noProof/>
        </w:rPr>
        <w:t>14</w:t>
      </w:r>
      <w:r w:rsidR="00BB226C">
        <w:rPr>
          <w:b/>
          <w:bCs/>
        </w:rPr>
        <w:fldChar w:fldCharType="end"/>
      </w:r>
      <w:r w:rsidR="003C7D23">
        <w:rPr>
          <w:b/>
          <w:bCs/>
        </w:rPr>
        <w:t>)</w:t>
      </w:r>
      <w:r w:rsidRPr="005E7705">
        <w:t xml:space="preserve"> will be estimated using a weighted competing risk model</w:t>
      </w:r>
      <w:r>
        <w:t xml:space="preserve"> for each sub-population</w:t>
      </w:r>
      <w:r w:rsidR="003C7D23">
        <w:t>.</w:t>
      </w:r>
      <w:r>
        <w:t xml:space="preserve"> </w:t>
      </w:r>
      <w:bookmarkStart w:id="281" w:name="OLE_LINK27"/>
      <w:bookmarkStart w:id="282" w:name="OLE_LINK28"/>
      <w:commentRangeStart w:id="283"/>
      <w:commentRangeStart w:id="284"/>
      <w:r w:rsidR="00A644DC">
        <w:t>This model is selected against the traditional Kaplan-Meier model because the probability of event (i.e., ART and suppressed) is not independent to the censor date</w:t>
      </w:r>
      <w:r w:rsidR="006B70CA">
        <w:t xml:space="preserve"> </w:t>
      </w:r>
      <w:r w:rsidR="00A644DC">
        <w:t xml:space="preserve">(e.g., the probability of viral suppression will be zero when patient has died or LTFU). </w:t>
      </w:r>
      <w:commentRangeEnd w:id="283"/>
      <w:r w:rsidR="00A644DC">
        <w:rPr>
          <w:rStyle w:val="CommentReference"/>
        </w:rPr>
        <w:commentReference w:id="283"/>
      </w:r>
      <w:commentRangeEnd w:id="284"/>
      <w:r w:rsidR="00A644DC">
        <w:rPr>
          <w:rStyle w:val="CommentReference"/>
        </w:rPr>
        <w:commentReference w:id="284"/>
      </w:r>
      <w:r w:rsidR="00A644DC" w:rsidDel="003C7D23">
        <w:t xml:space="preserve"> </w:t>
      </w:r>
      <w:bookmarkEnd w:id="281"/>
      <w:bookmarkEnd w:id="282"/>
      <w:r w:rsidR="00A644DC">
        <w:t>LTFU</w:t>
      </w:r>
      <w:r>
        <w:t xml:space="preserve"> and death will be modeled as the competing risks. The competing risk model is presented as follows.</w:t>
      </w:r>
    </w:p>
    <w:p w14:paraId="4EEC1802" w14:textId="77777777" w:rsidR="00C573B0" w:rsidRDefault="00C573B0" w:rsidP="00C573B0">
      <w:pPr>
        <w:jc w:val="both"/>
      </w:pPr>
    </w:p>
    <w:p w14:paraId="5261DAE5" w14:textId="1AEE4358" w:rsidR="00C573B0" w:rsidRDefault="00000000" w:rsidP="00C573B0">
      <w:pPr>
        <w:pStyle w:val="BodyText"/>
        <w:spacing w:before="0" w:after="0"/>
        <w:jc w:val="both"/>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p</m:t>
            </m:r>
          </m:sub>
          <m:sup>
            <m:r>
              <w:rPr>
                <w:rFonts w:ascii="Cambria Math" w:hAnsi="Cambria Math"/>
              </w:rPr>
              <m:t>w</m:t>
            </m:r>
          </m:sup>
        </m:sSubSup>
        <m:d>
          <m:dPr>
            <m:ctrlPr>
              <w:rPr>
                <w:rFonts w:ascii="Cambria Math" w:hAnsi="Cambria Math"/>
                <w:i/>
              </w:rPr>
            </m:ctrlPr>
          </m:dPr>
          <m:e>
            <m:r>
              <w:rPr>
                <w:rFonts w:ascii="Cambria Math" w:hAnsi="Cambria Math"/>
              </w:rPr>
              <m:t>t</m:t>
            </m:r>
          </m:e>
          <m:e>
            <m:r>
              <m:rPr>
                <m:sty m:val="bi"/>
              </m:rPr>
              <w:rPr>
                <w:rFonts w:ascii="Cambria Math" w:hAnsi="Cambria Math"/>
              </w:rPr>
              <m:t>X</m:t>
            </m:r>
          </m:e>
        </m:d>
        <m:r>
          <w:rPr>
            <w:rFonts w:ascii="Cambria Math" w:hAnsi="Cambria Math"/>
          </w:rPr>
          <m:t xml:space="preserve">= </m:t>
        </m:r>
        <m:nary>
          <m:naryPr>
            <m:limLoc m:val="subSup"/>
            <m:ctrlPr>
              <w:rPr>
                <w:rFonts w:ascii="Cambria Math" w:hAnsi="Cambria Math"/>
                <w:i/>
              </w:rPr>
            </m:ctrlPr>
          </m:naryPr>
          <m:sub>
            <m:r>
              <w:rPr>
                <w:rFonts w:ascii="Cambria Math" w:hAnsi="Cambria Math"/>
              </w:rPr>
              <m:t>o</m:t>
            </m:r>
          </m:sub>
          <m:sup>
            <m:r>
              <w:rPr>
                <w:rFonts w:ascii="Cambria Math" w:hAnsi="Cambria Math"/>
              </w:rPr>
              <m:t>t</m:t>
            </m:r>
          </m:sup>
          <m:e>
            <m:sSup>
              <m:sSupPr>
                <m:ctrlPr>
                  <w:rPr>
                    <w:rFonts w:ascii="Cambria Math" w:hAnsi="Cambria Math"/>
                    <w:i/>
                  </w:rPr>
                </m:ctrlPr>
              </m:sSupPr>
              <m:e>
                <m:r>
                  <w:rPr>
                    <w:rFonts w:ascii="Cambria Math" w:hAnsi="Cambria Math"/>
                  </w:rPr>
                  <m:t>S</m:t>
                </m:r>
              </m:e>
              <m:sup>
                <m:r>
                  <w:rPr>
                    <w:rFonts w:ascii="Cambria Math" w:hAnsi="Cambria Math"/>
                  </w:rPr>
                  <m:t>w</m:t>
                </m:r>
              </m:sup>
            </m:sSup>
            <m:d>
              <m:dPr>
                <m:ctrlPr>
                  <w:rPr>
                    <w:rFonts w:ascii="Cambria Math" w:hAnsi="Cambria Math"/>
                    <w:i/>
                  </w:rPr>
                </m:ctrlPr>
              </m:dPr>
              <m:e>
                <m:r>
                  <w:rPr>
                    <w:rFonts w:ascii="Cambria Math" w:hAnsi="Cambria Math"/>
                  </w:rPr>
                  <m:t>s</m:t>
                </m:r>
              </m:e>
              <m:e>
                <m:r>
                  <m:rPr>
                    <m:sty m:val="bi"/>
                  </m:rPr>
                  <w:rPr>
                    <w:rFonts w:ascii="Cambria Math" w:hAnsi="Cambria Math"/>
                  </w:rPr>
                  <m:t>X</m:t>
                </m:r>
              </m:e>
            </m:d>
            <m:r>
              <w:rPr>
                <w:rFonts w:ascii="Cambria Math" w:hAnsi="Cambria Math"/>
              </w:rPr>
              <m:t xml:space="preserve"> </m:t>
            </m:r>
            <m:sSubSup>
              <m:sSubSupPr>
                <m:ctrlPr>
                  <w:rPr>
                    <w:rFonts w:ascii="Cambria Math" w:hAnsi="Cambria Math"/>
                    <w:i/>
                    <w:iCs/>
                  </w:rPr>
                </m:ctrlPr>
              </m:sSubSupPr>
              <m:e>
                <m:r>
                  <w:rPr>
                    <w:rFonts w:ascii="Cambria Math" w:hAnsi="Cambria Math"/>
                  </w:rPr>
                  <m:t>h</m:t>
                </m:r>
              </m:e>
              <m:sub>
                <m:r>
                  <w:rPr>
                    <w:rFonts w:ascii="Cambria Math" w:hAnsi="Cambria Math"/>
                  </w:rPr>
                  <m:t>p</m:t>
                </m:r>
              </m:sub>
              <m:sup>
                <m:r>
                  <w:rPr>
                    <w:rFonts w:ascii="Cambria Math" w:hAnsi="Cambria Math"/>
                  </w:rPr>
                  <m:t>w</m:t>
                </m:r>
              </m:sup>
            </m:sSubSup>
            <m:d>
              <m:dPr>
                <m:ctrlPr>
                  <w:rPr>
                    <w:rFonts w:ascii="Cambria Math" w:hAnsi="Cambria Math"/>
                    <w:i/>
                  </w:rPr>
                </m:ctrlPr>
              </m:dPr>
              <m:e>
                <m:r>
                  <w:rPr>
                    <w:rFonts w:ascii="Cambria Math" w:hAnsi="Cambria Math"/>
                  </w:rPr>
                  <m:t>s</m:t>
                </m:r>
              </m:e>
              <m:e>
                <m:r>
                  <m:rPr>
                    <m:sty m:val="bi"/>
                  </m:rPr>
                  <w:rPr>
                    <w:rFonts w:ascii="Cambria Math" w:hAnsi="Cambria Math"/>
                  </w:rPr>
                  <m:t>X</m:t>
                </m:r>
              </m:e>
            </m:d>
            <m:r>
              <w:rPr>
                <w:rFonts w:ascii="Cambria Math" w:hAnsi="Cambria Math"/>
              </w:rPr>
              <m:t xml:space="preserve"> ds</m:t>
            </m:r>
          </m:e>
        </m:nary>
      </m:oMath>
      <w:r w:rsidR="00592C48">
        <w:rPr>
          <w:rFonts w:eastAsiaTheme="minorEastAsia"/>
        </w:rPr>
        <w:tab/>
      </w:r>
      <w:r w:rsidR="00592C48">
        <w:rPr>
          <w:rFonts w:eastAsiaTheme="minorEastAsia"/>
        </w:rPr>
        <w:tab/>
      </w:r>
      <w:r w:rsidR="00592C48">
        <w:rPr>
          <w:rFonts w:eastAsiaTheme="minorEastAsia"/>
        </w:rPr>
        <w:tab/>
      </w:r>
      <w:r w:rsidR="00592C48">
        <w:rPr>
          <w:rFonts w:eastAsiaTheme="minorEastAsia"/>
        </w:rPr>
        <w:tab/>
      </w:r>
      <w:r w:rsidR="00592C48">
        <w:rPr>
          <w:rFonts w:eastAsiaTheme="minorEastAsia"/>
        </w:rPr>
        <w:tab/>
      </w:r>
      <w:r w:rsidR="00592C48">
        <w:rPr>
          <w:rFonts w:eastAsiaTheme="minorEastAsia"/>
        </w:rPr>
        <w:tab/>
      </w:r>
      <w:r w:rsidR="00592C48">
        <w:rPr>
          <w:rFonts w:eastAsiaTheme="minorEastAsia"/>
        </w:rPr>
        <w:tab/>
      </w:r>
      <w:r w:rsidR="00592C48">
        <w:rPr>
          <w:rFonts w:eastAsiaTheme="minorEastAsia"/>
        </w:rPr>
        <w:tab/>
        <w:t>(</w:t>
      </w:r>
      <w:r w:rsidR="00FA0F83">
        <w:rPr>
          <w:rFonts w:eastAsiaTheme="minorEastAsia"/>
        </w:rPr>
        <w:t>12</w:t>
      </w:r>
      <w:r w:rsidR="00592C48">
        <w:rPr>
          <w:rFonts w:eastAsiaTheme="minorEastAsia"/>
        </w:rPr>
        <w:t>)</w:t>
      </w:r>
    </w:p>
    <w:p w14:paraId="1361E53F" w14:textId="77777777" w:rsidR="00592C48" w:rsidRPr="00592C48" w:rsidRDefault="00592C48" w:rsidP="00C573B0">
      <w:pPr>
        <w:pStyle w:val="BodyText"/>
        <w:spacing w:before="0" w:after="0"/>
        <w:jc w:val="both"/>
      </w:pPr>
    </w:p>
    <w:p w14:paraId="0F1758B0" w14:textId="5F0C0C83" w:rsidR="00C573B0" w:rsidRDefault="00C573B0" w:rsidP="00C573B0">
      <w:pPr>
        <w:pStyle w:val="BodyText"/>
        <w:spacing w:before="0" w:after="0"/>
        <w:jc w:val="both"/>
        <w:rPr>
          <w:iCs/>
        </w:rPr>
      </w:pPr>
      <w:r w:rsidRPr="005E7705">
        <w:rPr>
          <w:iCs/>
        </w:rPr>
        <w:t>Where,</w:t>
      </w:r>
      <w:r w:rsidRPr="005E7705">
        <w:rPr>
          <w:i/>
        </w:rPr>
        <w:t xml:space="preserve"> p</w:t>
      </w:r>
      <w:r w:rsidRPr="005E7705">
        <w:rPr>
          <w:iCs/>
        </w:rPr>
        <w:t xml:space="preserve"> = </w:t>
      </w:r>
      <w:r>
        <w:rPr>
          <w:iCs/>
        </w:rPr>
        <w:t>viral suppression</w:t>
      </w:r>
      <w:r w:rsidRPr="005E7705">
        <w:t xml:space="preserve">, w = weight to account for underestimation of </w:t>
      </w:r>
      <w:r>
        <w:t>on ART and viral suppression,</w:t>
      </w:r>
      <w:r w:rsidRPr="005E7705">
        <w:t xml:space="preserve"> </w:t>
      </w:r>
      <w:r w:rsidRPr="005E7705">
        <w:rPr>
          <w:i/>
          <w:iCs/>
        </w:rPr>
        <w:t xml:space="preserve">S </w:t>
      </w:r>
      <w:r w:rsidRPr="005E7705">
        <w:t xml:space="preserve">= event-free function (survival from </w:t>
      </w:r>
      <w:r>
        <w:t>death</w:t>
      </w:r>
      <w:r w:rsidRPr="005E7705">
        <w:t xml:space="preserve">, or </w:t>
      </w:r>
      <w:r>
        <w:t>on ART and suppressed</w:t>
      </w:r>
      <w:r w:rsidRPr="005E7705">
        <w:t>),</w:t>
      </w:r>
      <w:r w:rsidRPr="005E7705">
        <w:rPr>
          <w:iCs/>
        </w:rP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p</m:t>
            </m:r>
          </m:sub>
          <m:sup>
            <m:r>
              <w:rPr>
                <w:rFonts w:ascii="Cambria Math" w:hAnsi="Cambria Math"/>
              </w:rPr>
              <m:t>w</m:t>
            </m:r>
          </m:sup>
        </m:sSubSup>
        <m:d>
          <m:dPr>
            <m:ctrlPr>
              <w:rPr>
                <w:rFonts w:ascii="Cambria Math" w:hAnsi="Cambria Math"/>
                <w:i/>
              </w:rPr>
            </m:ctrlPr>
          </m:dPr>
          <m:e>
            <m:r>
              <w:rPr>
                <w:rFonts w:ascii="Cambria Math" w:hAnsi="Cambria Math"/>
              </w:rPr>
              <m:t>t</m:t>
            </m:r>
          </m:e>
          <m:e>
            <m:r>
              <m:rPr>
                <m:sty m:val="bi"/>
              </m:rPr>
              <w:rPr>
                <w:rFonts w:ascii="Cambria Math" w:hAnsi="Cambria Math"/>
              </w:rPr>
              <m:t>X</m:t>
            </m:r>
          </m:e>
        </m:d>
      </m:oMath>
      <w:r w:rsidRPr="005E7705">
        <w:rPr>
          <w:iCs/>
        </w:rPr>
        <w:t xml:space="preserve"> = weighted probability of being </w:t>
      </w:r>
      <w:r>
        <w:rPr>
          <w:iCs/>
        </w:rPr>
        <w:t>on ART and suppressed</w:t>
      </w:r>
      <w:r w:rsidRPr="005E7705">
        <w:rPr>
          <w:iCs/>
        </w:rPr>
        <w:t xml:space="preserve"> before time</w:t>
      </w:r>
      <m:oMath>
        <m:r>
          <w:rPr>
            <w:rFonts w:ascii="Cambria Math" w:hAnsi="Cambria Math"/>
          </w:rPr>
          <m:t xml:space="preserve"> t</m:t>
        </m:r>
      </m:oMath>
      <w:r w:rsidRPr="005E7705">
        <w:rPr>
          <w:iCs/>
        </w:rPr>
        <w:t xml:space="preserve">, </w:t>
      </w:r>
      <w:r w:rsidRPr="005E7705">
        <w:rPr>
          <w:b/>
          <w:bCs/>
          <w:i/>
        </w:rPr>
        <w:t>X</w:t>
      </w:r>
      <w:r w:rsidRPr="005E7705">
        <w:rPr>
          <w:b/>
          <w:bCs/>
          <w:iCs/>
        </w:rPr>
        <w:t xml:space="preserve"> </w:t>
      </w:r>
      <w:r w:rsidRPr="005E7705">
        <w:rPr>
          <w:iCs/>
        </w:rPr>
        <w:t xml:space="preserve">= vector of predictor variables (e.g., site) for patient </w:t>
      </w:r>
      <m:oMath>
        <m:r>
          <w:rPr>
            <w:rFonts w:ascii="Cambria Math" w:hAnsi="Cambria Math"/>
          </w:rPr>
          <m:t>i</m:t>
        </m:r>
      </m:oMath>
      <w:r w:rsidRPr="005E7705">
        <w:rPr>
          <w:iCs/>
        </w:rPr>
        <w:t xml:space="preserve">, </w:t>
      </w:r>
      <m:oMath>
        <m:sSubSup>
          <m:sSubSupPr>
            <m:ctrlPr>
              <w:rPr>
                <w:rFonts w:ascii="Cambria Math" w:hAnsi="Cambria Math"/>
                <w:i/>
                <w:iCs/>
              </w:rPr>
            </m:ctrlPr>
          </m:sSubSupPr>
          <m:e>
            <m:r>
              <w:rPr>
                <w:rFonts w:ascii="Cambria Math" w:hAnsi="Cambria Math"/>
              </w:rPr>
              <m:t>h</m:t>
            </m:r>
          </m:e>
          <m:sub>
            <m:r>
              <w:rPr>
                <w:rFonts w:ascii="Cambria Math" w:hAnsi="Cambria Math"/>
              </w:rPr>
              <m:t>p</m:t>
            </m:r>
          </m:sub>
          <m:sup>
            <m:r>
              <w:rPr>
                <w:rFonts w:ascii="Cambria Math" w:hAnsi="Cambria Math"/>
              </w:rPr>
              <m:t>w</m:t>
            </m:r>
          </m:sup>
        </m:sSubSup>
        <m:d>
          <m:dPr>
            <m:ctrlPr>
              <w:rPr>
                <w:rFonts w:ascii="Cambria Math" w:hAnsi="Cambria Math"/>
                <w:i/>
              </w:rPr>
            </m:ctrlPr>
          </m:dPr>
          <m:e>
            <m:r>
              <w:rPr>
                <w:rFonts w:ascii="Cambria Math" w:hAnsi="Cambria Math"/>
              </w:rPr>
              <m:t>s</m:t>
            </m:r>
          </m:e>
          <m:e>
            <m:r>
              <m:rPr>
                <m:sty m:val="bi"/>
              </m:rPr>
              <w:rPr>
                <w:rFonts w:ascii="Cambria Math" w:hAnsi="Cambria Math"/>
              </w:rPr>
              <m:t>X</m:t>
            </m:r>
          </m:e>
        </m:d>
      </m:oMath>
      <w:r w:rsidRPr="005E7705">
        <w:rPr>
          <w:iCs/>
        </w:rPr>
        <w:t xml:space="preserve"> = cause-specific weighted hazard function for </w:t>
      </w:r>
      <w:r>
        <w:rPr>
          <w:iCs/>
        </w:rPr>
        <w:t>on ART and suppressed</w:t>
      </w:r>
      <w:r w:rsidRPr="005E7705">
        <w:rPr>
          <w:iCs/>
        </w:rPr>
        <w:t xml:space="preserve">, and </w:t>
      </w:r>
      <m:oMath>
        <m:sSup>
          <m:sSupPr>
            <m:ctrlPr>
              <w:rPr>
                <w:rFonts w:ascii="Cambria Math" w:hAnsi="Cambria Math"/>
                <w:i/>
              </w:rPr>
            </m:ctrlPr>
          </m:sSupPr>
          <m:e>
            <m:r>
              <w:rPr>
                <w:rFonts w:ascii="Cambria Math" w:hAnsi="Cambria Math"/>
              </w:rPr>
              <m:t>S</m:t>
            </m:r>
          </m:e>
          <m:sup>
            <m:r>
              <w:rPr>
                <w:rFonts w:ascii="Cambria Math" w:hAnsi="Cambria Math"/>
              </w:rPr>
              <m:t>w</m:t>
            </m:r>
          </m:sup>
        </m:sSup>
        <m:d>
          <m:dPr>
            <m:ctrlPr>
              <w:rPr>
                <w:rFonts w:ascii="Cambria Math" w:hAnsi="Cambria Math"/>
                <w:i/>
              </w:rPr>
            </m:ctrlPr>
          </m:dPr>
          <m:e>
            <m:r>
              <w:rPr>
                <w:rFonts w:ascii="Cambria Math" w:hAnsi="Cambria Math"/>
              </w:rPr>
              <m:t>s</m:t>
            </m:r>
          </m:e>
          <m:e>
            <m:r>
              <m:rPr>
                <m:sty m:val="bi"/>
              </m:rPr>
              <w:rPr>
                <w:rFonts w:ascii="Cambria Math" w:hAnsi="Cambria Math"/>
              </w:rPr>
              <m:t>X</m:t>
            </m:r>
          </m:e>
        </m:d>
      </m:oMath>
      <w:r w:rsidRPr="005E7705">
        <w:rPr>
          <w:iCs/>
        </w:rPr>
        <w:t xml:space="preserve"> = time-dependent weighted probability that the patient with factors </w:t>
      </w:r>
      <w:r w:rsidRPr="005E7705">
        <w:rPr>
          <w:b/>
          <w:bCs/>
          <w:i/>
        </w:rPr>
        <w:t>X</w:t>
      </w:r>
      <w:r w:rsidRPr="005E7705">
        <w:rPr>
          <w:iCs/>
        </w:rPr>
        <w:t xml:space="preserve"> is event-free.</w:t>
      </w:r>
    </w:p>
    <w:p w14:paraId="0DB21515" w14:textId="77777777" w:rsidR="00C573B0" w:rsidRDefault="00C573B0" w:rsidP="00C573B0">
      <w:pPr>
        <w:jc w:val="both"/>
      </w:pPr>
    </w:p>
    <w:p w14:paraId="03DF8280" w14:textId="228BBC5F" w:rsidR="00C573B0" w:rsidRPr="00665C6D" w:rsidRDefault="00C573B0" w:rsidP="00C573B0">
      <w:pPr>
        <w:pStyle w:val="BodyText"/>
        <w:spacing w:before="0" w:after="0"/>
        <w:jc w:val="both"/>
        <w:rPr>
          <w:iCs/>
        </w:rPr>
      </w:pPr>
      <w:r>
        <w:t xml:space="preserve">In the weighted competing risk model, we will calculate time at risk for each individual to estimate the hazard function of on ART and suppressed, which is based on the residence time within a CD4 cell count stratum. The process for estimating the time-at-risk can be found in </w:t>
      </w:r>
      <w:r>
        <w:rPr>
          <w:b/>
          <w:bCs/>
        </w:rPr>
        <w:t xml:space="preserve">Appendix A3. </w:t>
      </w:r>
      <w:r>
        <w:t xml:space="preserve">We </w:t>
      </w:r>
      <w:r>
        <w:lastRenderedPageBreak/>
        <w:t xml:space="preserve">will control for site-level factors only (i.e. clinics) since </w:t>
      </w:r>
      <w:r w:rsidRPr="005E7705">
        <w:t xml:space="preserve">clinic- or site-level factors can be associated with </w:t>
      </w:r>
      <w:r w:rsidR="00A644DC">
        <w:t>viral suppression.</w:t>
      </w:r>
      <w:r w:rsidRPr="005E7705">
        <w:fldChar w:fldCharType="begin" w:fldLock="1"/>
      </w:r>
      <w:r w:rsidR="007527CC">
        <w:instrText>ADDIN CSL_CITATION {"citationItems":[{"id":"ITEM-1","itemData":{"DOI":"10.1186/1742-6405-4-11","ISSN":"17426405","abstract":"During the extended clinically latent period associated with Human Immunodeficiency Virus (HIV) infection the virus itself is far from latent. This phase of infection generally comes to an end with the development of symptomatic illness. Understanding the factors affecting disease progression can aid treatment commencement and therapeutic monitoring decisions. An example of this is the clear utility of CD4+ T-cell count and HIV-RNA for disease stage and progression assessment. Elements of the immune response such as the diversity of HIV-specific cytotoxic lymphocyte responses and cell-surface CD38 expression correlate significantly with the control of viral replication. However, the relationship between soluble markers of immune activation and disease progression remains inconclusive. In patients on treatment, sustained virological rebound to &gt;10 000 copies/mL is associated with poor clinical outcome. However, the same is not true of transient elevations of HIV RNA (blips). Another virological factor, drug resistance, is becoming a growing problem around the globe and monitoring must play a part in the surveillance and control of the epidemic worldwide. The links between chemokine receptor tropism and rate of disease progression remain uncertain and the clinical utility of monitoring viral strain is yet to be determined. The large number of confounding factors has made investigation of the roles of race and viral subtype difficult, and further research is needed to elucidate their significance. Host actors such as age, HLA and CYP polymorphisms and psychosocial factors remain important, though often unalterable, predictors of disease progression. Although gender and mode of transmission have a lesser role in disease progression, they may impact other markers such as viral load. Finally, readily measurable markers of disease such as total lymphocyte count, haemoglobin, body mass index and delayed type hypersensitivity may come into favour as ART becomes increasingly available in resource-limited parts of the world. The influence of these, and other factors, on the clinical progression of HIV infection are reviewed in detail, both preceding and following treatment initiation. © 2007 Langford et al; licensee BioMed Central Ltd.","author":[{"dropping-particle":"","family":"Langford","given":"Simone E.","non-dropping-particle":"","parse-names":false,"suffix":""},{"dropping-particle":"","family":"Ananworanich","given":"Jintanat","non-dropping-particle":"","parse-names":false,"suffix":""},{"dropping-particle":"","family":"Cooper","given":"David A.","non-dropping-particle":"","parse-names":false,"suffix":""}],"container-title":"AIDS Research and Therapy","id":"ITEM-1","issued":{"date-parts":[["2007"]]},"title":"Predictors of disease progression in HIV infection: A review","type":"article"},"uris":["http://www.mendeley.com/documents/?uuid=4a0d521d-4a7b-404e-bf76-154daa1c3363"]}],"mendeley":{"formattedCitation":"&lt;sup&gt;62&lt;/sup&gt;","plainTextFormattedCitation":"62","previouslyFormattedCitation":"&lt;sup&gt;62&lt;/sup&gt;"},"properties":{"noteIndex":0},"schema":"https://github.com/citation-style-language/schema/raw/master/csl-citation.json"}</w:instrText>
      </w:r>
      <w:r w:rsidRPr="005E7705">
        <w:fldChar w:fldCharType="separate"/>
      </w:r>
      <w:r w:rsidR="00036C3E" w:rsidRPr="00036C3E">
        <w:rPr>
          <w:noProof/>
          <w:vertAlign w:val="superscript"/>
        </w:rPr>
        <w:t>62</w:t>
      </w:r>
      <w:r w:rsidRPr="005E7705">
        <w:fldChar w:fldCharType="end"/>
      </w:r>
      <w:r w:rsidRPr="005E7705">
        <w:t xml:space="preserve"> </w:t>
      </w:r>
      <w:r>
        <w:t xml:space="preserve">We did not control for demographic characteristics or disease stage since the model is applied to each sub-population by CD4 stratum. </w:t>
      </w:r>
      <w:r>
        <w:rPr>
          <w:iCs/>
        </w:rPr>
        <w:t xml:space="preserve">The variables created for the model and </w:t>
      </w:r>
      <w:proofErr w:type="spellStart"/>
      <w:r>
        <w:rPr>
          <w:iCs/>
        </w:rPr>
        <w:t>IeDEA</w:t>
      </w:r>
      <w:proofErr w:type="spellEnd"/>
      <w:r>
        <w:rPr>
          <w:iCs/>
        </w:rPr>
        <w:t xml:space="preserve"> data used is presented in </w:t>
      </w:r>
      <w:r w:rsidR="00BB226C">
        <w:rPr>
          <w:b/>
          <w:bCs/>
          <w:iCs/>
        </w:rPr>
        <w:fldChar w:fldCharType="begin"/>
      </w:r>
      <w:r w:rsidR="00BB226C">
        <w:rPr>
          <w:iCs/>
        </w:rPr>
        <w:instrText xml:space="preserve"> REF _Ref82432028 \h </w:instrText>
      </w:r>
      <w:r w:rsidR="00BB226C">
        <w:rPr>
          <w:b/>
          <w:bCs/>
          <w:iCs/>
        </w:rPr>
      </w:r>
      <w:r w:rsidR="00BB226C">
        <w:rPr>
          <w:b/>
          <w:bCs/>
          <w:iCs/>
        </w:rPr>
        <w:fldChar w:fldCharType="separate"/>
      </w:r>
      <w:r w:rsidR="001E49BE" w:rsidRPr="004F6186">
        <w:rPr>
          <w:b/>
          <w:bCs/>
          <w:color w:val="000000" w:themeColor="text1"/>
        </w:rPr>
        <w:t xml:space="preserve">Table </w:t>
      </w:r>
      <w:r w:rsidR="001E49BE">
        <w:rPr>
          <w:b/>
          <w:bCs/>
          <w:noProof/>
          <w:color w:val="000000" w:themeColor="text1"/>
        </w:rPr>
        <w:t>13</w:t>
      </w:r>
      <w:r w:rsidR="00BB226C">
        <w:rPr>
          <w:b/>
          <w:bCs/>
          <w:iCs/>
        </w:rPr>
        <w:fldChar w:fldCharType="end"/>
      </w:r>
      <w:r>
        <w:rPr>
          <w:iCs/>
        </w:rPr>
        <w:t>.</w:t>
      </w:r>
    </w:p>
    <w:p w14:paraId="309E20FF" w14:textId="77777777" w:rsidR="00C573B0" w:rsidRDefault="00C573B0" w:rsidP="00C573B0">
      <w:pPr>
        <w:jc w:val="both"/>
      </w:pPr>
    </w:p>
    <w:p w14:paraId="196ADCAC" w14:textId="45224B9D" w:rsidR="00C9678A" w:rsidRPr="00DC1005" w:rsidRDefault="00C573B0" w:rsidP="003060F6">
      <w:pPr>
        <w:jc w:val="both"/>
      </w:pPr>
      <w:r w:rsidRPr="005E7705">
        <w:t xml:space="preserve">The model </w:t>
      </w:r>
      <w:r>
        <w:t xml:space="preserve">will </w:t>
      </w:r>
      <w:r w:rsidRPr="005E7705">
        <w:t>adjust for misclassification of competing risks (due to death) and censoring events</w:t>
      </w:r>
      <w:r>
        <w:t xml:space="preserve"> (</w:t>
      </w:r>
      <w:proofErr w:type="gramStart"/>
      <w:r>
        <w:t>e.g.</w:t>
      </w:r>
      <w:proofErr w:type="gramEnd"/>
      <w:r>
        <w:t xml:space="preserve"> LTFU)</w:t>
      </w:r>
      <w:r w:rsidRPr="005E7705">
        <w:t>.</w:t>
      </w:r>
      <w:r>
        <w:t xml:space="preserve"> </w:t>
      </w:r>
      <w:r w:rsidR="00C9678A" w:rsidRPr="00DC1005">
        <w:t>Evidence from sub-Saharan Africa suggests that some patients recorded as LTFU had died or transferred to another clinic.</w:t>
      </w:r>
      <w:r w:rsidR="00C9678A" w:rsidRPr="00DC1005">
        <w:fldChar w:fldCharType="begin" w:fldLock="1"/>
      </w:r>
      <w:r w:rsidR="007527CC">
        <w:instrText>ADDIN CSL_CITATION {"citationItems":[{"id":"ITEM-1","itemData":{"DOI":"10.2471/BLT.07.044248","ISSN":"00429686","PMID":"18670668","abstract":"Objective: To analyse the early loss of patients to antiretroviral therapy (ART) programmes in resource-limited settings. Methods: Using data on 5491 adult patients starting ART (median age 35 years, 46% female) in 15 treatment programmes in Africa, Asia and South America with ≥ 12 months of follow-up, we investigated risk factors for no follow-up after treatment initiation, and loss to follow-up or death in the first 6 months. Findings: Overall, 211 patients (3.8%) had no follow-up, 880 (16.0%) were lost to follow-up and 141 (2.6%) were known to have died in the first 6 months. The probability of no follow-up was higher in 2003-2004 than in 2000 or earlier (odds ratio, OR: 5.06; 95% confidence interval, CI: 1.28-20.0), as was loss to follow-up (hazard ratio, HR: 7.62; 95% CI: 4.55-12.8) but not recorded death (HR: 1.02; 95% CI: 0.44-2.36). Compared with a baseline CD4-cell count ≥ 50 cells/μl, a count &lt; 25 cells/μl was associated with a higher probability of no follow-up (OR: 2.49; 95% CI: 1.43-4.33), loss to follow-up (HR: 1.48; 95% CI: 1.23-1.77) and death (HR: 3.34; 95% CI: 2.10-5.30). Compared to free treatment, fee-for-service programmes were associated with a higher probability of no follow-up (OR: 3.71; 95% CI: 0.97-16.05) and higher mortality (HR: 4.64; 95% CI: 1.11-19.41). Conclusion: Early patient losses were increasingly common when programmes were scaled up and were associated with a fee for service and advanced immunodeficiency at baseline. Measures to maximize ART programme retention are required in resource-poor countries.","author":[{"dropping-particle":"","family":"Brinkhof","given":"Martin W.G.","non-dropping-particle":"","parse-names":false,"suffix":""},{"dropping-particle":"","family":"Dabis","given":"François","non-dropping-particle":"","parse-names":false,"suffix":""},{"dropping-particle":"","family":"Myer","given":"Landon","non-dropping-particle":"","parse-names":false,"suffix":""},{"dropping-particle":"","family":"Bangsberg","given":"David R.","non-dropping-particle":"","parse-names":false,"suffix":""},{"dropping-particle":"","family":"Boulle","given":"Andrew","non-dropping-particle":"","parse-names":false,"suffix":""},{"dropping-particle":"","family":"Nash","given":"Denis","non-dropping-particle":"","parse-names":false,"suffix":""},{"dropping-particle":"","family":"Schechter","given":"Mauro","non-dropping-particle":"","parse-names":false,"suffix":""},{"dropping-particle":"","family":"Laurent","given":"Christian","non-dropping-particle":"","parse-names":false,"suffix":""},{"dropping-particle":"","family":"Keiser","given":"Olivia","non-dropping-particle":"","parse-names":false,"suffix":""},{"dropping-particle":"","family":"May","given":"Margaret","non-dropping-particle":"","parse-names":false,"suffix":""},{"dropping-particle":"","family":"Sprinz","given":"Eduardo","non-dropping-particle":"","parse-names":false,"suffix":""},{"dropping-particle":"","family":"Egger","given":"Matthias","non-dropping-particle":"","parse-names":false,"suffix":""},{"dropping-particle":"","family":"Anglaret","given":"Xavier","non-dropping-particle":"","parse-names":false,"suffix":""}],"container-title":"Bulletin of the World Health Organization","id":"ITEM-1","issue":"7","issued":{"date-parts":[["2008"]]},"page":"559-567","title":"Early loss of HIV-infected patients on potent antiretroviral therapy programmes in lower-income countries","type":"article-journal","volume":"86"},"uris":["http://www.mendeley.com/documents/?uuid=d04be326-fec1-4921-8606-5c9a05fdd889"]},{"id":"ITEM-2","itemData":{"DOI":"10.1002/jia2.25178","ISSN":"17582652","abstract":"Introduction: Adolescence and pregnancy are potential risk factors for loss to follow-up (LTFU) while on antiretroviral therapy (ART). We compared adolescent and adult LTFU after ART initiation to quantify the impact of age, pregnancy, and site-level factors on LTFU. Methods: We used routine clinical data for patients initiating ART as young adolescents (YA; 10 to 14 years), older adolescents (OA; 15 to 19 years) and adults (≥20 years) from 2000 to 2014 at 52 health facilities affiliated with the International epidemiology Databases to Evaluate AIDS (IeDEA) East Africa collaboration. We estimated cumulative incidence (95% confidence interval, CI) of LTFU (no clinic visit for ≥6 months after ART initiation) and identified patient and site-level correlates of LTFU, using multivariable Cox proportional hazards models for all patients as well as individual age groups. Results: A total of 138,387 patients initiated ART, including 2496 YA, 2955 OA and 132,936 adults. Of these, 55%, 78% and 66%, respectively, were female and 0.7% of YA, 22.3% of OA and 8.3% of adults were pregnant at ART initiation. Cumulative incidence of LTFU at five years was 26.6% (24.6 to 28.6) among YA, 44.1% (41.8 to 46.3) among OA and 29.3% (29.1 to 29.6) among adults. Overall, compared to adults, the adjusted hazard ratio, aHR, (95% CI) of LTFU for OA was 1.54 (1.41 to 1.68) and 0.77 (0.69 to 0.86) for YA. Compared to males, pregnant females had higher hazard of LTFU, aHR 1.20 (1.14 to 1.27), and nonpregnant women had lower hazard aHR 0.90 (0.88 to 0.93). LTFU hazard among the OA was primarily driven by both pregnant and nonpregnant females, aHR 2.42 (1.98 to 2.95) and 1.51 (1.27 to 1.80), respectively, compared to men. The LTFU hazard ratio varied by IeDEA program. Site-level factors associated with overall lower LTFU hazard included receiving care in tertiary versus primary-care clinics aHR 0.61 (0.56 to 0.67), integrated adult and adolescent services and food ration provision aHR 0.93 (0.89 to 0.97) versus nonintegrated clinics with food ration provision, having patient support groups aHR 0.77 (0.66 to 0.90) and group adherence counselling aHR 0.61 (0.57 to 0.67). Conclusions: Older adolescents experienced higher risk of LTFU compared to YA and adults. Interventions to prevent LTFU among older adolescents are critically needed, particularly for female and/or pregnant adolescents.","author":[{"dropping-particle":"","family":"Nuwagaba-Biribonwoha","given":"Harriet","non-dropping-particle":"","parse-names":false,"suffix":""},{"dropping-particle":"","family":"Kiragga","given":"Agnes N.","non-dropping-particle":"","parse-names":false,"suffix":""},{"dropping-particle":"","family":"Yiannoutsos","given":"Constantin T.","non-dropping-particle":"","parse-names":false,"suffix":""},{"dropping-particle":"","family":"Musick","given":"Beverly S.","non-dropping-particle":"","parse-names":false,"suffix":""},{"dropping-particle":"","family":"Wools-Kaloustian","given":"Kara K.","non-dropping-particle":"","parse-names":false,"suffix":""},{"dropping-particle":"","family":"Ayaya","given":"Samuel","non-dropping-particle":"","parse-names":false,"suffix":""},{"dropping-particle":"","family":"Wolf","given":"Hilary","non-dropping-particle":"","parse-names":false,"suffix":""},{"dropping-particle":"","family":"Lugina","given":"Emmanuel","non-dropping-particle":"","parse-names":false,"suffix":""},{"dropping-particle":"","family":"Ssali","given":"John","non-dropping-particle":"","parse-names":false,"suffix":""},{"dropping-particle":"","family":"Abrams","given":"Elaine J.","non-dropping-particle":"","parse-names":false,"suffix":""},{"dropping-particle":"","family":"Elul","given":"Batya","non-dropping-particle":"","parse-names":false,"suffix":""}],"container-title":"Journal of the International AIDS Society","id":"ITEM-2","issue":"9","issued":{"date-parts":[["2018"]]},"page":"1-9","title":"Adolescent pregnancy at antiretroviral therapy (ART) initiation: a critical barrier to retention on ART","type":"article-journal","volume":"21"},"uris":["http://www.mendeley.com/documents/?uuid=1b82c4e5-769a-415f-84c8-2b40f42a726e"]},{"id":"ITEM-3","itemData":{"DOI":"10.1136/jech-2015-206629.CD4","author":[{"dropping-particle":"","family":"Grimsrud","given":"Anna","non-dropping-particle":"","parse-names":false,"suffix":""},{"dropping-particle":"","family":"Cornell","given":"Morna","non-dropping-particle":"","parse-names":false,"suffix":""},{"dropping-particle":"","family":"Schomaker","given":"Michael","non-dropping-particle":"","parse-names":false,"suffix":""},{"dropping-particle":"","family":"Fox","given":"Matthew P","non-dropping-particle":"","parse-names":false,"suffix":""}],"container-title":"Journal of Epidemiology and Community Health","id":"ITEM-3","issue":"6","issued":{"date-parts":[["2016"]]},"page":"549-555","title":"CD4 count at antiretroviral therapy initiation and the risk of loss to follow-up: results from a multicentre cohort study","type":"article-journal","volume":"70"},"uris":["http://www.mendeley.com/documents/?uuid=7ad9f40a-96ee-4706-828a-d6e25db87d45"]},{"id":"ITEM-4","itemData":{"DOI":"10.1097/QAD.0000000000002358","ISBN":"0000000000","ISSN":"14735571","abstract":"Background:UNAIDS models use data from the International epidemiology Databases to Evaluate AIDS (IeDEA) collaboration in setting assumptions about mortality rates after antiretroviral treatment (ART) initiation. This study aims to update these assumptions with new data, to quantify the extent of regional variation in ART mortality and to assess trends in ART mortality.Methods:Adult ART patients from Africa, Asia and the Americas were included if they had a known date of ART initiation during 2001-2017 and a baseline CD4+ cell count. In cohorts that relied only on passive follow-up (no patient tracing or linkage to vital registration systems), mortality outcomes were imputed in patients lost to follow-up based on a meta-analysis of tracing study data. Poisson regression models were fitted to the mortality data.Results:464 048 ART patients were included. In multivariable analysis, mortality rates were lowest in Asia and highest in Africa, with no significant differences between African regions. Adjusted mortality rates varied significantly between programmes within regions. Mortality rates in the first 12 months after ART initiation were significantly higher during 2001-2006 than during 2010-2014, although the difference was more substantial in Asia and the Americas [adjusted incidence rate ratio (aIRR) 1.43, 95% CI: 1.22-1.66] than in Africa (aIRR 1.07, 95% CI: 1.04-1.11).Conclusion:There is substantial variation in ART mortality between and within regions, even after controlling for differences in mortality by age, sex, baseline CD4 category and calendar period. ART mortality rates have declined substantially over time, although declines have been slower in Africa.","author":[{"dropping-particle":"","family":"Johnson","given":"Leigh F.","non-dropping-particle":"","parse-names":false,"suffix":""},{"dropping-particle":"","family":"Anderegg","given":"Nanina","non-dropping-particle":"","parse-names":false,"suffix":""},{"dropping-particle":"","family":"Zaniewski","given":"Elizabeth","non-dropping-particle":"","parse-names":false,"suffix":""},{"dropping-particle":"","family":"Eaton","given":"Jeffrey W.","non-dropping-particle":"","parse-names":false,"suffix":""},{"dropping-particle":"","family":"Rebeiro","given":"Peter F.","non-dropping-particle":"","parse-names":false,"suffix":""},{"dropping-particle":"","family":"Carriquiry","given":"Gabriela","non-dropping-particle":"","parse-names":false,"suffix":""},{"dropping-particle":"","family":"Nash","given":"Denis","non-dropping-particle":"","parse-names":false,"suffix":""},{"dropping-particle":"","family":"Yotebieng","given":"Marcel","non-dropping-particle":"","parse-names":false,"suffix":""},{"dropping-particle":"","family":"Ekouevi","given":"Didier K.","non-dropping-particle":"","parse-names":false,"suffix":""},{"dropping-particle":"","family":"Holmes","given":"Charles B.","non-dropping-particle":"","parse-names":false,"suffix":""},{"dropping-particle":"","family":"Choi","given":"Jun Y.","non-dropping-particle":"","parse-names":false,"suffix":""},{"dropping-particle":"","family":"Jiamsakul","given":"Awachana","non-dropping-particle":"","parse-names":false,"suffix":""},{"dropping-particle":"","family":"Bakoyannis","given":"Giorgos","non-dropping-particle":"","parse-names":false,"suffix":""},{"dropping-particle":"","family":"Althoff","given":"Keri N.","non-dropping-particle":"","parse-names":false,"suffix":""},{"dropping-particle":"","family":"Sohn","given":"Annette H.","non-dropping-particle":"","parse-names":false,"suffix":""},{"dropping-particle":"","family":"Yiannoutsos","given":"Constantin","non-dropping-particle":"","parse-names":false,"suffix":""},{"dropping-particle":"","family":"Egger","given":"Matthias","non-dropping-particle":"","parse-names":false,"suffix":""}],"container-title":"Aids","id":"ITEM-4","issue":"July","issued":{"date-parts":[["2019"]]},"page":"S283-S294","title":"Global variations in mortality in adults after initiating antiretroviral treatment: An updated analysis of the International epidemiology Databases to Evaluate AIDS cohort collaboration","type":"article-journal","volume":"33"},"uris":["http://www.mendeley.com/documents/?uuid=650a724a-f89a-4c70-b7a0-59378177b12b"]},{"id":"ITEM-5","itemData":{"DOI":"10.1002/jia2.25084","ISSN":"17582652","abstract":"Introduction: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Society","id":"ITEM-5","issue":"2","issued":{"date-parts":[["2018"]]},"page":"1-7","title":"Retention and mortality on antiretroviral therapy in sub-Saharan Africa: Collaborative analyses of HIV treatment programmes: Collaborative","type":"article-journal","volume":"21"},"uris":["http://www.mendeley.com/documents/?uuid=973be433-f329-438c-a007-d6d819f544b0"]}],"mendeley":{"formattedCitation":"&lt;sup&gt;56,63–66&lt;/sup&gt;","plainTextFormattedCitation":"56,63–66","previouslyFormattedCitation":"&lt;sup&gt;56,63–66&lt;/sup&gt;"},"properties":{"noteIndex":0},"schema":"https://github.com/citation-style-language/schema/raw/master/csl-citation.json"}</w:instrText>
      </w:r>
      <w:r w:rsidR="00C9678A" w:rsidRPr="00DC1005">
        <w:fldChar w:fldCharType="separate"/>
      </w:r>
      <w:r w:rsidR="00036C3E" w:rsidRPr="00036C3E">
        <w:rPr>
          <w:noProof/>
          <w:vertAlign w:val="superscript"/>
        </w:rPr>
        <w:t>56,63–66</w:t>
      </w:r>
      <w:r w:rsidR="00C9678A" w:rsidRPr="00DC1005">
        <w:fldChar w:fldCharType="end"/>
      </w:r>
      <w:r w:rsidR="00C9678A" w:rsidRPr="00DC1005">
        <w:t xml:space="preserve"> When estimating the cumulative probability of viral suppression, we will adjust for the probability of competing risks and the probability of censoring considering that patients who were transferred misclassified as LTFU. The patients who are dies but misclassified as death will be ignored in this analysis since both events are competing events of viral suppression. The function for deriving weights are adapted from the Haas paper.</w:t>
      </w:r>
      <w:r w:rsidR="00C9678A" w:rsidRPr="00DC1005">
        <w:fldChar w:fldCharType="begin" w:fldLock="1"/>
      </w:r>
      <w:r w:rsidR="007527CC">
        <w:instrText>ADDIN CSL_CITATION {"citationItems":[{"id":"ITEM-1","itemData":{"DOI":"10.1002/jia2.25084","ISSN":"17582652","abstract":"Introduction: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Society","id":"ITEM-1","issue":"2","issued":{"date-parts":[["2018"]]},"page":"1-7","title":"Retention and mortality on antiretroviral therapy in sub-Saharan Africa: Collaborative analyses of HIV treatment programmes: Collaborative","type":"article-journal","volume":"21"},"uris":["http://www.mendeley.com/documents/?uuid=973be433-f329-438c-a007-d6d819f544b0"]}],"mendeley":{"formattedCitation":"&lt;sup&gt;56&lt;/sup&gt;","plainTextFormattedCitation":"56","previouslyFormattedCitation":"&lt;sup&gt;56&lt;/sup&gt;"},"properties":{"noteIndex":0},"schema":"https://github.com/citation-style-language/schema/raw/master/csl-citation.json"}</w:instrText>
      </w:r>
      <w:r w:rsidR="00C9678A" w:rsidRPr="00DC1005">
        <w:fldChar w:fldCharType="separate"/>
      </w:r>
      <w:r w:rsidR="00036C3E" w:rsidRPr="00036C3E">
        <w:rPr>
          <w:noProof/>
          <w:vertAlign w:val="superscript"/>
        </w:rPr>
        <w:t>56</w:t>
      </w:r>
      <w:r w:rsidR="00C9678A" w:rsidRPr="00DC1005">
        <w:fldChar w:fldCharType="end"/>
      </w:r>
      <w:r w:rsidR="00C9678A" w:rsidRPr="00DC1005">
        <w:t xml:space="preserve"> The probability weight is calculated as: </w:t>
      </w:r>
    </w:p>
    <w:p w14:paraId="33A06031" w14:textId="77777777" w:rsidR="00C9678A" w:rsidRPr="00DC1005" w:rsidRDefault="00C9678A">
      <w:pPr>
        <w:jc w:val="both"/>
      </w:pPr>
    </w:p>
    <w:p w14:paraId="2A970A00" w14:textId="65C65EFA" w:rsidR="00C9678A" w:rsidRPr="00044274" w:rsidRDefault="00000000">
      <w:pPr>
        <w:jc w:val="both"/>
      </w:pPr>
      <m:oMath>
        <m:sSub>
          <m:sSubPr>
            <m:ctrlPr>
              <w:rPr>
                <w:rFonts w:ascii="Cambria Math" w:hAnsi="Cambria Math"/>
                <w:i/>
              </w:rPr>
            </m:ctrlPr>
          </m:sSubPr>
          <m:e>
            <m:r>
              <w:rPr>
                <w:rFonts w:ascii="Cambria Math" w:hAnsi="Cambria Math"/>
              </w:rPr>
              <m:t>w</m:t>
            </m:r>
          </m:e>
          <m:sub>
            <m:r>
              <w:rPr>
                <w:rFonts w:ascii="Cambria Math" w:hAnsi="Cambria Math"/>
              </w:rPr>
              <m:t>competing risk</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LTFU</m:t>
                    </m:r>
                  </m:sub>
                </m:sSub>
              </m:num>
              <m:den>
                <m:sSub>
                  <m:sSubPr>
                    <m:ctrlPr>
                      <w:rPr>
                        <w:rFonts w:ascii="Cambria Math" w:hAnsi="Cambria Math"/>
                        <w:i/>
                      </w:rPr>
                    </m:ctrlPr>
                  </m:sSubPr>
                  <m:e>
                    <m:r>
                      <w:rPr>
                        <w:rFonts w:ascii="Cambria Math" w:hAnsi="Cambria Math"/>
                      </w:rPr>
                      <m:t>n</m:t>
                    </m:r>
                  </m:e>
                  <m:sub>
                    <m:r>
                      <w:rPr>
                        <w:rFonts w:ascii="Cambria Math" w:hAnsi="Cambria Math"/>
                      </w:rPr>
                      <m:t>dead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LTFU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tranfer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LTFU</m:t>
                    </m:r>
                  </m:sub>
                </m:sSub>
              </m:den>
            </m:f>
          </m:den>
        </m:f>
        <m:r>
          <w:rPr>
            <w:rFonts w:ascii="Cambria Math" w:hAnsi="Cambria Math"/>
          </w:rPr>
          <m:t>, &lt;1</m:t>
        </m:r>
      </m:oMath>
      <w:r w:rsidR="00044274">
        <w:tab/>
      </w:r>
      <w:r w:rsidR="00044274">
        <w:tab/>
      </w:r>
      <w:r w:rsidR="00044274">
        <w:tab/>
      </w:r>
      <w:r w:rsidR="00044274">
        <w:tab/>
      </w:r>
      <w:r w:rsidR="00044274">
        <w:tab/>
      </w:r>
      <w:r w:rsidR="00044274">
        <w:tab/>
        <w:t>(</w:t>
      </w:r>
      <w:r w:rsidR="00FA0F83">
        <w:t>13</w:t>
      </w:r>
      <w:r w:rsidR="00044274">
        <w:t>)</w:t>
      </w:r>
    </w:p>
    <w:p w14:paraId="7F675F70" w14:textId="77777777" w:rsidR="00C9678A" w:rsidRPr="00DC1005" w:rsidRDefault="00C9678A">
      <w:pPr>
        <w:jc w:val="both"/>
      </w:pPr>
    </w:p>
    <w:p w14:paraId="3BC549CB" w14:textId="75F99A75" w:rsidR="00C9678A" w:rsidRPr="00044274" w:rsidRDefault="00000000">
      <w:pPr>
        <w:jc w:val="both"/>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censor</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database closure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transfer</m:t>
                      </m:r>
                    </m:sub>
                  </m:sSub>
                </m:num>
                <m:den>
                  <m:sSub>
                    <m:sSubPr>
                      <m:ctrlPr>
                        <w:rPr>
                          <w:rFonts w:ascii="Cambria Math" w:hAnsi="Cambria Math"/>
                          <w:i/>
                        </w:rPr>
                      </m:ctrlPr>
                    </m:sSubPr>
                    <m:e>
                      <m:r>
                        <w:rPr>
                          <w:rFonts w:ascii="Cambria Math" w:hAnsi="Cambria Math"/>
                        </w:rPr>
                        <m:t>n</m:t>
                      </m:r>
                    </m:e>
                    <m:sub>
                      <m:r>
                        <w:rPr>
                          <w:rFonts w:ascii="Cambria Math" w:hAnsi="Cambria Math"/>
                        </w:rPr>
                        <m:t xml:space="preserve">database </m:t>
                      </m:r>
                      <w:commentRangeStart w:id="285"/>
                      <w:commentRangeStart w:id="286"/>
                      <m:r>
                        <w:rPr>
                          <w:rFonts w:ascii="Cambria Math" w:hAnsi="Cambria Math"/>
                        </w:rPr>
                        <m:t>closur</m:t>
                      </m:r>
                      <w:commentRangeEnd w:id="285"/>
                      <m:r>
                        <w:rPr>
                          <w:rFonts w:ascii="Cambria Math" w:hAnsi="Cambria Math"/>
                        </w:rPr>
                        <m:t>e</m:t>
                      </m:r>
                      <m:r>
                        <m:rPr>
                          <m:sty m:val="p"/>
                        </m:rPr>
                        <w:rPr>
                          <w:rStyle w:val="CommentReference"/>
                        </w:rPr>
                        <w:commentReference w:id="285"/>
                      </m:r>
                      <w:commentRangeEnd w:id="286"/>
                      <m:r>
                        <m:rPr>
                          <m:sty m:val="p"/>
                        </m:rPr>
                        <w:rPr>
                          <w:rStyle w:val="CommentReference"/>
                        </w:rPr>
                        <w:commentReference w:id="286"/>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transfer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transfer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LTFU</m:t>
                      </m:r>
                    </m:sub>
                  </m:sSub>
                </m:den>
              </m:f>
            </m:den>
          </m:f>
          <m:r>
            <w:rPr>
              <w:rFonts w:ascii="Cambria Math" w:hAnsi="Cambria Math"/>
            </w:rPr>
            <m:t>, &gt;1</m:t>
          </m:r>
        </m:oMath>
      </m:oMathPara>
    </w:p>
    <w:p w14:paraId="4AC8014D" w14:textId="04C68E09" w:rsidR="003C7D23" w:rsidRDefault="003C7D23" w:rsidP="00044274">
      <w:pPr>
        <w:jc w:val="both"/>
      </w:pPr>
    </w:p>
    <w:p w14:paraId="75E6C53B" w14:textId="77777777" w:rsidR="003C7D23" w:rsidRDefault="003C7D23" w:rsidP="003C7D23">
      <w:pPr>
        <w:pStyle w:val="BodyText"/>
        <w:spacing w:before="0" w:after="0"/>
        <w:jc w:val="both"/>
      </w:pPr>
      <w:r>
        <w:t>We parameterize this expression as follows:</w:t>
      </w:r>
    </w:p>
    <w:p w14:paraId="3129559B" w14:textId="77777777" w:rsidR="003C7D23" w:rsidRPr="00050905" w:rsidRDefault="003C7D23" w:rsidP="003C7D23">
      <w:pPr>
        <w:pStyle w:val="BodyText"/>
        <w:spacing w:before="0" w:after="0"/>
        <w:jc w:val="both"/>
      </w:pPr>
    </w:p>
    <w:p w14:paraId="19C5E7D0" w14:textId="5D9E587A" w:rsidR="003C7D23" w:rsidRDefault="003C7D23" w:rsidP="003C7D23">
      <w:pPr>
        <w:pStyle w:val="BodyText"/>
        <w:numPr>
          <w:ilvl w:val="0"/>
          <w:numId w:val="16"/>
        </w:numPr>
        <w:spacing w:before="0" w:after="0"/>
        <w:jc w:val="both"/>
        <w:sectPr w:rsidR="003C7D23" w:rsidSect="0078139D">
          <w:headerReference w:type="even" r:id="rId57"/>
          <w:headerReference w:type="default" r:id="rId58"/>
          <w:footerReference w:type="even" r:id="rId59"/>
          <w:headerReference w:type="first" r:id="rId60"/>
          <w:pgSz w:w="12240" w:h="15840"/>
          <w:pgMar w:top="1440" w:right="1440" w:bottom="1440" w:left="1440" w:header="720" w:footer="720" w:gutter="0"/>
          <w:cols w:space="720"/>
          <w:docGrid w:linePitch="360"/>
        </w:sectPr>
      </w:pPr>
      <w:r w:rsidRPr="00A61A5A">
        <w:rPr>
          <w:color w:val="000000"/>
          <w:u w:val="single"/>
        </w:rPr>
        <w:t xml:space="preserve">Proportion of </w:t>
      </w:r>
      <w:r>
        <w:rPr>
          <w:color w:val="000000"/>
          <w:u w:val="single"/>
        </w:rPr>
        <w:t>transfer</w:t>
      </w:r>
      <w:r w:rsidRPr="00A61A5A">
        <w:rPr>
          <w:color w:val="000000"/>
          <w:u w:val="single"/>
        </w:rPr>
        <w:t xml:space="preserve"> among LTFU</w:t>
      </w:r>
      <w:r w:rsidRPr="00A61A5A">
        <w:rPr>
          <w:color w:val="000000"/>
        </w:rPr>
        <w:t xml:space="preserve">. </w:t>
      </w:r>
      <w:r w:rsidRPr="00050905">
        <w:rPr>
          <w:color w:val="000000"/>
        </w:rPr>
        <w:t xml:space="preserve">The proportion of patients LTFU having transferred to another site is based on </w:t>
      </w:r>
      <w:r>
        <w:rPr>
          <w:color w:val="000000"/>
        </w:rPr>
        <w:t xml:space="preserve">a meta-analysis </w:t>
      </w:r>
      <w:r w:rsidRPr="00050905">
        <w:rPr>
          <w:color w:val="000000"/>
        </w:rPr>
        <w:t xml:space="preserve">on LTFU among patients in ART programs in sub-Saharan Africa; the study found that </w:t>
      </w:r>
      <w:r w:rsidR="00FB6B71">
        <w:rPr>
          <w:color w:val="000000"/>
        </w:rPr>
        <w:t>35.9</w:t>
      </w:r>
      <w:r w:rsidRPr="00050905">
        <w:rPr>
          <w:color w:val="000000"/>
        </w:rPr>
        <w:t>% of patients recorded as LTFU had self-transferred to another ART clinic.</w:t>
      </w:r>
      <w:r w:rsidRPr="00050905">
        <w:rPr>
          <w:color w:val="000000" w:themeColor="text1"/>
        </w:rPr>
        <w:fldChar w:fldCharType="begin" w:fldLock="1"/>
      </w:r>
      <w:r w:rsidR="007527CC">
        <w:rPr>
          <w:color w:val="000000" w:themeColor="text1"/>
        </w:rPr>
        <w:instrText>ADDIN CSL_CITATION {"citationItems":[{"id":"ITEM-1","itemData":{"DOI":"10.1002/jia2.25084","ISSN":"17582652","abstract":"Introduction: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Society","id":"ITEM-1","issue":"2","issued":{"date-parts":[["2018"]]},"page":"1-7","title":"Retention and mortality on antiretroviral therapy in sub-Saharan Africa: Collaborative analyses of HIV treatment programmes: Collaborative","type":"article-journal","volume":"21"},"uris":["http://www.mendeley.com/documents/?uuid=973be433-f329-438c-a007-d6d819f544b0"]}],"mendeley":{"formattedCitation":"&lt;sup&gt;56&lt;/sup&gt;","plainTextFormattedCitation":"56","previouslyFormattedCitation":"&lt;sup&gt;56&lt;/sup&gt;"},"properties":{"noteIndex":0},"schema":"https://github.com/citation-style-language/schema/raw/master/csl-citation.json"}</w:instrText>
      </w:r>
      <w:r w:rsidRPr="00050905">
        <w:rPr>
          <w:color w:val="000000" w:themeColor="text1"/>
        </w:rPr>
        <w:fldChar w:fldCharType="separate"/>
      </w:r>
      <w:r w:rsidR="00036C3E" w:rsidRPr="00036C3E">
        <w:rPr>
          <w:noProof/>
          <w:color w:val="000000" w:themeColor="text1"/>
          <w:vertAlign w:val="superscript"/>
        </w:rPr>
        <w:t>56</w:t>
      </w:r>
      <w:r w:rsidRPr="00050905">
        <w:rPr>
          <w:color w:val="000000" w:themeColor="text1"/>
        </w:rPr>
        <w:fldChar w:fldCharType="end"/>
      </w:r>
    </w:p>
    <w:p w14:paraId="24040F59" w14:textId="60611832" w:rsidR="00C9678A" w:rsidRDefault="00C9678A">
      <w:pPr>
        <w:rPr>
          <w:b/>
          <w:bCs/>
        </w:rPr>
      </w:pPr>
      <w:bookmarkStart w:id="287" w:name="_Ref82432163"/>
      <w:bookmarkStart w:id="288" w:name="_Ref82432151"/>
      <w:bookmarkStart w:id="289" w:name="_Toc82448077"/>
      <w:bookmarkStart w:id="290" w:name="_Toc82592508"/>
      <w:bookmarkStart w:id="291" w:name="_Toc82599273"/>
      <w:r w:rsidRPr="00B97521">
        <w:rPr>
          <w:b/>
          <w:bCs/>
        </w:rPr>
        <w:lastRenderedPageBreak/>
        <w:t xml:space="preserve">Table </w:t>
      </w:r>
      <w:r w:rsidRPr="00B97521">
        <w:rPr>
          <w:b/>
          <w:bCs/>
        </w:rPr>
        <w:fldChar w:fldCharType="begin"/>
      </w:r>
      <w:r w:rsidRPr="00B97521">
        <w:rPr>
          <w:b/>
          <w:bCs/>
        </w:rPr>
        <w:instrText xml:space="preserve"> SEQ Table \* ARABIC </w:instrText>
      </w:r>
      <w:r w:rsidRPr="00B97521">
        <w:rPr>
          <w:b/>
          <w:bCs/>
        </w:rPr>
        <w:fldChar w:fldCharType="separate"/>
      </w:r>
      <w:r w:rsidR="001E49BE">
        <w:rPr>
          <w:b/>
          <w:bCs/>
          <w:noProof/>
        </w:rPr>
        <w:t>14</w:t>
      </w:r>
      <w:r w:rsidRPr="00B97521">
        <w:rPr>
          <w:b/>
          <w:bCs/>
        </w:rPr>
        <w:fldChar w:fldCharType="end"/>
      </w:r>
      <w:bookmarkEnd w:id="287"/>
      <w:r w:rsidRPr="00B97521">
        <w:rPr>
          <w:b/>
          <w:bCs/>
        </w:rPr>
        <w:t xml:space="preserve">: </w:t>
      </w:r>
      <w:bookmarkStart w:id="292" w:name="_Hlk74741890"/>
      <w:r w:rsidR="00C569A0">
        <w:rPr>
          <w:b/>
          <w:bCs/>
        </w:rPr>
        <w:t xml:space="preserve">Monthly probability of sub-population </w:t>
      </w:r>
      <w:proofErr w:type="gramStart"/>
      <w:r w:rsidR="00C569A0">
        <w:rPr>
          <w:b/>
          <w:bCs/>
        </w:rPr>
        <w:t>On</w:t>
      </w:r>
      <w:proofErr w:type="gramEnd"/>
      <w:r w:rsidR="00C569A0">
        <w:rPr>
          <w:b/>
          <w:bCs/>
        </w:rPr>
        <w:t xml:space="preserve"> ART, Suppressed, by CD4 stratum</w:t>
      </w:r>
      <w:bookmarkEnd w:id="292"/>
      <w:r w:rsidR="00C569A0">
        <w:rPr>
          <w:b/>
          <w:bCs/>
        </w:rPr>
        <w:t xml:space="preserve"> </w:t>
      </w:r>
      <w:commentRangeStart w:id="293"/>
      <w:commentRangeEnd w:id="293"/>
      <w:r w:rsidR="00E60A0C">
        <w:rPr>
          <w:rStyle w:val="CommentReference"/>
        </w:rPr>
        <w:commentReference w:id="293"/>
      </w:r>
      <w:bookmarkEnd w:id="288"/>
      <w:bookmarkEnd w:id="289"/>
      <w:bookmarkEnd w:id="290"/>
      <w:bookmarkEnd w:id="2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1057"/>
        <w:gridCol w:w="1424"/>
        <w:gridCol w:w="1424"/>
        <w:gridCol w:w="1057"/>
      </w:tblGrid>
      <w:tr w:rsidR="00C573B0" w:rsidDel="000F1C47" w14:paraId="5ECA154C" w14:textId="77777777" w:rsidTr="00E60A0C">
        <w:trPr>
          <w:trHeight w:val="242"/>
        </w:trPr>
        <w:tc>
          <w:tcPr>
            <w:tcW w:w="3055" w:type="dxa"/>
            <w:vMerge w:val="restart"/>
            <w:shd w:val="clear" w:color="auto" w:fill="auto"/>
            <w:noWrap/>
            <w:vAlign w:val="bottom"/>
            <w:hideMark/>
          </w:tcPr>
          <w:p w14:paraId="669DB0BC" w14:textId="77777777" w:rsidR="00C573B0" w:rsidRPr="00596193" w:rsidRDefault="00C573B0" w:rsidP="00303804">
            <w:pPr>
              <w:rPr>
                <w:color w:val="000000"/>
                <w:sz w:val="20"/>
                <w:szCs w:val="20"/>
              </w:rPr>
            </w:pPr>
            <w:r w:rsidRPr="00596193">
              <w:rPr>
                <w:color w:val="000000"/>
                <w:sz w:val="20"/>
                <w:szCs w:val="20"/>
              </w:rPr>
              <w:t>Sub-population</w:t>
            </w:r>
          </w:p>
        </w:tc>
        <w:tc>
          <w:tcPr>
            <w:tcW w:w="0" w:type="auto"/>
            <w:gridSpan w:val="4"/>
            <w:shd w:val="clear" w:color="auto" w:fill="auto"/>
            <w:noWrap/>
            <w:vAlign w:val="center"/>
            <w:hideMark/>
          </w:tcPr>
          <w:p w14:paraId="4A9204AC" w14:textId="450A28B4" w:rsidR="00C573B0" w:rsidDel="000F1C47" w:rsidRDefault="00C573B0" w:rsidP="00303804">
            <w:pPr>
              <w:jc w:val="center"/>
              <w:rPr>
                <w:color w:val="000000"/>
                <w:sz w:val="20"/>
                <w:szCs w:val="20"/>
              </w:rPr>
            </w:pPr>
            <w:r>
              <w:rPr>
                <w:color w:val="000000"/>
                <w:sz w:val="20"/>
                <w:szCs w:val="20"/>
              </w:rPr>
              <w:t xml:space="preserve">On ART &amp; suppressed, Linkage </w:t>
            </w:r>
          </w:p>
        </w:tc>
      </w:tr>
      <w:tr w:rsidR="00C573B0" w:rsidDel="000F1C47" w14:paraId="113F365D" w14:textId="77777777" w:rsidTr="00E60A0C">
        <w:trPr>
          <w:trHeight w:val="269"/>
        </w:trPr>
        <w:tc>
          <w:tcPr>
            <w:tcW w:w="3055" w:type="dxa"/>
            <w:vMerge/>
            <w:shd w:val="clear" w:color="auto" w:fill="auto"/>
            <w:noWrap/>
            <w:vAlign w:val="bottom"/>
          </w:tcPr>
          <w:p w14:paraId="099FE426" w14:textId="77777777" w:rsidR="00C573B0" w:rsidRPr="00596193" w:rsidRDefault="00C573B0" w:rsidP="00303804">
            <w:pPr>
              <w:rPr>
                <w:color w:val="000000"/>
                <w:sz w:val="20"/>
                <w:szCs w:val="20"/>
              </w:rPr>
            </w:pPr>
          </w:p>
        </w:tc>
        <w:tc>
          <w:tcPr>
            <w:tcW w:w="0" w:type="auto"/>
            <w:shd w:val="clear" w:color="auto" w:fill="auto"/>
            <w:noWrap/>
            <w:vAlign w:val="center"/>
          </w:tcPr>
          <w:p w14:paraId="5600299F" w14:textId="326C300D" w:rsidR="00C573B0" w:rsidDel="000F1C47" w:rsidRDefault="00C573B0" w:rsidP="00E60A0C">
            <w:pPr>
              <w:rPr>
                <w:color w:val="000000"/>
                <w:sz w:val="20"/>
                <w:szCs w:val="20"/>
              </w:rPr>
            </w:pPr>
            <w:r>
              <w:rPr>
                <w:color w:val="000000"/>
                <w:sz w:val="20"/>
                <w:szCs w:val="20"/>
              </w:rPr>
              <w:t>CD4 &gt;500</w:t>
            </w:r>
          </w:p>
        </w:tc>
        <w:tc>
          <w:tcPr>
            <w:tcW w:w="0" w:type="auto"/>
            <w:vAlign w:val="center"/>
          </w:tcPr>
          <w:p w14:paraId="5F498BDB" w14:textId="50732F09" w:rsidR="00C573B0" w:rsidDel="000F1C47" w:rsidRDefault="00C573B0" w:rsidP="00E60A0C">
            <w:pPr>
              <w:rPr>
                <w:color w:val="000000"/>
                <w:sz w:val="20"/>
                <w:szCs w:val="20"/>
              </w:rPr>
            </w:pPr>
            <w:r>
              <w:rPr>
                <w:color w:val="000000"/>
                <w:sz w:val="20"/>
                <w:szCs w:val="20"/>
              </w:rPr>
              <w:t xml:space="preserve">CD4 </w:t>
            </w:r>
            <w:r w:rsidR="00E60A0C">
              <w:rPr>
                <w:color w:val="000000"/>
                <w:sz w:val="20"/>
                <w:szCs w:val="20"/>
              </w:rPr>
              <w:t>&gt;</w:t>
            </w:r>
            <w:r>
              <w:rPr>
                <w:color w:val="000000"/>
                <w:sz w:val="20"/>
                <w:szCs w:val="20"/>
              </w:rPr>
              <w:t>350-500</w:t>
            </w:r>
          </w:p>
        </w:tc>
        <w:tc>
          <w:tcPr>
            <w:tcW w:w="0" w:type="auto"/>
            <w:vAlign w:val="center"/>
          </w:tcPr>
          <w:p w14:paraId="23873B42" w14:textId="6DE05ADC" w:rsidR="00C573B0" w:rsidDel="000F1C47" w:rsidRDefault="00C573B0" w:rsidP="00E60A0C">
            <w:pPr>
              <w:rPr>
                <w:color w:val="000000"/>
                <w:sz w:val="20"/>
                <w:szCs w:val="20"/>
              </w:rPr>
            </w:pPr>
            <w:r>
              <w:rPr>
                <w:color w:val="000000"/>
                <w:sz w:val="20"/>
                <w:szCs w:val="20"/>
              </w:rPr>
              <w:t xml:space="preserve">CD4 </w:t>
            </w:r>
            <w:r w:rsidR="00E60A0C">
              <w:rPr>
                <w:color w:val="000000"/>
                <w:sz w:val="20"/>
                <w:szCs w:val="20"/>
              </w:rPr>
              <w:t>&gt;</w:t>
            </w:r>
            <w:r>
              <w:rPr>
                <w:color w:val="000000"/>
                <w:sz w:val="20"/>
                <w:szCs w:val="20"/>
              </w:rPr>
              <w:t>200-350</w:t>
            </w:r>
          </w:p>
        </w:tc>
        <w:tc>
          <w:tcPr>
            <w:tcW w:w="0" w:type="auto"/>
            <w:vAlign w:val="center"/>
          </w:tcPr>
          <w:p w14:paraId="15F91FA2" w14:textId="0EAAFB31" w:rsidR="00C573B0" w:rsidDel="000F1C47" w:rsidRDefault="00C573B0" w:rsidP="00E60A0C">
            <w:pPr>
              <w:rPr>
                <w:color w:val="000000"/>
                <w:sz w:val="20"/>
                <w:szCs w:val="20"/>
              </w:rPr>
            </w:pPr>
            <w:r>
              <w:rPr>
                <w:color w:val="000000"/>
                <w:sz w:val="20"/>
                <w:szCs w:val="20"/>
              </w:rPr>
              <w:t xml:space="preserve">CD4 </w:t>
            </w:r>
            <w:r w:rsidRPr="00E60A0C">
              <w:rPr>
                <w:color w:val="000000"/>
                <w:sz w:val="20"/>
                <w:szCs w:val="20"/>
                <w:u w:val="single"/>
              </w:rPr>
              <w:t>&lt;</w:t>
            </w:r>
            <w:r>
              <w:rPr>
                <w:color w:val="000000"/>
                <w:sz w:val="20"/>
                <w:szCs w:val="20"/>
              </w:rPr>
              <w:t>200</w:t>
            </w:r>
          </w:p>
        </w:tc>
      </w:tr>
      <w:tr w:rsidR="00C573B0" w:rsidDel="000F1C47" w14:paraId="52EE7729" w14:textId="77777777" w:rsidTr="00E60A0C">
        <w:trPr>
          <w:trHeight w:val="300"/>
        </w:trPr>
        <w:tc>
          <w:tcPr>
            <w:tcW w:w="3055" w:type="dxa"/>
            <w:shd w:val="clear" w:color="auto" w:fill="auto"/>
            <w:noWrap/>
            <w:vAlign w:val="bottom"/>
            <w:hideMark/>
          </w:tcPr>
          <w:p w14:paraId="41153D37" w14:textId="77777777" w:rsidR="00C573B0" w:rsidRPr="00596193" w:rsidRDefault="00C573B0" w:rsidP="00303804">
            <w:pPr>
              <w:jc w:val="both"/>
              <w:rPr>
                <w:color w:val="000000"/>
                <w:sz w:val="20"/>
                <w:szCs w:val="20"/>
              </w:rPr>
            </w:pPr>
            <w:r w:rsidRPr="00596193">
              <w:rPr>
                <w:color w:val="000000"/>
                <w:sz w:val="20"/>
                <w:szCs w:val="20"/>
              </w:rPr>
              <w:t>Low-risk urban women (15-24)</w:t>
            </w:r>
          </w:p>
        </w:tc>
        <w:tc>
          <w:tcPr>
            <w:tcW w:w="0" w:type="auto"/>
            <w:shd w:val="clear" w:color="auto" w:fill="auto"/>
            <w:noWrap/>
            <w:vAlign w:val="center"/>
            <w:hideMark/>
          </w:tcPr>
          <w:p w14:paraId="66DA3FFE" w14:textId="77777777" w:rsidR="00C573B0" w:rsidRPr="00596193" w:rsidRDefault="00C573B0" w:rsidP="00303804">
            <w:pPr>
              <w:rPr>
                <w:color w:val="000000"/>
                <w:sz w:val="20"/>
                <w:szCs w:val="20"/>
              </w:rPr>
            </w:pPr>
          </w:p>
        </w:tc>
        <w:tc>
          <w:tcPr>
            <w:tcW w:w="0" w:type="auto"/>
          </w:tcPr>
          <w:p w14:paraId="5DD5EB62" w14:textId="77777777" w:rsidR="00C573B0" w:rsidDel="000F1C47" w:rsidRDefault="00C573B0" w:rsidP="00303804">
            <w:pPr>
              <w:rPr>
                <w:color w:val="000000"/>
                <w:sz w:val="20"/>
                <w:szCs w:val="20"/>
              </w:rPr>
            </w:pPr>
          </w:p>
        </w:tc>
        <w:tc>
          <w:tcPr>
            <w:tcW w:w="0" w:type="auto"/>
          </w:tcPr>
          <w:p w14:paraId="72B3EEF5" w14:textId="77777777" w:rsidR="00C573B0" w:rsidDel="000F1C47" w:rsidRDefault="00C573B0" w:rsidP="00303804">
            <w:pPr>
              <w:rPr>
                <w:color w:val="000000"/>
                <w:sz w:val="20"/>
                <w:szCs w:val="20"/>
              </w:rPr>
            </w:pPr>
          </w:p>
        </w:tc>
        <w:tc>
          <w:tcPr>
            <w:tcW w:w="0" w:type="auto"/>
          </w:tcPr>
          <w:p w14:paraId="7BE31D78" w14:textId="77777777" w:rsidR="00C573B0" w:rsidDel="000F1C47" w:rsidRDefault="00C573B0" w:rsidP="00303804">
            <w:pPr>
              <w:rPr>
                <w:color w:val="000000"/>
                <w:sz w:val="20"/>
                <w:szCs w:val="20"/>
              </w:rPr>
            </w:pPr>
          </w:p>
        </w:tc>
      </w:tr>
      <w:tr w:rsidR="00C573B0" w:rsidRPr="00596193" w14:paraId="66A566F6" w14:textId="77777777" w:rsidTr="00E60A0C">
        <w:trPr>
          <w:trHeight w:val="300"/>
        </w:trPr>
        <w:tc>
          <w:tcPr>
            <w:tcW w:w="3055" w:type="dxa"/>
            <w:shd w:val="clear" w:color="auto" w:fill="auto"/>
            <w:noWrap/>
            <w:vAlign w:val="bottom"/>
            <w:hideMark/>
          </w:tcPr>
          <w:p w14:paraId="215E2F65" w14:textId="77777777" w:rsidR="00C573B0" w:rsidRPr="00596193" w:rsidRDefault="00C573B0" w:rsidP="00303804">
            <w:pPr>
              <w:jc w:val="both"/>
              <w:rPr>
                <w:color w:val="000000"/>
                <w:sz w:val="20"/>
                <w:szCs w:val="20"/>
              </w:rPr>
            </w:pPr>
            <w:r w:rsidRPr="00596193">
              <w:rPr>
                <w:color w:val="000000"/>
                <w:sz w:val="20"/>
                <w:szCs w:val="20"/>
              </w:rPr>
              <w:t>Low-risk urban women (25-34)</w:t>
            </w:r>
          </w:p>
        </w:tc>
        <w:tc>
          <w:tcPr>
            <w:tcW w:w="0" w:type="auto"/>
            <w:shd w:val="clear" w:color="auto" w:fill="auto"/>
            <w:noWrap/>
            <w:vAlign w:val="bottom"/>
            <w:hideMark/>
          </w:tcPr>
          <w:p w14:paraId="354D04D1" w14:textId="77777777" w:rsidR="00C573B0" w:rsidRPr="00596193" w:rsidRDefault="00C573B0" w:rsidP="00303804">
            <w:pPr>
              <w:jc w:val="both"/>
              <w:rPr>
                <w:color w:val="000000"/>
                <w:sz w:val="20"/>
                <w:szCs w:val="20"/>
              </w:rPr>
            </w:pPr>
          </w:p>
        </w:tc>
        <w:tc>
          <w:tcPr>
            <w:tcW w:w="0" w:type="auto"/>
          </w:tcPr>
          <w:p w14:paraId="66BE9892" w14:textId="77777777" w:rsidR="00C573B0" w:rsidRPr="00596193" w:rsidRDefault="00C573B0" w:rsidP="00303804">
            <w:pPr>
              <w:jc w:val="both"/>
              <w:rPr>
                <w:color w:val="000000"/>
                <w:sz w:val="20"/>
                <w:szCs w:val="20"/>
              </w:rPr>
            </w:pPr>
          </w:p>
        </w:tc>
        <w:tc>
          <w:tcPr>
            <w:tcW w:w="0" w:type="auto"/>
          </w:tcPr>
          <w:p w14:paraId="38F0004A" w14:textId="77777777" w:rsidR="00C573B0" w:rsidRPr="00596193" w:rsidRDefault="00C573B0" w:rsidP="00303804">
            <w:pPr>
              <w:jc w:val="both"/>
              <w:rPr>
                <w:color w:val="000000"/>
                <w:sz w:val="20"/>
                <w:szCs w:val="20"/>
              </w:rPr>
            </w:pPr>
          </w:p>
        </w:tc>
        <w:tc>
          <w:tcPr>
            <w:tcW w:w="0" w:type="auto"/>
          </w:tcPr>
          <w:p w14:paraId="6A47FC42" w14:textId="77777777" w:rsidR="00C573B0" w:rsidRPr="00596193" w:rsidRDefault="00C573B0" w:rsidP="00303804">
            <w:pPr>
              <w:jc w:val="both"/>
              <w:rPr>
                <w:color w:val="000000"/>
                <w:sz w:val="20"/>
                <w:szCs w:val="20"/>
              </w:rPr>
            </w:pPr>
          </w:p>
        </w:tc>
      </w:tr>
      <w:tr w:rsidR="00C573B0" w:rsidRPr="00596193" w14:paraId="70A6AA24" w14:textId="77777777" w:rsidTr="00E60A0C">
        <w:trPr>
          <w:trHeight w:val="300"/>
        </w:trPr>
        <w:tc>
          <w:tcPr>
            <w:tcW w:w="3055" w:type="dxa"/>
            <w:shd w:val="clear" w:color="auto" w:fill="auto"/>
            <w:noWrap/>
            <w:vAlign w:val="bottom"/>
            <w:hideMark/>
          </w:tcPr>
          <w:p w14:paraId="726BD649" w14:textId="77777777" w:rsidR="00C573B0" w:rsidRPr="00596193" w:rsidRDefault="00C573B0" w:rsidP="00303804">
            <w:pPr>
              <w:jc w:val="both"/>
              <w:rPr>
                <w:color w:val="000000"/>
                <w:sz w:val="20"/>
                <w:szCs w:val="20"/>
              </w:rPr>
            </w:pPr>
            <w:r w:rsidRPr="00596193">
              <w:rPr>
                <w:color w:val="000000"/>
                <w:sz w:val="20"/>
                <w:szCs w:val="20"/>
              </w:rPr>
              <w:t>Low-risk urban women (35-44)</w:t>
            </w:r>
          </w:p>
        </w:tc>
        <w:tc>
          <w:tcPr>
            <w:tcW w:w="0" w:type="auto"/>
            <w:shd w:val="clear" w:color="auto" w:fill="auto"/>
            <w:noWrap/>
            <w:vAlign w:val="bottom"/>
            <w:hideMark/>
          </w:tcPr>
          <w:p w14:paraId="2E08B671" w14:textId="77777777" w:rsidR="00C573B0" w:rsidRPr="00596193" w:rsidRDefault="00C573B0" w:rsidP="00303804">
            <w:pPr>
              <w:jc w:val="both"/>
              <w:rPr>
                <w:color w:val="000000"/>
                <w:sz w:val="20"/>
                <w:szCs w:val="20"/>
              </w:rPr>
            </w:pPr>
          </w:p>
        </w:tc>
        <w:tc>
          <w:tcPr>
            <w:tcW w:w="0" w:type="auto"/>
          </w:tcPr>
          <w:p w14:paraId="1F4BD3B6" w14:textId="77777777" w:rsidR="00C573B0" w:rsidRPr="00596193" w:rsidRDefault="00C573B0" w:rsidP="00303804">
            <w:pPr>
              <w:jc w:val="both"/>
              <w:rPr>
                <w:color w:val="000000"/>
                <w:sz w:val="20"/>
                <w:szCs w:val="20"/>
              </w:rPr>
            </w:pPr>
          </w:p>
        </w:tc>
        <w:tc>
          <w:tcPr>
            <w:tcW w:w="0" w:type="auto"/>
          </w:tcPr>
          <w:p w14:paraId="3B05AB9C" w14:textId="77777777" w:rsidR="00C573B0" w:rsidRPr="00596193" w:rsidRDefault="00C573B0" w:rsidP="00303804">
            <w:pPr>
              <w:jc w:val="both"/>
              <w:rPr>
                <w:color w:val="000000"/>
                <w:sz w:val="20"/>
                <w:szCs w:val="20"/>
              </w:rPr>
            </w:pPr>
          </w:p>
        </w:tc>
        <w:tc>
          <w:tcPr>
            <w:tcW w:w="0" w:type="auto"/>
          </w:tcPr>
          <w:p w14:paraId="639545E1" w14:textId="77777777" w:rsidR="00C573B0" w:rsidRPr="00596193" w:rsidRDefault="00C573B0" w:rsidP="00303804">
            <w:pPr>
              <w:jc w:val="both"/>
              <w:rPr>
                <w:color w:val="000000"/>
                <w:sz w:val="20"/>
                <w:szCs w:val="20"/>
              </w:rPr>
            </w:pPr>
          </w:p>
        </w:tc>
      </w:tr>
      <w:tr w:rsidR="00C573B0" w:rsidRPr="00596193" w14:paraId="0EA35BA0" w14:textId="77777777" w:rsidTr="00E60A0C">
        <w:trPr>
          <w:trHeight w:val="300"/>
        </w:trPr>
        <w:tc>
          <w:tcPr>
            <w:tcW w:w="3055" w:type="dxa"/>
            <w:shd w:val="clear" w:color="auto" w:fill="auto"/>
            <w:noWrap/>
            <w:vAlign w:val="bottom"/>
            <w:hideMark/>
          </w:tcPr>
          <w:p w14:paraId="44DA2C60" w14:textId="77777777" w:rsidR="00C573B0" w:rsidRPr="00596193" w:rsidRDefault="00C573B0" w:rsidP="00303804">
            <w:pPr>
              <w:jc w:val="both"/>
              <w:rPr>
                <w:color w:val="000000"/>
                <w:sz w:val="20"/>
                <w:szCs w:val="20"/>
              </w:rPr>
            </w:pPr>
            <w:r w:rsidRPr="00596193">
              <w:rPr>
                <w:color w:val="000000"/>
                <w:sz w:val="20"/>
                <w:szCs w:val="20"/>
              </w:rPr>
              <w:t>Low-risk urban women (45-54)</w:t>
            </w:r>
          </w:p>
        </w:tc>
        <w:tc>
          <w:tcPr>
            <w:tcW w:w="0" w:type="auto"/>
            <w:shd w:val="clear" w:color="auto" w:fill="auto"/>
            <w:noWrap/>
            <w:vAlign w:val="bottom"/>
            <w:hideMark/>
          </w:tcPr>
          <w:p w14:paraId="00E53E1D" w14:textId="77777777" w:rsidR="00C573B0" w:rsidRPr="00596193" w:rsidRDefault="00C573B0" w:rsidP="00303804">
            <w:pPr>
              <w:jc w:val="both"/>
              <w:rPr>
                <w:color w:val="000000"/>
                <w:sz w:val="20"/>
                <w:szCs w:val="20"/>
              </w:rPr>
            </w:pPr>
          </w:p>
        </w:tc>
        <w:tc>
          <w:tcPr>
            <w:tcW w:w="0" w:type="auto"/>
          </w:tcPr>
          <w:p w14:paraId="758C8CD7" w14:textId="77777777" w:rsidR="00C573B0" w:rsidRPr="00596193" w:rsidRDefault="00C573B0" w:rsidP="00303804">
            <w:pPr>
              <w:jc w:val="both"/>
              <w:rPr>
                <w:color w:val="000000"/>
                <w:sz w:val="20"/>
                <w:szCs w:val="20"/>
              </w:rPr>
            </w:pPr>
          </w:p>
        </w:tc>
        <w:tc>
          <w:tcPr>
            <w:tcW w:w="0" w:type="auto"/>
          </w:tcPr>
          <w:p w14:paraId="2C03F7B0" w14:textId="77777777" w:rsidR="00C573B0" w:rsidRPr="00596193" w:rsidRDefault="00C573B0" w:rsidP="00303804">
            <w:pPr>
              <w:jc w:val="both"/>
              <w:rPr>
                <w:color w:val="000000"/>
                <w:sz w:val="20"/>
                <w:szCs w:val="20"/>
              </w:rPr>
            </w:pPr>
          </w:p>
        </w:tc>
        <w:tc>
          <w:tcPr>
            <w:tcW w:w="0" w:type="auto"/>
          </w:tcPr>
          <w:p w14:paraId="2F41E964" w14:textId="77777777" w:rsidR="00C573B0" w:rsidRPr="00596193" w:rsidRDefault="00C573B0" w:rsidP="00303804">
            <w:pPr>
              <w:jc w:val="both"/>
              <w:rPr>
                <w:color w:val="000000"/>
                <w:sz w:val="20"/>
                <w:szCs w:val="20"/>
              </w:rPr>
            </w:pPr>
          </w:p>
        </w:tc>
      </w:tr>
      <w:tr w:rsidR="00C573B0" w:rsidRPr="00596193" w14:paraId="4619BE3C" w14:textId="77777777" w:rsidTr="00E60A0C">
        <w:trPr>
          <w:trHeight w:val="300"/>
        </w:trPr>
        <w:tc>
          <w:tcPr>
            <w:tcW w:w="3055" w:type="dxa"/>
            <w:shd w:val="clear" w:color="auto" w:fill="auto"/>
            <w:noWrap/>
            <w:vAlign w:val="bottom"/>
            <w:hideMark/>
          </w:tcPr>
          <w:p w14:paraId="2BFEC8BE" w14:textId="77777777" w:rsidR="00C573B0" w:rsidRPr="00596193" w:rsidRDefault="00C573B0" w:rsidP="00303804">
            <w:pPr>
              <w:jc w:val="both"/>
              <w:rPr>
                <w:color w:val="000000"/>
                <w:sz w:val="20"/>
                <w:szCs w:val="20"/>
              </w:rPr>
            </w:pPr>
            <w:r w:rsidRPr="00596193">
              <w:rPr>
                <w:color w:val="000000"/>
                <w:sz w:val="20"/>
                <w:szCs w:val="20"/>
              </w:rPr>
              <w:t>Low-risk urban women (55-64)</w:t>
            </w:r>
          </w:p>
        </w:tc>
        <w:tc>
          <w:tcPr>
            <w:tcW w:w="0" w:type="auto"/>
            <w:shd w:val="clear" w:color="auto" w:fill="auto"/>
            <w:noWrap/>
            <w:vAlign w:val="bottom"/>
            <w:hideMark/>
          </w:tcPr>
          <w:p w14:paraId="6867DCAA" w14:textId="77777777" w:rsidR="00C573B0" w:rsidRPr="00596193" w:rsidRDefault="00C573B0" w:rsidP="00303804">
            <w:pPr>
              <w:jc w:val="both"/>
              <w:rPr>
                <w:color w:val="000000"/>
                <w:sz w:val="20"/>
                <w:szCs w:val="20"/>
              </w:rPr>
            </w:pPr>
          </w:p>
        </w:tc>
        <w:tc>
          <w:tcPr>
            <w:tcW w:w="0" w:type="auto"/>
          </w:tcPr>
          <w:p w14:paraId="73895613" w14:textId="77777777" w:rsidR="00C573B0" w:rsidRPr="00596193" w:rsidRDefault="00C573B0" w:rsidP="00303804">
            <w:pPr>
              <w:jc w:val="both"/>
              <w:rPr>
                <w:color w:val="000000"/>
                <w:sz w:val="20"/>
                <w:szCs w:val="20"/>
              </w:rPr>
            </w:pPr>
          </w:p>
        </w:tc>
        <w:tc>
          <w:tcPr>
            <w:tcW w:w="0" w:type="auto"/>
          </w:tcPr>
          <w:p w14:paraId="76B7FB74" w14:textId="77777777" w:rsidR="00C573B0" w:rsidRPr="00596193" w:rsidRDefault="00C573B0" w:rsidP="00303804">
            <w:pPr>
              <w:jc w:val="both"/>
              <w:rPr>
                <w:color w:val="000000"/>
                <w:sz w:val="20"/>
                <w:szCs w:val="20"/>
              </w:rPr>
            </w:pPr>
          </w:p>
        </w:tc>
        <w:tc>
          <w:tcPr>
            <w:tcW w:w="0" w:type="auto"/>
          </w:tcPr>
          <w:p w14:paraId="0B36885B" w14:textId="77777777" w:rsidR="00C573B0" w:rsidRPr="00596193" w:rsidRDefault="00C573B0" w:rsidP="00303804">
            <w:pPr>
              <w:jc w:val="both"/>
              <w:rPr>
                <w:color w:val="000000"/>
                <w:sz w:val="20"/>
                <w:szCs w:val="20"/>
              </w:rPr>
            </w:pPr>
          </w:p>
        </w:tc>
      </w:tr>
      <w:tr w:rsidR="00C573B0" w:rsidRPr="00596193" w14:paraId="2BFFF302" w14:textId="77777777" w:rsidTr="00E60A0C">
        <w:trPr>
          <w:trHeight w:val="300"/>
        </w:trPr>
        <w:tc>
          <w:tcPr>
            <w:tcW w:w="3055" w:type="dxa"/>
            <w:shd w:val="clear" w:color="auto" w:fill="auto"/>
            <w:noWrap/>
            <w:vAlign w:val="bottom"/>
            <w:hideMark/>
          </w:tcPr>
          <w:p w14:paraId="64A3DFF5" w14:textId="77777777" w:rsidR="00C573B0" w:rsidRPr="00596193" w:rsidRDefault="00C573B0" w:rsidP="00303804">
            <w:pPr>
              <w:jc w:val="both"/>
              <w:rPr>
                <w:color w:val="000000"/>
                <w:sz w:val="20"/>
                <w:szCs w:val="20"/>
              </w:rPr>
            </w:pPr>
            <w:r w:rsidRPr="00596193">
              <w:rPr>
                <w:color w:val="000000"/>
                <w:sz w:val="20"/>
                <w:szCs w:val="20"/>
              </w:rPr>
              <w:t>Low-risk rural women (15-24)</w:t>
            </w:r>
          </w:p>
        </w:tc>
        <w:tc>
          <w:tcPr>
            <w:tcW w:w="0" w:type="auto"/>
            <w:shd w:val="clear" w:color="auto" w:fill="auto"/>
            <w:noWrap/>
            <w:vAlign w:val="bottom"/>
            <w:hideMark/>
          </w:tcPr>
          <w:p w14:paraId="7DD3A3E0" w14:textId="77777777" w:rsidR="00C573B0" w:rsidRPr="00596193" w:rsidRDefault="00C573B0" w:rsidP="00303804">
            <w:pPr>
              <w:jc w:val="both"/>
              <w:rPr>
                <w:color w:val="000000"/>
                <w:sz w:val="20"/>
                <w:szCs w:val="20"/>
              </w:rPr>
            </w:pPr>
          </w:p>
        </w:tc>
        <w:tc>
          <w:tcPr>
            <w:tcW w:w="0" w:type="auto"/>
          </w:tcPr>
          <w:p w14:paraId="3B42BB77" w14:textId="77777777" w:rsidR="00C573B0" w:rsidRPr="00596193" w:rsidRDefault="00C573B0" w:rsidP="00303804">
            <w:pPr>
              <w:jc w:val="both"/>
              <w:rPr>
                <w:color w:val="000000"/>
                <w:sz w:val="20"/>
                <w:szCs w:val="20"/>
              </w:rPr>
            </w:pPr>
          </w:p>
        </w:tc>
        <w:tc>
          <w:tcPr>
            <w:tcW w:w="0" w:type="auto"/>
          </w:tcPr>
          <w:p w14:paraId="0A1E9E13" w14:textId="77777777" w:rsidR="00C573B0" w:rsidRPr="00596193" w:rsidRDefault="00C573B0" w:rsidP="00303804">
            <w:pPr>
              <w:jc w:val="both"/>
              <w:rPr>
                <w:color w:val="000000"/>
                <w:sz w:val="20"/>
                <w:szCs w:val="20"/>
              </w:rPr>
            </w:pPr>
          </w:p>
        </w:tc>
        <w:tc>
          <w:tcPr>
            <w:tcW w:w="0" w:type="auto"/>
          </w:tcPr>
          <w:p w14:paraId="53A2EA36" w14:textId="77777777" w:rsidR="00C573B0" w:rsidRPr="00596193" w:rsidRDefault="00C573B0" w:rsidP="00303804">
            <w:pPr>
              <w:jc w:val="both"/>
              <w:rPr>
                <w:color w:val="000000"/>
                <w:sz w:val="20"/>
                <w:szCs w:val="20"/>
              </w:rPr>
            </w:pPr>
          </w:p>
        </w:tc>
      </w:tr>
      <w:tr w:rsidR="00C573B0" w:rsidRPr="00596193" w14:paraId="42ED5DBF" w14:textId="77777777" w:rsidTr="00E60A0C">
        <w:trPr>
          <w:trHeight w:val="300"/>
        </w:trPr>
        <w:tc>
          <w:tcPr>
            <w:tcW w:w="3055" w:type="dxa"/>
            <w:shd w:val="clear" w:color="auto" w:fill="auto"/>
            <w:noWrap/>
            <w:vAlign w:val="bottom"/>
            <w:hideMark/>
          </w:tcPr>
          <w:p w14:paraId="151A61F4" w14:textId="77777777" w:rsidR="00C573B0" w:rsidRPr="00596193" w:rsidRDefault="00C573B0" w:rsidP="00303804">
            <w:pPr>
              <w:jc w:val="both"/>
              <w:rPr>
                <w:color w:val="000000"/>
                <w:sz w:val="20"/>
                <w:szCs w:val="20"/>
              </w:rPr>
            </w:pPr>
            <w:r w:rsidRPr="00596193">
              <w:rPr>
                <w:color w:val="000000"/>
                <w:sz w:val="20"/>
                <w:szCs w:val="20"/>
              </w:rPr>
              <w:t>Low-risk rural women (25-34)</w:t>
            </w:r>
          </w:p>
        </w:tc>
        <w:tc>
          <w:tcPr>
            <w:tcW w:w="0" w:type="auto"/>
            <w:shd w:val="clear" w:color="auto" w:fill="auto"/>
            <w:noWrap/>
            <w:vAlign w:val="bottom"/>
            <w:hideMark/>
          </w:tcPr>
          <w:p w14:paraId="302C9965" w14:textId="77777777" w:rsidR="00C573B0" w:rsidRPr="00596193" w:rsidRDefault="00C573B0" w:rsidP="00303804">
            <w:pPr>
              <w:jc w:val="both"/>
              <w:rPr>
                <w:color w:val="000000"/>
                <w:sz w:val="20"/>
                <w:szCs w:val="20"/>
              </w:rPr>
            </w:pPr>
          </w:p>
        </w:tc>
        <w:tc>
          <w:tcPr>
            <w:tcW w:w="0" w:type="auto"/>
          </w:tcPr>
          <w:p w14:paraId="3A0583AB" w14:textId="77777777" w:rsidR="00C573B0" w:rsidRPr="00596193" w:rsidRDefault="00C573B0" w:rsidP="00303804">
            <w:pPr>
              <w:jc w:val="both"/>
              <w:rPr>
                <w:color w:val="000000"/>
                <w:sz w:val="20"/>
                <w:szCs w:val="20"/>
              </w:rPr>
            </w:pPr>
          </w:p>
        </w:tc>
        <w:tc>
          <w:tcPr>
            <w:tcW w:w="0" w:type="auto"/>
          </w:tcPr>
          <w:p w14:paraId="00991802" w14:textId="77777777" w:rsidR="00C573B0" w:rsidRPr="00596193" w:rsidRDefault="00C573B0" w:rsidP="00303804">
            <w:pPr>
              <w:jc w:val="both"/>
              <w:rPr>
                <w:color w:val="000000"/>
                <w:sz w:val="20"/>
                <w:szCs w:val="20"/>
              </w:rPr>
            </w:pPr>
          </w:p>
        </w:tc>
        <w:tc>
          <w:tcPr>
            <w:tcW w:w="0" w:type="auto"/>
          </w:tcPr>
          <w:p w14:paraId="0C3AB2E3" w14:textId="77777777" w:rsidR="00C573B0" w:rsidRPr="00596193" w:rsidRDefault="00C573B0" w:rsidP="00303804">
            <w:pPr>
              <w:jc w:val="both"/>
              <w:rPr>
                <w:color w:val="000000"/>
                <w:sz w:val="20"/>
                <w:szCs w:val="20"/>
              </w:rPr>
            </w:pPr>
          </w:p>
        </w:tc>
      </w:tr>
      <w:tr w:rsidR="00C573B0" w:rsidRPr="00596193" w14:paraId="7C411295" w14:textId="77777777" w:rsidTr="00E60A0C">
        <w:trPr>
          <w:trHeight w:val="300"/>
        </w:trPr>
        <w:tc>
          <w:tcPr>
            <w:tcW w:w="3055" w:type="dxa"/>
            <w:shd w:val="clear" w:color="auto" w:fill="auto"/>
            <w:noWrap/>
            <w:vAlign w:val="bottom"/>
            <w:hideMark/>
          </w:tcPr>
          <w:p w14:paraId="27323EF8" w14:textId="77777777" w:rsidR="00C573B0" w:rsidRPr="00596193" w:rsidRDefault="00C573B0" w:rsidP="00303804">
            <w:pPr>
              <w:jc w:val="both"/>
              <w:rPr>
                <w:color w:val="000000"/>
                <w:sz w:val="20"/>
                <w:szCs w:val="20"/>
              </w:rPr>
            </w:pPr>
            <w:r w:rsidRPr="00596193">
              <w:rPr>
                <w:color w:val="000000"/>
                <w:sz w:val="20"/>
                <w:szCs w:val="20"/>
              </w:rPr>
              <w:t>Low-risk rural women (35-44)</w:t>
            </w:r>
          </w:p>
        </w:tc>
        <w:tc>
          <w:tcPr>
            <w:tcW w:w="0" w:type="auto"/>
            <w:shd w:val="clear" w:color="auto" w:fill="auto"/>
            <w:noWrap/>
            <w:vAlign w:val="bottom"/>
            <w:hideMark/>
          </w:tcPr>
          <w:p w14:paraId="4DA67254" w14:textId="77777777" w:rsidR="00C573B0" w:rsidRPr="00596193" w:rsidRDefault="00C573B0" w:rsidP="00303804">
            <w:pPr>
              <w:jc w:val="both"/>
              <w:rPr>
                <w:color w:val="000000"/>
                <w:sz w:val="20"/>
                <w:szCs w:val="20"/>
              </w:rPr>
            </w:pPr>
          </w:p>
        </w:tc>
        <w:tc>
          <w:tcPr>
            <w:tcW w:w="0" w:type="auto"/>
          </w:tcPr>
          <w:p w14:paraId="057CF03D" w14:textId="77777777" w:rsidR="00C573B0" w:rsidRPr="00596193" w:rsidRDefault="00C573B0" w:rsidP="00303804">
            <w:pPr>
              <w:jc w:val="both"/>
              <w:rPr>
                <w:color w:val="000000"/>
                <w:sz w:val="20"/>
                <w:szCs w:val="20"/>
              </w:rPr>
            </w:pPr>
          </w:p>
        </w:tc>
        <w:tc>
          <w:tcPr>
            <w:tcW w:w="0" w:type="auto"/>
          </w:tcPr>
          <w:p w14:paraId="251900F8" w14:textId="77777777" w:rsidR="00C573B0" w:rsidRPr="00596193" w:rsidRDefault="00C573B0" w:rsidP="00303804">
            <w:pPr>
              <w:jc w:val="both"/>
              <w:rPr>
                <w:color w:val="000000"/>
                <w:sz w:val="20"/>
                <w:szCs w:val="20"/>
              </w:rPr>
            </w:pPr>
          </w:p>
        </w:tc>
        <w:tc>
          <w:tcPr>
            <w:tcW w:w="0" w:type="auto"/>
          </w:tcPr>
          <w:p w14:paraId="4B46F565" w14:textId="77777777" w:rsidR="00C573B0" w:rsidRPr="00596193" w:rsidRDefault="00C573B0" w:rsidP="00303804">
            <w:pPr>
              <w:jc w:val="both"/>
              <w:rPr>
                <w:color w:val="000000"/>
                <w:sz w:val="20"/>
                <w:szCs w:val="20"/>
              </w:rPr>
            </w:pPr>
          </w:p>
        </w:tc>
      </w:tr>
      <w:tr w:rsidR="00C573B0" w:rsidRPr="00596193" w14:paraId="543CED2B" w14:textId="77777777" w:rsidTr="00E60A0C">
        <w:trPr>
          <w:trHeight w:val="300"/>
        </w:trPr>
        <w:tc>
          <w:tcPr>
            <w:tcW w:w="3055" w:type="dxa"/>
            <w:shd w:val="clear" w:color="auto" w:fill="auto"/>
            <w:noWrap/>
            <w:vAlign w:val="bottom"/>
            <w:hideMark/>
          </w:tcPr>
          <w:p w14:paraId="6772D7BC" w14:textId="77777777" w:rsidR="00C573B0" w:rsidRPr="00596193" w:rsidRDefault="00C573B0" w:rsidP="00303804">
            <w:pPr>
              <w:jc w:val="both"/>
              <w:rPr>
                <w:color w:val="000000"/>
                <w:sz w:val="20"/>
                <w:szCs w:val="20"/>
              </w:rPr>
            </w:pPr>
            <w:r w:rsidRPr="00596193">
              <w:rPr>
                <w:color w:val="000000"/>
                <w:sz w:val="20"/>
                <w:szCs w:val="20"/>
              </w:rPr>
              <w:t>Low-risk rural women (45-54)</w:t>
            </w:r>
          </w:p>
        </w:tc>
        <w:tc>
          <w:tcPr>
            <w:tcW w:w="0" w:type="auto"/>
            <w:shd w:val="clear" w:color="auto" w:fill="auto"/>
            <w:noWrap/>
            <w:vAlign w:val="bottom"/>
            <w:hideMark/>
          </w:tcPr>
          <w:p w14:paraId="3BCB4002" w14:textId="77777777" w:rsidR="00C573B0" w:rsidRPr="00596193" w:rsidRDefault="00C573B0" w:rsidP="00303804">
            <w:pPr>
              <w:jc w:val="both"/>
              <w:rPr>
                <w:color w:val="000000"/>
                <w:sz w:val="20"/>
                <w:szCs w:val="20"/>
              </w:rPr>
            </w:pPr>
          </w:p>
        </w:tc>
        <w:tc>
          <w:tcPr>
            <w:tcW w:w="0" w:type="auto"/>
          </w:tcPr>
          <w:p w14:paraId="7F63581A" w14:textId="77777777" w:rsidR="00C573B0" w:rsidRPr="00596193" w:rsidRDefault="00C573B0" w:rsidP="00303804">
            <w:pPr>
              <w:jc w:val="both"/>
              <w:rPr>
                <w:color w:val="000000"/>
                <w:sz w:val="20"/>
                <w:szCs w:val="20"/>
              </w:rPr>
            </w:pPr>
          </w:p>
        </w:tc>
        <w:tc>
          <w:tcPr>
            <w:tcW w:w="0" w:type="auto"/>
          </w:tcPr>
          <w:p w14:paraId="2137D34F" w14:textId="77777777" w:rsidR="00C573B0" w:rsidRPr="00596193" w:rsidRDefault="00C573B0" w:rsidP="00303804">
            <w:pPr>
              <w:jc w:val="both"/>
              <w:rPr>
                <w:color w:val="000000"/>
                <w:sz w:val="20"/>
                <w:szCs w:val="20"/>
              </w:rPr>
            </w:pPr>
          </w:p>
        </w:tc>
        <w:tc>
          <w:tcPr>
            <w:tcW w:w="0" w:type="auto"/>
          </w:tcPr>
          <w:p w14:paraId="75B24CE5" w14:textId="77777777" w:rsidR="00C573B0" w:rsidRPr="00596193" w:rsidRDefault="00C573B0" w:rsidP="00303804">
            <w:pPr>
              <w:jc w:val="both"/>
              <w:rPr>
                <w:color w:val="000000"/>
                <w:sz w:val="20"/>
                <w:szCs w:val="20"/>
              </w:rPr>
            </w:pPr>
          </w:p>
        </w:tc>
      </w:tr>
      <w:tr w:rsidR="00C573B0" w:rsidRPr="00596193" w14:paraId="46E306A5" w14:textId="77777777" w:rsidTr="00E60A0C">
        <w:trPr>
          <w:trHeight w:val="300"/>
        </w:trPr>
        <w:tc>
          <w:tcPr>
            <w:tcW w:w="3055" w:type="dxa"/>
            <w:shd w:val="clear" w:color="auto" w:fill="auto"/>
            <w:noWrap/>
            <w:vAlign w:val="bottom"/>
            <w:hideMark/>
          </w:tcPr>
          <w:p w14:paraId="40636DC0" w14:textId="77777777" w:rsidR="00C573B0" w:rsidRPr="00596193" w:rsidRDefault="00C573B0" w:rsidP="00303804">
            <w:pPr>
              <w:jc w:val="both"/>
              <w:rPr>
                <w:color w:val="000000"/>
                <w:sz w:val="20"/>
                <w:szCs w:val="20"/>
              </w:rPr>
            </w:pPr>
            <w:r w:rsidRPr="00596193">
              <w:rPr>
                <w:color w:val="000000"/>
                <w:sz w:val="20"/>
                <w:szCs w:val="20"/>
              </w:rPr>
              <w:t>Low-risk rural women (55-64)</w:t>
            </w:r>
          </w:p>
        </w:tc>
        <w:tc>
          <w:tcPr>
            <w:tcW w:w="0" w:type="auto"/>
            <w:shd w:val="clear" w:color="auto" w:fill="auto"/>
            <w:noWrap/>
            <w:vAlign w:val="bottom"/>
            <w:hideMark/>
          </w:tcPr>
          <w:p w14:paraId="41764481" w14:textId="77777777" w:rsidR="00C573B0" w:rsidRPr="00596193" w:rsidRDefault="00C573B0" w:rsidP="00303804">
            <w:pPr>
              <w:jc w:val="both"/>
              <w:rPr>
                <w:color w:val="000000"/>
                <w:sz w:val="20"/>
                <w:szCs w:val="20"/>
              </w:rPr>
            </w:pPr>
          </w:p>
        </w:tc>
        <w:tc>
          <w:tcPr>
            <w:tcW w:w="0" w:type="auto"/>
          </w:tcPr>
          <w:p w14:paraId="712ED5F6" w14:textId="77777777" w:rsidR="00C573B0" w:rsidRPr="00596193" w:rsidRDefault="00C573B0" w:rsidP="00303804">
            <w:pPr>
              <w:jc w:val="both"/>
              <w:rPr>
                <w:color w:val="000000"/>
                <w:sz w:val="20"/>
                <w:szCs w:val="20"/>
              </w:rPr>
            </w:pPr>
          </w:p>
        </w:tc>
        <w:tc>
          <w:tcPr>
            <w:tcW w:w="0" w:type="auto"/>
          </w:tcPr>
          <w:p w14:paraId="2CD33B0D" w14:textId="77777777" w:rsidR="00C573B0" w:rsidRPr="00596193" w:rsidRDefault="00C573B0" w:rsidP="00303804">
            <w:pPr>
              <w:jc w:val="both"/>
              <w:rPr>
                <w:color w:val="000000"/>
                <w:sz w:val="20"/>
                <w:szCs w:val="20"/>
              </w:rPr>
            </w:pPr>
          </w:p>
        </w:tc>
        <w:tc>
          <w:tcPr>
            <w:tcW w:w="0" w:type="auto"/>
          </w:tcPr>
          <w:p w14:paraId="3E8D1ECA" w14:textId="77777777" w:rsidR="00C573B0" w:rsidRPr="00596193" w:rsidRDefault="00C573B0" w:rsidP="00303804">
            <w:pPr>
              <w:jc w:val="both"/>
              <w:rPr>
                <w:color w:val="000000"/>
                <w:sz w:val="20"/>
                <w:szCs w:val="20"/>
              </w:rPr>
            </w:pPr>
          </w:p>
        </w:tc>
      </w:tr>
      <w:tr w:rsidR="00C573B0" w:rsidRPr="00596193" w14:paraId="51641DD2" w14:textId="77777777" w:rsidTr="00E60A0C">
        <w:trPr>
          <w:trHeight w:val="300"/>
        </w:trPr>
        <w:tc>
          <w:tcPr>
            <w:tcW w:w="3055" w:type="dxa"/>
            <w:shd w:val="clear" w:color="auto" w:fill="auto"/>
            <w:noWrap/>
            <w:vAlign w:val="bottom"/>
            <w:hideMark/>
          </w:tcPr>
          <w:p w14:paraId="0E82CAED" w14:textId="77777777" w:rsidR="00C573B0" w:rsidRPr="00596193" w:rsidRDefault="00C573B0" w:rsidP="00303804">
            <w:pPr>
              <w:jc w:val="both"/>
              <w:rPr>
                <w:color w:val="000000"/>
                <w:sz w:val="20"/>
                <w:szCs w:val="20"/>
              </w:rPr>
            </w:pPr>
            <w:r w:rsidRPr="00596193">
              <w:rPr>
                <w:color w:val="000000"/>
                <w:sz w:val="20"/>
                <w:szCs w:val="20"/>
              </w:rPr>
              <w:t>Urban men (15-24)</w:t>
            </w:r>
          </w:p>
        </w:tc>
        <w:tc>
          <w:tcPr>
            <w:tcW w:w="0" w:type="auto"/>
            <w:shd w:val="clear" w:color="auto" w:fill="auto"/>
            <w:noWrap/>
            <w:vAlign w:val="bottom"/>
            <w:hideMark/>
          </w:tcPr>
          <w:p w14:paraId="4AAF978D" w14:textId="77777777" w:rsidR="00C573B0" w:rsidRPr="00596193" w:rsidRDefault="00C573B0" w:rsidP="00303804">
            <w:pPr>
              <w:jc w:val="both"/>
              <w:rPr>
                <w:color w:val="000000"/>
                <w:sz w:val="20"/>
                <w:szCs w:val="20"/>
              </w:rPr>
            </w:pPr>
          </w:p>
        </w:tc>
        <w:tc>
          <w:tcPr>
            <w:tcW w:w="0" w:type="auto"/>
          </w:tcPr>
          <w:p w14:paraId="4D55D191" w14:textId="77777777" w:rsidR="00C573B0" w:rsidRPr="00596193" w:rsidRDefault="00C573B0" w:rsidP="00303804">
            <w:pPr>
              <w:jc w:val="both"/>
              <w:rPr>
                <w:color w:val="000000"/>
                <w:sz w:val="20"/>
                <w:szCs w:val="20"/>
              </w:rPr>
            </w:pPr>
          </w:p>
        </w:tc>
        <w:tc>
          <w:tcPr>
            <w:tcW w:w="0" w:type="auto"/>
          </w:tcPr>
          <w:p w14:paraId="70557D3E" w14:textId="77777777" w:rsidR="00C573B0" w:rsidRPr="00596193" w:rsidRDefault="00C573B0" w:rsidP="00303804">
            <w:pPr>
              <w:jc w:val="both"/>
              <w:rPr>
                <w:color w:val="000000"/>
                <w:sz w:val="20"/>
                <w:szCs w:val="20"/>
              </w:rPr>
            </w:pPr>
          </w:p>
        </w:tc>
        <w:tc>
          <w:tcPr>
            <w:tcW w:w="0" w:type="auto"/>
          </w:tcPr>
          <w:p w14:paraId="1AB29E00" w14:textId="77777777" w:rsidR="00C573B0" w:rsidRPr="00596193" w:rsidRDefault="00C573B0" w:rsidP="00303804">
            <w:pPr>
              <w:jc w:val="both"/>
              <w:rPr>
                <w:color w:val="000000"/>
                <w:sz w:val="20"/>
                <w:szCs w:val="20"/>
              </w:rPr>
            </w:pPr>
          </w:p>
        </w:tc>
      </w:tr>
      <w:tr w:rsidR="00C573B0" w:rsidRPr="00596193" w14:paraId="4A622E1E" w14:textId="77777777" w:rsidTr="00E60A0C">
        <w:trPr>
          <w:trHeight w:val="300"/>
        </w:trPr>
        <w:tc>
          <w:tcPr>
            <w:tcW w:w="3055" w:type="dxa"/>
            <w:shd w:val="clear" w:color="auto" w:fill="auto"/>
            <w:noWrap/>
            <w:vAlign w:val="bottom"/>
            <w:hideMark/>
          </w:tcPr>
          <w:p w14:paraId="08D8E77F" w14:textId="77777777" w:rsidR="00C573B0" w:rsidRPr="00596193" w:rsidRDefault="00C573B0" w:rsidP="00303804">
            <w:pPr>
              <w:jc w:val="both"/>
              <w:rPr>
                <w:color w:val="000000"/>
                <w:sz w:val="20"/>
                <w:szCs w:val="20"/>
              </w:rPr>
            </w:pPr>
            <w:r w:rsidRPr="00596193">
              <w:rPr>
                <w:color w:val="000000"/>
                <w:sz w:val="20"/>
                <w:szCs w:val="20"/>
              </w:rPr>
              <w:t>Urban men (25-34)</w:t>
            </w:r>
          </w:p>
        </w:tc>
        <w:tc>
          <w:tcPr>
            <w:tcW w:w="0" w:type="auto"/>
            <w:shd w:val="clear" w:color="auto" w:fill="auto"/>
            <w:noWrap/>
            <w:vAlign w:val="bottom"/>
            <w:hideMark/>
          </w:tcPr>
          <w:p w14:paraId="04359D53" w14:textId="77777777" w:rsidR="00C573B0" w:rsidRPr="00596193" w:rsidRDefault="00C573B0" w:rsidP="00303804">
            <w:pPr>
              <w:jc w:val="both"/>
              <w:rPr>
                <w:color w:val="000000"/>
                <w:sz w:val="20"/>
                <w:szCs w:val="20"/>
              </w:rPr>
            </w:pPr>
          </w:p>
        </w:tc>
        <w:tc>
          <w:tcPr>
            <w:tcW w:w="0" w:type="auto"/>
          </w:tcPr>
          <w:p w14:paraId="17E136BF" w14:textId="77777777" w:rsidR="00C573B0" w:rsidRPr="00596193" w:rsidRDefault="00C573B0" w:rsidP="00303804">
            <w:pPr>
              <w:jc w:val="both"/>
              <w:rPr>
                <w:color w:val="000000"/>
                <w:sz w:val="20"/>
                <w:szCs w:val="20"/>
              </w:rPr>
            </w:pPr>
          </w:p>
        </w:tc>
        <w:tc>
          <w:tcPr>
            <w:tcW w:w="0" w:type="auto"/>
          </w:tcPr>
          <w:p w14:paraId="35FDFCB4" w14:textId="77777777" w:rsidR="00C573B0" w:rsidRPr="00596193" w:rsidRDefault="00C573B0" w:rsidP="00303804">
            <w:pPr>
              <w:jc w:val="both"/>
              <w:rPr>
                <w:color w:val="000000"/>
                <w:sz w:val="20"/>
                <w:szCs w:val="20"/>
              </w:rPr>
            </w:pPr>
          </w:p>
        </w:tc>
        <w:tc>
          <w:tcPr>
            <w:tcW w:w="0" w:type="auto"/>
          </w:tcPr>
          <w:p w14:paraId="6BD44B85" w14:textId="77777777" w:rsidR="00C573B0" w:rsidRPr="00596193" w:rsidRDefault="00C573B0" w:rsidP="00303804">
            <w:pPr>
              <w:jc w:val="both"/>
              <w:rPr>
                <w:color w:val="000000"/>
                <w:sz w:val="20"/>
                <w:szCs w:val="20"/>
              </w:rPr>
            </w:pPr>
          </w:p>
        </w:tc>
      </w:tr>
      <w:tr w:rsidR="00C573B0" w:rsidRPr="00596193" w14:paraId="778ACE73" w14:textId="77777777" w:rsidTr="00E60A0C">
        <w:trPr>
          <w:trHeight w:val="300"/>
        </w:trPr>
        <w:tc>
          <w:tcPr>
            <w:tcW w:w="3055" w:type="dxa"/>
            <w:shd w:val="clear" w:color="auto" w:fill="auto"/>
            <w:noWrap/>
            <w:vAlign w:val="bottom"/>
            <w:hideMark/>
          </w:tcPr>
          <w:p w14:paraId="33901808" w14:textId="77777777" w:rsidR="00C573B0" w:rsidRPr="00596193" w:rsidRDefault="00C573B0" w:rsidP="00303804">
            <w:pPr>
              <w:jc w:val="both"/>
              <w:rPr>
                <w:color w:val="000000"/>
                <w:sz w:val="20"/>
                <w:szCs w:val="20"/>
              </w:rPr>
            </w:pPr>
            <w:r w:rsidRPr="00596193">
              <w:rPr>
                <w:color w:val="000000"/>
                <w:sz w:val="20"/>
                <w:szCs w:val="20"/>
              </w:rPr>
              <w:t>Urban men (35-44)</w:t>
            </w:r>
          </w:p>
        </w:tc>
        <w:tc>
          <w:tcPr>
            <w:tcW w:w="0" w:type="auto"/>
            <w:shd w:val="clear" w:color="auto" w:fill="auto"/>
            <w:noWrap/>
            <w:vAlign w:val="bottom"/>
            <w:hideMark/>
          </w:tcPr>
          <w:p w14:paraId="39F6AA4C" w14:textId="77777777" w:rsidR="00C573B0" w:rsidRPr="00596193" w:rsidRDefault="00C573B0" w:rsidP="00303804">
            <w:pPr>
              <w:jc w:val="both"/>
              <w:rPr>
                <w:color w:val="000000"/>
                <w:sz w:val="20"/>
                <w:szCs w:val="20"/>
              </w:rPr>
            </w:pPr>
          </w:p>
        </w:tc>
        <w:tc>
          <w:tcPr>
            <w:tcW w:w="0" w:type="auto"/>
          </w:tcPr>
          <w:p w14:paraId="46EFF2B6" w14:textId="77777777" w:rsidR="00C573B0" w:rsidRPr="00596193" w:rsidRDefault="00C573B0" w:rsidP="00303804">
            <w:pPr>
              <w:jc w:val="both"/>
              <w:rPr>
                <w:color w:val="000000"/>
                <w:sz w:val="20"/>
                <w:szCs w:val="20"/>
              </w:rPr>
            </w:pPr>
          </w:p>
        </w:tc>
        <w:tc>
          <w:tcPr>
            <w:tcW w:w="0" w:type="auto"/>
          </w:tcPr>
          <w:p w14:paraId="7E3F066E" w14:textId="77777777" w:rsidR="00C573B0" w:rsidRPr="00596193" w:rsidRDefault="00C573B0" w:rsidP="00303804">
            <w:pPr>
              <w:jc w:val="both"/>
              <w:rPr>
                <w:color w:val="000000"/>
                <w:sz w:val="20"/>
                <w:szCs w:val="20"/>
              </w:rPr>
            </w:pPr>
          </w:p>
        </w:tc>
        <w:tc>
          <w:tcPr>
            <w:tcW w:w="0" w:type="auto"/>
          </w:tcPr>
          <w:p w14:paraId="52E6B3C1" w14:textId="77777777" w:rsidR="00C573B0" w:rsidRPr="00596193" w:rsidRDefault="00C573B0" w:rsidP="00303804">
            <w:pPr>
              <w:jc w:val="both"/>
              <w:rPr>
                <w:color w:val="000000"/>
                <w:sz w:val="20"/>
                <w:szCs w:val="20"/>
              </w:rPr>
            </w:pPr>
          </w:p>
        </w:tc>
      </w:tr>
      <w:tr w:rsidR="00C573B0" w:rsidRPr="00596193" w14:paraId="1118D1AF" w14:textId="77777777" w:rsidTr="00E60A0C">
        <w:trPr>
          <w:trHeight w:val="300"/>
        </w:trPr>
        <w:tc>
          <w:tcPr>
            <w:tcW w:w="3055" w:type="dxa"/>
            <w:shd w:val="clear" w:color="auto" w:fill="auto"/>
            <w:noWrap/>
            <w:vAlign w:val="bottom"/>
            <w:hideMark/>
          </w:tcPr>
          <w:p w14:paraId="231EFBBA" w14:textId="77777777" w:rsidR="00C573B0" w:rsidRPr="00596193" w:rsidRDefault="00C573B0" w:rsidP="00303804">
            <w:pPr>
              <w:jc w:val="both"/>
              <w:rPr>
                <w:color w:val="000000"/>
                <w:sz w:val="20"/>
                <w:szCs w:val="20"/>
              </w:rPr>
            </w:pPr>
            <w:r w:rsidRPr="00596193">
              <w:rPr>
                <w:color w:val="000000"/>
                <w:sz w:val="20"/>
                <w:szCs w:val="20"/>
              </w:rPr>
              <w:t>Urban men (45-54)</w:t>
            </w:r>
          </w:p>
        </w:tc>
        <w:tc>
          <w:tcPr>
            <w:tcW w:w="0" w:type="auto"/>
            <w:shd w:val="clear" w:color="auto" w:fill="auto"/>
            <w:noWrap/>
            <w:vAlign w:val="bottom"/>
            <w:hideMark/>
          </w:tcPr>
          <w:p w14:paraId="76ABE269" w14:textId="77777777" w:rsidR="00C573B0" w:rsidRPr="00596193" w:rsidRDefault="00C573B0" w:rsidP="00303804">
            <w:pPr>
              <w:jc w:val="both"/>
              <w:rPr>
                <w:color w:val="000000"/>
                <w:sz w:val="20"/>
                <w:szCs w:val="20"/>
              </w:rPr>
            </w:pPr>
          </w:p>
        </w:tc>
        <w:tc>
          <w:tcPr>
            <w:tcW w:w="0" w:type="auto"/>
          </w:tcPr>
          <w:p w14:paraId="3B19E02A" w14:textId="77777777" w:rsidR="00C573B0" w:rsidRPr="00596193" w:rsidRDefault="00C573B0" w:rsidP="00303804">
            <w:pPr>
              <w:jc w:val="both"/>
              <w:rPr>
                <w:color w:val="000000"/>
                <w:sz w:val="20"/>
                <w:szCs w:val="20"/>
              </w:rPr>
            </w:pPr>
          </w:p>
        </w:tc>
        <w:tc>
          <w:tcPr>
            <w:tcW w:w="0" w:type="auto"/>
          </w:tcPr>
          <w:p w14:paraId="6AB97536" w14:textId="77777777" w:rsidR="00C573B0" w:rsidRPr="00596193" w:rsidRDefault="00C573B0" w:rsidP="00303804">
            <w:pPr>
              <w:jc w:val="both"/>
              <w:rPr>
                <w:color w:val="000000"/>
                <w:sz w:val="20"/>
                <w:szCs w:val="20"/>
              </w:rPr>
            </w:pPr>
          </w:p>
        </w:tc>
        <w:tc>
          <w:tcPr>
            <w:tcW w:w="0" w:type="auto"/>
          </w:tcPr>
          <w:p w14:paraId="67D27D2B" w14:textId="77777777" w:rsidR="00C573B0" w:rsidRPr="00596193" w:rsidRDefault="00C573B0" w:rsidP="00303804">
            <w:pPr>
              <w:jc w:val="both"/>
              <w:rPr>
                <w:color w:val="000000"/>
                <w:sz w:val="20"/>
                <w:szCs w:val="20"/>
              </w:rPr>
            </w:pPr>
          </w:p>
        </w:tc>
      </w:tr>
      <w:tr w:rsidR="00C573B0" w:rsidRPr="00596193" w14:paraId="6996AF03" w14:textId="77777777" w:rsidTr="00E60A0C">
        <w:trPr>
          <w:trHeight w:val="300"/>
        </w:trPr>
        <w:tc>
          <w:tcPr>
            <w:tcW w:w="3055" w:type="dxa"/>
            <w:shd w:val="clear" w:color="auto" w:fill="auto"/>
            <w:noWrap/>
            <w:vAlign w:val="bottom"/>
            <w:hideMark/>
          </w:tcPr>
          <w:p w14:paraId="0030F21B" w14:textId="77777777" w:rsidR="00C573B0" w:rsidRPr="00596193" w:rsidRDefault="00C573B0" w:rsidP="00303804">
            <w:pPr>
              <w:jc w:val="both"/>
              <w:rPr>
                <w:color w:val="000000"/>
                <w:sz w:val="20"/>
                <w:szCs w:val="20"/>
              </w:rPr>
            </w:pPr>
            <w:r w:rsidRPr="00596193">
              <w:rPr>
                <w:color w:val="000000"/>
                <w:sz w:val="20"/>
                <w:szCs w:val="20"/>
              </w:rPr>
              <w:t>Urban men (55-64)</w:t>
            </w:r>
          </w:p>
        </w:tc>
        <w:tc>
          <w:tcPr>
            <w:tcW w:w="0" w:type="auto"/>
            <w:shd w:val="clear" w:color="auto" w:fill="auto"/>
            <w:noWrap/>
            <w:vAlign w:val="bottom"/>
            <w:hideMark/>
          </w:tcPr>
          <w:p w14:paraId="70C4ACE1" w14:textId="77777777" w:rsidR="00C573B0" w:rsidRPr="00596193" w:rsidRDefault="00C573B0" w:rsidP="00303804">
            <w:pPr>
              <w:jc w:val="both"/>
              <w:rPr>
                <w:color w:val="000000"/>
                <w:sz w:val="20"/>
                <w:szCs w:val="20"/>
              </w:rPr>
            </w:pPr>
          </w:p>
        </w:tc>
        <w:tc>
          <w:tcPr>
            <w:tcW w:w="0" w:type="auto"/>
          </w:tcPr>
          <w:p w14:paraId="442920FC" w14:textId="77777777" w:rsidR="00C573B0" w:rsidRPr="00596193" w:rsidRDefault="00C573B0" w:rsidP="00303804">
            <w:pPr>
              <w:jc w:val="both"/>
              <w:rPr>
                <w:color w:val="000000"/>
                <w:sz w:val="20"/>
                <w:szCs w:val="20"/>
              </w:rPr>
            </w:pPr>
          </w:p>
        </w:tc>
        <w:tc>
          <w:tcPr>
            <w:tcW w:w="0" w:type="auto"/>
          </w:tcPr>
          <w:p w14:paraId="78E34553" w14:textId="77777777" w:rsidR="00C573B0" w:rsidRPr="00596193" w:rsidRDefault="00C573B0" w:rsidP="00303804">
            <w:pPr>
              <w:jc w:val="both"/>
              <w:rPr>
                <w:color w:val="000000"/>
                <w:sz w:val="20"/>
                <w:szCs w:val="20"/>
              </w:rPr>
            </w:pPr>
          </w:p>
        </w:tc>
        <w:tc>
          <w:tcPr>
            <w:tcW w:w="0" w:type="auto"/>
          </w:tcPr>
          <w:p w14:paraId="41E782EE" w14:textId="77777777" w:rsidR="00C573B0" w:rsidRPr="00596193" w:rsidRDefault="00C573B0" w:rsidP="00303804">
            <w:pPr>
              <w:jc w:val="both"/>
              <w:rPr>
                <w:color w:val="000000"/>
                <w:sz w:val="20"/>
                <w:szCs w:val="20"/>
              </w:rPr>
            </w:pPr>
          </w:p>
        </w:tc>
      </w:tr>
      <w:tr w:rsidR="00C573B0" w:rsidRPr="00596193" w14:paraId="1BA4EE21" w14:textId="77777777" w:rsidTr="00E60A0C">
        <w:trPr>
          <w:trHeight w:val="300"/>
        </w:trPr>
        <w:tc>
          <w:tcPr>
            <w:tcW w:w="3055" w:type="dxa"/>
            <w:shd w:val="clear" w:color="auto" w:fill="auto"/>
            <w:noWrap/>
            <w:vAlign w:val="bottom"/>
            <w:hideMark/>
          </w:tcPr>
          <w:p w14:paraId="54C4FC07" w14:textId="77777777" w:rsidR="00C573B0" w:rsidRPr="00596193" w:rsidRDefault="00C573B0" w:rsidP="00303804">
            <w:pPr>
              <w:jc w:val="both"/>
              <w:rPr>
                <w:color w:val="000000"/>
                <w:sz w:val="20"/>
                <w:szCs w:val="20"/>
              </w:rPr>
            </w:pPr>
            <w:r w:rsidRPr="00596193">
              <w:rPr>
                <w:color w:val="000000"/>
                <w:sz w:val="20"/>
                <w:szCs w:val="20"/>
              </w:rPr>
              <w:t>Rural men (15-24)</w:t>
            </w:r>
          </w:p>
        </w:tc>
        <w:tc>
          <w:tcPr>
            <w:tcW w:w="0" w:type="auto"/>
            <w:shd w:val="clear" w:color="auto" w:fill="auto"/>
            <w:noWrap/>
            <w:vAlign w:val="bottom"/>
            <w:hideMark/>
          </w:tcPr>
          <w:p w14:paraId="24056EA3" w14:textId="77777777" w:rsidR="00C573B0" w:rsidRPr="00596193" w:rsidRDefault="00C573B0" w:rsidP="00303804">
            <w:pPr>
              <w:jc w:val="both"/>
              <w:rPr>
                <w:color w:val="000000"/>
                <w:sz w:val="20"/>
                <w:szCs w:val="20"/>
              </w:rPr>
            </w:pPr>
          </w:p>
        </w:tc>
        <w:tc>
          <w:tcPr>
            <w:tcW w:w="0" w:type="auto"/>
          </w:tcPr>
          <w:p w14:paraId="7F7231BC" w14:textId="77777777" w:rsidR="00C573B0" w:rsidRPr="00596193" w:rsidRDefault="00C573B0" w:rsidP="00303804">
            <w:pPr>
              <w:jc w:val="both"/>
              <w:rPr>
                <w:color w:val="000000"/>
                <w:sz w:val="20"/>
                <w:szCs w:val="20"/>
              </w:rPr>
            </w:pPr>
          </w:p>
        </w:tc>
        <w:tc>
          <w:tcPr>
            <w:tcW w:w="0" w:type="auto"/>
          </w:tcPr>
          <w:p w14:paraId="5AEB0749" w14:textId="77777777" w:rsidR="00C573B0" w:rsidRPr="00596193" w:rsidRDefault="00C573B0" w:rsidP="00303804">
            <w:pPr>
              <w:jc w:val="both"/>
              <w:rPr>
                <w:color w:val="000000"/>
                <w:sz w:val="20"/>
                <w:szCs w:val="20"/>
              </w:rPr>
            </w:pPr>
          </w:p>
        </w:tc>
        <w:tc>
          <w:tcPr>
            <w:tcW w:w="0" w:type="auto"/>
          </w:tcPr>
          <w:p w14:paraId="05835D74" w14:textId="77777777" w:rsidR="00C573B0" w:rsidRPr="00596193" w:rsidRDefault="00C573B0" w:rsidP="00303804">
            <w:pPr>
              <w:jc w:val="both"/>
              <w:rPr>
                <w:color w:val="000000"/>
                <w:sz w:val="20"/>
                <w:szCs w:val="20"/>
              </w:rPr>
            </w:pPr>
          </w:p>
        </w:tc>
      </w:tr>
      <w:tr w:rsidR="00C573B0" w:rsidRPr="00596193" w14:paraId="69AA85A5" w14:textId="77777777" w:rsidTr="00E60A0C">
        <w:trPr>
          <w:trHeight w:val="300"/>
        </w:trPr>
        <w:tc>
          <w:tcPr>
            <w:tcW w:w="3055" w:type="dxa"/>
            <w:shd w:val="clear" w:color="auto" w:fill="auto"/>
            <w:noWrap/>
            <w:vAlign w:val="bottom"/>
            <w:hideMark/>
          </w:tcPr>
          <w:p w14:paraId="21502A4D" w14:textId="77777777" w:rsidR="00C573B0" w:rsidRPr="00596193" w:rsidRDefault="00C573B0" w:rsidP="00303804">
            <w:pPr>
              <w:jc w:val="both"/>
              <w:rPr>
                <w:color w:val="000000"/>
                <w:sz w:val="20"/>
                <w:szCs w:val="20"/>
              </w:rPr>
            </w:pPr>
            <w:r w:rsidRPr="00596193">
              <w:rPr>
                <w:color w:val="000000"/>
                <w:sz w:val="20"/>
                <w:szCs w:val="20"/>
              </w:rPr>
              <w:t>Rural men (25-34)</w:t>
            </w:r>
          </w:p>
        </w:tc>
        <w:tc>
          <w:tcPr>
            <w:tcW w:w="0" w:type="auto"/>
            <w:shd w:val="clear" w:color="auto" w:fill="auto"/>
            <w:noWrap/>
            <w:vAlign w:val="bottom"/>
            <w:hideMark/>
          </w:tcPr>
          <w:p w14:paraId="1B739C4C" w14:textId="77777777" w:rsidR="00C573B0" w:rsidRPr="00596193" w:rsidRDefault="00C573B0" w:rsidP="00303804">
            <w:pPr>
              <w:jc w:val="both"/>
              <w:rPr>
                <w:color w:val="000000"/>
                <w:sz w:val="20"/>
                <w:szCs w:val="20"/>
              </w:rPr>
            </w:pPr>
          </w:p>
        </w:tc>
        <w:tc>
          <w:tcPr>
            <w:tcW w:w="0" w:type="auto"/>
          </w:tcPr>
          <w:p w14:paraId="3D3FDEA9" w14:textId="77777777" w:rsidR="00C573B0" w:rsidRPr="00596193" w:rsidRDefault="00C573B0" w:rsidP="00303804">
            <w:pPr>
              <w:jc w:val="both"/>
              <w:rPr>
                <w:color w:val="000000"/>
                <w:sz w:val="20"/>
                <w:szCs w:val="20"/>
              </w:rPr>
            </w:pPr>
          </w:p>
        </w:tc>
        <w:tc>
          <w:tcPr>
            <w:tcW w:w="0" w:type="auto"/>
          </w:tcPr>
          <w:p w14:paraId="564DC512" w14:textId="77777777" w:rsidR="00C573B0" w:rsidRPr="00596193" w:rsidRDefault="00C573B0" w:rsidP="00303804">
            <w:pPr>
              <w:jc w:val="both"/>
              <w:rPr>
                <w:color w:val="000000"/>
                <w:sz w:val="20"/>
                <w:szCs w:val="20"/>
              </w:rPr>
            </w:pPr>
          </w:p>
        </w:tc>
        <w:tc>
          <w:tcPr>
            <w:tcW w:w="0" w:type="auto"/>
          </w:tcPr>
          <w:p w14:paraId="008E2EEA" w14:textId="77777777" w:rsidR="00C573B0" w:rsidRPr="00596193" w:rsidRDefault="00C573B0" w:rsidP="00303804">
            <w:pPr>
              <w:jc w:val="both"/>
              <w:rPr>
                <w:color w:val="000000"/>
                <w:sz w:val="20"/>
                <w:szCs w:val="20"/>
              </w:rPr>
            </w:pPr>
          </w:p>
        </w:tc>
      </w:tr>
      <w:tr w:rsidR="00C573B0" w:rsidRPr="00596193" w14:paraId="0C9E4CD4" w14:textId="77777777" w:rsidTr="00E60A0C">
        <w:trPr>
          <w:trHeight w:val="300"/>
        </w:trPr>
        <w:tc>
          <w:tcPr>
            <w:tcW w:w="3055" w:type="dxa"/>
            <w:shd w:val="clear" w:color="auto" w:fill="auto"/>
            <w:noWrap/>
            <w:vAlign w:val="bottom"/>
            <w:hideMark/>
          </w:tcPr>
          <w:p w14:paraId="4DD60573" w14:textId="77777777" w:rsidR="00C573B0" w:rsidRPr="00596193" w:rsidRDefault="00C573B0" w:rsidP="00303804">
            <w:pPr>
              <w:jc w:val="both"/>
              <w:rPr>
                <w:color w:val="000000"/>
                <w:sz w:val="20"/>
                <w:szCs w:val="20"/>
              </w:rPr>
            </w:pPr>
            <w:r w:rsidRPr="00596193">
              <w:rPr>
                <w:color w:val="000000"/>
                <w:sz w:val="20"/>
                <w:szCs w:val="20"/>
              </w:rPr>
              <w:t>Rural men (35-44)</w:t>
            </w:r>
          </w:p>
        </w:tc>
        <w:tc>
          <w:tcPr>
            <w:tcW w:w="0" w:type="auto"/>
            <w:shd w:val="clear" w:color="auto" w:fill="auto"/>
            <w:noWrap/>
            <w:vAlign w:val="bottom"/>
            <w:hideMark/>
          </w:tcPr>
          <w:p w14:paraId="269BF168" w14:textId="77777777" w:rsidR="00C573B0" w:rsidRPr="00596193" w:rsidRDefault="00C573B0" w:rsidP="00303804">
            <w:pPr>
              <w:jc w:val="both"/>
              <w:rPr>
                <w:color w:val="000000"/>
                <w:sz w:val="20"/>
                <w:szCs w:val="20"/>
              </w:rPr>
            </w:pPr>
          </w:p>
        </w:tc>
        <w:tc>
          <w:tcPr>
            <w:tcW w:w="0" w:type="auto"/>
          </w:tcPr>
          <w:p w14:paraId="4788FA72" w14:textId="77777777" w:rsidR="00C573B0" w:rsidRPr="00596193" w:rsidRDefault="00C573B0" w:rsidP="00303804">
            <w:pPr>
              <w:jc w:val="both"/>
              <w:rPr>
                <w:color w:val="000000"/>
                <w:sz w:val="20"/>
                <w:szCs w:val="20"/>
              </w:rPr>
            </w:pPr>
          </w:p>
        </w:tc>
        <w:tc>
          <w:tcPr>
            <w:tcW w:w="0" w:type="auto"/>
          </w:tcPr>
          <w:p w14:paraId="6CFCD52E" w14:textId="77777777" w:rsidR="00C573B0" w:rsidRPr="00596193" w:rsidRDefault="00C573B0" w:rsidP="00303804">
            <w:pPr>
              <w:jc w:val="both"/>
              <w:rPr>
                <w:color w:val="000000"/>
                <w:sz w:val="20"/>
                <w:szCs w:val="20"/>
              </w:rPr>
            </w:pPr>
          </w:p>
        </w:tc>
        <w:tc>
          <w:tcPr>
            <w:tcW w:w="0" w:type="auto"/>
          </w:tcPr>
          <w:p w14:paraId="3A8B49E3" w14:textId="77777777" w:rsidR="00C573B0" w:rsidRPr="00596193" w:rsidRDefault="00C573B0" w:rsidP="00303804">
            <w:pPr>
              <w:jc w:val="both"/>
              <w:rPr>
                <w:color w:val="000000"/>
                <w:sz w:val="20"/>
                <w:szCs w:val="20"/>
              </w:rPr>
            </w:pPr>
          </w:p>
        </w:tc>
      </w:tr>
      <w:tr w:rsidR="00C573B0" w:rsidRPr="00596193" w14:paraId="1B31CC66" w14:textId="77777777" w:rsidTr="00E60A0C">
        <w:trPr>
          <w:trHeight w:val="300"/>
        </w:trPr>
        <w:tc>
          <w:tcPr>
            <w:tcW w:w="3055" w:type="dxa"/>
            <w:shd w:val="clear" w:color="auto" w:fill="auto"/>
            <w:noWrap/>
            <w:vAlign w:val="bottom"/>
            <w:hideMark/>
          </w:tcPr>
          <w:p w14:paraId="2FF61FCF" w14:textId="77777777" w:rsidR="00C573B0" w:rsidRPr="00596193" w:rsidRDefault="00C573B0" w:rsidP="00303804">
            <w:pPr>
              <w:jc w:val="both"/>
              <w:rPr>
                <w:color w:val="000000"/>
                <w:sz w:val="20"/>
                <w:szCs w:val="20"/>
              </w:rPr>
            </w:pPr>
            <w:r w:rsidRPr="00596193">
              <w:rPr>
                <w:color w:val="000000"/>
                <w:sz w:val="20"/>
                <w:szCs w:val="20"/>
              </w:rPr>
              <w:t>Rural men (45-54)</w:t>
            </w:r>
          </w:p>
        </w:tc>
        <w:tc>
          <w:tcPr>
            <w:tcW w:w="0" w:type="auto"/>
            <w:shd w:val="clear" w:color="auto" w:fill="auto"/>
            <w:noWrap/>
            <w:vAlign w:val="bottom"/>
            <w:hideMark/>
          </w:tcPr>
          <w:p w14:paraId="102F03EC" w14:textId="77777777" w:rsidR="00C573B0" w:rsidRPr="00596193" w:rsidRDefault="00C573B0" w:rsidP="00303804">
            <w:pPr>
              <w:jc w:val="both"/>
              <w:rPr>
                <w:color w:val="000000"/>
                <w:sz w:val="20"/>
                <w:szCs w:val="20"/>
              </w:rPr>
            </w:pPr>
          </w:p>
        </w:tc>
        <w:tc>
          <w:tcPr>
            <w:tcW w:w="0" w:type="auto"/>
          </w:tcPr>
          <w:p w14:paraId="76B61F4A" w14:textId="77777777" w:rsidR="00C573B0" w:rsidRPr="00596193" w:rsidRDefault="00C573B0" w:rsidP="00303804">
            <w:pPr>
              <w:jc w:val="both"/>
              <w:rPr>
                <w:color w:val="000000"/>
                <w:sz w:val="20"/>
                <w:szCs w:val="20"/>
              </w:rPr>
            </w:pPr>
          </w:p>
        </w:tc>
        <w:tc>
          <w:tcPr>
            <w:tcW w:w="0" w:type="auto"/>
          </w:tcPr>
          <w:p w14:paraId="43DB60AE" w14:textId="77777777" w:rsidR="00C573B0" w:rsidRPr="00596193" w:rsidRDefault="00C573B0" w:rsidP="00303804">
            <w:pPr>
              <w:jc w:val="both"/>
              <w:rPr>
                <w:color w:val="000000"/>
                <w:sz w:val="20"/>
                <w:szCs w:val="20"/>
              </w:rPr>
            </w:pPr>
          </w:p>
        </w:tc>
        <w:tc>
          <w:tcPr>
            <w:tcW w:w="0" w:type="auto"/>
          </w:tcPr>
          <w:p w14:paraId="5218C45C" w14:textId="77777777" w:rsidR="00C573B0" w:rsidRPr="00596193" w:rsidRDefault="00C573B0" w:rsidP="00303804">
            <w:pPr>
              <w:jc w:val="both"/>
              <w:rPr>
                <w:color w:val="000000"/>
                <w:sz w:val="20"/>
                <w:szCs w:val="20"/>
              </w:rPr>
            </w:pPr>
          </w:p>
        </w:tc>
      </w:tr>
      <w:tr w:rsidR="00C573B0" w:rsidRPr="00596193" w14:paraId="43EC1FAB" w14:textId="77777777" w:rsidTr="00E60A0C">
        <w:trPr>
          <w:trHeight w:val="300"/>
        </w:trPr>
        <w:tc>
          <w:tcPr>
            <w:tcW w:w="3055" w:type="dxa"/>
            <w:shd w:val="clear" w:color="auto" w:fill="auto"/>
            <w:noWrap/>
            <w:vAlign w:val="bottom"/>
            <w:hideMark/>
          </w:tcPr>
          <w:p w14:paraId="607B29C3" w14:textId="77777777" w:rsidR="00C573B0" w:rsidRPr="00596193" w:rsidRDefault="00C573B0" w:rsidP="00303804">
            <w:pPr>
              <w:jc w:val="both"/>
              <w:rPr>
                <w:color w:val="000000"/>
                <w:sz w:val="20"/>
                <w:szCs w:val="20"/>
              </w:rPr>
            </w:pPr>
            <w:r w:rsidRPr="00596193">
              <w:rPr>
                <w:color w:val="000000"/>
                <w:sz w:val="20"/>
                <w:szCs w:val="20"/>
              </w:rPr>
              <w:t>Rural men (55-64)</w:t>
            </w:r>
          </w:p>
        </w:tc>
        <w:tc>
          <w:tcPr>
            <w:tcW w:w="0" w:type="auto"/>
            <w:shd w:val="clear" w:color="auto" w:fill="auto"/>
            <w:noWrap/>
            <w:vAlign w:val="bottom"/>
            <w:hideMark/>
          </w:tcPr>
          <w:p w14:paraId="6FFE0D55" w14:textId="77777777" w:rsidR="00C573B0" w:rsidRPr="00596193" w:rsidRDefault="00C573B0" w:rsidP="00303804">
            <w:pPr>
              <w:jc w:val="both"/>
              <w:rPr>
                <w:color w:val="000000"/>
                <w:sz w:val="20"/>
                <w:szCs w:val="20"/>
              </w:rPr>
            </w:pPr>
          </w:p>
        </w:tc>
        <w:tc>
          <w:tcPr>
            <w:tcW w:w="0" w:type="auto"/>
          </w:tcPr>
          <w:p w14:paraId="00525A83" w14:textId="77777777" w:rsidR="00C573B0" w:rsidRPr="00596193" w:rsidRDefault="00C573B0" w:rsidP="00303804">
            <w:pPr>
              <w:jc w:val="both"/>
              <w:rPr>
                <w:color w:val="000000"/>
                <w:sz w:val="20"/>
                <w:szCs w:val="20"/>
              </w:rPr>
            </w:pPr>
          </w:p>
        </w:tc>
        <w:tc>
          <w:tcPr>
            <w:tcW w:w="0" w:type="auto"/>
          </w:tcPr>
          <w:p w14:paraId="726704F7" w14:textId="77777777" w:rsidR="00C573B0" w:rsidRPr="00596193" w:rsidRDefault="00C573B0" w:rsidP="00303804">
            <w:pPr>
              <w:jc w:val="both"/>
              <w:rPr>
                <w:color w:val="000000"/>
                <w:sz w:val="20"/>
                <w:szCs w:val="20"/>
              </w:rPr>
            </w:pPr>
          </w:p>
        </w:tc>
        <w:tc>
          <w:tcPr>
            <w:tcW w:w="0" w:type="auto"/>
          </w:tcPr>
          <w:p w14:paraId="75366C78" w14:textId="77777777" w:rsidR="00C573B0" w:rsidRPr="00596193" w:rsidRDefault="00C573B0" w:rsidP="00303804">
            <w:pPr>
              <w:jc w:val="both"/>
              <w:rPr>
                <w:color w:val="000000"/>
                <w:sz w:val="20"/>
                <w:szCs w:val="20"/>
              </w:rPr>
            </w:pPr>
          </w:p>
        </w:tc>
      </w:tr>
      <w:tr w:rsidR="00C573B0" w:rsidRPr="00596193" w14:paraId="2EC9363B" w14:textId="77777777" w:rsidTr="00E60A0C">
        <w:trPr>
          <w:trHeight w:val="300"/>
        </w:trPr>
        <w:tc>
          <w:tcPr>
            <w:tcW w:w="3055" w:type="dxa"/>
            <w:shd w:val="clear" w:color="auto" w:fill="auto"/>
            <w:noWrap/>
            <w:vAlign w:val="bottom"/>
            <w:hideMark/>
          </w:tcPr>
          <w:p w14:paraId="5487C880" w14:textId="77777777" w:rsidR="00C573B0" w:rsidRPr="00BB5C25" w:rsidRDefault="00C573B0" w:rsidP="00303804">
            <w:pPr>
              <w:jc w:val="both"/>
              <w:rPr>
                <w:color w:val="000000"/>
                <w:sz w:val="20"/>
                <w:szCs w:val="20"/>
                <w:vertAlign w:val="superscript"/>
              </w:rPr>
            </w:pPr>
            <w:r w:rsidRPr="00596193">
              <w:rPr>
                <w:color w:val="000000"/>
                <w:sz w:val="20"/>
                <w:szCs w:val="20"/>
              </w:rPr>
              <w:t>High risk women (15-24)</w:t>
            </w:r>
          </w:p>
        </w:tc>
        <w:tc>
          <w:tcPr>
            <w:tcW w:w="0" w:type="auto"/>
            <w:shd w:val="clear" w:color="auto" w:fill="auto"/>
            <w:noWrap/>
            <w:vAlign w:val="bottom"/>
            <w:hideMark/>
          </w:tcPr>
          <w:p w14:paraId="7823A71F" w14:textId="77777777" w:rsidR="00C573B0" w:rsidRPr="00596193" w:rsidRDefault="00C573B0" w:rsidP="00303804">
            <w:pPr>
              <w:jc w:val="both"/>
              <w:rPr>
                <w:color w:val="000000"/>
                <w:sz w:val="20"/>
                <w:szCs w:val="20"/>
              </w:rPr>
            </w:pPr>
          </w:p>
        </w:tc>
        <w:tc>
          <w:tcPr>
            <w:tcW w:w="0" w:type="auto"/>
          </w:tcPr>
          <w:p w14:paraId="0ACF3B30" w14:textId="77777777" w:rsidR="00C573B0" w:rsidRPr="00596193" w:rsidRDefault="00C573B0" w:rsidP="00303804">
            <w:pPr>
              <w:jc w:val="both"/>
              <w:rPr>
                <w:color w:val="000000"/>
                <w:sz w:val="20"/>
                <w:szCs w:val="20"/>
              </w:rPr>
            </w:pPr>
          </w:p>
        </w:tc>
        <w:tc>
          <w:tcPr>
            <w:tcW w:w="0" w:type="auto"/>
          </w:tcPr>
          <w:p w14:paraId="4B1E5BB5" w14:textId="77777777" w:rsidR="00C573B0" w:rsidRPr="00596193" w:rsidRDefault="00C573B0" w:rsidP="00303804">
            <w:pPr>
              <w:jc w:val="both"/>
              <w:rPr>
                <w:color w:val="000000"/>
                <w:sz w:val="20"/>
                <w:szCs w:val="20"/>
              </w:rPr>
            </w:pPr>
          </w:p>
        </w:tc>
        <w:tc>
          <w:tcPr>
            <w:tcW w:w="0" w:type="auto"/>
          </w:tcPr>
          <w:p w14:paraId="66B0FC3A" w14:textId="77777777" w:rsidR="00C573B0" w:rsidRPr="00596193" w:rsidRDefault="00C573B0" w:rsidP="00303804">
            <w:pPr>
              <w:jc w:val="both"/>
              <w:rPr>
                <w:color w:val="000000"/>
                <w:sz w:val="20"/>
                <w:szCs w:val="20"/>
              </w:rPr>
            </w:pPr>
          </w:p>
        </w:tc>
      </w:tr>
      <w:tr w:rsidR="00C573B0" w:rsidRPr="00596193" w14:paraId="2E4EA5C4" w14:textId="77777777" w:rsidTr="00E60A0C">
        <w:trPr>
          <w:trHeight w:val="300"/>
        </w:trPr>
        <w:tc>
          <w:tcPr>
            <w:tcW w:w="3055" w:type="dxa"/>
            <w:shd w:val="clear" w:color="auto" w:fill="auto"/>
            <w:noWrap/>
            <w:vAlign w:val="bottom"/>
            <w:hideMark/>
          </w:tcPr>
          <w:p w14:paraId="78324441" w14:textId="77777777" w:rsidR="00C573B0" w:rsidRPr="00BB5C25" w:rsidRDefault="00C573B0" w:rsidP="00303804">
            <w:pPr>
              <w:jc w:val="both"/>
              <w:rPr>
                <w:color w:val="000000"/>
                <w:sz w:val="20"/>
                <w:szCs w:val="20"/>
                <w:vertAlign w:val="superscript"/>
              </w:rPr>
            </w:pPr>
            <w:r w:rsidRPr="00596193">
              <w:rPr>
                <w:color w:val="000000"/>
                <w:sz w:val="20"/>
                <w:szCs w:val="20"/>
              </w:rPr>
              <w:t>High risk women (25-34)</w:t>
            </w:r>
          </w:p>
        </w:tc>
        <w:tc>
          <w:tcPr>
            <w:tcW w:w="0" w:type="auto"/>
            <w:shd w:val="clear" w:color="auto" w:fill="auto"/>
            <w:noWrap/>
            <w:vAlign w:val="bottom"/>
            <w:hideMark/>
          </w:tcPr>
          <w:p w14:paraId="3B71751D" w14:textId="77777777" w:rsidR="00C573B0" w:rsidRPr="00596193" w:rsidRDefault="00C573B0" w:rsidP="00303804">
            <w:pPr>
              <w:jc w:val="both"/>
              <w:rPr>
                <w:color w:val="000000"/>
                <w:sz w:val="20"/>
                <w:szCs w:val="20"/>
              </w:rPr>
            </w:pPr>
          </w:p>
        </w:tc>
        <w:tc>
          <w:tcPr>
            <w:tcW w:w="0" w:type="auto"/>
          </w:tcPr>
          <w:p w14:paraId="0AA6AAFC" w14:textId="77777777" w:rsidR="00C573B0" w:rsidRPr="00596193" w:rsidRDefault="00C573B0" w:rsidP="00303804">
            <w:pPr>
              <w:jc w:val="both"/>
              <w:rPr>
                <w:color w:val="000000"/>
                <w:sz w:val="20"/>
                <w:szCs w:val="20"/>
              </w:rPr>
            </w:pPr>
          </w:p>
        </w:tc>
        <w:tc>
          <w:tcPr>
            <w:tcW w:w="0" w:type="auto"/>
          </w:tcPr>
          <w:p w14:paraId="36FA4A08" w14:textId="77777777" w:rsidR="00C573B0" w:rsidRPr="00596193" w:rsidRDefault="00C573B0" w:rsidP="00303804">
            <w:pPr>
              <w:jc w:val="both"/>
              <w:rPr>
                <w:color w:val="000000"/>
                <w:sz w:val="20"/>
                <w:szCs w:val="20"/>
              </w:rPr>
            </w:pPr>
          </w:p>
        </w:tc>
        <w:tc>
          <w:tcPr>
            <w:tcW w:w="0" w:type="auto"/>
          </w:tcPr>
          <w:p w14:paraId="3AF6EF7F" w14:textId="77777777" w:rsidR="00C573B0" w:rsidRPr="00596193" w:rsidRDefault="00C573B0" w:rsidP="00303804">
            <w:pPr>
              <w:jc w:val="both"/>
              <w:rPr>
                <w:color w:val="000000"/>
                <w:sz w:val="20"/>
                <w:szCs w:val="20"/>
              </w:rPr>
            </w:pPr>
          </w:p>
        </w:tc>
      </w:tr>
      <w:tr w:rsidR="00C573B0" w:rsidRPr="00596193" w14:paraId="48FB754E" w14:textId="77777777" w:rsidTr="00E60A0C">
        <w:trPr>
          <w:trHeight w:val="300"/>
        </w:trPr>
        <w:tc>
          <w:tcPr>
            <w:tcW w:w="3055" w:type="dxa"/>
            <w:shd w:val="clear" w:color="auto" w:fill="auto"/>
            <w:noWrap/>
            <w:vAlign w:val="bottom"/>
            <w:hideMark/>
          </w:tcPr>
          <w:p w14:paraId="1A3A26BF" w14:textId="77777777" w:rsidR="00C573B0" w:rsidRPr="00596193" w:rsidRDefault="00C573B0" w:rsidP="00303804">
            <w:pPr>
              <w:jc w:val="both"/>
              <w:rPr>
                <w:color w:val="000000"/>
                <w:sz w:val="20"/>
                <w:szCs w:val="20"/>
              </w:rPr>
            </w:pPr>
            <w:r w:rsidRPr="00596193">
              <w:rPr>
                <w:color w:val="000000"/>
                <w:sz w:val="20"/>
                <w:szCs w:val="20"/>
              </w:rPr>
              <w:t>High risk women (35-44)</w:t>
            </w:r>
          </w:p>
        </w:tc>
        <w:tc>
          <w:tcPr>
            <w:tcW w:w="0" w:type="auto"/>
            <w:shd w:val="clear" w:color="auto" w:fill="auto"/>
            <w:noWrap/>
            <w:vAlign w:val="bottom"/>
            <w:hideMark/>
          </w:tcPr>
          <w:p w14:paraId="43ED3F5C" w14:textId="77777777" w:rsidR="00C573B0" w:rsidRPr="00596193" w:rsidRDefault="00C573B0" w:rsidP="00303804">
            <w:pPr>
              <w:jc w:val="both"/>
              <w:rPr>
                <w:color w:val="000000"/>
                <w:sz w:val="20"/>
                <w:szCs w:val="20"/>
              </w:rPr>
            </w:pPr>
          </w:p>
        </w:tc>
        <w:tc>
          <w:tcPr>
            <w:tcW w:w="0" w:type="auto"/>
          </w:tcPr>
          <w:p w14:paraId="7FA47B51" w14:textId="77777777" w:rsidR="00C573B0" w:rsidRPr="00596193" w:rsidRDefault="00C573B0" w:rsidP="00303804">
            <w:pPr>
              <w:jc w:val="both"/>
              <w:rPr>
                <w:color w:val="000000"/>
                <w:sz w:val="20"/>
                <w:szCs w:val="20"/>
              </w:rPr>
            </w:pPr>
          </w:p>
        </w:tc>
        <w:tc>
          <w:tcPr>
            <w:tcW w:w="0" w:type="auto"/>
          </w:tcPr>
          <w:p w14:paraId="641BDCE4" w14:textId="77777777" w:rsidR="00C573B0" w:rsidRPr="00596193" w:rsidRDefault="00C573B0" w:rsidP="00303804">
            <w:pPr>
              <w:jc w:val="both"/>
              <w:rPr>
                <w:color w:val="000000"/>
                <w:sz w:val="20"/>
                <w:szCs w:val="20"/>
              </w:rPr>
            </w:pPr>
          </w:p>
        </w:tc>
        <w:tc>
          <w:tcPr>
            <w:tcW w:w="0" w:type="auto"/>
          </w:tcPr>
          <w:p w14:paraId="1BF60A72" w14:textId="77777777" w:rsidR="00C573B0" w:rsidRPr="00596193" w:rsidRDefault="00C573B0" w:rsidP="00303804">
            <w:pPr>
              <w:jc w:val="both"/>
              <w:rPr>
                <w:color w:val="000000"/>
                <w:sz w:val="20"/>
                <w:szCs w:val="20"/>
              </w:rPr>
            </w:pPr>
          </w:p>
        </w:tc>
      </w:tr>
      <w:tr w:rsidR="00C573B0" w:rsidRPr="00596193" w14:paraId="1FF20DFC" w14:textId="77777777" w:rsidTr="00E60A0C">
        <w:trPr>
          <w:trHeight w:val="300"/>
        </w:trPr>
        <w:tc>
          <w:tcPr>
            <w:tcW w:w="3055" w:type="dxa"/>
            <w:tcBorders>
              <w:bottom w:val="single" w:sz="4" w:space="0" w:color="auto"/>
            </w:tcBorders>
            <w:shd w:val="clear" w:color="auto" w:fill="auto"/>
            <w:noWrap/>
            <w:vAlign w:val="bottom"/>
            <w:hideMark/>
          </w:tcPr>
          <w:p w14:paraId="71D00C85" w14:textId="77777777" w:rsidR="00C573B0" w:rsidRPr="00596193" w:rsidRDefault="00C573B0" w:rsidP="00303804">
            <w:pPr>
              <w:jc w:val="both"/>
              <w:rPr>
                <w:color w:val="000000"/>
                <w:sz w:val="20"/>
                <w:szCs w:val="20"/>
              </w:rPr>
            </w:pPr>
            <w:r w:rsidRPr="00596193">
              <w:rPr>
                <w:color w:val="000000"/>
                <w:sz w:val="20"/>
                <w:szCs w:val="20"/>
              </w:rPr>
              <w:t>High risk women (45-54)</w:t>
            </w:r>
          </w:p>
        </w:tc>
        <w:tc>
          <w:tcPr>
            <w:tcW w:w="0" w:type="auto"/>
            <w:shd w:val="clear" w:color="auto" w:fill="auto"/>
            <w:noWrap/>
            <w:vAlign w:val="bottom"/>
            <w:hideMark/>
          </w:tcPr>
          <w:p w14:paraId="557D4CB1" w14:textId="77777777" w:rsidR="00C573B0" w:rsidRPr="00596193" w:rsidRDefault="00C573B0" w:rsidP="00303804">
            <w:pPr>
              <w:jc w:val="both"/>
              <w:rPr>
                <w:color w:val="000000"/>
                <w:sz w:val="20"/>
                <w:szCs w:val="20"/>
              </w:rPr>
            </w:pPr>
          </w:p>
        </w:tc>
        <w:tc>
          <w:tcPr>
            <w:tcW w:w="0" w:type="auto"/>
          </w:tcPr>
          <w:p w14:paraId="42F3FE3D" w14:textId="77777777" w:rsidR="00C573B0" w:rsidRPr="00596193" w:rsidRDefault="00C573B0" w:rsidP="00303804">
            <w:pPr>
              <w:jc w:val="both"/>
              <w:rPr>
                <w:color w:val="000000"/>
                <w:sz w:val="20"/>
                <w:szCs w:val="20"/>
              </w:rPr>
            </w:pPr>
          </w:p>
        </w:tc>
        <w:tc>
          <w:tcPr>
            <w:tcW w:w="0" w:type="auto"/>
          </w:tcPr>
          <w:p w14:paraId="256D3F21" w14:textId="77777777" w:rsidR="00C573B0" w:rsidRPr="00596193" w:rsidRDefault="00C573B0" w:rsidP="00303804">
            <w:pPr>
              <w:jc w:val="both"/>
              <w:rPr>
                <w:color w:val="000000"/>
                <w:sz w:val="20"/>
                <w:szCs w:val="20"/>
              </w:rPr>
            </w:pPr>
          </w:p>
        </w:tc>
        <w:tc>
          <w:tcPr>
            <w:tcW w:w="0" w:type="auto"/>
          </w:tcPr>
          <w:p w14:paraId="6B1BAE13" w14:textId="77777777" w:rsidR="00C573B0" w:rsidRPr="00596193" w:rsidRDefault="00C573B0" w:rsidP="00303804">
            <w:pPr>
              <w:jc w:val="both"/>
              <w:rPr>
                <w:color w:val="000000"/>
                <w:sz w:val="20"/>
                <w:szCs w:val="20"/>
              </w:rPr>
            </w:pPr>
          </w:p>
        </w:tc>
      </w:tr>
      <w:tr w:rsidR="00C573B0" w:rsidRPr="00596193" w14:paraId="0BD29976" w14:textId="77777777" w:rsidTr="00E60A0C">
        <w:trPr>
          <w:trHeight w:val="300"/>
        </w:trPr>
        <w:tc>
          <w:tcPr>
            <w:tcW w:w="3055" w:type="dxa"/>
            <w:tcBorders>
              <w:bottom w:val="single" w:sz="4" w:space="0" w:color="auto"/>
            </w:tcBorders>
            <w:shd w:val="clear" w:color="auto" w:fill="auto"/>
            <w:noWrap/>
            <w:vAlign w:val="bottom"/>
            <w:hideMark/>
          </w:tcPr>
          <w:p w14:paraId="240F326C" w14:textId="77777777" w:rsidR="00C573B0" w:rsidRPr="00596193" w:rsidRDefault="00C573B0" w:rsidP="00303804">
            <w:pPr>
              <w:jc w:val="both"/>
              <w:rPr>
                <w:color w:val="000000"/>
                <w:sz w:val="20"/>
                <w:szCs w:val="20"/>
              </w:rPr>
            </w:pPr>
            <w:r w:rsidRPr="00596193">
              <w:rPr>
                <w:color w:val="000000"/>
                <w:sz w:val="20"/>
                <w:szCs w:val="20"/>
              </w:rPr>
              <w:t>High risk women (55-64)</w:t>
            </w:r>
          </w:p>
        </w:tc>
        <w:tc>
          <w:tcPr>
            <w:tcW w:w="0" w:type="auto"/>
            <w:tcBorders>
              <w:bottom w:val="single" w:sz="4" w:space="0" w:color="auto"/>
            </w:tcBorders>
            <w:shd w:val="clear" w:color="auto" w:fill="auto"/>
            <w:noWrap/>
            <w:vAlign w:val="bottom"/>
            <w:hideMark/>
          </w:tcPr>
          <w:p w14:paraId="760E23B6" w14:textId="77777777" w:rsidR="00C573B0" w:rsidRPr="00596193" w:rsidRDefault="00C573B0" w:rsidP="00303804">
            <w:pPr>
              <w:jc w:val="both"/>
              <w:rPr>
                <w:color w:val="000000"/>
                <w:sz w:val="20"/>
                <w:szCs w:val="20"/>
              </w:rPr>
            </w:pPr>
          </w:p>
        </w:tc>
        <w:tc>
          <w:tcPr>
            <w:tcW w:w="0" w:type="auto"/>
            <w:tcBorders>
              <w:bottom w:val="single" w:sz="4" w:space="0" w:color="auto"/>
            </w:tcBorders>
          </w:tcPr>
          <w:p w14:paraId="177CEC17" w14:textId="77777777" w:rsidR="00C573B0" w:rsidRPr="00596193" w:rsidRDefault="00C573B0" w:rsidP="00303804">
            <w:pPr>
              <w:jc w:val="both"/>
              <w:rPr>
                <w:color w:val="000000"/>
                <w:sz w:val="20"/>
                <w:szCs w:val="20"/>
              </w:rPr>
            </w:pPr>
          </w:p>
        </w:tc>
        <w:tc>
          <w:tcPr>
            <w:tcW w:w="0" w:type="auto"/>
            <w:tcBorders>
              <w:bottom w:val="single" w:sz="4" w:space="0" w:color="auto"/>
            </w:tcBorders>
          </w:tcPr>
          <w:p w14:paraId="2E79E248" w14:textId="77777777" w:rsidR="00C573B0" w:rsidRPr="00596193" w:rsidRDefault="00C573B0" w:rsidP="00303804">
            <w:pPr>
              <w:jc w:val="both"/>
              <w:rPr>
                <w:color w:val="000000"/>
                <w:sz w:val="20"/>
                <w:szCs w:val="20"/>
              </w:rPr>
            </w:pPr>
          </w:p>
        </w:tc>
        <w:tc>
          <w:tcPr>
            <w:tcW w:w="0" w:type="auto"/>
            <w:tcBorders>
              <w:bottom w:val="single" w:sz="4" w:space="0" w:color="auto"/>
            </w:tcBorders>
          </w:tcPr>
          <w:p w14:paraId="14EAB947" w14:textId="77777777" w:rsidR="00C573B0" w:rsidRPr="00596193" w:rsidRDefault="00C573B0" w:rsidP="00303804">
            <w:pPr>
              <w:jc w:val="both"/>
              <w:rPr>
                <w:color w:val="000000"/>
                <w:sz w:val="20"/>
                <w:szCs w:val="20"/>
              </w:rPr>
            </w:pPr>
          </w:p>
        </w:tc>
      </w:tr>
    </w:tbl>
    <w:p w14:paraId="2E542FB9" w14:textId="77777777" w:rsidR="00C9678A" w:rsidRPr="00DC1005" w:rsidRDefault="00C9678A">
      <w:pPr>
        <w:jc w:val="both"/>
        <w:sectPr w:rsidR="00C9678A" w:rsidRPr="00DC1005" w:rsidSect="003060F6">
          <w:headerReference w:type="even" r:id="rId61"/>
          <w:headerReference w:type="default" r:id="rId62"/>
          <w:headerReference w:type="first" r:id="rId63"/>
          <w:pgSz w:w="12240" w:h="15840"/>
          <w:pgMar w:top="1440" w:right="1440" w:bottom="1440" w:left="1440" w:header="720" w:footer="720" w:gutter="0"/>
          <w:cols w:space="720"/>
          <w:docGrid w:linePitch="360"/>
        </w:sectPr>
      </w:pPr>
    </w:p>
    <w:p w14:paraId="6EB7A8BE" w14:textId="00AB0B83" w:rsidR="00C9678A" w:rsidRPr="00A25EAD" w:rsidRDefault="00C9678A">
      <w:pPr>
        <w:pStyle w:val="Heading2"/>
        <w:spacing w:before="0"/>
        <w:rPr>
          <w:rFonts w:cs="Times New Roman"/>
          <w:szCs w:val="24"/>
        </w:rPr>
      </w:pPr>
      <w:bookmarkStart w:id="294" w:name="_On_ART,_Not"/>
      <w:bookmarkStart w:id="295" w:name="_Toc82592749"/>
      <w:bookmarkEnd w:id="294"/>
      <w:r w:rsidRPr="00A25EAD">
        <w:rPr>
          <w:rFonts w:cs="Times New Roman"/>
          <w:szCs w:val="24"/>
        </w:rPr>
        <w:lastRenderedPageBreak/>
        <w:t>On ART</w:t>
      </w:r>
      <w:r w:rsidR="008F61DC">
        <w:rPr>
          <w:rFonts w:cs="Times New Roman"/>
          <w:szCs w:val="24"/>
        </w:rPr>
        <w:t>, Not Suppressed</w:t>
      </w:r>
      <w:bookmarkEnd w:id="295"/>
      <w:r w:rsidR="008F61DC">
        <w:rPr>
          <w:rFonts w:cs="Times New Roman"/>
          <w:szCs w:val="24"/>
        </w:rPr>
        <w:t xml:space="preserve"> </w:t>
      </w:r>
    </w:p>
    <w:p w14:paraId="16D16761" w14:textId="43A6EEA8" w:rsidR="00C9678A" w:rsidRPr="005142CB" w:rsidRDefault="00C573B0">
      <w:pPr>
        <w:jc w:val="both"/>
      </w:pPr>
      <w:r w:rsidRPr="005142CB">
        <w:t xml:space="preserve">We define virologic failure as viral suppressed patients with at least 1 viral load tests of &gt; </w:t>
      </w:r>
      <w:r w:rsidR="00DB3CCF">
        <w:t>10</w:t>
      </w:r>
      <w:r w:rsidRPr="005142CB">
        <w:t xml:space="preserve">00 HIV RNA copies/ml in the follow-up tests. This study will </w:t>
      </w:r>
      <w:r w:rsidR="00FB6B71">
        <w:t>assume</w:t>
      </w:r>
      <w:r w:rsidR="00FB6B71" w:rsidRPr="005142CB">
        <w:t xml:space="preserve"> </w:t>
      </w:r>
      <w:r w:rsidRPr="005142CB">
        <w:t xml:space="preserve">viral suppression as </w:t>
      </w:r>
      <w:r w:rsidR="00FB6B71">
        <w:t>10</w:t>
      </w:r>
      <w:r w:rsidRPr="005142CB">
        <w:t>00 HIV RNA copies/ml based on Rwandan HIV guidelines to account for differences in the probability of HIV transmission.</w:t>
      </w:r>
      <w:r w:rsidRPr="005142CB">
        <w:fldChar w:fldCharType="begin" w:fldLock="1"/>
      </w:r>
      <w:r w:rsidR="007527CC">
        <w:instrText>ADDIN CSL_CITATION {"citationItems":[{"id":"ITEM-1","itemData":{"author":[{"dropping-particle":"","family":"Rwanda Ministry of Health","given":"","non-dropping-particle":"","parse-names":false,"suffix":""}],"id":"ITEM-1","issued":{"date-parts":[["2018"]]},"number-of-pages":"1-40","title":"National Guidelines for Prevention and Managment of HIV - Edition 2018","type":"report"},"uris":["http://www.mendeley.com/documents/?uuid=bc05a4f6-c152-4497-b5fa-71d19690ee32","http://www.mendeley.com/documents/?uuid=a0b1743d-776f-4749-8f67-65bf09c0c005"]}],"mendeley":{"formattedCitation":"&lt;sup&gt;68&lt;/sup&gt;","plainTextFormattedCitation":"68","previouslyFormattedCitation":"&lt;sup&gt;68&lt;/sup&gt;"},"properties":{"noteIndex":0},"schema":"https://github.com/citation-style-language/schema/raw/master/csl-citation.json"}</w:instrText>
      </w:r>
      <w:r w:rsidRPr="005142CB">
        <w:fldChar w:fldCharType="separate"/>
      </w:r>
      <w:r w:rsidR="00036C3E" w:rsidRPr="00036C3E">
        <w:rPr>
          <w:noProof/>
          <w:vertAlign w:val="superscript"/>
        </w:rPr>
        <w:t>68</w:t>
      </w:r>
      <w:r w:rsidRPr="005142CB">
        <w:fldChar w:fldCharType="end"/>
      </w:r>
      <w:r>
        <w:t xml:space="preserve"> </w:t>
      </w:r>
      <w:r w:rsidR="00C9678A" w:rsidRPr="005142CB">
        <w:t>Parameter values of probabilities of on ART and not viral suppression (or virological failure) will vary based on disease progression and sub-group. Model compartments that apply to probability of virological failure include only On ART and viral suppression.</w:t>
      </w:r>
    </w:p>
    <w:p w14:paraId="7A77AC82" w14:textId="77777777" w:rsidR="00C9678A" w:rsidRPr="005142CB" w:rsidRDefault="00C9678A">
      <w:pPr>
        <w:jc w:val="both"/>
      </w:pPr>
    </w:p>
    <w:p w14:paraId="35E7DC5A" w14:textId="77777777" w:rsidR="00C573B0" w:rsidRDefault="00C573B0" w:rsidP="00C573B0">
      <w:pPr>
        <w:jc w:val="both"/>
        <w:rPr>
          <w:b/>
          <w:bCs/>
          <w:i/>
          <w:iCs/>
        </w:rPr>
      </w:pPr>
      <w:r w:rsidRPr="00675361">
        <w:rPr>
          <w:b/>
          <w:bCs/>
          <w:i/>
          <w:iCs/>
        </w:rPr>
        <w:t>Data source</w:t>
      </w:r>
      <w:r>
        <w:rPr>
          <w:b/>
          <w:bCs/>
          <w:i/>
          <w:iCs/>
        </w:rPr>
        <w:t xml:space="preserve">. </w:t>
      </w:r>
    </w:p>
    <w:p w14:paraId="1AFD4768" w14:textId="0A44AD37" w:rsidR="00C573B0" w:rsidRDefault="00C573B0" w:rsidP="002E50FA">
      <w:pPr>
        <w:pStyle w:val="ListParagraph"/>
        <w:numPr>
          <w:ilvl w:val="0"/>
          <w:numId w:val="28"/>
        </w:numPr>
        <w:jc w:val="both"/>
      </w:pPr>
      <w:r>
        <w:t>To estimate</w:t>
      </w:r>
      <w:r w:rsidR="00DB3CCF">
        <w:t xml:space="preserve"> </w:t>
      </w:r>
      <w:r w:rsidR="00DB3CCF">
        <w:rPr>
          <w:rFonts w:hint="eastAsia"/>
        </w:rPr>
        <w:t>probability</w:t>
      </w:r>
      <w:r w:rsidR="00DB3CCF">
        <w:t xml:space="preserve"> of On ART and not suppressed</w:t>
      </w:r>
      <w:r>
        <w:t>, we will use the International epidemiology databases to evaluate AIDS (</w:t>
      </w:r>
      <w:proofErr w:type="spellStart"/>
      <w:r>
        <w:t>IeDEA</w:t>
      </w:r>
      <w:proofErr w:type="spellEnd"/>
      <w:r>
        <w:t>) consortium.</w:t>
      </w:r>
      <w:r>
        <w:fldChar w:fldCharType="begin" w:fldLock="1"/>
      </w:r>
      <w:r w:rsidR="007527CC">
        <w:instrText>ADDIN CSL_CITATION {"citationItems":[{"id":"ITEM-1","itemData":{"author":[{"dropping-particle":"","family":"National Institute of Allergy and Infectious Diseases","given":"","non-dropping-particle":"","parse-names":false,"suffix":""}],"id":"ITEM-1","issued":{"date-parts":[["0"]]},"title":"International Epidemiological Databases to Evaluate AIDS","type":"article"},"uris":["http://www.mendeley.com/documents/?uuid=666acb78-cec1-4b66-b410-933fc01451ce"]}],"mendeley":{"formattedCitation":"&lt;sup&gt;51&lt;/sup&gt;","plainTextFormattedCitation":"51","previouslyFormattedCitation":"&lt;sup&gt;51&lt;/sup&gt;"},"properties":{"noteIndex":0},"schema":"https://github.com/citation-style-language/schema/raw/master/csl-citation.json"}</w:instrText>
      </w:r>
      <w:r>
        <w:fldChar w:fldCharType="separate"/>
      </w:r>
      <w:r w:rsidR="00036C3E" w:rsidRPr="00036C3E">
        <w:rPr>
          <w:noProof/>
          <w:vertAlign w:val="superscript"/>
        </w:rPr>
        <w:t>51</w:t>
      </w:r>
      <w:r>
        <w:fldChar w:fldCharType="end"/>
      </w:r>
      <w:r>
        <w:t xml:space="preserve">  </w:t>
      </w:r>
    </w:p>
    <w:p w14:paraId="2B8F214F" w14:textId="6F01F63D" w:rsidR="00C573B0" w:rsidRPr="00E60418" w:rsidRDefault="00E60418" w:rsidP="002E50FA">
      <w:pPr>
        <w:pStyle w:val="BodyText"/>
        <w:numPr>
          <w:ilvl w:val="0"/>
          <w:numId w:val="28"/>
        </w:numPr>
        <w:spacing w:before="0" w:after="0"/>
        <w:jc w:val="both"/>
        <w:rPr>
          <w:b/>
          <w:bCs/>
        </w:rPr>
      </w:pPr>
      <w:r w:rsidRPr="00E60418">
        <w:rPr>
          <w:color w:val="000000"/>
          <w:lang w:eastAsia="ja-JP"/>
        </w:rPr>
        <w:t xml:space="preserve">For patients on ART, the weight applied to adjust for the misclassification of patients is extracted from previous study examining LTFU using </w:t>
      </w:r>
      <w:proofErr w:type="spellStart"/>
      <w:r w:rsidRPr="00E60418">
        <w:rPr>
          <w:color w:val="000000"/>
          <w:lang w:eastAsia="ja-JP"/>
        </w:rPr>
        <w:t>IeDEA</w:t>
      </w:r>
      <w:proofErr w:type="spellEnd"/>
      <w:r w:rsidRPr="00E60418">
        <w:rPr>
          <w:color w:val="000000"/>
          <w:lang w:eastAsia="ja-JP"/>
        </w:rPr>
        <w:t xml:space="preserve"> data, which is calculated based on a meta-analysis in sub-Saharan area. </w:t>
      </w:r>
      <w:r w:rsidR="00C573B0" w:rsidRPr="00E60418">
        <w:rPr>
          <w:color w:val="000000"/>
          <w:lang w:eastAsia="ja-JP"/>
        </w:rPr>
        <w:t>The proportion of patients LTFU having died is 20.8%.</w:t>
      </w:r>
      <w:r w:rsidR="00C573B0" w:rsidRPr="00E60418">
        <w:rPr>
          <w:color w:val="000000" w:themeColor="text1"/>
        </w:rPr>
        <w:fldChar w:fldCharType="begin" w:fldLock="1"/>
      </w:r>
      <w:r w:rsidR="007527CC">
        <w:rPr>
          <w:color w:val="000000" w:themeColor="text1"/>
          <w:lang w:eastAsia="ja-JP"/>
        </w:rPr>
        <w:instrText>ADDIN CSL_CITATION {"citationItems":[{"id":"ITEM-1","itemData":{"DOI":"10.1002/jia2.25084","ISSN":"17582652","abstract":"Introduction: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Society","id":"ITEM-1","issue":"2","issued":{"date-parts":[["2018"]]},"page":"1-7","title":"Retention and mortality on antiretroviral therapy in sub-Saharan Africa: Collaborative analyses of HIV treatment programmes: Collaborative","type":"article-journal","volume":"21"},"uris":["http://www.mendeley.com/documents/?uuid=973be433-f329-438c-a007-d6d819f544b0"]}],"mendeley":{"formattedCitation":"&lt;sup&gt;56&lt;/sup&gt;","plainTextFormattedCitation":"56","previouslyFormattedCitation":"&lt;sup&gt;56&lt;/sup&gt;"},"properties":{"noteIndex":0},"schema":"https://github.com/citation-style-language/schema/raw/master/csl-citation.json"}</w:instrText>
      </w:r>
      <w:r w:rsidR="00C573B0" w:rsidRPr="00E60418">
        <w:rPr>
          <w:color w:val="000000" w:themeColor="text1"/>
        </w:rPr>
        <w:fldChar w:fldCharType="separate"/>
      </w:r>
      <w:r w:rsidR="00036C3E" w:rsidRPr="00036C3E">
        <w:rPr>
          <w:noProof/>
          <w:color w:val="000000" w:themeColor="text1"/>
          <w:vertAlign w:val="superscript"/>
        </w:rPr>
        <w:t>56</w:t>
      </w:r>
      <w:r w:rsidR="00C573B0" w:rsidRPr="00E60418">
        <w:rPr>
          <w:color w:val="000000" w:themeColor="text1"/>
        </w:rPr>
        <w:fldChar w:fldCharType="end"/>
      </w:r>
      <w:r w:rsidR="00C573B0" w:rsidRPr="00E60418" w:rsidDel="00C60B70">
        <w:rPr>
          <w:color w:val="000000"/>
        </w:rPr>
        <w:t xml:space="preserve"> </w:t>
      </w:r>
    </w:p>
    <w:p w14:paraId="51E4D255" w14:textId="77777777" w:rsidR="00C573B0" w:rsidRPr="005E7705" w:rsidRDefault="00C573B0" w:rsidP="003060F6">
      <w:pPr>
        <w:pStyle w:val="ListParagraph"/>
        <w:ind w:left="360"/>
        <w:jc w:val="both"/>
      </w:pPr>
    </w:p>
    <w:p w14:paraId="5265ED75" w14:textId="77777777" w:rsidR="00C573B0" w:rsidRDefault="00C573B0" w:rsidP="00C573B0">
      <w:pPr>
        <w:jc w:val="both"/>
        <w:rPr>
          <w:b/>
          <w:bCs/>
          <w:i/>
          <w:iCs/>
        </w:rPr>
      </w:pPr>
      <w:r>
        <w:rPr>
          <w:b/>
          <w:bCs/>
          <w:i/>
          <w:iCs/>
        </w:rPr>
        <w:t xml:space="preserve">Assumptions. </w:t>
      </w:r>
    </w:p>
    <w:p w14:paraId="2B5379FF" w14:textId="7F07988C" w:rsidR="00C573B0" w:rsidRDefault="00C573B0" w:rsidP="002E50FA">
      <w:pPr>
        <w:pStyle w:val="ListParagraph"/>
        <w:numPr>
          <w:ilvl w:val="0"/>
          <w:numId w:val="27"/>
        </w:numPr>
        <w:jc w:val="both"/>
      </w:pPr>
      <w:r>
        <w:t xml:space="preserve">We assume a linear trend in the decrease of CD4 level for individuals living with HIV. </w:t>
      </w:r>
    </w:p>
    <w:p w14:paraId="61743C34" w14:textId="191CBA74" w:rsidR="00FB6B71" w:rsidRDefault="00FB6B71">
      <w:pPr>
        <w:pStyle w:val="ListParagraph"/>
        <w:numPr>
          <w:ilvl w:val="0"/>
          <w:numId w:val="27"/>
        </w:numPr>
        <w:jc w:val="both"/>
      </w:pPr>
      <w:r>
        <w:t>W</w:t>
      </w:r>
      <w:r w:rsidRPr="00050905">
        <w:t>e assume that all patients who initiate ART are viral</w:t>
      </w:r>
      <w:r>
        <w:t>ly</w:t>
      </w:r>
      <w:r w:rsidRPr="00050905">
        <w:t xml:space="preserve"> suppressed unless there is evidence of </w:t>
      </w:r>
      <w:r>
        <w:t>virological failure</w:t>
      </w:r>
      <w:r w:rsidRPr="00050905">
        <w:t>.</w:t>
      </w:r>
      <w:r w:rsidRPr="00050905">
        <w:fldChar w:fldCharType="begin" w:fldLock="1"/>
      </w:r>
      <w:r w:rsidR="007527CC">
        <w:instrText>ADDIN CSL_CITATION {"citationItems":[{"id":"ITEM-1","itemData":{"author":[{"dropping-particle":"","family":"Rwanda Ministry of Health","given":"","non-dropping-particle":"","parse-names":false,"suffix":""}],"id":"ITEM-1","issued":{"date-parts":[["2018"]]},"number-of-pages":"1-40","title":"National Guidelines for Prevention and Managment of HIV - Edition 2018","type":"report"},"uris":["http://www.mendeley.com/documents/?uuid=a0b1743d-776f-4749-8f67-65bf09c0c005"]}],"mendeley":{"formattedCitation":"&lt;sup&gt;68&lt;/sup&gt;","plainTextFormattedCitation":"68","previouslyFormattedCitation":"&lt;sup&gt;68&lt;/sup&gt;"},"properties":{"noteIndex":0},"schema":"https://github.com/citation-style-language/schema/raw/master/csl-citation.json"}</w:instrText>
      </w:r>
      <w:r w:rsidRPr="00050905">
        <w:fldChar w:fldCharType="separate"/>
      </w:r>
      <w:r w:rsidR="00036C3E" w:rsidRPr="00036C3E">
        <w:rPr>
          <w:noProof/>
          <w:vertAlign w:val="superscript"/>
        </w:rPr>
        <w:t>68</w:t>
      </w:r>
      <w:r w:rsidRPr="00050905">
        <w:fldChar w:fldCharType="end"/>
      </w:r>
      <w:r>
        <w:t xml:space="preserve"> </w:t>
      </w:r>
    </w:p>
    <w:p w14:paraId="72BA7A66" w14:textId="321AB0EF" w:rsidR="00FB6B71" w:rsidRPr="00675361" w:rsidRDefault="00FB6B71">
      <w:pPr>
        <w:pStyle w:val="ListParagraph"/>
        <w:numPr>
          <w:ilvl w:val="0"/>
          <w:numId w:val="27"/>
        </w:numPr>
        <w:jc w:val="both"/>
      </w:pPr>
      <w:r>
        <w:t>We assume that a single HIV RNA test results of &gt;1000 copies/ml will indicate the virological failure.</w:t>
      </w:r>
    </w:p>
    <w:p w14:paraId="1ABCCFB6" w14:textId="77777777" w:rsidR="00C9678A" w:rsidRPr="005142CB" w:rsidRDefault="00C9678A">
      <w:pPr>
        <w:jc w:val="both"/>
        <w:rPr>
          <w:b/>
          <w:bCs/>
        </w:rPr>
      </w:pPr>
    </w:p>
    <w:p w14:paraId="5E1F3316" w14:textId="77777777" w:rsidR="00C573B0" w:rsidRPr="002F5853" w:rsidRDefault="00C573B0" w:rsidP="00C573B0">
      <w:pPr>
        <w:jc w:val="both"/>
        <w:rPr>
          <w:b/>
          <w:bCs/>
          <w:i/>
          <w:iCs/>
        </w:rPr>
      </w:pPr>
      <w:r w:rsidRPr="002F5853">
        <w:rPr>
          <w:b/>
          <w:bCs/>
          <w:i/>
          <w:iCs/>
        </w:rPr>
        <w:t>Estimati</w:t>
      </w:r>
      <w:r>
        <w:rPr>
          <w:b/>
          <w:bCs/>
          <w:i/>
          <w:iCs/>
        </w:rPr>
        <w:t>on</w:t>
      </w:r>
    </w:p>
    <w:p w14:paraId="6F1C588A" w14:textId="40E7FBFC" w:rsidR="00C573B0" w:rsidRDefault="00C573B0" w:rsidP="00C573B0">
      <w:pPr>
        <w:jc w:val="both"/>
      </w:pPr>
      <w:r w:rsidRPr="005E7705">
        <w:t xml:space="preserve">The probability of </w:t>
      </w:r>
      <w:r>
        <w:t>on ART and not viral suppression</w:t>
      </w:r>
      <w:r w:rsidRPr="005E7705">
        <w:t xml:space="preserve"> will be estimated using a weighted competing risk model</w:t>
      </w:r>
      <w:r>
        <w:t xml:space="preserve"> for each sub-population </w:t>
      </w:r>
      <w:r w:rsidR="00BB226C">
        <w:rPr>
          <w:b/>
          <w:bCs/>
        </w:rPr>
        <w:t>(</w:t>
      </w:r>
      <w:r w:rsidR="00BB226C">
        <w:rPr>
          <w:b/>
          <w:bCs/>
        </w:rPr>
        <w:fldChar w:fldCharType="begin"/>
      </w:r>
      <w:r w:rsidR="00BB226C">
        <w:rPr>
          <w:b/>
          <w:bCs/>
        </w:rPr>
        <w:instrText xml:space="preserve"> REF _Ref82432196 \h </w:instrText>
      </w:r>
      <w:r w:rsidR="00BB226C">
        <w:rPr>
          <w:b/>
          <w:bCs/>
        </w:rPr>
      </w:r>
      <w:r w:rsidR="00BB226C">
        <w:rPr>
          <w:b/>
          <w:bCs/>
        </w:rPr>
        <w:fldChar w:fldCharType="separate"/>
      </w:r>
      <w:r w:rsidR="001E49BE" w:rsidRPr="00970B12">
        <w:rPr>
          <w:b/>
          <w:bCs/>
        </w:rPr>
        <w:t xml:space="preserve">Table </w:t>
      </w:r>
      <w:r w:rsidR="001E49BE">
        <w:rPr>
          <w:b/>
          <w:bCs/>
          <w:noProof/>
        </w:rPr>
        <w:t>15</w:t>
      </w:r>
      <w:r w:rsidR="00BB226C">
        <w:rPr>
          <w:b/>
          <w:bCs/>
        </w:rPr>
        <w:fldChar w:fldCharType="end"/>
      </w:r>
      <w:r>
        <w:rPr>
          <w:b/>
          <w:bCs/>
        </w:rPr>
        <w:t>)</w:t>
      </w:r>
      <w:r w:rsidRPr="005E7705">
        <w:t xml:space="preserve">. </w:t>
      </w:r>
      <w:commentRangeStart w:id="296"/>
      <w:commentRangeStart w:id="297"/>
      <w:r w:rsidR="00207668">
        <w:t xml:space="preserve">This model is selected against the traditional Kaplan-Meier model because the probability of event (i.e., ART and not suppressed) is not independent to the censor date (e.g., the probability of viral suppression will be zero when patient has died). </w:t>
      </w:r>
      <w:commentRangeEnd w:id="296"/>
      <w:r w:rsidR="00207668">
        <w:rPr>
          <w:rStyle w:val="CommentReference"/>
        </w:rPr>
        <w:commentReference w:id="296"/>
      </w:r>
      <w:commentRangeEnd w:id="297"/>
      <w:r w:rsidR="00207668">
        <w:rPr>
          <w:rStyle w:val="CommentReference"/>
        </w:rPr>
        <w:commentReference w:id="297"/>
      </w:r>
      <w:r w:rsidR="00207668" w:rsidDel="003C7D23">
        <w:t xml:space="preserve"> </w:t>
      </w:r>
      <w:r>
        <w:t>Death will be modeled as the competing risks. The competing risk model is presented as follows.</w:t>
      </w:r>
    </w:p>
    <w:p w14:paraId="2D7D970D" w14:textId="77777777" w:rsidR="00C573B0" w:rsidRDefault="00C573B0" w:rsidP="00C573B0">
      <w:pPr>
        <w:jc w:val="both"/>
      </w:pPr>
    </w:p>
    <w:p w14:paraId="46189D5F" w14:textId="1EBADB4D" w:rsidR="00C573B0" w:rsidRDefault="00000000" w:rsidP="00C573B0">
      <w:pPr>
        <w:pStyle w:val="BodyText"/>
        <w:spacing w:before="0" w:after="0"/>
        <w:jc w:val="both"/>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p</m:t>
            </m:r>
          </m:sub>
          <m:sup>
            <m:r>
              <w:rPr>
                <w:rFonts w:ascii="Cambria Math" w:hAnsi="Cambria Math"/>
              </w:rPr>
              <m:t>w</m:t>
            </m:r>
          </m:sup>
        </m:sSubSup>
        <m:d>
          <m:dPr>
            <m:ctrlPr>
              <w:rPr>
                <w:rFonts w:ascii="Cambria Math" w:hAnsi="Cambria Math"/>
                <w:i/>
              </w:rPr>
            </m:ctrlPr>
          </m:dPr>
          <m:e>
            <m:r>
              <w:rPr>
                <w:rFonts w:ascii="Cambria Math" w:hAnsi="Cambria Math"/>
              </w:rPr>
              <m:t>t</m:t>
            </m:r>
          </m:e>
          <m:e>
            <m:r>
              <m:rPr>
                <m:sty m:val="bi"/>
              </m:rPr>
              <w:rPr>
                <w:rFonts w:ascii="Cambria Math" w:hAnsi="Cambria Math"/>
              </w:rPr>
              <m:t>X</m:t>
            </m:r>
          </m:e>
        </m:d>
        <m:r>
          <w:rPr>
            <w:rFonts w:ascii="Cambria Math" w:hAnsi="Cambria Math"/>
          </w:rPr>
          <m:t xml:space="preserve">= </m:t>
        </m:r>
        <m:nary>
          <m:naryPr>
            <m:limLoc m:val="subSup"/>
            <m:ctrlPr>
              <w:rPr>
                <w:rFonts w:ascii="Cambria Math" w:hAnsi="Cambria Math"/>
                <w:i/>
              </w:rPr>
            </m:ctrlPr>
          </m:naryPr>
          <m:sub>
            <m:r>
              <w:rPr>
                <w:rFonts w:ascii="Cambria Math" w:hAnsi="Cambria Math"/>
              </w:rPr>
              <m:t>o</m:t>
            </m:r>
          </m:sub>
          <m:sup>
            <m:r>
              <w:rPr>
                <w:rFonts w:ascii="Cambria Math" w:hAnsi="Cambria Math"/>
              </w:rPr>
              <m:t>t</m:t>
            </m:r>
          </m:sup>
          <m:e>
            <m:sSup>
              <m:sSupPr>
                <m:ctrlPr>
                  <w:rPr>
                    <w:rFonts w:ascii="Cambria Math" w:hAnsi="Cambria Math"/>
                    <w:i/>
                  </w:rPr>
                </m:ctrlPr>
              </m:sSupPr>
              <m:e>
                <m:r>
                  <w:rPr>
                    <w:rFonts w:ascii="Cambria Math" w:hAnsi="Cambria Math"/>
                  </w:rPr>
                  <m:t>S</m:t>
                </m:r>
              </m:e>
              <m:sup>
                <m:r>
                  <w:rPr>
                    <w:rFonts w:ascii="Cambria Math" w:hAnsi="Cambria Math"/>
                  </w:rPr>
                  <m:t>w</m:t>
                </m:r>
              </m:sup>
            </m:sSup>
            <m:d>
              <m:dPr>
                <m:ctrlPr>
                  <w:rPr>
                    <w:rFonts w:ascii="Cambria Math" w:hAnsi="Cambria Math"/>
                    <w:i/>
                  </w:rPr>
                </m:ctrlPr>
              </m:dPr>
              <m:e>
                <m:r>
                  <w:rPr>
                    <w:rFonts w:ascii="Cambria Math" w:hAnsi="Cambria Math"/>
                  </w:rPr>
                  <m:t>s</m:t>
                </m:r>
              </m:e>
              <m:e>
                <m:r>
                  <m:rPr>
                    <m:sty m:val="bi"/>
                  </m:rPr>
                  <w:rPr>
                    <w:rFonts w:ascii="Cambria Math" w:hAnsi="Cambria Math"/>
                  </w:rPr>
                  <m:t>X</m:t>
                </m:r>
              </m:e>
            </m:d>
            <m:r>
              <w:rPr>
                <w:rFonts w:ascii="Cambria Math" w:hAnsi="Cambria Math"/>
              </w:rPr>
              <m:t xml:space="preserve"> </m:t>
            </m:r>
            <m:sSubSup>
              <m:sSubSupPr>
                <m:ctrlPr>
                  <w:rPr>
                    <w:rFonts w:ascii="Cambria Math" w:hAnsi="Cambria Math"/>
                    <w:i/>
                    <w:iCs/>
                  </w:rPr>
                </m:ctrlPr>
              </m:sSubSupPr>
              <m:e>
                <m:r>
                  <w:rPr>
                    <w:rFonts w:ascii="Cambria Math" w:hAnsi="Cambria Math"/>
                  </w:rPr>
                  <m:t>h</m:t>
                </m:r>
              </m:e>
              <m:sub>
                <m:r>
                  <w:rPr>
                    <w:rFonts w:ascii="Cambria Math" w:hAnsi="Cambria Math"/>
                  </w:rPr>
                  <m:t>p</m:t>
                </m:r>
              </m:sub>
              <m:sup>
                <m:r>
                  <w:rPr>
                    <w:rFonts w:ascii="Cambria Math" w:hAnsi="Cambria Math"/>
                  </w:rPr>
                  <m:t>w</m:t>
                </m:r>
              </m:sup>
            </m:sSubSup>
            <m:d>
              <m:dPr>
                <m:ctrlPr>
                  <w:rPr>
                    <w:rFonts w:ascii="Cambria Math" w:hAnsi="Cambria Math"/>
                    <w:i/>
                  </w:rPr>
                </m:ctrlPr>
              </m:dPr>
              <m:e>
                <m:r>
                  <w:rPr>
                    <w:rFonts w:ascii="Cambria Math" w:hAnsi="Cambria Math"/>
                  </w:rPr>
                  <m:t>s</m:t>
                </m:r>
              </m:e>
              <m:e>
                <m:r>
                  <m:rPr>
                    <m:sty m:val="bi"/>
                  </m:rPr>
                  <w:rPr>
                    <w:rFonts w:ascii="Cambria Math" w:hAnsi="Cambria Math"/>
                  </w:rPr>
                  <m:t>X</m:t>
                </m:r>
              </m:e>
            </m:d>
            <m:r>
              <w:rPr>
                <w:rFonts w:ascii="Cambria Math" w:hAnsi="Cambria Math"/>
              </w:rPr>
              <m:t xml:space="preserve"> ds</m:t>
            </m:r>
          </m:e>
        </m:nary>
      </m:oMath>
      <w:r w:rsidR="008F61DC">
        <w:rPr>
          <w:rFonts w:eastAsiaTheme="minorEastAsia"/>
        </w:rPr>
        <w:tab/>
      </w:r>
      <w:r w:rsidR="008F61DC">
        <w:rPr>
          <w:rFonts w:eastAsiaTheme="minorEastAsia"/>
        </w:rPr>
        <w:tab/>
      </w:r>
      <w:r w:rsidR="008F61DC">
        <w:rPr>
          <w:rFonts w:eastAsiaTheme="minorEastAsia"/>
        </w:rPr>
        <w:tab/>
      </w:r>
      <w:r w:rsidR="008F61DC">
        <w:rPr>
          <w:rFonts w:eastAsiaTheme="minorEastAsia"/>
        </w:rPr>
        <w:tab/>
      </w:r>
      <w:r w:rsidR="008F61DC">
        <w:rPr>
          <w:rFonts w:eastAsiaTheme="minorEastAsia"/>
        </w:rPr>
        <w:tab/>
      </w:r>
      <w:r w:rsidR="008F61DC">
        <w:rPr>
          <w:rFonts w:eastAsiaTheme="minorEastAsia"/>
        </w:rPr>
        <w:tab/>
      </w:r>
      <w:r w:rsidR="008F61DC">
        <w:rPr>
          <w:rFonts w:eastAsiaTheme="minorEastAsia"/>
        </w:rPr>
        <w:tab/>
      </w:r>
      <w:r w:rsidR="008F61DC">
        <w:rPr>
          <w:rFonts w:eastAsiaTheme="minorEastAsia"/>
        </w:rPr>
        <w:tab/>
        <w:t>(1</w:t>
      </w:r>
      <w:r w:rsidR="00FA0F83">
        <w:rPr>
          <w:rFonts w:eastAsiaTheme="minorEastAsia"/>
        </w:rPr>
        <w:t>4</w:t>
      </w:r>
      <w:r w:rsidR="008F61DC">
        <w:rPr>
          <w:rFonts w:eastAsiaTheme="minorEastAsia"/>
        </w:rPr>
        <w:t>)</w:t>
      </w:r>
    </w:p>
    <w:p w14:paraId="04228CA0" w14:textId="77777777" w:rsidR="008F61DC" w:rsidRPr="008F61DC" w:rsidRDefault="008F61DC" w:rsidP="00C573B0">
      <w:pPr>
        <w:pStyle w:val="BodyText"/>
        <w:spacing w:before="0" w:after="0"/>
        <w:jc w:val="both"/>
      </w:pPr>
    </w:p>
    <w:p w14:paraId="395A2293" w14:textId="508C0BC6" w:rsidR="00C573B0" w:rsidRDefault="00C573B0" w:rsidP="00C573B0">
      <w:pPr>
        <w:pStyle w:val="BodyText"/>
        <w:spacing w:before="0" w:after="0"/>
        <w:jc w:val="both"/>
        <w:rPr>
          <w:iCs/>
        </w:rPr>
      </w:pPr>
      <w:r w:rsidRPr="005E7705">
        <w:rPr>
          <w:iCs/>
        </w:rPr>
        <w:t>Where,</w:t>
      </w:r>
      <w:r w:rsidRPr="005E7705">
        <w:rPr>
          <w:i/>
        </w:rPr>
        <w:t xml:space="preserve"> p</w:t>
      </w:r>
      <w:r w:rsidRPr="005E7705">
        <w:rPr>
          <w:iCs/>
        </w:rPr>
        <w:t xml:space="preserve"> = </w:t>
      </w:r>
      <w:r>
        <w:rPr>
          <w:iCs/>
        </w:rPr>
        <w:t>on ART and not viral suppression</w:t>
      </w:r>
      <w:r w:rsidRPr="005E7705">
        <w:t xml:space="preserve">, w = weight to account for underestimation of </w:t>
      </w:r>
      <w:r>
        <w:t>on ART and not viral suppression,</w:t>
      </w:r>
      <w:r w:rsidRPr="005E7705">
        <w:t xml:space="preserve"> </w:t>
      </w:r>
      <w:r w:rsidRPr="005E7705">
        <w:rPr>
          <w:i/>
          <w:iCs/>
        </w:rPr>
        <w:t xml:space="preserve">S </w:t>
      </w:r>
      <w:r w:rsidRPr="005E7705">
        <w:t xml:space="preserve">= event-free function (survival from </w:t>
      </w:r>
      <w:r>
        <w:t>death</w:t>
      </w:r>
      <w:r w:rsidRPr="005E7705">
        <w:t xml:space="preserve">, or </w:t>
      </w:r>
      <w:r>
        <w:t>on ART and not suppressed</w:t>
      </w:r>
      <w:r w:rsidRPr="005E7705">
        <w:t>),</w:t>
      </w:r>
      <w:r w:rsidRPr="005E7705">
        <w:rPr>
          <w:iCs/>
        </w:rP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p</m:t>
            </m:r>
          </m:sub>
          <m:sup>
            <m:r>
              <w:rPr>
                <w:rFonts w:ascii="Cambria Math" w:hAnsi="Cambria Math"/>
              </w:rPr>
              <m:t>w</m:t>
            </m:r>
          </m:sup>
        </m:sSubSup>
        <m:d>
          <m:dPr>
            <m:ctrlPr>
              <w:rPr>
                <w:rFonts w:ascii="Cambria Math" w:hAnsi="Cambria Math"/>
                <w:i/>
              </w:rPr>
            </m:ctrlPr>
          </m:dPr>
          <m:e>
            <m:r>
              <w:rPr>
                <w:rFonts w:ascii="Cambria Math" w:hAnsi="Cambria Math"/>
              </w:rPr>
              <m:t>t</m:t>
            </m:r>
          </m:e>
          <m:e>
            <m:r>
              <m:rPr>
                <m:sty m:val="bi"/>
              </m:rPr>
              <w:rPr>
                <w:rFonts w:ascii="Cambria Math" w:hAnsi="Cambria Math"/>
              </w:rPr>
              <m:t>X</m:t>
            </m:r>
          </m:e>
        </m:d>
      </m:oMath>
      <w:r w:rsidRPr="005E7705">
        <w:rPr>
          <w:iCs/>
        </w:rPr>
        <w:t xml:space="preserve"> = weighted probability of being </w:t>
      </w:r>
      <w:r>
        <w:rPr>
          <w:iCs/>
        </w:rPr>
        <w:t>on ART and not suppressed</w:t>
      </w:r>
      <w:r w:rsidRPr="005E7705">
        <w:rPr>
          <w:iCs/>
        </w:rPr>
        <w:t xml:space="preserve"> before time</w:t>
      </w:r>
      <m:oMath>
        <m:r>
          <w:rPr>
            <w:rFonts w:ascii="Cambria Math" w:hAnsi="Cambria Math"/>
          </w:rPr>
          <m:t xml:space="preserve"> t</m:t>
        </m:r>
      </m:oMath>
      <w:r w:rsidRPr="005E7705">
        <w:rPr>
          <w:iCs/>
        </w:rPr>
        <w:t xml:space="preserve">, </w:t>
      </w:r>
      <w:r w:rsidRPr="005E7705">
        <w:rPr>
          <w:b/>
          <w:bCs/>
          <w:i/>
        </w:rPr>
        <w:t>X</w:t>
      </w:r>
      <w:r w:rsidRPr="005E7705">
        <w:rPr>
          <w:b/>
          <w:bCs/>
          <w:iCs/>
        </w:rPr>
        <w:t xml:space="preserve"> </w:t>
      </w:r>
      <w:r w:rsidRPr="005E7705">
        <w:rPr>
          <w:iCs/>
        </w:rPr>
        <w:t xml:space="preserve">= vector of predictor variables (e.g., site) for patient </w:t>
      </w:r>
      <m:oMath>
        <m:r>
          <w:rPr>
            <w:rFonts w:ascii="Cambria Math" w:hAnsi="Cambria Math"/>
          </w:rPr>
          <m:t>i</m:t>
        </m:r>
      </m:oMath>
      <w:r w:rsidRPr="005E7705">
        <w:rPr>
          <w:iCs/>
        </w:rPr>
        <w:t xml:space="preserve">, </w:t>
      </w:r>
      <m:oMath>
        <m:sSubSup>
          <m:sSubSupPr>
            <m:ctrlPr>
              <w:rPr>
                <w:rFonts w:ascii="Cambria Math" w:hAnsi="Cambria Math"/>
                <w:i/>
                <w:iCs/>
              </w:rPr>
            </m:ctrlPr>
          </m:sSubSupPr>
          <m:e>
            <m:r>
              <w:rPr>
                <w:rFonts w:ascii="Cambria Math" w:hAnsi="Cambria Math"/>
              </w:rPr>
              <m:t>h</m:t>
            </m:r>
          </m:e>
          <m:sub>
            <m:r>
              <w:rPr>
                <w:rFonts w:ascii="Cambria Math" w:hAnsi="Cambria Math"/>
              </w:rPr>
              <m:t>p</m:t>
            </m:r>
          </m:sub>
          <m:sup>
            <m:r>
              <w:rPr>
                <w:rFonts w:ascii="Cambria Math" w:hAnsi="Cambria Math"/>
              </w:rPr>
              <m:t>w</m:t>
            </m:r>
          </m:sup>
        </m:sSubSup>
        <m:d>
          <m:dPr>
            <m:ctrlPr>
              <w:rPr>
                <w:rFonts w:ascii="Cambria Math" w:hAnsi="Cambria Math"/>
                <w:i/>
              </w:rPr>
            </m:ctrlPr>
          </m:dPr>
          <m:e>
            <m:r>
              <w:rPr>
                <w:rFonts w:ascii="Cambria Math" w:hAnsi="Cambria Math"/>
              </w:rPr>
              <m:t>s</m:t>
            </m:r>
          </m:e>
          <m:e>
            <m:r>
              <m:rPr>
                <m:sty m:val="bi"/>
              </m:rPr>
              <w:rPr>
                <w:rFonts w:ascii="Cambria Math" w:hAnsi="Cambria Math"/>
              </w:rPr>
              <m:t>X</m:t>
            </m:r>
          </m:e>
        </m:d>
      </m:oMath>
      <w:r w:rsidRPr="005E7705">
        <w:rPr>
          <w:iCs/>
        </w:rPr>
        <w:t xml:space="preserve"> = cause-specific weighted hazard function for </w:t>
      </w:r>
      <w:r>
        <w:rPr>
          <w:iCs/>
        </w:rPr>
        <w:t>on ART and not suppressed</w:t>
      </w:r>
      <w:r w:rsidRPr="005E7705">
        <w:rPr>
          <w:iCs/>
        </w:rPr>
        <w:t xml:space="preserve">, and </w:t>
      </w:r>
      <m:oMath>
        <m:sSup>
          <m:sSupPr>
            <m:ctrlPr>
              <w:rPr>
                <w:rFonts w:ascii="Cambria Math" w:hAnsi="Cambria Math"/>
                <w:i/>
              </w:rPr>
            </m:ctrlPr>
          </m:sSupPr>
          <m:e>
            <m:r>
              <w:rPr>
                <w:rFonts w:ascii="Cambria Math" w:hAnsi="Cambria Math"/>
              </w:rPr>
              <m:t>S</m:t>
            </m:r>
          </m:e>
          <m:sup>
            <m:r>
              <w:rPr>
                <w:rFonts w:ascii="Cambria Math" w:hAnsi="Cambria Math"/>
              </w:rPr>
              <m:t>w</m:t>
            </m:r>
          </m:sup>
        </m:sSup>
        <m:d>
          <m:dPr>
            <m:ctrlPr>
              <w:rPr>
                <w:rFonts w:ascii="Cambria Math" w:hAnsi="Cambria Math"/>
                <w:i/>
              </w:rPr>
            </m:ctrlPr>
          </m:dPr>
          <m:e>
            <m:r>
              <w:rPr>
                <w:rFonts w:ascii="Cambria Math" w:hAnsi="Cambria Math"/>
              </w:rPr>
              <m:t>s</m:t>
            </m:r>
          </m:e>
          <m:e>
            <m:r>
              <m:rPr>
                <m:sty m:val="bi"/>
              </m:rPr>
              <w:rPr>
                <w:rFonts w:ascii="Cambria Math" w:hAnsi="Cambria Math"/>
              </w:rPr>
              <m:t>X</m:t>
            </m:r>
          </m:e>
        </m:d>
      </m:oMath>
      <w:r w:rsidRPr="005E7705">
        <w:rPr>
          <w:iCs/>
        </w:rPr>
        <w:t xml:space="preserve"> = time-dependent weighted probability that the patient with factors </w:t>
      </w:r>
      <w:r w:rsidRPr="005E7705">
        <w:rPr>
          <w:b/>
          <w:bCs/>
          <w:i/>
        </w:rPr>
        <w:t>X</w:t>
      </w:r>
      <w:r w:rsidRPr="005E7705">
        <w:rPr>
          <w:iCs/>
        </w:rPr>
        <w:t xml:space="preserve"> is event-free.</w:t>
      </w:r>
    </w:p>
    <w:p w14:paraId="51ED2BCE" w14:textId="77777777" w:rsidR="00C573B0" w:rsidRDefault="00C573B0" w:rsidP="00C573B0">
      <w:pPr>
        <w:jc w:val="both"/>
      </w:pPr>
    </w:p>
    <w:p w14:paraId="12B665D7" w14:textId="04FD6DDA" w:rsidR="00C573B0" w:rsidRPr="00665C6D" w:rsidRDefault="00C573B0" w:rsidP="00C573B0">
      <w:pPr>
        <w:pStyle w:val="BodyText"/>
        <w:spacing w:before="0" w:after="0"/>
        <w:jc w:val="both"/>
        <w:rPr>
          <w:iCs/>
        </w:rPr>
      </w:pPr>
      <w:r>
        <w:t xml:space="preserve">In the weighted competing risk model, we will calculate time at risk for each individual to estimate the hazard function of </w:t>
      </w:r>
      <w:r>
        <w:rPr>
          <w:iCs/>
        </w:rPr>
        <w:t>on ART and not suppressed</w:t>
      </w:r>
      <w:r>
        <w:t xml:space="preserve">, which is based on the residence time within a CD4 cell count stratum. The process for estimating the time-at-risk can be found in </w:t>
      </w:r>
      <w:r w:rsidR="00BB226C">
        <w:rPr>
          <w:b/>
          <w:bCs/>
        </w:rPr>
        <w:t xml:space="preserve">Section </w:t>
      </w:r>
      <w:r w:rsidR="00BB226C">
        <w:rPr>
          <w:b/>
          <w:bCs/>
        </w:rPr>
        <w:fldChar w:fldCharType="begin"/>
      </w:r>
      <w:r w:rsidR="00BB226C">
        <w:rPr>
          <w:b/>
          <w:bCs/>
        </w:rPr>
        <w:instrText xml:space="preserve"> REF _Ref82432234 \r \h </w:instrText>
      </w:r>
      <w:r w:rsidR="00BB226C">
        <w:rPr>
          <w:b/>
          <w:bCs/>
        </w:rPr>
      </w:r>
      <w:r w:rsidR="00BB226C">
        <w:rPr>
          <w:b/>
          <w:bCs/>
        </w:rPr>
        <w:fldChar w:fldCharType="separate"/>
      </w:r>
      <w:r w:rsidR="001E49BE">
        <w:rPr>
          <w:b/>
          <w:bCs/>
        </w:rPr>
        <w:t>11.4</w:t>
      </w:r>
      <w:r w:rsidR="00BB226C">
        <w:rPr>
          <w:b/>
          <w:bCs/>
        </w:rPr>
        <w:fldChar w:fldCharType="end"/>
      </w:r>
      <w:r>
        <w:rPr>
          <w:b/>
          <w:bCs/>
        </w:rPr>
        <w:t xml:space="preserve">. </w:t>
      </w:r>
      <w:r>
        <w:t xml:space="preserve">We will control for site-level factors only (i.e. clinics) since </w:t>
      </w:r>
      <w:r w:rsidRPr="005E7705">
        <w:t xml:space="preserve">clinic- or site-level factors can be associated with </w:t>
      </w:r>
      <w:r>
        <w:rPr>
          <w:iCs/>
        </w:rPr>
        <w:t>on ART and not suppressed</w:t>
      </w:r>
      <w:r w:rsidRPr="005E7705">
        <w:t xml:space="preserve"> (e.g. nutrition support programs).</w:t>
      </w:r>
      <w:r w:rsidRPr="005E7705">
        <w:fldChar w:fldCharType="begin" w:fldLock="1"/>
      </w:r>
      <w:r w:rsidR="007527CC">
        <w:instrText>ADDIN CSL_CITATION {"citationItems":[{"id":"ITEM-1","itemData":{"DOI":"10.1186/1742-6405-4-11","ISSN":"17426405","abstract":"During the extended clinically latent period associated with Human Immunodeficiency Virus (HIV) infection the virus itself is far from latent. This phase of infection generally comes to an end with the development of symptomatic illness. Understanding the factors affecting disease progression can aid treatment commencement and therapeutic monitoring decisions. An example of this is the clear utility of CD4+ T-cell count and HIV-RNA for disease stage and progression assessment. Elements of the immune response such as the diversity of HIV-specific cytotoxic lymphocyte responses and cell-surface CD38 expression correlate significantly with the control of viral replication. However, the relationship between soluble markers of immune activation and disease progression remains inconclusive. In patients on treatment, sustained virological rebound to &gt;10 000 copies/mL is associated with poor clinical outcome. However, the same is not true of transient elevations of HIV RNA (blips). Another virological factor, drug resistance, is becoming a growing problem around the globe and monitoring must play a part in the surveillance and control of the epidemic worldwide. The links between chemokine receptor tropism and rate of disease progression remain uncertain and the clinical utility of monitoring viral strain is yet to be determined. The large number of confounding factors has made investigation of the roles of race and viral subtype difficult, and further research is needed to elucidate their significance. Host actors such as age, HLA and CYP polymorphisms and psychosocial factors remain important, though often unalterable, predictors of disease progression. Although gender and mode of transmission have a lesser role in disease progression, they may impact other markers such as viral load. Finally, readily measurable markers of disease such as total lymphocyte count, haemoglobin, body mass index and delayed type hypersensitivity may come into favour as ART becomes increasingly available in resource-limited parts of the world. The influence of these, and other factors, on the clinical progression of HIV infection are reviewed in detail, both preceding and following treatment initiation. © 2007 Langford et al; licensee BioMed Central Ltd.","author":[{"dropping-particle":"","family":"Langford","given":"Simone E.","non-dropping-particle":"","parse-names":false,"suffix":""},{"dropping-particle":"","family":"Ananworanich","given":"Jintanat","non-dropping-particle":"","parse-names":false,"suffix":""},{"dropping-particle":"","family":"Cooper","given":"David A.","non-dropping-particle":"","parse-names":false,"suffix":""}],"container-title":"AIDS Research and Therapy","id":"ITEM-1","issued":{"date-parts":[["2007"]]},"title":"Predictors of disease progression in HIV infection: A review","type":"article"},"uris":["http://www.mendeley.com/documents/?uuid=4a0d521d-4a7b-404e-bf76-154daa1c3363"]}],"mendeley":{"formattedCitation":"&lt;sup&gt;62&lt;/sup&gt;","plainTextFormattedCitation":"62","previouslyFormattedCitation":"&lt;sup&gt;62&lt;/sup&gt;"},"properties":{"noteIndex":0},"schema":"https://github.com/citation-style-language/schema/raw/master/csl-citation.json"}</w:instrText>
      </w:r>
      <w:r w:rsidRPr="005E7705">
        <w:fldChar w:fldCharType="separate"/>
      </w:r>
      <w:r w:rsidR="00036C3E" w:rsidRPr="00036C3E">
        <w:rPr>
          <w:noProof/>
          <w:vertAlign w:val="superscript"/>
        </w:rPr>
        <w:t>62</w:t>
      </w:r>
      <w:r w:rsidRPr="005E7705">
        <w:fldChar w:fldCharType="end"/>
      </w:r>
      <w:r w:rsidRPr="005E7705">
        <w:t xml:space="preserve"> </w:t>
      </w:r>
      <w:r>
        <w:t xml:space="preserve">We did not control </w:t>
      </w:r>
      <w:r>
        <w:lastRenderedPageBreak/>
        <w:t xml:space="preserve">for demographic characteristics or disease stage since the model is applied to each sub-population by CD4 stratum. </w:t>
      </w:r>
      <w:r>
        <w:rPr>
          <w:iCs/>
        </w:rPr>
        <w:t xml:space="preserve">The variables created for the model and </w:t>
      </w:r>
      <w:proofErr w:type="spellStart"/>
      <w:r>
        <w:rPr>
          <w:iCs/>
        </w:rPr>
        <w:t>IeDEA</w:t>
      </w:r>
      <w:proofErr w:type="spellEnd"/>
      <w:r>
        <w:rPr>
          <w:iCs/>
        </w:rPr>
        <w:t xml:space="preserve"> data used is presented in </w:t>
      </w:r>
      <w:r w:rsidR="00BB226C">
        <w:rPr>
          <w:b/>
          <w:bCs/>
          <w:iCs/>
        </w:rPr>
        <w:fldChar w:fldCharType="begin"/>
      </w:r>
      <w:r w:rsidR="00BB226C">
        <w:rPr>
          <w:iCs/>
        </w:rPr>
        <w:instrText xml:space="preserve"> REF _Ref82432028 \h </w:instrText>
      </w:r>
      <w:r w:rsidR="00BB226C">
        <w:rPr>
          <w:b/>
          <w:bCs/>
          <w:iCs/>
        </w:rPr>
      </w:r>
      <w:r w:rsidR="00BB226C">
        <w:rPr>
          <w:b/>
          <w:bCs/>
          <w:iCs/>
        </w:rPr>
        <w:fldChar w:fldCharType="separate"/>
      </w:r>
      <w:r w:rsidR="001E49BE" w:rsidRPr="004F6186">
        <w:rPr>
          <w:b/>
          <w:bCs/>
          <w:color w:val="000000" w:themeColor="text1"/>
        </w:rPr>
        <w:t xml:space="preserve">Table </w:t>
      </w:r>
      <w:r w:rsidR="001E49BE">
        <w:rPr>
          <w:b/>
          <w:bCs/>
          <w:noProof/>
          <w:color w:val="000000" w:themeColor="text1"/>
        </w:rPr>
        <w:t>13</w:t>
      </w:r>
      <w:r w:rsidR="00BB226C">
        <w:rPr>
          <w:b/>
          <w:bCs/>
          <w:iCs/>
        </w:rPr>
        <w:fldChar w:fldCharType="end"/>
      </w:r>
      <w:r>
        <w:rPr>
          <w:iCs/>
        </w:rPr>
        <w:t>.</w:t>
      </w:r>
    </w:p>
    <w:p w14:paraId="02AB4205" w14:textId="77777777" w:rsidR="004F6186" w:rsidRPr="004F6186" w:rsidRDefault="004F6186">
      <w:pPr>
        <w:jc w:val="both"/>
      </w:pPr>
    </w:p>
    <w:p w14:paraId="4BAA3544" w14:textId="64E3D043" w:rsidR="00C9678A" w:rsidRPr="005142CB" w:rsidRDefault="00C9678A" w:rsidP="003060F6">
      <w:pPr>
        <w:pStyle w:val="BodyText"/>
        <w:spacing w:before="0" w:after="0"/>
        <w:jc w:val="both"/>
        <w:rPr>
          <w:lang w:eastAsia="ja-JP"/>
        </w:rPr>
      </w:pPr>
      <w:r w:rsidRPr="005142CB">
        <w:t>The statistical model will also adjust for misclassification of death. Evidence from sub-Saharan Africa suggests that some patients recorded as LTFU had died or transferred to another clinic.</w:t>
      </w:r>
      <w:r w:rsidRPr="005142CB">
        <w:fldChar w:fldCharType="begin" w:fldLock="1"/>
      </w:r>
      <w:r w:rsidR="007527CC">
        <w:instrText>ADDIN CSL_CITATION {"citationItems":[{"id":"ITEM-1","itemData":{"DOI":"10.2471/BLT.07.044248","ISSN":"00429686","PMID":"18670668","abstract":"Objective: To analyse the early loss of patients to antiretroviral therapy (ART) programmes in resource-limited settings. Methods: Using data on 5491 adult patients starting ART (median age 35 years, 46% female) in 15 treatment programmes in Africa, Asia and South America with ≥ 12 months of follow-up, we investigated risk factors for no follow-up after treatment initiation, and loss to follow-up or death in the first 6 months. Findings: Overall, 211 patients (3.8%) had no follow-up, 880 (16.0%) were lost to follow-up and 141 (2.6%) were known to have died in the first 6 months. The probability of no follow-up was higher in 2003-2004 than in 2000 or earlier (odds ratio, OR: 5.06; 95% confidence interval, CI: 1.28-20.0), as was loss to follow-up (hazard ratio, HR: 7.62; 95% CI: 4.55-12.8) but not recorded death (HR: 1.02; 95% CI: 0.44-2.36). Compared with a baseline CD4-cell count ≥ 50 cells/μl, a count &lt; 25 cells/μl was associated with a higher probability of no follow-up (OR: 2.49; 95% CI: 1.43-4.33), loss to follow-up (HR: 1.48; 95% CI: 1.23-1.77) and death (HR: 3.34; 95% CI: 2.10-5.30). Compared to free treatment, fee-for-service programmes were associated with a higher probability of no follow-up (OR: 3.71; 95% CI: 0.97-16.05) and higher mortality (HR: 4.64; 95% CI: 1.11-19.41). Conclusion: Early patient losses were increasingly common when programmes were scaled up and were associated with a fee for service and advanced immunodeficiency at baseline. Measures to maximize ART programme retention are required in resource-poor countries.","author":[{"dropping-particle":"","family":"Brinkhof","given":"Martin W.G.","non-dropping-particle":"","parse-names":false,"suffix":""},{"dropping-particle":"","family":"Dabis","given":"François","non-dropping-particle":"","parse-names":false,"suffix":""},{"dropping-particle":"","family":"Myer","given":"Landon","non-dropping-particle":"","parse-names":false,"suffix":""},{"dropping-particle":"","family":"Bangsberg","given":"David R.","non-dropping-particle":"","parse-names":false,"suffix":""},{"dropping-particle":"","family":"Boulle","given":"Andrew","non-dropping-particle":"","parse-names":false,"suffix":""},{"dropping-particle":"","family":"Nash","given":"Denis","non-dropping-particle":"","parse-names":false,"suffix":""},{"dropping-particle":"","family":"Schechter","given":"Mauro","non-dropping-particle":"","parse-names":false,"suffix":""},{"dropping-particle":"","family":"Laurent","given":"Christian","non-dropping-particle":"","parse-names":false,"suffix":""},{"dropping-particle":"","family":"Keiser","given":"Olivia","non-dropping-particle":"","parse-names":false,"suffix":""},{"dropping-particle":"","family":"May","given":"Margaret","non-dropping-particle":"","parse-names":false,"suffix":""},{"dropping-particle":"","family":"Sprinz","given":"Eduardo","non-dropping-particle":"","parse-names":false,"suffix":""},{"dropping-particle":"","family":"Egger","given":"Matthias","non-dropping-particle":"","parse-names":false,"suffix":""},{"dropping-particle":"","family":"Anglaret","given":"Xavier","non-dropping-particle":"","parse-names":false,"suffix":""}],"container-title":"Bulletin of the World Health Organization","id":"ITEM-1","issue":"7","issued":{"date-parts":[["2008"]]},"page":"559-567","title":"Early loss of HIV-infected patients on potent antiretroviral therapy programmes in lower-income countries","type":"article-journal","volume":"86"},"uris":["http://www.mendeley.com/documents/?uuid=d04be326-fec1-4921-8606-5c9a05fdd889"]},{"id":"ITEM-2","itemData":{"DOI":"10.1002/jia2.25178","ISSN":"17582652","abstract":"Introduction: Adolescence and pregnancy are potential risk factors for loss to follow-up (LTFU) while on antiretroviral therapy (ART). We compared adolescent and adult LTFU after ART initiation to quantify the impact of age, pregnancy, and site-level factors on LTFU. Methods: We used routine clinical data for patients initiating ART as young adolescents (YA; 10 to 14 years), older adolescents (OA; 15 to 19 years) and adults (≥20 years) from 2000 to 2014 at 52 health facilities affiliated with the International epidemiology Databases to Evaluate AIDS (IeDEA) East Africa collaboration. We estimated cumulative incidence (95% confidence interval, CI) of LTFU (no clinic visit for ≥6 months after ART initiation) and identified patient and site-level correlates of LTFU, using multivariable Cox proportional hazards models for all patients as well as individual age groups. Results: A total of 138,387 patients initiated ART, including 2496 YA, 2955 OA and 132,936 adults. Of these, 55%, 78% and 66%, respectively, were female and 0.7% of YA, 22.3% of OA and 8.3% of adults were pregnant at ART initiation. Cumulative incidence of LTFU at five years was 26.6% (24.6 to 28.6) among YA, 44.1% (41.8 to 46.3) among OA and 29.3% (29.1 to 29.6) among adults. Overall, compared to adults, the adjusted hazard ratio, aHR, (95% CI) of LTFU for OA was 1.54 (1.41 to 1.68) and 0.77 (0.69 to 0.86) for YA. Compared to males, pregnant females had higher hazard of LTFU, aHR 1.20 (1.14 to 1.27), and nonpregnant women had lower hazard aHR 0.90 (0.88 to 0.93). LTFU hazard among the OA was primarily driven by both pregnant and nonpregnant females, aHR 2.42 (1.98 to 2.95) and 1.51 (1.27 to 1.80), respectively, compared to men. The LTFU hazard ratio varied by IeDEA program. Site-level factors associated with overall lower LTFU hazard included receiving care in tertiary versus primary-care clinics aHR 0.61 (0.56 to 0.67), integrated adult and adolescent services and food ration provision aHR 0.93 (0.89 to 0.97) versus nonintegrated clinics with food ration provision, having patient support groups aHR 0.77 (0.66 to 0.90) and group adherence counselling aHR 0.61 (0.57 to 0.67). Conclusions: Older adolescents experienced higher risk of LTFU compared to YA and adults. Interventions to prevent LTFU among older adolescents are critically needed, particularly for female and/or pregnant adolescents.","author":[{"dropping-particle":"","family":"Nuwagaba-Biribonwoha","given":"Harriet","non-dropping-particle":"","parse-names":false,"suffix":""},{"dropping-particle":"","family":"Kiragga","given":"Agnes N.","non-dropping-particle":"","parse-names":false,"suffix":""},{"dropping-particle":"","family":"Yiannoutsos","given":"Constantin T.","non-dropping-particle":"","parse-names":false,"suffix":""},{"dropping-particle":"","family":"Musick","given":"Beverly S.","non-dropping-particle":"","parse-names":false,"suffix":""},{"dropping-particle":"","family":"Wools-Kaloustian","given":"Kara K.","non-dropping-particle":"","parse-names":false,"suffix":""},{"dropping-particle":"","family":"Ayaya","given":"Samuel","non-dropping-particle":"","parse-names":false,"suffix":""},{"dropping-particle":"","family":"Wolf","given":"Hilary","non-dropping-particle":"","parse-names":false,"suffix":""},{"dropping-particle":"","family":"Lugina","given":"Emmanuel","non-dropping-particle":"","parse-names":false,"suffix":""},{"dropping-particle":"","family":"Ssali","given":"John","non-dropping-particle":"","parse-names":false,"suffix":""},{"dropping-particle":"","family":"Abrams","given":"Elaine J.","non-dropping-particle":"","parse-names":false,"suffix":""},{"dropping-particle":"","family":"Elul","given":"Batya","non-dropping-particle":"","parse-names":false,"suffix":""}],"container-title":"Journal of the International AIDS Society","id":"ITEM-2","issue":"9","issued":{"date-parts":[["2018"]]},"page":"1-9","title":"Adolescent pregnancy at antiretroviral therapy (ART) initiation: a critical barrier to retention on ART","type":"article-journal","volume":"21"},"uris":["http://www.mendeley.com/documents/?uuid=1b82c4e5-769a-415f-84c8-2b40f42a726e"]},{"id":"ITEM-3","itemData":{"DOI":"10.1002/jia2.25084","ISSN":"17582652","abstract":"Introduction: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Society","id":"ITEM-3","issue":"2","issued":{"date-parts":[["2018"]]},"page":"1-7","title":"Retention and mortality on antiretroviral therapy in sub-Saharan Africa: Collaborative analyses of HIV treatment programmes: Collaborative","type":"article-journal","volume":"21"},"uris":["http://www.mendeley.com/documents/?uuid=973be433-f329-438c-a007-d6d819f544b0"]},{"id":"ITEM-4","itemData":{"DOI":"10.1136/jech-2015-206629.CD4","author":[{"dropping-particle":"","family":"Grimsrud","given":"Anna","non-dropping-particle":"","parse-names":false,"suffix":""},{"dropping-particle":"","family":"Cornell","given":"Morna","non-dropping-particle":"","parse-names":false,"suffix":""},{"dropping-particle":"","family":"Schomaker","given":"Michael","non-dropping-particle":"","parse-names":false,"suffix":""},{"dropping-particle":"","family":"Fox","given":"Matthew P","non-dropping-particle":"","parse-names":false,"suffix":""}],"container-title":"Journal of Epidemiology and Community Health","id":"ITEM-4","issue":"6","issued":{"date-parts":[["2016"]]},"page":"549-555","title":"CD4 count at antiretroviral therapy initiation and the risk of loss to follow-up: results from a multicentre cohort study","type":"article-journal","volume":"70"},"uris":["http://www.mendeley.com/documents/?uuid=7ad9f40a-96ee-4706-828a-d6e25db87d45"]},{"id":"ITEM-5","itemData":{"DOI":"10.1097/QAD.0000000000002358","ISBN":"0000000000","ISSN":"14735571","abstract":"Background:UNAIDS models use data from the International epidemiology Databases to Evaluate AIDS (IeDEA) collaboration in setting assumptions about mortality rates after antiretroviral treatment (ART) initiation. This study aims to update these assumptions with new data, to quantify the extent of regional variation in ART mortality and to assess trends in ART mortality.Methods:Adult ART patients from Africa, Asia and the Americas were included if they had a known date of ART initiation during 2001-2017 and a baseline CD4+ cell count. In cohorts that relied only on passive follow-up (no patient tracing or linkage to vital registration systems), mortality outcomes were imputed in patients lost to follow-up based on a meta-analysis of tracing study data. Poisson regression models were fitted to the mortality data.Results:464 048 ART patients were included. In multivariable analysis, mortality rates were lowest in Asia and highest in Africa, with no significant differences between African regions. Adjusted mortality rates varied significantly between programmes within regions. Mortality rates in the first 12 months after ART initiation were significantly higher during 2001-2006 than during 2010-2014, although the difference was more substantial in Asia and the Americas [adjusted incidence rate ratio (aIRR) 1.43, 95% CI: 1.22-1.66] than in Africa (aIRR 1.07, 95% CI: 1.04-1.11).Conclusion:There is substantial variation in ART mortality between and within regions, even after controlling for differences in mortality by age, sex, baseline CD4 category and calendar period. ART mortality rates have declined substantially over time, although declines have been slower in Africa.","author":[{"dropping-particle":"","family":"Johnson","given":"Leigh F.","non-dropping-particle":"","parse-names":false,"suffix":""},{"dropping-particle":"","family":"Anderegg","given":"Nanina","non-dropping-particle":"","parse-names":false,"suffix":""},{"dropping-particle":"","family":"Zaniewski","given":"Elizabeth","non-dropping-particle":"","parse-names":false,"suffix":""},{"dropping-particle":"","family":"Eaton","given":"Jeffrey W.","non-dropping-particle":"","parse-names":false,"suffix":""},{"dropping-particle":"","family":"Rebeiro","given":"Peter F.","non-dropping-particle":"","parse-names":false,"suffix":""},{"dropping-particle":"","family":"Carriquiry","given":"Gabriela","non-dropping-particle":"","parse-names":false,"suffix":""},{"dropping-particle":"","family":"Nash","given":"Denis","non-dropping-particle":"","parse-names":false,"suffix":""},{"dropping-particle":"","family":"Yotebieng","given":"Marcel","non-dropping-particle":"","parse-names":false,"suffix":""},{"dropping-particle":"","family":"Ekouevi","given":"Didier K.","non-dropping-particle":"","parse-names":false,"suffix":""},{"dropping-particle":"","family":"Holmes","given":"Charles B.","non-dropping-particle":"","parse-names":false,"suffix":""},{"dropping-particle":"","family":"Choi","given":"Jun Y.","non-dropping-particle":"","parse-names":false,"suffix":""},{"dropping-particle":"","family":"Jiamsakul","given":"Awachana","non-dropping-particle":"","parse-names":false,"suffix":""},{"dropping-particle":"","family":"Bakoyannis","given":"Giorgos","non-dropping-particle":"","parse-names":false,"suffix":""},{"dropping-particle":"","family":"Althoff","given":"Keri N.","non-dropping-particle":"","parse-names":false,"suffix":""},{"dropping-particle":"","family":"Sohn","given":"Annette H.","non-dropping-particle":"","parse-names":false,"suffix":""},{"dropping-particle":"","family":"Yiannoutsos","given":"Constantin","non-dropping-particle":"","parse-names":false,"suffix":""},{"dropping-particle":"","family":"Egger","given":"Matthias","non-dropping-particle":"","parse-names":false,"suffix":""}],"container-title":"Aids","id":"ITEM-5","issue":"July","issued":{"date-parts":[["2019"]]},"page":"S283-S294","title":"Global variations in mortality in adults after initiating antiretroviral treatment: An updated analysis of the International epidemiology Databases to Evaluate AIDS cohort collaboration","type":"article-journal","volume":"33"},"uris":["http://www.mendeley.com/documents/?uuid=650a724a-f89a-4c70-b7a0-59378177b12b"]}],"mendeley":{"formattedCitation":"&lt;sup&gt;56,63–66&lt;/sup&gt;","plainTextFormattedCitation":"56,63–66","previouslyFormattedCitation":"&lt;sup&gt;56,63–66&lt;/sup&gt;"},"properties":{"noteIndex":0},"schema":"https://github.com/citation-style-language/schema/raw/master/csl-citation.json"}</w:instrText>
      </w:r>
      <w:r w:rsidRPr="005142CB">
        <w:fldChar w:fldCharType="separate"/>
      </w:r>
      <w:r w:rsidR="00036C3E" w:rsidRPr="00036C3E">
        <w:rPr>
          <w:noProof/>
          <w:vertAlign w:val="superscript"/>
        </w:rPr>
        <w:t>56,63–66</w:t>
      </w:r>
      <w:r w:rsidRPr="005142CB">
        <w:fldChar w:fldCharType="end"/>
      </w:r>
      <w:r w:rsidRPr="005142CB">
        <w:t xml:space="preserve"> When estimating the cumulative probability of virological failure, we will adjust for mortality misclassified as LTFU using probability weights.</w:t>
      </w:r>
      <w:r w:rsidRPr="005142CB">
        <w:fldChar w:fldCharType="begin" w:fldLock="1"/>
      </w:r>
      <w:r w:rsidR="007527CC">
        <w:instrText>ADDIN CSL_CITATION {"citationItems":[{"id":"ITEM-1","itemData":{"DOI":"10.1002/jia2.25084","ISSN":"17582652","abstract":"Introduction: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Society","id":"ITEM-1","issue":"2","issued":{"date-parts":[["2018"]]},"page":"1-7","title":"Retention and mortality on antiretroviral therapy in sub-Saharan Africa: Collaborative analyses of HIV treatment programmes: Collaborative","type":"article-journal","volume":"21"},"uris":["http://www.mendeley.com/documents/?uuid=973be433-f329-438c-a007-d6d819f544b0"]}],"mendeley":{"formattedCitation":"&lt;sup&gt;56&lt;/sup&gt;","plainTextFormattedCitation":"56","previouslyFormattedCitation":"&lt;sup&gt;56&lt;/sup&gt;"},"properties":{"noteIndex":0},"schema":"https://github.com/citation-style-language/schema/raw/master/csl-citation.json"}</w:instrText>
      </w:r>
      <w:r w:rsidRPr="005142CB">
        <w:fldChar w:fldCharType="separate"/>
      </w:r>
      <w:r w:rsidR="00036C3E" w:rsidRPr="00036C3E">
        <w:rPr>
          <w:noProof/>
          <w:vertAlign w:val="superscript"/>
        </w:rPr>
        <w:t>56</w:t>
      </w:r>
      <w:r w:rsidRPr="005142CB">
        <w:fldChar w:fldCharType="end"/>
      </w:r>
      <w:r w:rsidRPr="005142CB">
        <w:t xml:space="preserve"> The function for deriving weights are adapted from the Haas paper.</w:t>
      </w:r>
      <w:r w:rsidRPr="005142CB">
        <w:fldChar w:fldCharType="begin" w:fldLock="1"/>
      </w:r>
      <w:r w:rsidR="007527CC">
        <w:instrText>ADDIN CSL_CITATION {"citationItems":[{"id":"ITEM-1","itemData":{"DOI":"10.1002/jia2.25084","ISSN":"17582652","abstract":"Introduction: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Society","id":"ITEM-1","issue":"2","issued":{"date-parts":[["2018"]]},"page":"1-7","title":"Retention and mortality on antiretroviral therapy in sub-Saharan Africa: Collaborative analyses of HIV treatment programmes: Collaborative","type":"article-journal","volume":"21"},"uris":["http://www.mendeley.com/documents/?uuid=973be433-f329-438c-a007-d6d819f544b0"]}],"mendeley":{"formattedCitation":"&lt;sup&gt;56&lt;/sup&gt;","plainTextFormattedCitation":"56","previouslyFormattedCitation":"&lt;sup&gt;56&lt;/sup&gt;"},"properties":{"noteIndex":0},"schema":"https://github.com/citation-style-language/schema/raw/master/csl-citation.json"}</w:instrText>
      </w:r>
      <w:r w:rsidRPr="005142CB">
        <w:fldChar w:fldCharType="separate"/>
      </w:r>
      <w:r w:rsidR="00036C3E" w:rsidRPr="00036C3E">
        <w:rPr>
          <w:noProof/>
          <w:vertAlign w:val="superscript"/>
          <w:lang w:eastAsia="ja-JP"/>
        </w:rPr>
        <w:t>56</w:t>
      </w:r>
      <w:r w:rsidRPr="005142CB">
        <w:fldChar w:fldCharType="end"/>
      </w:r>
      <w:r w:rsidRPr="005142CB">
        <w:rPr>
          <w:lang w:eastAsia="ja-JP"/>
        </w:rPr>
        <w:t xml:space="preserve"> The probability </w:t>
      </w:r>
      <w:r w:rsidRPr="005142CB">
        <w:rPr>
          <w:color w:val="000000"/>
          <w:lang w:eastAsia="ja-JP"/>
        </w:rPr>
        <w:t xml:space="preserve">weight is calculated as: </w:t>
      </w:r>
    </w:p>
    <w:p w14:paraId="5BCA507C" w14:textId="77777777" w:rsidR="00C9678A" w:rsidRPr="005142CB" w:rsidRDefault="00C9678A">
      <w:pPr>
        <w:jc w:val="both"/>
        <w:rPr>
          <w:lang w:eastAsia="ja-JP"/>
        </w:rPr>
      </w:pPr>
    </w:p>
    <w:p w14:paraId="7B7E9CA1" w14:textId="55E4F133" w:rsidR="00C9678A" w:rsidRPr="00044274" w:rsidRDefault="00000000">
      <w:pPr>
        <w:jc w:val="both"/>
        <w:rPr>
          <w:lang w:eastAsia="ja-JP"/>
        </w:rPr>
      </w:pPr>
      <m:oMath>
        <m:sSub>
          <m:sSubPr>
            <m:ctrlPr>
              <w:rPr>
                <w:rFonts w:ascii="Cambria Math" w:hAnsi="Cambria Math"/>
                <w:i/>
              </w:rPr>
            </m:ctrlPr>
          </m:sSubPr>
          <m:e>
            <m:r>
              <w:rPr>
                <w:rFonts w:ascii="Cambria Math" w:hAnsi="Cambria Math"/>
                <w:lang w:eastAsia="ja-JP"/>
              </w:rPr>
              <m:t>w</m:t>
            </m:r>
          </m:e>
          <m:sub>
            <m:r>
              <w:rPr>
                <w:rFonts w:ascii="Cambria Math" w:hAnsi="Cambria Math"/>
                <w:lang w:eastAsia="ja-JP"/>
              </w:rPr>
              <m:t>competing risk</m:t>
            </m:r>
          </m:sub>
        </m:sSub>
        <m:r>
          <w:rPr>
            <w:rFonts w:ascii="Cambria Math" w:hAnsi="Cambria Math"/>
            <w:lang w:eastAsia="ja-JP"/>
          </w:rPr>
          <m:t>=</m:t>
        </m:r>
        <m:f>
          <m:fPr>
            <m:ctrlPr>
              <w:rPr>
                <w:rFonts w:ascii="Cambria Math" w:hAnsi="Cambria Math"/>
                <w:i/>
              </w:rPr>
            </m:ctrlPr>
          </m:fPr>
          <m:num>
            <m:r>
              <w:rPr>
                <w:rFonts w:ascii="Cambria Math" w:hAnsi="Cambria Math"/>
                <w:lang w:eastAsia="ja-JP"/>
              </w:rPr>
              <m:t>1</m:t>
            </m:r>
          </m:num>
          <m:den>
            <m:f>
              <m:fPr>
                <m:ctrlPr>
                  <w:rPr>
                    <w:rFonts w:ascii="Cambria Math" w:hAnsi="Cambria Math"/>
                    <w:i/>
                  </w:rPr>
                </m:ctrlPr>
              </m:fPr>
              <m:num>
                <m:sSub>
                  <m:sSubPr>
                    <m:ctrlPr>
                      <w:rPr>
                        <w:rFonts w:ascii="Cambria Math" w:hAnsi="Cambria Math"/>
                        <w:i/>
                      </w:rPr>
                    </m:ctrlPr>
                  </m:sSubPr>
                  <m:e>
                    <m:r>
                      <w:rPr>
                        <w:rFonts w:ascii="Cambria Math" w:hAnsi="Cambria Math"/>
                        <w:lang w:eastAsia="ja-JP"/>
                      </w:rPr>
                      <m:t>n</m:t>
                    </m:r>
                  </m:e>
                  <m:sub>
                    <m:r>
                      <w:rPr>
                        <w:rFonts w:ascii="Cambria Math" w:hAnsi="Cambria Math"/>
                        <w:lang w:eastAsia="ja-JP"/>
                      </w:rPr>
                      <m:t>dead</m:t>
                    </m:r>
                  </m:sub>
                </m:sSub>
              </m:num>
              <m:den>
                <m:sSub>
                  <m:sSubPr>
                    <m:ctrlPr>
                      <w:rPr>
                        <w:rFonts w:ascii="Cambria Math" w:hAnsi="Cambria Math"/>
                        <w:i/>
                      </w:rPr>
                    </m:ctrlPr>
                  </m:sSubPr>
                  <m:e>
                    <m:r>
                      <w:rPr>
                        <w:rFonts w:ascii="Cambria Math" w:hAnsi="Cambria Math"/>
                        <w:lang w:eastAsia="ja-JP"/>
                      </w:rPr>
                      <m:t>n</m:t>
                    </m:r>
                  </m:e>
                  <m:sub>
                    <m:r>
                      <w:rPr>
                        <w:rFonts w:ascii="Cambria Math" w:hAnsi="Cambria Math"/>
                        <w:lang w:eastAsia="ja-JP"/>
                      </w:rPr>
                      <m:t>dead</m:t>
                    </m:r>
                  </m:sub>
                </m:sSub>
                <m:r>
                  <w:rPr>
                    <w:rFonts w:ascii="Cambria Math" w:hAnsi="Cambria Math"/>
                    <w:lang w:eastAsia="ja-JP"/>
                  </w:rPr>
                  <m:t>+</m:t>
                </m:r>
                <m:sSub>
                  <m:sSubPr>
                    <m:ctrlPr>
                      <w:rPr>
                        <w:rFonts w:ascii="Cambria Math" w:hAnsi="Cambria Math"/>
                        <w:i/>
                      </w:rPr>
                    </m:ctrlPr>
                  </m:sSubPr>
                  <m:e>
                    <m:sSub>
                      <m:sSubPr>
                        <m:ctrlPr>
                          <w:rPr>
                            <w:rFonts w:ascii="Cambria Math" w:hAnsi="Cambria Math"/>
                            <w:i/>
                          </w:rPr>
                        </m:ctrlPr>
                      </m:sSubPr>
                      <m:e>
                        <m:r>
                          <w:rPr>
                            <w:rFonts w:ascii="Cambria Math" w:hAnsi="Cambria Math"/>
                            <w:lang w:eastAsia="ja-JP"/>
                          </w:rPr>
                          <m:t>p</m:t>
                        </m:r>
                      </m:e>
                      <m:sub>
                        <m:r>
                          <w:rPr>
                            <w:rFonts w:ascii="Cambria Math" w:hAnsi="Cambria Math"/>
                            <w:lang w:eastAsia="ja-JP"/>
                          </w:rPr>
                          <m:t>dead</m:t>
                        </m:r>
                      </m:sub>
                    </m:sSub>
                    <m:r>
                      <w:rPr>
                        <w:rFonts w:ascii="Cambria Math" w:hAnsi="Cambria Math"/>
                        <w:lang w:eastAsia="ja-JP"/>
                      </w:rPr>
                      <m:t>n</m:t>
                    </m:r>
                  </m:e>
                  <m:sub>
                    <m:r>
                      <w:rPr>
                        <w:rFonts w:ascii="Cambria Math" w:hAnsi="Cambria Math"/>
                        <w:lang w:eastAsia="ja-JP"/>
                      </w:rPr>
                      <m:t>LTFU</m:t>
                    </m:r>
                  </m:sub>
                </m:sSub>
              </m:den>
            </m:f>
          </m:den>
        </m:f>
        <m:r>
          <w:rPr>
            <w:rFonts w:ascii="Cambria Math" w:hAnsi="Cambria Math"/>
            <w:lang w:eastAsia="ja-JP"/>
          </w:rPr>
          <m:t>, &gt;1</m:t>
        </m:r>
      </m:oMath>
      <w:r w:rsidR="00044274">
        <w:rPr>
          <w:lang w:eastAsia="ja-JP"/>
        </w:rPr>
        <w:tab/>
      </w:r>
      <w:r w:rsidR="00044274">
        <w:rPr>
          <w:lang w:eastAsia="ja-JP"/>
        </w:rPr>
        <w:tab/>
      </w:r>
      <w:r w:rsidR="00044274">
        <w:rPr>
          <w:lang w:eastAsia="ja-JP"/>
        </w:rPr>
        <w:tab/>
      </w:r>
      <w:r w:rsidR="00044274">
        <w:rPr>
          <w:lang w:eastAsia="ja-JP"/>
        </w:rPr>
        <w:tab/>
      </w:r>
      <w:r w:rsidR="00044274">
        <w:rPr>
          <w:lang w:eastAsia="ja-JP"/>
        </w:rPr>
        <w:tab/>
      </w:r>
      <w:r w:rsidR="00044274">
        <w:rPr>
          <w:lang w:eastAsia="ja-JP"/>
        </w:rPr>
        <w:tab/>
      </w:r>
      <w:r w:rsidR="00044274">
        <w:rPr>
          <w:lang w:eastAsia="ja-JP"/>
        </w:rPr>
        <w:tab/>
        <w:t>(1</w:t>
      </w:r>
      <w:r w:rsidR="00FA0F83">
        <w:rPr>
          <w:lang w:eastAsia="ja-JP"/>
        </w:rPr>
        <w:t>5</w:t>
      </w:r>
      <w:r w:rsidR="00044274">
        <w:rPr>
          <w:lang w:eastAsia="ja-JP"/>
        </w:rPr>
        <w:t>)</w:t>
      </w:r>
    </w:p>
    <w:p w14:paraId="434BC8CB" w14:textId="77777777" w:rsidR="00C9678A" w:rsidRPr="005142CB" w:rsidRDefault="00C9678A">
      <w:pPr>
        <w:jc w:val="both"/>
        <w:rPr>
          <w:lang w:eastAsia="ja-JP"/>
        </w:rPr>
      </w:pPr>
    </w:p>
    <w:p w14:paraId="4D62FAC6" w14:textId="4B06123E" w:rsidR="00C9678A" w:rsidRPr="00044274" w:rsidRDefault="00000000">
      <w:pPr>
        <w:jc w:val="both"/>
        <w:rPr>
          <w:lang w:eastAsia="ja-JP"/>
        </w:rPr>
      </w:pPr>
      <m:oMathPara>
        <m:oMathParaPr>
          <m:jc m:val="left"/>
        </m:oMathParaPr>
        <m:oMath>
          <m:sSub>
            <m:sSubPr>
              <m:ctrlPr>
                <w:rPr>
                  <w:rFonts w:ascii="Cambria Math" w:hAnsi="Cambria Math"/>
                  <w:i/>
                  <w:sz w:val="20"/>
                  <w:szCs w:val="20"/>
                </w:rPr>
              </m:ctrlPr>
            </m:sSubPr>
            <m:e>
              <m:r>
                <w:rPr>
                  <w:rFonts w:ascii="Cambria Math" w:hAnsi="Cambria Math"/>
                  <w:sz w:val="20"/>
                  <w:szCs w:val="20"/>
                  <w:lang w:eastAsia="ja-JP"/>
                </w:rPr>
                <m:t>w</m:t>
              </m:r>
            </m:e>
            <m:sub>
              <m:r>
                <w:rPr>
                  <w:rFonts w:ascii="Cambria Math" w:hAnsi="Cambria Math"/>
                  <w:sz w:val="20"/>
                  <w:szCs w:val="20"/>
                  <w:lang w:eastAsia="ja-JP"/>
                </w:rPr>
                <m:t>censor</m:t>
              </m:r>
            </m:sub>
          </m:sSub>
          <m:r>
            <w:rPr>
              <w:rFonts w:ascii="Cambria Math" w:hAnsi="Cambria Math"/>
              <w:sz w:val="20"/>
              <w:szCs w:val="20"/>
              <w:lang w:eastAsia="ja-JP"/>
            </w:rPr>
            <m:t>=</m:t>
          </m:r>
          <m:f>
            <m:fPr>
              <m:ctrlPr>
                <w:rPr>
                  <w:rFonts w:ascii="Cambria Math" w:hAnsi="Cambria Math"/>
                  <w:i/>
                  <w:sz w:val="20"/>
                  <w:szCs w:val="20"/>
                </w:rPr>
              </m:ctrlPr>
            </m:fPr>
            <m:num>
              <m:r>
                <w:rPr>
                  <w:rFonts w:ascii="Cambria Math" w:hAnsi="Cambria Math"/>
                  <w:sz w:val="20"/>
                  <w:szCs w:val="20"/>
                  <w:lang w:eastAsia="ja-JP"/>
                </w:rPr>
                <m:t>1</m:t>
              </m:r>
            </m:num>
            <m:den>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database closure</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transfer</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 xml:space="preserve">database </m:t>
                      </m:r>
                      <w:commentRangeStart w:id="298"/>
                      <w:commentRangeStart w:id="299"/>
                      <m:r>
                        <w:rPr>
                          <w:rFonts w:ascii="Cambria Math" w:hAnsi="Cambria Math"/>
                          <w:sz w:val="20"/>
                          <w:szCs w:val="20"/>
                        </w:rPr>
                        <m:t>closur</m:t>
                      </m:r>
                      <w:commentRangeEnd w:id="298"/>
                      <m:r>
                        <w:rPr>
                          <w:rFonts w:ascii="Cambria Math" w:hAnsi="Cambria Math"/>
                          <w:sz w:val="20"/>
                          <w:szCs w:val="20"/>
                        </w:rPr>
                        <m:t>e</m:t>
                      </m:r>
                      <m:r>
                        <m:rPr>
                          <m:sty m:val="p"/>
                        </m:rPr>
                        <w:rPr>
                          <w:rStyle w:val="CommentReference"/>
                          <w:rFonts w:ascii="Cambria Math" w:hAnsi="Cambria Math"/>
                          <w:sz w:val="20"/>
                          <w:szCs w:val="20"/>
                        </w:rPr>
                        <w:commentReference w:id="298"/>
                      </m:r>
                      <w:commentRangeEnd w:id="299"/>
                      <m:r>
                        <m:rPr>
                          <m:sty m:val="p"/>
                        </m:rPr>
                        <w:rPr>
                          <w:rStyle w:val="CommentReference"/>
                          <w:rFonts w:ascii="Cambria Math" w:hAnsi="Cambria Math"/>
                          <w:sz w:val="20"/>
                          <w:szCs w:val="20"/>
                        </w:rPr>
                        <w:commentReference w:id="299"/>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transfer</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transfer</m:t>
                      </m:r>
                    </m:sub>
                  </m:sSub>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LTFU</m:t>
                      </m:r>
                    </m:sub>
                  </m:sSub>
                </m:den>
              </m:f>
            </m:den>
          </m:f>
          <m:r>
            <w:rPr>
              <w:rFonts w:ascii="Cambria Math" w:hAnsi="Cambria Math"/>
              <w:sz w:val="20"/>
              <w:szCs w:val="20"/>
              <w:lang w:eastAsia="ja-JP"/>
            </w:rPr>
            <m:t>, &lt;1</m:t>
          </m:r>
        </m:oMath>
      </m:oMathPara>
    </w:p>
    <w:p w14:paraId="7784236A" w14:textId="77777777" w:rsidR="00C9678A" w:rsidRPr="005142CB" w:rsidRDefault="00C9678A">
      <w:pPr>
        <w:pStyle w:val="BodyText"/>
        <w:spacing w:before="0" w:after="0"/>
        <w:jc w:val="both"/>
        <w:rPr>
          <w:iCs/>
        </w:rPr>
      </w:pPr>
    </w:p>
    <w:p w14:paraId="5E7F63C8" w14:textId="77777777" w:rsidR="00DB3CCF" w:rsidRDefault="00DB3CCF" w:rsidP="00DB3CCF">
      <w:pPr>
        <w:pStyle w:val="BodyText"/>
        <w:spacing w:before="0" w:after="0"/>
        <w:jc w:val="both"/>
      </w:pPr>
      <w:r>
        <w:t>We parameterize this expression as follows:</w:t>
      </w:r>
    </w:p>
    <w:p w14:paraId="5823E465" w14:textId="77777777" w:rsidR="00DB3CCF" w:rsidRPr="00050905" w:rsidRDefault="00DB3CCF" w:rsidP="00DB3CCF">
      <w:pPr>
        <w:pStyle w:val="BodyText"/>
        <w:spacing w:before="0" w:after="0"/>
        <w:jc w:val="both"/>
      </w:pPr>
    </w:p>
    <w:p w14:paraId="73FDD061" w14:textId="14F692CF" w:rsidR="00DB3CCF" w:rsidRDefault="00DB3CCF" w:rsidP="00DB3CCF">
      <w:pPr>
        <w:pStyle w:val="BodyText"/>
        <w:numPr>
          <w:ilvl w:val="0"/>
          <w:numId w:val="16"/>
        </w:numPr>
        <w:spacing w:before="0" w:after="0"/>
        <w:jc w:val="both"/>
        <w:sectPr w:rsidR="00DB3CCF" w:rsidSect="0078139D">
          <w:headerReference w:type="even" r:id="rId64"/>
          <w:headerReference w:type="default" r:id="rId65"/>
          <w:footerReference w:type="even" r:id="rId66"/>
          <w:headerReference w:type="first" r:id="rId67"/>
          <w:pgSz w:w="12240" w:h="15840"/>
          <w:pgMar w:top="1440" w:right="1440" w:bottom="1440" w:left="1440" w:header="720" w:footer="720" w:gutter="0"/>
          <w:cols w:space="720"/>
          <w:docGrid w:linePitch="360"/>
        </w:sectPr>
      </w:pPr>
      <w:r w:rsidRPr="00A61A5A">
        <w:rPr>
          <w:color w:val="000000"/>
          <w:u w:val="single"/>
        </w:rPr>
        <w:t xml:space="preserve">Proportion of </w:t>
      </w:r>
      <w:r>
        <w:rPr>
          <w:color w:val="000000"/>
          <w:u w:val="single"/>
        </w:rPr>
        <w:t>died or transfer</w:t>
      </w:r>
      <w:r w:rsidRPr="00A61A5A">
        <w:rPr>
          <w:color w:val="000000"/>
          <w:u w:val="single"/>
        </w:rPr>
        <w:t xml:space="preserve"> among LTFU</w:t>
      </w:r>
      <w:r w:rsidRPr="00A61A5A">
        <w:rPr>
          <w:color w:val="000000"/>
        </w:rPr>
        <w:t xml:space="preserve">. </w:t>
      </w:r>
      <w:r w:rsidRPr="00050905">
        <w:rPr>
          <w:color w:val="000000"/>
        </w:rPr>
        <w:t xml:space="preserve">The proportion of patients LTFU having transferred to another site is based on </w:t>
      </w:r>
      <w:r>
        <w:rPr>
          <w:color w:val="000000"/>
        </w:rPr>
        <w:t xml:space="preserve">a meta-analysis </w:t>
      </w:r>
      <w:r w:rsidRPr="00050905">
        <w:rPr>
          <w:color w:val="000000"/>
        </w:rPr>
        <w:t>on LTFU among patients in ART programs in sub-Saharan Africa; the study found that 20.8%</w:t>
      </w:r>
      <w:r>
        <w:rPr>
          <w:color w:val="000000"/>
        </w:rPr>
        <w:t xml:space="preserve"> and </w:t>
      </w:r>
      <w:r w:rsidRPr="00050905">
        <w:rPr>
          <w:color w:val="000000"/>
        </w:rPr>
        <w:t xml:space="preserve">35.9% of patients recorded as LTFU had </w:t>
      </w:r>
      <w:r>
        <w:rPr>
          <w:color w:val="000000"/>
        </w:rPr>
        <w:t xml:space="preserve">died or </w:t>
      </w:r>
      <w:r w:rsidRPr="00050905">
        <w:rPr>
          <w:color w:val="000000"/>
        </w:rPr>
        <w:t>self-transferred to another ART clinic.</w:t>
      </w:r>
      <w:r w:rsidRPr="00050905">
        <w:rPr>
          <w:color w:val="000000" w:themeColor="text1"/>
        </w:rPr>
        <w:fldChar w:fldCharType="begin" w:fldLock="1"/>
      </w:r>
      <w:r w:rsidR="007527CC">
        <w:rPr>
          <w:color w:val="000000" w:themeColor="text1"/>
        </w:rPr>
        <w:instrText>ADDIN CSL_CITATION {"citationItems":[{"id":"ITEM-1","itemData":{"DOI":"10.1002/jia2.25084","ISSN":"17582652","abstract":"Introduction: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Society","id":"ITEM-1","issue":"2","issued":{"date-parts":[["2018"]]},"page":"1-7","title":"Retention and mortality on antiretroviral therapy in sub-Saharan Africa: Collaborative analyses of HIV treatment programmes: Collaborative","type":"article-journal","volume":"21"},"uris":["http://www.mendeley.com/documents/?uuid=973be433-f329-438c-a007-d6d819f544b0"]}],"mendeley":{"formattedCitation":"&lt;sup&gt;56&lt;/sup&gt;","plainTextFormattedCitation":"56","previouslyFormattedCitation":"&lt;sup&gt;56&lt;/sup&gt;"},"properties":{"noteIndex":0},"schema":"https://github.com/citation-style-language/schema/raw/master/csl-citation.json"}</w:instrText>
      </w:r>
      <w:r w:rsidRPr="00050905">
        <w:rPr>
          <w:color w:val="000000" w:themeColor="text1"/>
        </w:rPr>
        <w:fldChar w:fldCharType="separate"/>
      </w:r>
      <w:r w:rsidR="00036C3E" w:rsidRPr="00036C3E">
        <w:rPr>
          <w:noProof/>
          <w:color w:val="000000" w:themeColor="text1"/>
          <w:vertAlign w:val="superscript"/>
        </w:rPr>
        <w:t>56</w:t>
      </w:r>
      <w:r w:rsidRPr="00050905">
        <w:rPr>
          <w:color w:val="000000" w:themeColor="text1"/>
        </w:rPr>
        <w:fldChar w:fldCharType="end"/>
      </w:r>
    </w:p>
    <w:p w14:paraId="2A524852" w14:textId="1BC5C3D9" w:rsidR="00C573B0" w:rsidRPr="00970B12" w:rsidDel="00C573B0" w:rsidRDefault="00C9678A" w:rsidP="00C573B0">
      <w:pPr>
        <w:jc w:val="both"/>
        <w:rPr>
          <w:b/>
          <w:bCs/>
        </w:rPr>
      </w:pPr>
      <w:bookmarkStart w:id="300" w:name="_Ref82432196"/>
      <w:bookmarkStart w:id="301" w:name="_Toc82448078"/>
      <w:bookmarkStart w:id="302" w:name="_Toc82592509"/>
      <w:bookmarkStart w:id="303" w:name="_Toc82599274"/>
      <w:r w:rsidRPr="00970B12">
        <w:rPr>
          <w:b/>
          <w:bCs/>
        </w:rPr>
        <w:lastRenderedPageBreak/>
        <w:t xml:space="preserve">Table </w:t>
      </w:r>
      <w:r w:rsidRPr="00970B12">
        <w:rPr>
          <w:b/>
          <w:bCs/>
        </w:rPr>
        <w:fldChar w:fldCharType="begin"/>
      </w:r>
      <w:r w:rsidRPr="00970B12">
        <w:rPr>
          <w:b/>
          <w:bCs/>
        </w:rPr>
        <w:instrText xml:space="preserve"> SEQ Table \* ARABIC </w:instrText>
      </w:r>
      <w:r w:rsidRPr="00970B12">
        <w:rPr>
          <w:b/>
          <w:bCs/>
        </w:rPr>
        <w:fldChar w:fldCharType="separate"/>
      </w:r>
      <w:r w:rsidR="001E49BE">
        <w:rPr>
          <w:b/>
          <w:bCs/>
          <w:noProof/>
        </w:rPr>
        <w:t>15</w:t>
      </w:r>
      <w:r w:rsidRPr="00970B12">
        <w:rPr>
          <w:b/>
          <w:bCs/>
        </w:rPr>
        <w:fldChar w:fldCharType="end"/>
      </w:r>
      <w:bookmarkEnd w:id="300"/>
      <w:r w:rsidRPr="00970B12">
        <w:rPr>
          <w:b/>
          <w:bCs/>
        </w:rPr>
        <w:t xml:space="preserve">: </w:t>
      </w:r>
      <w:bookmarkStart w:id="304" w:name="_Hlk74741929"/>
      <w:r w:rsidR="00C569A0">
        <w:rPr>
          <w:b/>
          <w:bCs/>
        </w:rPr>
        <w:t>Monthly probability of sub-population virologic failure</w:t>
      </w:r>
      <w:bookmarkEnd w:id="301"/>
      <w:bookmarkEnd w:id="302"/>
      <w:bookmarkEnd w:id="303"/>
      <w:bookmarkEnd w:id="304"/>
      <w:r w:rsidRPr="00970B12">
        <w:rPr>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4"/>
        <w:gridCol w:w="1107"/>
        <w:gridCol w:w="1361"/>
        <w:gridCol w:w="1361"/>
        <w:gridCol w:w="1157"/>
      </w:tblGrid>
      <w:tr w:rsidR="00C573B0" w:rsidDel="000F1C47" w14:paraId="3279B9D5" w14:textId="77777777" w:rsidTr="00303804">
        <w:trPr>
          <w:trHeight w:val="242"/>
        </w:trPr>
        <w:tc>
          <w:tcPr>
            <w:tcW w:w="0" w:type="auto"/>
            <w:vMerge w:val="restart"/>
            <w:shd w:val="clear" w:color="auto" w:fill="auto"/>
            <w:noWrap/>
            <w:vAlign w:val="bottom"/>
            <w:hideMark/>
          </w:tcPr>
          <w:p w14:paraId="31AD4B41" w14:textId="77777777" w:rsidR="00C573B0" w:rsidRPr="00596193" w:rsidRDefault="00C573B0" w:rsidP="00303804">
            <w:pPr>
              <w:rPr>
                <w:color w:val="000000"/>
                <w:sz w:val="20"/>
                <w:szCs w:val="20"/>
              </w:rPr>
            </w:pPr>
            <w:r w:rsidRPr="00596193">
              <w:rPr>
                <w:color w:val="000000"/>
                <w:sz w:val="20"/>
                <w:szCs w:val="20"/>
              </w:rPr>
              <w:t>Sub-population</w:t>
            </w:r>
          </w:p>
        </w:tc>
        <w:tc>
          <w:tcPr>
            <w:tcW w:w="0" w:type="auto"/>
            <w:gridSpan w:val="4"/>
            <w:shd w:val="clear" w:color="auto" w:fill="auto"/>
            <w:noWrap/>
            <w:vAlign w:val="center"/>
            <w:hideMark/>
          </w:tcPr>
          <w:p w14:paraId="602CD1CE" w14:textId="0650ED14" w:rsidR="00C573B0" w:rsidDel="000F1C47" w:rsidRDefault="00C573B0" w:rsidP="00303804">
            <w:pPr>
              <w:jc w:val="center"/>
              <w:rPr>
                <w:color w:val="000000"/>
                <w:sz w:val="20"/>
                <w:szCs w:val="20"/>
              </w:rPr>
            </w:pPr>
            <w:r>
              <w:rPr>
                <w:color w:val="000000"/>
                <w:sz w:val="20"/>
                <w:szCs w:val="20"/>
              </w:rPr>
              <w:t xml:space="preserve">On ART &amp; not suppressed, Linkage </w:t>
            </w:r>
          </w:p>
        </w:tc>
      </w:tr>
      <w:tr w:rsidR="00C573B0" w:rsidDel="000F1C47" w14:paraId="72738BFE" w14:textId="77777777" w:rsidTr="00303804">
        <w:trPr>
          <w:trHeight w:val="269"/>
        </w:trPr>
        <w:tc>
          <w:tcPr>
            <w:tcW w:w="0" w:type="auto"/>
            <w:vMerge/>
            <w:shd w:val="clear" w:color="auto" w:fill="auto"/>
            <w:noWrap/>
            <w:vAlign w:val="bottom"/>
          </w:tcPr>
          <w:p w14:paraId="02DAECBC" w14:textId="77777777" w:rsidR="00C573B0" w:rsidRPr="00596193" w:rsidRDefault="00C573B0" w:rsidP="00303804">
            <w:pPr>
              <w:rPr>
                <w:color w:val="000000"/>
                <w:sz w:val="20"/>
                <w:szCs w:val="20"/>
              </w:rPr>
            </w:pPr>
          </w:p>
        </w:tc>
        <w:tc>
          <w:tcPr>
            <w:tcW w:w="0" w:type="auto"/>
            <w:shd w:val="clear" w:color="auto" w:fill="auto"/>
            <w:noWrap/>
            <w:vAlign w:val="bottom"/>
          </w:tcPr>
          <w:p w14:paraId="23B89F4C" w14:textId="77777777" w:rsidR="00C573B0" w:rsidDel="000F1C47" w:rsidRDefault="00C573B0" w:rsidP="00303804">
            <w:pPr>
              <w:rPr>
                <w:color w:val="000000"/>
                <w:sz w:val="20"/>
                <w:szCs w:val="20"/>
              </w:rPr>
            </w:pPr>
            <w:r>
              <w:rPr>
                <w:color w:val="000000"/>
                <w:sz w:val="20"/>
                <w:szCs w:val="20"/>
              </w:rPr>
              <w:t>CD4, &gt;500</w:t>
            </w:r>
          </w:p>
        </w:tc>
        <w:tc>
          <w:tcPr>
            <w:tcW w:w="0" w:type="auto"/>
          </w:tcPr>
          <w:p w14:paraId="7CC3E686" w14:textId="77777777" w:rsidR="00C573B0" w:rsidDel="000F1C47" w:rsidRDefault="00C573B0" w:rsidP="00303804">
            <w:pPr>
              <w:rPr>
                <w:color w:val="000000"/>
                <w:sz w:val="20"/>
                <w:szCs w:val="20"/>
              </w:rPr>
            </w:pPr>
            <w:r>
              <w:rPr>
                <w:color w:val="000000"/>
                <w:sz w:val="20"/>
                <w:szCs w:val="20"/>
              </w:rPr>
              <w:t>CD4, 350-500</w:t>
            </w:r>
          </w:p>
        </w:tc>
        <w:tc>
          <w:tcPr>
            <w:tcW w:w="0" w:type="auto"/>
          </w:tcPr>
          <w:p w14:paraId="026F9134" w14:textId="77777777" w:rsidR="00C573B0" w:rsidDel="000F1C47" w:rsidRDefault="00C573B0" w:rsidP="00303804">
            <w:pPr>
              <w:rPr>
                <w:color w:val="000000"/>
                <w:sz w:val="20"/>
                <w:szCs w:val="20"/>
              </w:rPr>
            </w:pPr>
            <w:r>
              <w:rPr>
                <w:color w:val="000000"/>
                <w:sz w:val="20"/>
                <w:szCs w:val="20"/>
              </w:rPr>
              <w:t>CD4, 200-350</w:t>
            </w:r>
          </w:p>
        </w:tc>
        <w:tc>
          <w:tcPr>
            <w:tcW w:w="0" w:type="auto"/>
          </w:tcPr>
          <w:p w14:paraId="0D22285F" w14:textId="77777777" w:rsidR="00C573B0" w:rsidDel="000F1C47" w:rsidRDefault="00C573B0" w:rsidP="00303804">
            <w:pPr>
              <w:rPr>
                <w:color w:val="000000"/>
                <w:sz w:val="20"/>
                <w:szCs w:val="20"/>
              </w:rPr>
            </w:pPr>
            <w:r>
              <w:rPr>
                <w:color w:val="000000"/>
                <w:sz w:val="20"/>
                <w:szCs w:val="20"/>
              </w:rPr>
              <w:t>CD4, &lt; 200</w:t>
            </w:r>
          </w:p>
        </w:tc>
      </w:tr>
      <w:tr w:rsidR="00C573B0" w:rsidDel="000F1C47" w14:paraId="10078B3C" w14:textId="77777777" w:rsidTr="00303804">
        <w:trPr>
          <w:trHeight w:val="300"/>
        </w:trPr>
        <w:tc>
          <w:tcPr>
            <w:tcW w:w="0" w:type="auto"/>
            <w:shd w:val="clear" w:color="auto" w:fill="auto"/>
            <w:noWrap/>
            <w:vAlign w:val="bottom"/>
            <w:hideMark/>
          </w:tcPr>
          <w:p w14:paraId="55CE8B0B" w14:textId="77777777" w:rsidR="00C573B0" w:rsidRPr="00596193" w:rsidRDefault="00C573B0" w:rsidP="00303804">
            <w:pPr>
              <w:jc w:val="both"/>
              <w:rPr>
                <w:color w:val="000000"/>
                <w:sz w:val="20"/>
                <w:szCs w:val="20"/>
              </w:rPr>
            </w:pPr>
            <w:r w:rsidRPr="00596193">
              <w:rPr>
                <w:color w:val="000000"/>
                <w:sz w:val="20"/>
                <w:szCs w:val="20"/>
              </w:rPr>
              <w:t>Low-risk urban women (15-24)</w:t>
            </w:r>
          </w:p>
        </w:tc>
        <w:tc>
          <w:tcPr>
            <w:tcW w:w="0" w:type="auto"/>
            <w:shd w:val="clear" w:color="auto" w:fill="auto"/>
            <w:noWrap/>
            <w:vAlign w:val="center"/>
            <w:hideMark/>
          </w:tcPr>
          <w:p w14:paraId="6FB918C2" w14:textId="77777777" w:rsidR="00C573B0" w:rsidRPr="00596193" w:rsidRDefault="00C573B0" w:rsidP="00303804">
            <w:pPr>
              <w:rPr>
                <w:color w:val="000000"/>
                <w:sz w:val="20"/>
                <w:szCs w:val="20"/>
              </w:rPr>
            </w:pPr>
          </w:p>
        </w:tc>
        <w:tc>
          <w:tcPr>
            <w:tcW w:w="0" w:type="auto"/>
          </w:tcPr>
          <w:p w14:paraId="2AF7BCAB" w14:textId="77777777" w:rsidR="00C573B0" w:rsidDel="000F1C47" w:rsidRDefault="00C573B0" w:rsidP="00303804">
            <w:pPr>
              <w:rPr>
                <w:color w:val="000000"/>
                <w:sz w:val="20"/>
                <w:szCs w:val="20"/>
              </w:rPr>
            </w:pPr>
          </w:p>
        </w:tc>
        <w:tc>
          <w:tcPr>
            <w:tcW w:w="0" w:type="auto"/>
          </w:tcPr>
          <w:p w14:paraId="7D0DBF10" w14:textId="77777777" w:rsidR="00C573B0" w:rsidDel="000F1C47" w:rsidRDefault="00C573B0" w:rsidP="00303804">
            <w:pPr>
              <w:rPr>
                <w:color w:val="000000"/>
                <w:sz w:val="20"/>
                <w:szCs w:val="20"/>
              </w:rPr>
            </w:pPr>
          </w:p>
        </w:tc>
        <w:tc>
          <w:tcPr>
            <w:tcW w:w="0" w:type="auto"/>
          </w:tcPr>
          <w:p w14:paraId="1367CBF1" w14:textId="77777777" w:rsidR="00C573B0" w:rsidDel="000F1C47" w:rsidRDefault="00C573B0" w:rsidP="00303804">
            <w:pPr>
              <w:rPr>
                <w:color w:val="000000"/>
                <w:sz w:val="20"/>
                <w:szCs w:val="20"/>
              </w:rPr>
            </w:pPr>
          </w:p>
        </w:tc>
      </w:tr>
      <w:tr w:rsidR="00C573B0" w:rsidRPr="00596193" w14:paraId="0408BF0C" w14:textId="77777777" w:rsidTr="00303804">
        <w:trPr>
          <w:trHeight w:val="300"/>
        </w:trPr>
        <w:tc>
          <w:tcPr>
            <w:tcW w:w="0" w:type="auto"/>
            <w:shd w:val="clear" w:color="auto" w:fill="auto"/>
            <w:noWrap/>
            <w:vAlign w:val="bottom"/>
            <w:hideMark/>
          </w:tcPr>
          <w:p w14:paraId="0C75367F" w14:textId="77777777" w:rsidR="00C573B0" w:rsidRPr="00596193" w:rsidRDefault="00C573B0" w:rsidP="00303804">
            <w:pPr>
              <w:jc w:val="both"/>
              <w:rPr>
                <w:color w:val="000000"/>
                <w:sz w:val="20"/>
                <w:szCs w:val="20"/>
              </w:rPr>
            </w:pPr>
            <w:r w:rsidRPr="00596193">
              <w:rPr>
                <w:color w:val="000000"/>
                <w:sz w:val="20"/>
                <w:szCs w:val="20"/>
              </w:rPr>
              <w:t>Low-risk urban women (25-34)</w:t>
            </w:r>
          </w:p>
        </w:tc>
        <w:tc>
          <w:tcPr>
            <w:tcW w:w="0" w:type="auto"/>
            <w:shd w:val="clear" w:color="auto" w:fill="auto"/>
            <w:noWrap/>
            <w:vAlign w:val="bottom"/>
            <w:hideMark/>
          </w:tcPr>
          <w:p w14:paraId="07B8545F" w14:textId="77777777" w:rsidR="00C573B0" w:rsidRPr="00596193" w:rsidRDefault="00C573B0" w:rsidP="00303804">
            <w:pPr>
              <w:jc w:val="both"/>
              <w:rPr>
                <w:color w:val="000000"/>
                <w:sz w:val="20"/>
                <w:szCs w:val="20"/>
              </w:rPr>
            </w:pPr>
          </w:p>
        </w:tc>
        <w:tc>
          <w:tcPr>
            <w:tcW w:w="0" w:type="auto"/>
          </w:tcPr>
          <w:p w14:paraId="458976C3" w14:textId="77777777" w:rsidR="00C573B0" w:rsidRPr="00596193" w:rsidRDefault="00C573B0" w:rsidP="00303804">
            <w:pPr>
              <w:jc w:val="both"/>
              <w:rPr>
                <w:color w:val="000000"/>
                <w:sz w:val="20"/>
                <w:szCs w:val="20"/>
              </w:rPr>
            </w:pPr>
          </w:p>
        </w:tc>
        <w:tc>
          <w:tcPr>
            <w:tcW w:w="0" w:type="auto"/>
          </w:tcPr>
          <w:p w14:paraId="459DDDCC" w14:textId="77777777" w:rsidR="00C573B0" w:rsidRPr="00596193" w:rsidRDefault="00C573B0" w:rsidP="00303804">
            <w:pPr>
              <w:jc w:val="both"/>
              <w:rPr>
                <w:color w:val="000000"/>
                <w:sz w:val="20"/>
                <w:szCs w:val="20"/>
              </w:rPr>
            </w:pPr>
          </w:p>
        </w:tc>
        <w:tc>
          <w:tcPr>
            <w:tcW w:w="0" w:type="auto"/>
          </w:tcPr>
          <w:p w14:paraId="5452B579" w14:textId="77777777" w:rsidR="00C573B0" w:rsidRPr="00596193" w:rsidRDefault="00C573B0" w:rsidP="00303804">
            <w:pPr>
              <w:jc w:val="both"/>
              <w:rPr>
                <w:color w:val="000000"/>
                <w:sz w:val="20"/>
                <w:szCs w:val="20"/>
              </w:rPr>
            </w:pPr>
          </w:p>
        </w:tc>
      </w:tr>
      <w:tr w:rsidR="00C573B0" w:rsidRPr="00596193" w14:paraId="3C7DBCCD" w14:textId="77777777" w:rsidTr="00303804">
        <w:trPr>
          <w:trHeight w:val="300"/>
        </w:trPr>
        <w:tc>
          <w:tcPr>
            <w:tcW w:w="0" w:type="auto"/>
            <w:shd w:val="clear" w:color="auto" w:fill="auto"/>
            <w:noWrap/>
            <w:vAlign w:val="bottom"/>
            <w:hideMark/>
          </w:tcPr>
          <w:p w14:paraId="5E95EBE6" w14:textId="77777777" w:rsidR="00C573B0" w:rsidRPr="00596193" w:rsidRDefault="00C573B0" w:rsidP="00303804">
            <w:pPr>
              <w:jc w:val="both"/>
              <w:rPr>
                <w:color w:val="000000"/>
                <w:sz w:val="20"/>
                <w:szCs w:val="20"/>
              </w:rPr>
            </w:pPr>
            <w:r w:rsidRPr="00596193">
              <w:rPr>
                <w:color w:val="000000"/>
                <w:sz w:val="20"/>
                <w:szCs w:val="20"/>
              </w:rPr>
              <w:t>Low-risk urban women (35-44)</w:t>
            </w:r>
          </w:p>
        </w:tc>
        <w:tc>
          <w:tcPr>
            <w:tcW w:w="0" w:type="auto"/>
            <w:shd w:val="clear" w:color="auto" w:fill="auto"/>
            <w:noWrap/>
            <w:vAlign w:val="bottom"/>
            <w:hideMark/>
          </w:tcPr>
          <w:p w14:paraId="3887CDC4" w14:textId="77777777" w:rsidR="00C573B0" w:rsidRPr="00596193" w:rsidRDefault="00C573B0" w:rsidP="00303804">
            <w:pPr>
              <w:jc w:val="both"/>
              <w:rPr>
                <w:color w:val="000000"/>
                <w:sz w:val="20"/>
                <w:szCs w:val="20"/>
              </w:rPr>
            </w:pPr>
          </w:p>
        </w:tc>
        <w:tc>
          <w:tcPr>
            <w:tcW w:w="0" w:type="auto"/>
          </w:tcPr>
          <w:p w14:paraId="4CEDB1AB" w14:textId="77777777" w:rsidR="00C573B0" w:rsidRPr="00596193" w:rsidRDefault="00C573B0" w:rsidP="00303804">
            <w:pPr>
              <w:jc w:val="both"/>
              <w:rPr>
                <w:color w:val="000000"/>
                <w:sz w:val="20"/>
                <w:szCs w:val="20"/>
              </w:rPr>
            </w:pPr>
          </w:p>
        </w:tc>
        <w:tc>
          <w:tcPr>
            <w:tcW w:w="0" w:type="auto"/>
          </w:tcPr>
          <w:p w14:paraId="55C5C250" w14:textId="77777777" w:rsidR="00C573B0" w:rsidRPr="00596193" w:rsidRDefault="00C573B0" w:rsidP="00303804">
            <w:pPr>
              <w:jc w:val="both"/>
              <w:rPr>
                <w:color w:val="000000"/>
                <w:sz w:val="20"/>
                <w:szCs w:val="20"/>
              </w:rPr>
            </w:pPr>
          </w:p>
        </w:tc>
        <w:tc>
          <w:tcPr>
            <w:tcW w:w="0" w:type="auto"/>
          </w:tcPr>
          <w:p w14:paraId="1EBC650F" w14:textId="77777777" w:rsidR="00C573B0" w:rsidRPr="00596193" w:rsidRDefault="00C573B0" w:rsidP="00303804">
            <w:pPr>
              <w:jc w:val="both"/>
              <w:rPr>
                <w:color w:val="000000"/>
                <w:sz w:val="20"/>
                <w:szCs w:val="20"/>
              </w:rPr>
            </w:pPr>
          </w:p>
        </w:tc>
      </w:tr>
      <w:tr w:rsidR="00C573B0" w:rsidRPr="00596193" w14:paraId="4E52CDAB" w14:textId="77777777" w:rsidTr="00303804">
        <w:trPr>
          <w:trHeight w:val="300"/>
        </w:trPr>
        <w:tc>
          <w:tcPr>
            <w:tcW w:w="0" w:type="auto"/>
            <w:shd w:val="clear" w:color="auto" w:fill="auto"/>
            <w:noWrap/>
            <w:vAlign w:val="bottom"/>
            <w:hideMark/>
          </w:tcPr>
          <w:p w14:paraId="3EC0E1D5" w14:textId="77777777" w:rsidR="00C573B0" w:rsidRPr="00596193" w:rsidRDefault="00C573B0" w:rsidP="00303804">
            <w:pPr>
              <w:jc w:val="both"/>
              <w:rPr>
                <w:color w:val="000000"/>
                <w:sz w:val="20"/>
                <w:szCs w:val="20"/>
              </w:rPr>
            </w:pPr>
            <w:r w:rsidRPr="00596193">
              <w:rPr>
                <w:color w:val="000000"/>
                <w:sz w:val="20"/>
                <w:szCs w:val="20"/>
              </w:rPr>
              <w:t>Low-risk urban women (45-54)</w:t>
            </w:r>
          </w:p>
        </w:tc>
        <w:tc>
          <w:tcPr>
            <w:tcW w:w="0" w:type="auto"/>
            <w:shd w:val="clear" w:color="auto" w:fill="auto"/>
            <w:noWrap/>
            <w:vAlign w:val="bottom"/>
            <w:hideMark/>
          </w:tcPr>
          <w:p w14:paraId="08A48EA9" w14:textId="77777777" w:rsidR="00C573B0" w:rsidRPr="00596193" w:rsidRDefault="00C573B0" w:rsidP="00303804">
            <w:pPr>
              <w:jc w:val="both"/>
              <w:rPr>
                <w:color w:val="000000"/>
                <w:sz w:val="20"/>
                <w:szCs w:val="20"/>
              </w:rPr>
            </w:pPr>
          </w:p>
        </w:tc>
        <w:tc>
          <w:tcPr>
            <w:tcW w:w="0" w:type="auto"/>
          </w:tcPr>
          <w:p w14:paraId="2C019A8D" w14:textId="77777777" w:rsidR="00C573B0" w:rsidRPr="00596193" w:rsidRDefault="00C573B0" w:rsidP="00303804">
            <w:pPr>
              <w:jc w:val="both"/>
              <w:rPr>
                <w:color w:val="000000"/>
                <w:sz w:val="20"/>
                <w:szCs w:val="20"/>
              </w:rPr>
            </w:pPr>
          </w:p>
        </w:tc>
        <w:tc>
          <w:tcPr>
            <w:tcW w:w="0" w:type="auto"/>
          </w:tcPr>
          <w:p w14:paraId="5492CCB1" w14:textId="77777777" w:rsidR="00C573B0" w:rsidRPr="00596193" w:rsidRDefault="00C573B0" w:rsidP="00303804">
            <w:pPr>
              <w:jc w:val="both"/>
              <w:rPr>
                <w:color w:val="000000"/>
                <w:sz w:val="20"/>
                <w:szCs w:val="20"/>
              </w:rPr>
            </w:pPr>
          </w:p>
        </w:tc>
        <w:tc>
          <w:tcPr>
            <w:tcW w:w="0" w:type="auto"/>
          </w:tcPr>
          <w:p w14:paraId="1EC3885B" w14:textId="77777777" w:rsidR="00C573B0" w:rsidRPr="00596193" w:rsidRDefault="00C573B0" w:rsidP="00303804">
            <w:pPr>
              <w:jc w:val="both"/>
              <w:rPr>
                <w:color w:val="000000"/>
                <w:sz w:val="20"/>
                <w:szCs w:val="20"/>
              </w:rPr>
            </w:pPr>
          </w:p>
        </w:tc>
      </w:tr>
      <w:tr w:rsidR="00C573B0" w:rsidRPr="00596193" w14:paraId="544392D3" w14:textId="77777777" w:rsidTr="00303804">
        <w:trPr>
          <w:trHeight w:val="300"/>
        </w:trPr>
        <w:tc>
          <w:tcPr>
            <w:tcW w:w="0" w:type="auto"/>
            <w:shd w:val="clear" w:color="auto" w:fill="auto"/>
            <w:noWrap/>
            <w:vAlign w:val="bottom"/>
            <w:hideMark/>
          </w:tcPr>
          <w:p w14:paraId="59A90551" w14:textId="77777777" w:rsidR="00C573B0" w:rsidRPr="00596193" w:rsidRDefault="00C573B0" w:rsidP="00303804">
            <w:pPr>
              <w:jc w:val="both"/>
              <w:rPr>
                <w:color w:val="000000"/>
                <w:sz w:val="20"/>
                <w:szCs w:val="20"/>
              </w:rPr>
            </w:pPr>
            <w:r w:rsidRPr="00596193">
              <w:rPr>
                <w:color w:val="000000"/>
                <w:sz w:val="20"/>
                <w:szCs w:val="20"/>
              </w:rPr>
              <w:t>Low-risk urban women (55-64)</w:t>
            </w:r>
          </w:p>
        </w:tc>
        <w:tc>
          <w:tcPr>
            <w:tcW w:w="0" w:type="auto"/>
            <w:shd w:val="clear" w:color="auto" w:fill="auto"/>
            <w:noWrap/>
            <w:vAlign w:val="bottom"/>
            <w:hideMark/>
          </w:tcPr>
          <w:p w14:paraId="443DD95B" w14:textId="77777777" w:rsidR="00C573B0" w:rsidRPr="00596193" w:rsidRDefault="00C573B0" w:rsidP="00303804">
            <w:pPr>
              <w:jc w:val="both"/>
              <w:rPr>
                <w:color w:val="000000"/>
                <w:sz w:val="20"/>
                <w:szCs w:val="20"/>
              </w:rPr>
            </w:pPr>
          </w:p>
        </w:tc>
        <w:tc>
          <w:tcPr>
            <w:tcW w:w="0" w:type="auto"/>
          </w:tcPr>
          <w:p w14:paraId="13C8453D" w14:textId="77777777" w:rsidR="00C573B0" w:rsidRPr="00596193" w:rsidRDefault="00C573B0" w:rsidP="00303804">
            <w:pPr>
              <w:jc w:val="both"/>
              <w:rPr>
                <w:color w:val="000000"/>
                <w:sz w:val="20"/>
                <w:szCs w:val="20"/>
              </w:rPr>
            </w:pPr>
          </w:p>
        </w:tc>
        <w:tc>
          <w:tcPr>
            <w:tcW w:w="0" w:type="auto"/>
          </w:tcPr>
          <w:p w14:paraId="0514EC16" w14:textId="77777777" w:rsidR="00C573B0" w:rsidRPr="00596193" w:rsidRDefault="00C573B0" w:rsidP="00303804">
            <w:pPr>
              <w:jc w:val="both"/>
              <w:rPr>
                <w:color w:val="000000"/>
                <w:sz w:val="20"/>
                <w:szCs w:val="20"/>
              </w:rPr>
            </w:pPr>
          </w:p>
        </w:tc>
        <w:tc>
          <w:tcPr>
            <w:tcW w:w="0" w:type="auto"/>
          </w:tcPr>
          <w:p w14:paraId="0EB1C0F1" w14:textId="77777777" w:rsidR="00C573B0" w:rsidRPr="00596193" w:rsidRDefault="00C573B0" w:rsidP="00303804">
            <w:pPr>
              <w:jc w:val="both"/>
              <w:rPr>
                <w:color w:val="000000"/>
                <w:sz w:val="20"/>
                <w:szCs w:val="20"/>
              </w:rPr>
            </w:pPr>
          </w:p>
        </w:tc>
      </w:tr>
      <w:tr w:rsidR="00C573B0" w:rsidRPr="00596193" w14:paraId="42D9C582" w14:textId="77777777" w:rsidTr="00303804">
        <w:trPr>
          <w:trHeight w:val="300"/>
        </w:trPr>
        <w:tc>
          <w:tcPr>
            <w:tcW w:w="0" w:type="auto"/>
            <w:shd w:val="clear" w:color="auto" w:fill="auto"/>
            <w:noWrap/>
            <w:vAlign w:val="bottom"/>
            <w:hideMark/>
          </w:tcPr>
          <w:p w14:paraId="3F64881D" w14:textId="77777777" w:rsidR="00C573B0" w:rsidRPr="00596193" w:rsidRDefault="00C573B0" w:rsidP="00303804">
            <w:pPr>
              <w:jc w:val="both"/>
              <w:rPr>
                <w:color w:val="000000"/>
                <w:sz w:val="20"/>
                <w:szCs w:val="20"/>
              </w:rPr>
            </w:pPr>
            <w:r w:rsidRPr="00596193">
              <w:rPr>
                <w:color w:val="000000"/>
                <w:sz w:val="20"/>
                <w:szCs w:val="20"/>
              </w:rPr>
              <w:t>Low-risk rural women (15-24)</w:t>
            </w:r>
          </w:p>
        </w:tc>
        <w:tc>
          <w:tcPr>
            <w:tcW w:w="0" w:type="auto"/>
            <w:shd w:val="clear" w:color="auto" w:fill="auto"/>
            <w:noWrap/>
            <w:vAlign w:val="bottom"/>
            <w:hideMark/>
          </w:tcPr>
          <w:p w14:paraId="0EC683C0" w14:textId="77777777" w:rsidR="00C573B0" w:rsidRPr="00596193" w:rsidRDefault="00C573B0" w:rsidP="00303804">
            <w:pPr>
              <w:jc w:val="both"/>
              <w:rPr>
                <w:color w:val="000000"/>
                <w:sz w:val="20"/>
                <w:szCs w:val="20"/>
              </w:rPr>
            </w:pPr>
          </w:p>
        </w:tc>
        <w:tc>
          <w:tcPr>
            <w:tcW w:w="0" w:type="auto"/>
          </w:tcPr>
          <w:p w14:paraId="70B90D9A" w14:textId="77777777" w:rsidR="00C573B0" w:rsidRPr="00596193" w:rsidRDefault="00C573B0" w:rsidP="00303804">
            <w:pPr>
              <w:jc w:val="both"/>
              <w:rPr>
                <w:color w:val="000000"/>
                <w:sz w:val="20"/>
                <w:szCs w:val="20"/>
              </w:rPr>
            </w:pPr>
          </w:p>
        </w:tc>
        <w:tc>
          <w:tcPr>
            <w:tcW w:w="0" w:type="auto"/>
          </w:tcPr>
          <w:p w14:paraId="064BB746" w14:textId="77777777" w:rsidR="00C573B0" w:rsidRPr="00596193" w:rsidRDefault="00C573B0" w:rsidP="00303804">
            <w:pPr>
              <w:jc w:val="both"/>
              <w:rPr>
                <w:color w:val="000000"/>
                <w:sz w:val="20"/>
                <w:szCs w:val="20"/>
              </w:rPr>
            </w:pPr>
          </w:p>
        </w:tc>
        <w:tc>
          <w:tcPr>
            <w:tcW w:w="0" w:type="auto"/>
          </w:tcPr>
          <w:p w14:paraId="21C2A251" w14:textId="77777777" w:rsidR="00C573B0" w:rsidRPr="00596193" w:rsidRDefault="00C573B0" w:rsidP="00303804">
            <w:pPr>
              <w:jc w:val="both"/>
              <w:rPr>
                <w:color w:val="000000"/>
                <w:sz w:val="20"/>
                <w:szCs w:val="20"/>
              </w:rPr>
            </w:pPr>
          </w:p>
        </w:tc>
      </w:tr>
      <w:tr w:rsidR="00C573B0" w:rsidRPr="00596193" w14:paraId="3464D32C" w14:textId="77777777" w:rsidTr="00303804">
        <w:trPr>
          <w:trHeight w:val="300"/>
        </w:trPr>
        <w:tc>
          <w:tcPr>
            <w:tcW w:w="0" w:type="auto"/>
            <w:shd w:val="clear" w:color="auto" w:fill="auto"/>
            <w:noWrap/>
            <w:vAlign w:val="bottom"/>
            <w:hideMark/>
          </w:tcPr>
          <w:p w14:paraId="377ADC07" w14:textId="77777777" w:rsidR="00C573B0" w:rsidRPr="00596193" w:rsidRDefault="00C573B0" w:rsidP="00303804">
            <w:pPr>
              <w:jc w:val="both"/>
              <w:rPr>
                <w:color w:val="000000"/>
                <w:sz w:val="20"/>
                <w:szCs w:val="20"/>
              </w:rPr>
            </w:pPr>
            <w:r w:rsidRPr="00596193">
              <w:rPr>
                <w:color w:val="000000"/>
                <w:sz w:val="20"/>
                <w:szCs w:val="20"/>
              </w:rPr>
              <w:t>Low-risk rural women (25-34)</w:t>
            </w:r>
          </w:p>
        </w:tc>
        <w:tc>
          <w:tcPr>
            <w:tcW w:w="0" w:type="auto"/>
            <w:shd w:val="clear" w:color="auto" w:fill="auto"/>
            <w:noWrap/>
            <w:vAlign w:val="bottom"/>
            <w:hideMark/>
          </w:tcPr>
          <w:p w14:paraId="7F57BD2C" w14:textId="77777777" w:rsidR="00C573B0" w:rsidRPr="00596193" w:rsidRDefault="00C573B0" w:rsidP="00303804">
            <w:pPr>
              <w:jc w:val="both"/>
              <w:rPr>
                <w:color w:val="000000"/>
                <w:sz w:val="20"/>
                <w:szCs w:val="20"/>
              </w:rPr>
            </w:pPr>
          </w:p>
        </w:tc>
        <w:tc>
          <w:tcPr>
            <w:tcW w:w="0" w:type="auto"/>
          </w:tcPr>
          <w:p w14:paraId="64014FDF" w14:textId="77777777" w:rsidR="00C573B0" w:rsidRPr="00596193" w:rsidRDefault="00C573B0" w:rsidP="00303804">
            <w:pPr>
              <w:jc w:val="both"/>
              <w:rPr>
                <w:color w:val="000000"/>
                <w:sz w:val="20"/>
                <w:szCs w:val="20"/>
              </w:rPr>
            </w:pPr>
          </w:p>
        </w:tc>
        <w:tc>
          <w:tcPr>
            <w:tcW w:w="0" w:type="auto"/>
          </w:tcPr>
          <w:p w14:paraId="216206D7" w14:textId="77777777" w:rsidR="00C573B0" w:rsidRPr="00596193" w:rsidRDefault="00C573B0" w:rsidP="00303804">
            <w:pPr>
              <w:jc w:val="both"/>
              <w:rPr>
                <w:color w:val="000000"/>
                <w:sz w:val="20"/>
                <w:szCs w:val="20"/>
              </w:rPr>
            </w:pPr>
          </w:p>
        </w:tc>
        <w:tc>
          <w:tcPr>
            <w:tcW w:w="0" w:type="auto"/>
          </w:tcPr>
          <w:p w14:paraId="48AD1E00" w14:textId="77777777" w:rsidR="00C573B0" w:rsidRPr="00596193" w:rsidRDefault="00C573B0" w:rsidP="00303804">
            <w:pPr>
              <w:jc w:val="both"/>
              <w:rPr>
                <w:color w:val="000000"/>
                <w:sz w:val="20"/>
                <w:szCs w:val="20"/>
              </w:rPr>
            </w:pPr>
          </w:p>
        </w:tc>
      </w:tr>
      <w:tr w:rsidR="00C573B0" w:rsidRPr="00596193" w14:paraId="2F251C18" w14:textId="77777777" w:rsidTr="00303804">
        <w:trPr>
          <w:trHeight w:val="300"/>
        </w:trPr>
        <w:tc>
          <w:tcPr>
            <w:tcW w:w="0" w:type="auto"/>
            <w:shd w:val="clear" w:color="auto" w:fill="auto"/>
            <w:noWrap/>
            <w:vAlign w:val="bottom"/>
            <w:hideMark/>
          </w:tcPr>
          <w:p w14:paraId="1B060B6A" w14:textId="77777777" w:rsidR="00C573B0" w:rsidRPr="00596193" w:rsidRDefault="00C573B0" w:rsidP="00303804">
            <w:pPr>
              <w:jc w:val="both"/>
              <w:rPr>
                <w:color w:val="000000"/>
                <w:sz w:val="20"/>
                <w:szCs w:val="20"/>
              </w:rPr>
            </w:pPr>
            <w:r w:rsidRPr="00596193">
              <w:rPr>
                <w:color w:val="000000"/>
                <w:sz w:val="20"/>
                <w:szCs w:val="20"/>
              </w:rPr>
              <w:t>Low-risk rural women (35-44)</w:t>
            </w:r>
          </w:p>
        </w:tc>
        <w:tc>
          <w:tcPr>
            <w:tcW w:w="0" w:type="auto"/>
            <w:shd w:val="clear" w:color="auto" w:fill="auto"/>
            <w:noWrap/>
            <w:vAlign w:val="bottom"/>
            <w:hideMark/>
          </w:tcPr>
          <w:p w14:paraId="51F09F79" w14:textId="77777777" w:rsidR="00C573B0" w:rsidRPr="00596193" w:rsidRDefault="00C573B0" w:rsidP="00303804">
            <w:pPr>
              <w:jc w:val="both"/>
              <w:rPr>
                <w:color w:val="000000"/>
                <w:sz w:val="20"/>
                <w:szCs w:val="20"/>
              </w:rPr>
            </w:pPr>
          </w:p>
        </w:tc>
        <w:tc>
          <w:tcPr>
            <w:tcW w:w="0" w:type="auto"/>
          </w:tcPr>
          <w:p w14:paraId="1722C71E" w14:textId="77777777" w:rsidR="00C573B0" w:rsidRPr="00596193" w:rsidRDefault="00C573B0" w:rsidP="00303804">
            <w:pPr>
              <w:jc w:val="both"/>
              <w:rPr>
                <w:color w:val="000000"/>
                <w:sz w:val="20"/>
                <w:szCs w:val="20"/>
              </w:rPr>
            </w:pPr>
          </w:p>
        </w:tc>
        <w:tc>
          <w:tcPr>
            <w:tcW w:w="0" w:type="auto"/>
          </w:tcPr>
          <w:p w14:paraId="2C3D7B6D" w14:textId="77777777" w:rsidR="00C573B0" w:rsidRPr="00596193" w:rsidRDefault="00C573B0" w:rsidP="00303804">
            <w:pPr>
              <w:jc w:val="both"/>
              <w:rPr>
                <w:color w:val="000000"/>
                <w:sz w:val="20"/>
                <w:szCs w:val="20"/>
              </w:rPr>
            </w:pPr>
          </w:p>
        </w:tc>
        <w:tc>
          <w:tcPr>
            <w:tcW w:w="0" w:type="auto"/>
          </w:tcPr>
          <w:p w14:paraId="4DB4E0E9" w14:textId="77777777" w:rsidR="00C573B0" w:rsidRPr="00596193" w:rsidRDefault="00C573B0" w:rsidP="00303804">
            <w:pPr>
              <w:jc w:val="both"/>
              <w:rPr>
                <w:color w:val="000000"/>
                <w:sz w:val="20"/>
                <w:szCs w:val="20"/>
              </w:rPr>
            </w:pPr>
          </w:p>
        </w:tc>
      </w:tr>
      <w:tr w:rsidR="00C573B0" w:rsidRPr="00596193" w14:paraId="5F70470E" w14:textId="77777777" w:rsidTr="00303804">
        <w:trPr>
          <w:trHeight w:val="300"/>
        </w:trPr>
        <w:tc>
          <w:tcPr>
            <w:tcW w:w="0" w:type="auto"/>
            <w:shd w:val="clear" w:color="auto" w:fill="auto"/>
            <w:noWrap/>
            <w:vAlign w:val="bottom"/>
            <w:hideMark/>
          </w:tcPr>
          <w:p w14:paraId="3DB38934" w14:textId="77777777" w:rsidR="00C573B0" w:rsidRPr="00596193" w:rsidRDefault="00C573B0" w:rsidP="00303804">
            <w:pPr>
              <w:jc w:val="both"/>
              <w:rPr>
                <w:color w:val="000000"/>
                <w:sz w:val="20"/>
                <w:szCs w:val="20"/>
              </w:rPr>
            </w:pPr>
            <w:r w:rsidRPr="00596193">
              <w:rPr>
                <w:color w:val="000000"/>
                <w:sz w:val="20"/>
                <w:szCs w:val="20"/>
              </w:rPr>
              <w:t>Low-risk rural women (45-54)</w:t>
            </w:r>
          </w:p>
        </w:tc>
        <w:tc>
          <w:tcPr>
            <w:tcW w:w="0" w:type="auto"/>
            <w:shd w:val="clear" w:color="auto" w:fill="auto"/>
            <w:noWrap/>
            <w:vAlign w:val="bottom"/>
            <w:hideMark/>
          </w:tcPr>
          <w:p w14:paraId="2BA36A7B" w14:textId="77777777" w:rsidR="00C573B0" w:rsidRPr="00596193" w:rsidRDefault="00C573B0" w:rsidP="00303804">
            <w:pPr>
              <w:jc w:val="both"/>
              <w:rPr>
                <w:color w:val="000000"/>
                <w:sz w:val="20"/>
                <w:szCs w:val="20"/>
              </w:rPr>
            </w:pPr>
          </w:p>
        </w:tc>
        <w:tc>
          <w:tcPr>
            <w:tcW w:w="0" w:type="auto"/>
          </w:tcPr>
          <w:p w14:paraId="3738BB50" w14:textId="77777777" w:rsidR="00C573B0" w:rsidRPr="00596193" w:rsidRDefault="00C573B0" w:rsidP="00303804">
            <w:pPr>
              <w:jc w:val="both"/>
              <w:rPr>
                <w:color w:val="000000"/>
                <w:sz w:val="20"/>
                <w:szCs w:val="20"/>
              </w:rPr>
            </w:pPr>
          </w:p>
        </w:tc>
        <w:tc>
          <w:tcPr>
            <w:tcW w:w="0" w:type="auto"/>
          </w:tcPr>
          <w:p w14:paraId="1676C29C" w14:textId="77777777" w:rsidR="00C573B0" w:rsidRPr="00596193" w:rsidRDefault="00C573B0" w:rsidP="00303804">
            <w:pPr>
              <w:jc w:val="both"/>
              <w:rPr>
                <w:color w:val="000000"/>
                <w:sz w:val="20"/>
                <w:szCs w:val="20"/>
              </w:rPr>
            </w:pPr>
          </w:p>
        </w:tc>
        <w:tc>
          <w:tcPr>
            <w:tcW w:w="0" w:type="auto"/>
          </w:tcPr>
          <w:p w14:paraId="65148647" w14:textId="77777777" w:rsidR="00C573B0" w:rsidRPr="00596193" w:rsidRDefault="00C573B0" w:rsidP="00303804">
            <w:pPr>
              <w:jc w:val="both"/>
              <w:rPr>
                <w:color w:val="000000"/>
                <w:sz w:val="20"/>
                <w:szCs w:val="20"/>
              </w:rPr>
            </w:pPr>
          </w:p>
        </w:tc>
      </w:tr>
      <w:tr w:rsidR="00C573B0" w:rsidRPr="00596193" w14:paraId="4DA25DB1" w14:textId="77777777" w:rsidTr="00303804">
        <w:trPr>
          <w:trHeight w:val="300"/>
        </w:trPr>
        <w:tc>
          <w:tcPr>
            <w:tcW w:w="0" w:type="auto"/>
            <w:shd w:val="clear" w:color="auto" w:fill="auto"/>
            <w:noWrap/>
            <w:vAlign w:val="bottom"/>
            <w:hideMark/>
          </w:tcPr>
          <w:p w14:paraId="7162C830" w14:textId="77777777" w:rsidR="00C573B0" w:rsidRPr="00596193" w:rsidRDefault="00C573B0" w:rsidP="00303804">
            <w:pPr>
              <w:jc w:val="both"/>
              <w:rPr>
                <w:color w:val="000000"/>
                <w:sz w:val="20"/>
                <w:szCs w:val="20"/>
              </w:rPr>
            </w:pPr>
            <w:r w:rsidRPr="00596193">
              <w:rPr>
                <w:color w:val="000000"/>
                <w:sz w:val="20"/>
                <w:szCs w:val="20"/>
              </w:rPr>
              <w:t>Low-risk rural women (55-64)</w:t>
            </w:r>
          </w:p>
        </w:tc>
        <w:tc>
          <w:tcPr>
            <w:tcW w:w="0" w:type="auto"/>
            <w:shd w:val="clear" w:color="auto" w:fill="auto"/>
            <w:noWrap/>
            <w:vAlign w:val="bottom"/>
            <w:hideMark/>
          </w:tcPr>
          <w:p w14:paraId="75A6CD0D" w14:textId="77777777" w:rsidR="00C573B0" w:rsidRPr="00596193" w:rsidRDefault="00C573B0" w:rsidP="00303804">
            <w:pPr>
              <w:jc w:val="both"/>
              <w:rPr>
                <w:color w:val="000000"/>
                <w:sz w:val="20"/>
                <w:szCs w:val="20"/>
              </w:rPr>
            </w:pPr>
          </w:p>
        </w:tc>
        <w:tc>
          <w:tcPr>
            <w:tcW w:w="0" w:type="auto"/>
          </w:tcPr>
          <w:p w14:paraId="1B15500E" w14:textId="77777777" w:rsidR="00C573B0" w:rsidRPr="00596193" w:rsidRDefault="00C573B0" w:rsidP="00303804">
            <w:pPr>
              <w:jc w:val="both"/>
              <w:rPr>
                <w:color w:val="000000"/>
                <w:sz w:val="20"/>
                <w:szCs w:val="20"/>
              </w:rPr>
            </w:pPr>
          </w:p>
        </w:tc>
        <w:tc>
          <w:tcPr>
            <w:tcW w:w="0" w:type="auto"/>
          </w:tcPr>
          <w:p w14:paraId="1BACE4F5" w14:textId="77777777" w:rsidR="00C573B0" w:rsidRPr="00596193" w:rsidRDefault="00C573B0" w:rsidP="00303804">
            <w:pPr>
              <w:jc w:val="both"/>
              <w:rPr>
                <w:color w:val="000000"/>
                <w:sz w:val="20"/>
                <w:szCs w:val="20"/>
              </w:rPr>
            </w:pPr>
          </w:p>
        </w:tc>
        <w:tc>
          <w:tcPr>
            <w:tcW w:w="0" w:type="auto"/>
          </w:tcPr>
          <w:p w14:paraId="52D84380" w14:textId="77777777" w:rsidR="00C573B0" w:rsidRPr="00596193" w:rsidRDefault="00C573B0" w:rsidP="00303804">
            <w:pPr>
              <w:jc w:val="both"/>
              <w:rPr>
                <w:color w:val="000000"/>
                <w:sz w:val="20"/>
                <w:szCs w:val="20"/>
              </w:rPr>
            </w:pPr>
          </w:p>
        </w:tc>
      </w:tr>
      <w:tr w:rsidR="00C573B0" w:rsidRPr="00596193" w14:paraId="768F8458" w14:textId="77777777" w:rsidTr="00303804">
        <w:trPr>
          <w:trHeight w:val="300"/>
        </w:trPr>
        <w:tc>
          <w:tcPr>
            <w:tcW w:w="0" w:type="auto"/>
            <w:shd w:val="clear" w:color="auto" w:fill="auto"/>
            <w:noWrap/>
            <w:vAlign w:val="bottom"/>
            <w:hideMark/>
          </w:tcPr>
          <w:p w14:paraId="68F1211F" w14:textId="77777777" w:rsidR="00C573B0" w:rsidRPr="00596193" w:rsidRDefault="00C573B0" w:rsidP="00303804">
            <w:pPr>
              <w:jc w:val="both"/>
              <w:rPr>
                <w:color w:val="000000"/>
                <w:sz w:val="20"/>
                <w:szCs w:val="20"/>
              </w:rPr>
            </w:pPr>
            <w:r w:rsidRPr="00596193">
              <w:rPr>
                <w:color w:val="000000"/>
                <w:sz w:val="20"/>
                <w:szCs w:val="20"/>
              </w:rPr>
              <w:t>Urban men (15-24)</w:t>
            </w:r>
          </w:p>
        </w:tc>
        <w:tc>
          <w:tcPr>
            <w:tcW w:w="0" w:type="auto"/>
            <w:shd w:val="clear" w:color="auto" w:fill="auto"/>
            <w:noWrap/>
            <w:vAlign w:val="bottom"/>
            <w:hideMark/>
          </w:tcPr>
          <w:p w14:paraId="05908997" w14:textId="77777777" w:rsidR="00C573B0" w:rsidRPr="00596193" w:rsidRDefault="00C573B0" w:rsidP="00303804">
            <w:pPr>
              <w:jc w:val="both"/>
              <w:rPr>
                <w:color w:val="000000"/>
                <w:sz w:val="20"/>
                <w:szCs w:val="20"/>
              </w:rPr>
            </w:pPr>
          </w:p>
        </w:tc>
        <w:tc>
          <w:tcPr>
            <w:tcW w:w="0" w:type="auto"/>
          </w:tcPr>
          <w:p w14:paraId="14FB2BD7" w14:textId="77777777" w:rsidR="00C573B0" w:rsidRPr="00596193" w:rsidRDefault="00C573B0" w:rsidP="00303804">
            <w:pPr>
              <w:jc w:val="both"/>
              <w:rPr>
                <w:color w:val="000000"/>
                <w:sz w:val="20"/>
                <w:szCs w:val="20"/>
              </w:rPr>
            </w:pPr>
          </w:p>
        </w:tc>
        <w:tc>
          <w:tcPr>
            <w:tcW w:w="0" w:type="auto"/>
          </w:tcPr>
          <w:p w14:paraId="02CDA39C" w14:textId="77777777" w:rsidR="00C573B0" w:rsidRPr="00596193" w:rsidRDefault="00C573B0" w:rsidP="00303804">
            <w:pPr>
              <w:jc w:val="both"/>
              <w:rPr>
                <w:color w:val="000000"/>
                <w:sz w:val="20"/>
                <w:szCs w:val="20"/>
              </w:rPr>
            </w:pPr>
          </w:p>
        </w:tc>
        <w:tc>
          <w:tcPr>
            <w:tcW w:w="0" w:type="auto"/>
          </w:tcPr>
          <w:p w14:paraId="260A5C9C" w14:textId="77777777" w:rsidR="00C573B0" w:rsidRPr="00596193" w:rsidRDefault="00C573B0" w:rsidP="00303804">
            <w:pPr>
              <w:jc w:val="both"/>
              <w:rPr>
                <w:color w:val="000000"/>
                <w:sz w:val="20"/>
                <w:szCs w:val="20"/>
              </w:rPr>
            </w:pPr>
          </w:p>
        </w:tc>
      </w:tr>
      <w:tr w:rsidR="00C573B0" w:rsidRPr="00596193" w14:paraId="7CCCD874" w14:textId="77777777" w:rsidTr="00303804">
        <w:trPr>
          <w:trHeight w:val="300"/>
        </w:trPr>
        <w:tc>
          <w:tcPr>
            <w:tcW w:w="0" w:type="auto"/>
            <w:shd w:val="clear" w:color="auto" w:fill="auto"/>
            <w:noWrap/>
            <w:vAlign w:val="bottom"/>
            <w:hideMark/>
          </w:tcPr>
          <w:p w14:paraId="7AD5133C" w14:textId="77777777" w:rsidR="00C573B0" w:rsidRPr="00596193" w:rsidRDefault="00C573B0" w:rsidP="00303804">
            <w:pPr>
              <w:jc w:val="both"/>
              <w:rPr>
                <w:color w:val="000000"/>
                <w:sz w:val="20"/>
                <w:szCs w:val="20"/>
              </w:rPr>
            </w:pPr>
            <w:r w:rsidRPr="00596193">
              <w:rPr>
                <w:color w:val="000000"/>
                <w:sz w:val="20"/>
                <w:szCs w:val="20"/>
              </w:rPr>
              <w:t>Urban men (25-34)</w:t>
            </w:r>
          </w:p>
        </w:tc>
        <w:tc>
          <w:tcPr>
            <w:tcW w:w="0" w:type="auto"/>
            <w:shd w:val="clear" w:color="auto" w:fill="auto"/>
            <w:noWrap/>
            <w:vAlign w:val="bottom"/>
            <w:hideMark/>
          </w:tcPr>
          <w:p w14:paraId="5B4FDAF5" w14:textId="77777777" w:rsidR="00C573B0" w:rsidRPr="00596193" w:rsidRDefault="00C573B0" w:rsidP="00303804">
            <w:pPr>
              <w:jc w:val="both"/>
              <w:rPr>
                <w:color w:val="000000"/>
                <w:sz w:val="20"/>
                <w:szCs w:val="20"/>
              </w:rPr>
            </w:pPr>
          </w:p>
        </w:tc>
        <w:tc>
          <w:tcPr>
            <w:tcW w:w="0" w:type="auto"/>
          </w:tcPr>
          <w:p w14:paraId="218FD414" w14:textId="77777777" w:rsidR="00C573B0" w:rsidRPr="00596193" w:rsidRDefault="00C573B0" w:rsidP="00303804">
            <w:pPr>
              <w:jc w:val="both"/>
              <w:rPr>
                <w:color w:val="000000"/>
                <w:sz w:val="20"/>
                <w:szCs w:val="20"/>
              </w:rPr>
            </w:pPr>
          </w:p>
        </w:tc>
        <w:tc>
          <w:tcPr>
            <w:tcW w:w="0" w:type="auto"/>
          </w:tcPr>
          <w:p w14:paraId="25C7CC66" w14:textId="77777777" w:rsidR="00C573B0" w:rsidRPr="00596193" w:rsidRDefault="00C573B0" w:rsidP="00303804">
            <w:pPr>
              <w:jc w:val="both"/>
              <w:rPr>
                <w:color w:val="000000"/>
                <w:sz w:val="20"/>
                <w:szCs w:val="20"/>
              </w:rPr>
            </w:pPr>
          </w:p>
        </w:tc>
        <w:tc>
          <w:tcPr>
            <w:tcW w:w="0" w:type="auto"/>
          </w:tcPr>
          <w:p w14:paraId="7CF92351" w14:textId="77777777" w:rsidR="00C573B0" w:rsidRPr="00596193" w:rsidRDefault="00C573B0" w:rsidP="00303804">
            <w:pPr>
              <w:jc w:val="both"/>
              <w:rPr>
                <w:color w:val="000000"/>
                <w:sz w:val="20"/>
                <w:szCs w:val="20"/>
              </w:rPr>
            </w:pPr>
          </w:p>
        </w:tc>
      </w:tr>
      <w:tr w:rsidR="00C573B0" w:rsidRPr="00596193" w14:paraId="552FCAAB" w14:textId="77777777" w:rsidTr="00303804">
        <w:trPr>
          <w:trHeight w:val="300"/>
        </w:trPr>
        <w:tc>
          <w:tcPr>
            <w:tcW w:w="0" w:type="auto"/>
            <w:shd w:val="clear" w:color="auto" w:fill="auto"/>
            <w:noWrap/>
            <w:vAlign w:val="bottom"/>
            <w:hideMark/>
          </w:tcPr>
          <w:p w14:paraId="5998C80F" w14:textId="77777777" w:rsidR="00C573B0" w:rsidRPr="00596193" w:rsidRDefault="00C573B0" w:rsidP="00303804">
            <w:pPr>
              <w:jc w:val="both"/>
              <w:rPr>
                <w:color w:val="000000"/>
                <w:sz w:val="20"/>
                <w:szCs w:val="20"/>
              </w:rPr>
            </w:pPr>
            <w:r w:rsidRPr="00596193">
              <w:rPr>
                <w:color w:val="000000"/>
                <w:sz w:val="20"/>
                <w:szCs w:val="20"/>
              </w:rPr>
              <w:t>Urban men (35-44)</w:t>
            </w:r>
          </w:p>
        </w:tc>
        <w:tc>
          <w:tcPr>
            <w:tcW w:w="0" w:type="auto"/>
            <w:shd w:val="clear" w:color="auto" w:fill="auto"/>
            <w:noWrap/>
            <w:vAlign w:val="bottom"/>
            <w:hideMark/>
          </w:tcPr>
          <w:p w14:paraId="553FD345" w14:textId="77777777" w:rsidR="00C573B0" w:rsidRPr="00596193" w:rsidRDefault="00C573B0" w:rsidP="00303804">
            <w:pPr>
              <w:jc w:val="both"/>
              <w:rPr>
                <w:color w:val="000000"/>
                <w:sz w:val="20"/>
                <w:szCs w:val="20"/>
              </w:rPr>
            </w:pPr>
          </w:p>
        </w:tc>
        <w:tc>
          <w:tcPr>
            <w:tcW w:w="0" w:type="auto"/>
          </w:tcPr>
          <w:p w14:paraId="0C98E685" w14:textId="77777777" w:rsidR="00C573B0" w:rsidRPr="00596193" w:rsidRDefault="00C573B0" w:rsidP="00303804">
            <w:pPr>
              <w:jc w:val="both"/>
              <w:rPr>
                <w:color w:val="000000"/>
                <w:sz w:val="20"/>
                <w:szCs w:val="20"/>
              </w:rPr>
            </w:pPr>
          </w:p>
        </w:tc>
        <w:tc>
          <w:tcPr>
            <w:tcW w:w="0" w:type="auto"/>
          </w:tcPr>
          <w:p w14:paraId="60D037BC" w14:textId="77777777" w:rsidR="00C573B0" w:rsidRPr="00596193" w:rsidRDefault="00C573B0" w:rsidP="00303804">
            <w:pPr>
              <w:jc w:val="both"/>
              <w:rPr>
                <w:color w:val="000000"/>
                <w:sz w:val="20"/>
                <w:szCs w:val="20"/>
              </w:rPr>
            </w:pPr>
          </w:p>
        </w:tc>
        <w:tc>
          <w:tcPr>
            <w:tcW w:w="0" w:type="auto"/>
          </w:tcPr>
          <w:p w14:paraId="2EF702B6" w14:textId="77777777" w:rsidR="00C573B0" w:rsidRPr="00596193" w:rsidRDefault="00C573B0" w:rsidP="00303804">
            <w:pPr>
              <w:jc w:val="both"/>
              <w:rPr>
                <w:color w:val="000000"/>
                <w:sz w:val="20"/>
                <w:szCs w:val="20"/>
              </w:rPr>
            </w:pPr>
          </w:p>
        </w:tc>
      </w:tr>
      <w:tr w:rsidR="00C573B0" w:rsidRPr="00596193" w14:paraId="425641AA" w14:textId="77777777" w:rsidTr="00303804">
        <w:trPr>
          <w:trHeight w:val="300"/>
        </w:trPr>
        <w:tc>
          <w:tcPr>
            <w:tcW w:w="0" w:type="auto"/>
            <w:shd w:val="clear" w:color="auto" w:fill="auto"/>
            <w:noWrap/>
            <w:vAlign w:val="bottom"/>
            <w:hideMark/>
          </w:tcPr>
          <w:p w14:paraId="257EF80F" w14:textId="77777777" w:rsidR="00C573B0" w:rsidRPr="00596193" w:rsidRDefault="00C573B0" w:rsidP="00303804">
            <w:pPr>
              <w:jc w:val="both"/>
              <w:rPr>
                <w:color w:val="000000"/>
                <w:sz w:val="20"/>
                <w:szCs w:val="20"/>
              </w:rPr>
            </w:pPr>
            <w:r w:rsidRPr="00596193">
              <w:rPr>
                <w:color w:val="000000"/>
                <w:sz w:val="20"/>
                <w:szCs w:val="20"/>
              </w:rPr>
              <w:t>Urban men (45-54)</w:t>
            </w:r>
          </w:p>
        </w:tc>
        <w:tc>
          <w:tcPr>
            <w:tcW w:w="0" w:type="auto"/>
            <w:shd w:val="clear" w:color="auto" w:fill="auto"/>
            <w:noWrap/>
            <w:vAlign w:val="bottom"/>
            <w:hideMark/>
          </w:tcPr>
          <w:p w14:paraId="12FF2D8B" w14:textId="77777777" w:rsidR="00C573B0" w:rsidRPr="00596193" w:rsidRDefault="00C573B0" w:rsidP="00303804">
            <w:pPr>
              <w:jc w:val="both"/>
              <w:rPr>
                <w:color w:val="000000"/>
                <w:sz w:val="20"/>
                <w:szCs w:val="20"/>
              </w:rPr>
            </w:pPr>
          </w:p>
        </w:tc>
        <w:tc>
          <w:tcPr>
            <w:tcW w:w="0" w:type="auto"/>
          </w:tcPr>
          <w:p w14:paraId="6282FC05" w14:textId="77777777" w:rsidR="00C573B0" w:rsidRPr="00596193" w:rsidRDefault="00C573B0" w:rsidP="00303804">
            <w:pPr>
              <w:jc w:val="both"/>
              <w:rPr>
                <w:color w:val="000000"/>
                <w:sz w:val="20"/>
                <w:szCs w:val="20"/>
              </w:rPr>
            </w:pPr>
          </w:p>
        </w:tc>
        <w:tc>
          <w:tcPr>
            <w:tcW w:w="0" w:type="auto"/>
          </w:tcPr>
          <w:p w14:paraId="560B3371" w14:textId="77777777" w:rsidR="00C573B0" w:rsidRPr="00596193" w:rsidRDefault="00C573B0" w:rsidP="00303804">
            <w:pPr>
              <w:jc w:val="both"/>
              <w:rPr>
                <w:color w:val="000000"/>
                <w:sz w:val="20"/>
                <w:szCs w:val="20"/>
              </w:rPr>
            </w:pPr>
          </w:p>
        </w:tc>
        <w:tc>
          <w:tcPr>
            <w:tcW w:w="0" w:type="auto"/>
          </w:tcPr>
          <w:p w14:paraId="06C157E9" w14:textId="77777777" w:rsidR="00C573B0" w:rsidRPr="00596193" w:rsidRDefault="00C573B0" w:rsidP="00303804">
            <w:pPr>
              <w:jc w:val="both"/>
              <w:rPr>
                <w:color w:val="000000"/>
                <w:sz w:val="20"/>
                <w:szCs w:val="20"/>
              </w:rPr>
            </w:pPr>
          </w:p>
        </w:tc>
      </w:tr>
      <w:tr w:rsidR="00C573B0" w:rsidRPr="00596193" w14:paraId="23715A51" w14:textId="77777777" w:rsidTr="00303804">
        <w:trPr>
          <w:trHeight w:val="300"/>
        </w:trPr>
        <w:tc>
          <w:tcPr>
            <w:tcW w:w="0" w:type="auto"/>
            <w:shd w:val="clear" w:color="auto" w:fill="auto"/>
            <w:noWrap/>
            <w:vAlign w:val="bottom"/>
            <w:hideMark/>
          </w:tcPr>
          <w:p w14:paraId="0221DD32" w14:textId="77777777" w:rsidR="00C573B0" w:rsidRPr="00596193" w:rsidRDefault="00C573B0" w:rsidP="00303804">
            <w:pPr>
              <w:jc w:val="both"/>
              <w:rPr>
                <w:color w:val="000000"/>
                <w:sz w:val="20"/>
                <w:szCs w:val="20"/>
              </w:rPr>
            </w:pPr>
            <w:r w:rsidRPr="00596193">
              <w:rPr>
                <w:color w:val="000000"/>
                <w:sz w:val="20"/>
                <w:szCs w:val="20"/>
              </w:rPr>
              <w:t>Urban men (55-64)</w:t>
            </w:r>
          </w:p>
        </w:tc>
        <w:tc>
          <w:tcPr>
            <w:tcW w:w="0" w:type="auto"/>
            <w:shd w:val="clear" w:color="auto" w:fill="auto"/>
            <w:noWrap/>
            <w:vAlign w:val="bottom"/>
            <w:hideMark/>
          </w:tcPr>
          <w:p w14:paraId="682F70BF" w14:textId="77777777" w:rsidR="00C573B0" w:rsidRPr="00596193" w:rsidRDefault="00C573B0" w:rsidP="00303804">
            <w:pPr>
              <w:jc w:val="both"/>
              <w:rPr>
                <w:color w:val="000000"/>
                <w:sz w:val="20"/>
                <w:szCs w:val="20"/>
              </w:rPr>
            </w:pPr>
          </w:p>
        </w:tc>
        <w:tc>
          <w:tcPr>
            <w:tcW w:w="0" w:type="auto"/>
          </w:tcPr>
          <w:p w14:paraId="7F054852" w14:textId="77777777" w:rsidR="00C573B0" w:rsidRPr="00596193" w:rsidRDefault="00C573B0" w:rsidP="00303804">
            <w:pPr>
              <w:jc w:val="both"/>
              <w:rPr>
                <w:color w:val="000000"/>
                <w:sz w:val="20"/>
                <w:szCs w:val="20"/>
              </w:rPr>
            </w:pPr>
          </w:p>
        </w:tc>
        <w:tc>
          <w:tcPr>
            <w:tcW w:w="0" w:type="auto"/>
          </w:tcPr>
          <w:p w14:paraId="08B46914" w14:textId="77777777" w:rsidR="00C573B0" w:rsidRPr="00596193" w:rsidRDefault="00C573B0" w:rsidP="00303804">
            <w:pPr>
              <w:jc w:val="both"/>
              <w:rPr>
                <w:color w:val="000000"/>
                <w:sz w:val="20"/>
                <w:szCs w:val="20"/>
              </w:rPr>
            </w:pPr>
          </w:p>
        </w:tc>
        <w:tc>
          <w:tcPr>
            <w:tcW w:w="0" w:type="auto"/>
          </w:tcPr>
          <w:p w14:paraId="0C2FDE57" w14:textId="77777777" w:rsidR="00C573B0" w:rsidRPr="00596193" w:rsidRDefault="00C573B0" w:rsidP="00303804">
            <w:pPr>
              <w:jc w:val="both"/>
              <w:rPr>
                <w:color w:val="000000"/>
                <w:sz w:val="20"/>
                <w:szCs w:val="20"/>
              </w:rPr>
            </w:pPr>
          </w:p>
        </w:tc>
      </w:tr>
      <w:tr w:rsidR="00C573B0" w:rsidRPr="00596193" w14:paraId="37D3F33A" w14:textId="77777777" w:rsidTr="00303804">
        <w:trPr>
          <w:trHeight w:val="300"/>
        </w:trPr>
        <w:tc>
          <w:tcPr>
            <w:tcW w:w="0" w:type="auto"/>
            <w:shd w:val="clear" w:color="auto" w:fill="auto"/>
            <w:noWrap/>
            <w:vAlign w:val="bottom"/>
            <w:hideMark/>
          </w:tcPr>
          <w:p w14:paraId="4EA29D6E" w14:textId="77777777" w:rsidR="00C573B0" w:rsidRPr="00596193" w:rsidRDefault="00C573B0" w:rsidP="00303804">
            <w:pPr>
              <w:jc w:val="both"/>
              <w:rPr>
                <w:color w:val="000000"/>
                <w:sz w:val="20"/>
                <w:szCs w:val="20"/>
              </w:rPr>
            </w:pPr>
            <w:r w:rsidRPr="00596193">
              <w:rPr>
                <w:color w:val="000000"/>
                <w:sz w:val="20"/>
                <w:szCs w:val="20"/>
              </w:rPr>
              <w:t>Rural men (15-24)</w:t>
            </w:r>
          </w:p>
        </w:tc>
        <w:tc>
          <w:tcPr>
            <w:tcW w:w="0" w:type="auto"/>
            <w:shd w:val="clear" w:color="auto" w:fill="auto"/>
            <w:noWrap/>
            <w:vAlign w:val="bottom"/>
            <w:hideMark/>
          </w:tcPr>
          <w:p w14:paraId="4F7E7427" w14:textId="77777777" w:rsidR="00C573B0" w:rsidRPr="00596193" w:rsidRDefault="00C573B0" w:rsidP="00303804">
            <w:pPr>
              <w:jc w:val="both"/>
              <w:rPr>
                <w:color w:val="000000"/>
                <w:sz w:val="20"/>
                <w:szCs w:val="20"/>
              </w:rPr>
            </w:pPr>
          </w:p>
        </w:tc>
        <w:tc>
          <w:tcPr>
            <w:tcW w:w="0" w:type="auto"/>
          </w:tcPr>
          <w:p w14:paraId="413AEB49" w14:textId="77777777" w:rsidR="00C573B0" w:rsidRPr="00596193" w:rsidRDefault="00C573B0" w:rsidP="00303804">
            <w:pPr>
              <w:jc w:val="both"/>
              <w:rPr>
                <w:color w:val="000000"/>
                <w:sz w:val="20"/>
                <w:szCs w:val="20"/>
              </w:rPr>
            </w:pPr>
          </w:p>
        </w:tc>
        <w:tc>
          <w:tcPr>
            <w:tcW w:w="0" w:type="auto"/>
          </w:tcPr>
          <w:p w14:paraId="0C6137AC" w14:textId="77777777" w:rsidR="00C573B0" w:rsidRPr="00596193" w:rsidRDefault="00C573B0" w:rsidP="00303804">
            <w:pPr>
              <w:jc w:val="both"/>
              <w:rPr>
                <w:color w:val="000000"/>
                <w:sz w:val="20"/>
                <w:szCs w:val="20"/>
              </w:rPr>
            </w:pPr>
          </w:p>
        </w:tc>
        <w:tc>
          <w:tcPr>
            <w:tcW w:w="0" w:type="auto"/>
          </w:tcPr>
          <w:p w14:paraId="08A18765" w14:textId="77777777" w:rsidR="00C573B0" w:rsidRPr="00596193" w:rsidRDefault="00C573B0" w:rsidP="00303804">
            <w:pPr>
              <w:jc w:val="both"/>
              <w:rPr>
                <w:color w:val="000000"/>
                <w:sz w:val="20"/>
                <w:szCs w:val="20"/>
              </w:rPr>
            </w:pPr>
          </w:p>
        </w:tc>
      </w:tr>
      <w:tr w:rsidR="00C573B0" w:rsidRPr="00596193" w14:paraId="6456DABE" w14:textId="77777777" w:rsidTr="00303804">
        <w:trPr>
          <w:trHeight w:val="300"/>
        </w:trPr>
        <w:tc>
          <w:tcPr>
            <w:tcW w:w="0" w:type="auto"/>
            <w:shd w:val="clear" w:color="auto" w:fill="auto"/>
            <w:noWrap/>
            <w:vAlign w:val="bottom"/>
            <w:hideMark/>
          </w:tcPr>
          <w:p w14:paraId="5926C120" w14:textId="77777777" w:rsidR="00C573B0" w:rsidRPr="00596193" w:rsidRDefault="00C573B0" w:rsidP="00303804">
            <w:pPr>
              <w:jc w:val="both"/>
              <w:rPr>
                <w:color w:val="000000"/>
                <w:sz w:val="20"/>
                <w:szCs w:val="20"/>
              </w:rPr>
            </w:pPr>
            <w:r w:rsidRPr="00596193">
              <w:rPr>
                <w:color w:val="000000"/>
                <w:sz w:val="20"/>
                <w:szCs w:val="20"/>
              </w:rPr>
              <w:t>Rural men (25-34)</w:t>
            </w:r>
          </w:p>
        </w:tc>
        <w:tc>
          <w:tcPr>
            <w:tcW w:w="0" w:type="auto"/>
            <w:shd w:val="clear" w:color="auto" w:fill="auto"/>
            <w:noWrap/>
            <w:vAlign w:val="bottom"/>
            <w:hideMark/>
          </w:tcPr>
          <w:p w14:paraId="3ECBC649" w14:textId="77777777" w:rsidR="00C573B0" w:rsidRPr="00596193" w:rsidRDefault="00C573B0" w:rsidP="00303804">
            <w:pPr>
              <w:jc w:val="both"/>
              <w:rPr>
                <w:color w:val="000000"/>
                <w:sz w:val="20"/>
                <w:szCs w:val="20"/>
              </w:rPr>
            </w:pPr>
          </w:p>
        </w:tc>
        <w:tc>
          <w:tcPr>
            <w:tcW w:w="0" w:type="auto"/>
          </w:tcPr>
          <w:p w14:paraId="2A82BA4F" w14:textId="77777777" w:rsidR="00C573B0" w:rsidRPr="00596193" w:rsidRDefault="00C573B0" w:rsidP="00303804">
            <w:pPr>
              <w:jc w:val="both"/>
              <w:rPr>
                <w:color w:val="000000"/>
                <w:sz w:val="20"/>
                <w:szCs w:val="20"/>
              </w:rPr>
            </w:pPr>
          </w:p>
        </w:tc>
        <w:tc>
          <w:tcPr>
            <w:tcW w:w="0" w:type="auto"/>
          </w:tcPr>
          <w:p w14:paraId="74322FBA" w14:textId="77777777" w:rsidR="00C573B0" w:rsidRPr="00596193" w:rsidRDefault="00C573B0" w:rsidP="00303804">
            <w:pPr>
              <w:jc w:val="both"/>
              <w:rPr>
                <w:color w:val="000000"/>
                <w:sz w:val="20"/>
                <w:szCs w:val="20"/>
              </w:rPr>
            </w:pPr>
          </w:p>
        </w:tc>
        <w:tc>
          <w:tcPr>
            <w:tcW w:w="0" w:type="auto"/>
          </w:tcPr>
          <w:p w14:paraId="445DFA44" w14:textId="77777777" w:rsidR="00C573B0" w:rsidRPr="00596193" w:rsidRDefault="00C573B0" w:rsidP="00303804">
            <w:pPr>
              <w:jc w:val="both"/>
              <w:rPr>
                <w:color w:val="000000"/>
                <w:sz w:val="20"/>
                <w:szCs w:val="20"/>
              </w:rPr>
            </w:pPr>
          </w:p>
        </w:tc>
      </w:tr>
      <w:tr w:rsidR="00C573B0" w:rsidRPr="00596193" w14:paraId="5D10CE50" w14:textId="77777777" w:rsidTr="00303804">
        <w:trPr>
          <w:trHeight w:val="300"/>
        </w:trPr>
        <w:tc>
          <w:tcPr>
            <w:tcW w:w="0" w:type="auto"/>
            <w:shd w:val="clear" w:color="auto" w:fill="auto"/>
            <w:noWrap/>
            <w:vAlign w:val="bottom"/>
            <w:hideMark/>
          </w:tcPr>
          <w:p w14:paraId="73129545" w14:textId="77777777" w:rsidR="00C573B0" w:rsidRPr="00596193" w:rsidRDefault="00C573B0" w:rsidP="00303804">
            <w:pPr>
              <w:jc w:val="both"/>
              <w:rPr>
                <w:color w:val="000000"/>
                <w:sz w:val="20"/>
                <w:szCs w:val="20"/>
              </w:rPr>
            </w:pPr>
            <w:r w:rsidRPr="00596193">
              <w:rPr>
                <w:color w:val="000000"/>
                <w:sz w:val="20"/>
                <w:szCs w:val="20"/>
              </w:rPr>
              <w:t>Rural men (35-44)</w:t>
            </w:r>
          </w:p>
        </w:tc>
        <w:tc>
          <w:tcPr>
            <w:tcW w:w="0" w:type="auto"/>
            <w:shd w:val="clear" w:color="auto" w:fill="auto"/>
            <w:noWrap/>
            <w:vAlign w:val="bottom"/>
            <w:hideMark/>
          </w:tcPr>
          <w:p w14:paraId="2AF567A3" w14:textId="77777777" w:rsidR="00C573B0" w:rsidRPr="00596193" w:rsidRDefault="00C573B0" w:rsidP="00303804">
            <w:pPr>
              <w:jc w:val="both"/>
              <w:rPr>
                <w:color w:val="000000"/>
                <w:sz w:val="20"/>
                <w:szCs w:val="20"/>
              </w:rPr>
            </w:pPr>
          </w:p>
        </w:tc>
        <w:tc>
          <w:tcPr>
            <w:tcW w:w="0" w:type="auto"/>
          </w:tcPr>
          <w:p w14:paraId="23959D87" w14:textId="77777777" w:rsidR="00C573B0" w:rsidRPr="00596193" w:rsidRDefault="00C573B0" w:rsidP="00303804">
            <w:pPr>
              <w:jc w:val="both"/>
              <w:rPr>
                <w:color w:val="000000"/>
                <w:sz w:val="20"/>
                <w:szCs w:val="20"/>
              </w:rPr>
            </w:pPr>
          </w:p>
        </w:tc>
        <w:tc>
          <w:tcPr>
            <w:tcW w:w="0" w:type="auto"/>
          </w:tcPr>
          <w:p w14:paraId="3DC8F832" w14:textId="77777777" w:rsidR="00C573B0" w:rsidRPr="00596193" w:rsidRDefault="00C573B0" w:rsidP="00303804">
            <w:pPr>
              <w:jc w:val="both"/>
              <w:rPr>
                <w:color w:val="000000"/>
                <w:sz w:val="20"/>
                <w:szCs w:val="20"/>
              </w:rPr>
            </w:pPr>
          </w:p>
        </w:tc>
        <w:tc>
          <w:tcPr>
            <w:tcW w:w="0" w:type="auto"/>
          </w:tcPr>
          <w:p w14:paraId="61E659D3" w14:textId="77777777" w:rsidR="00C573B0" w:rsidRPr="00596193" w:rsidRDefault="00C573B0" w:rsidP="00303804">
            <w:pPr>
              <w:jc w:val="both"/>
              <w:rPr>
                <w:color w:val="000000"/>
                <w:sz w:val="20"/>
                <w:szCs w:val="20"/>
              </w:rPr>
            </w:pPr>
          </w:p>
        </w:tc>
      </w:tr>
      <w:tr w:rsidR="00C573B0" w:rsidRPr="00596193" w14:paraId="5DC7BB3F" w14:textId="77777777" w:rsidTr="00303804">
        <w:trPr>
          <w:trHeight w:val="300"/>
        </w:trPr>
        <w:tc>
          <w:tcPr>
            <w:tcW w:w="0" w:type="auto"/>
            <w:shd w:val="clear" w:color="auto" w:fill="auto"/>
            <w:noWrap/>
            <w:vAlign w:val="bottom"/>
            <w:hideMark/>
          </w:tcPr>
          <w:p w14:paraId="68C7CB05" w14:textId="77777777" w:rsidR="00C573B0" w:rsidRPr="00596193" w:rsidRDefault="00C573B0" w:rsidP="00303804">
            <w:pPr>
              <w:jc w:val="both"/>
              <w:rPr>
                <w:color w:val="000000"/>
                <w:sz w:val="20"/>
                <w:szCs w:val="20"/>
              </w:rPr>
            </w:pPr>
            <w:r w:rsidRPr="00596193">
              <w:rPr>
                <w:color w:val="000000"/>
                <w:sz w:val="20"/>
                <w:szCs w:val="20"/>
              </w:rPr>
              <w:t>Rural men (45-54)</w:t>
            </w:r>
          </w:p>
        </w:tc>
        <w:tc>
          <w:tcPr>
            <w:tcW w:w="0" w:type="auto"/>
            <w:shd w:val="clear" w:color="auto" w:fill="auto"/>
            <w:noWrap/>
            <w:vAlign w:val="bottom"/>
            <w:hideMark/>
          </w:tcPr>
          <w:p w14:paraId="53C4779A" w14:textId="77777777" w:rsidR="00C573B0" w:rsidRPr="00596193" w:rsidRDefault="00C573B0" w:rsidP="00303804">
            <w:pPr>
              <w:jc w:val="both"/>
              <w:rPr>
                <w:color w:val="000000"/>
                <w:sz w:val="20"/>
                <w:szCs w:val="20"/>
              </w:rPr>
            </w:pPr>
          </w:p>
        </w:tc>
        <w:tc>
          <w:tcPr>
            <w:tcW w:w="0" w:type="auto"/>
          </w:tcPr>
          <w:p w14:paraId="332D214B" w14:textId="77777777" w:rsidR="00C573B0" w:rsidRPr="00596193" w:rsidRDefault="00C573B0" w:rsidP="00303804">
            <w:pPr>
              <w:jc w:val="both"/>
              <w:rPr>
                <w:color w:val="000000"/>
                <w:sz w:val="20"/>
                <w:szCs w:val="20"/>
              </w:rPr>
            </w:pPr>
          </w:p>
        </w:tc>
        <w:tc>
          <w:tcPr>
            <w:tcW w:w="0" w:type="auto"/>
          </w:tcPr>
          <w:p w14:paraId="6563059F" w14:textId="77777777" w:rsidR="00C573B0" w:rsidRPr="00596193" w:rsidRDefault="00C573B0" w:rsidP="00303804">
            <w:pPr>
              <w:jc w:val="both"/>
              <w:rPr>
                <w:color w:val="000000"/>
                <w:sz w:val="20"/>
                <w:szCs w:val="20"/>
              </w:rPr>
            </w:pPr>
          </w:p>
        </w:tc>
        <w:tc>
          <w:tcPr>
            <w:tcW w:w="0" w:type="auto"/>
          </w:tcPr>
          <w:p w14:paraId="22DB9AA0" w14:textId="77777777" w:rsidR="00C573B0" w:rsidRPr="00596193" w:rsidRDefault="00C573B0" w:rsidP="00303804">
            <w:pPr>
              <w:jc w:val="both"/>
              <w:rPr>
                <w:color w:val="000000"/>
                <w:sz w:val="20"/>
                <w:szCs w:val="20"/>
              </w:rPr>
            </w:pPr>
          </w:p>
        </w:tc>
      </w:tr>
      <w:tr w:rsidR="00C573B0" w:rsidRPr="00596193" w14:paraId="11E9B748" w14:textId="77777777" w:rsidTr="00303804">
        <w:trPr>
          <w:trHeight w:val="300"/>
        </w:trPr>
        <w:tc>
          <w:tcPr>
            <w:tcW w:w="0" w:type="auto"/>
            <w:shd w:val="clear" w:color="auto" w:fill="auto"/>
            <w:noWrap/>
            <w:vAlign w:val="bottom"/>
            <w:hideMark/>
          </w:tcPr>
          <w:p w14:paraId="526758E5" w14:textId="77777777" w:rsidR="00C573B0" w:rsidRPr="00596193" w:rsidRDefault="00C573B0" w:rsidP="00303804">
            <w:pPr>
              <w:jc w:val="both"/>
              <w:rPr>
                <w:color w:val="000000"/>
                <w:sz w:val="20"/>
                <w:szCs w:val="20"/>
              </w:rPr>
            </w:pPr>
            <w:r w:rsidRPr="00596193">
              <w:rPr>
                <w:color w:val="000000"/>
                <w:sz w:val="20"/>
                <w:szCs w:val="20"/>
              </w:rPr>
              <w:t>Rural men (55-64)</w:t>
            </w:r>
          </w:p>
        </w:tc>
        <w:tc>
          <w:tcPr>
            <w:tcW w:w="0" w:type="auto"/>
            <w:shd w:val="clear" w:color="auto" w:fill="auto"/>
            <w:noWrap/>
            <w:vAlign w:val="bottom"/>
            <w:hideMark/>
          </w:tcPr>
          <w:p w14:paraId="61CA3071" w14:textId="77777777" w:rsidR="00C573B0" w:rsidRPr="00596193" w:rsidRDefault="00C573B0" w:rsidP="00303804">
            <w:pPr>
              <w:jc w:val="both"/>
              <w:rPr>
                <w:color w:val="000000"/>
                <w:sz w:val="20"/>
                <w:szCs w:val="20"/>
              </w:rPr>
            </w:pPr>
          </w:p>
        </w:tc>
        <w:tc>
          <w:tcPr>
            <w:tcW w:w="0" w:type="auto"/>
          </w:tcPr>
          <w:p w14:paraId="24B1446E" w14:textId="77777777" w:rsidR="00C573B0" w:rsidRPr="00596193" w:rsidRDefault="00C573B0" w:rsidP="00303804">
            <w:pPr>
              <w:jc w:val="both"/>
              <w:rPr>
                <w:color w:val="000000"/>
                <w:sz w:val="20"/>
                <w:szCs w:val="20"/>
              </w:rPr>
            </w:pPr>
          </w:p>
        </w:tc>
        <w:tc>
          <w:tcPr>
            <w:tcW w:w="0" w:type="auto"/>
          </w:tcPr>
          <w:p w14:paraId="3F9B0096" w14:textId="77777777" w:rsidR="00C573B0" w:rsidRPr="00596193" w:rsidRDefault="00C573B0" w:rsidP="00303804">
            <w:pPr>
              <w:jc w:val="both"/>
              <w:rPr>
                <w:color w:val="000000"/>
                <w:sz w:val="20"/>
                <w:szCs w:val="20"/>
              </w:rPr>
            </w:pPr>
          </w:p>
        </w:tc>
        <w:tc>
          <w:tcPr>
            <w:tcW w:w="0" w:type="auto"/>
          </w:tcPr>
          <w:p w14:paraId="38723F0D" w14:textId="77777777" w:rsidR="00C573B0" w:rsidRPr="00596193" w:rsidRDefault="00C573B0" w:rsidP="00303804">
            <w:pPr>
              <w:jc w:val="both"/>
              <w:rPr>
                <w:color w:val="000000"/>
                <w:sz w:val="20"/>
                <w:szCs w:val="20"/>
              </w:rPr>
            </w:pPr>
          </w:p>
        </w:tc>
      </w:tr>
      <w:tr w:rsidR="00C573B0" w:rsidRPr="00596193" w14:paraId="45737D38" w14:textId="77777777" w:rsidTr="00303804">
        <w:trPr>
          <w:trHeight w:val="300"/>
        </w:trPr>
        <w:tc>
          <w:tcPr>
            <w:tcW w:w="0" w:type="auto"/>
            <w:shd w:val="clear" w:color="auto" w:fill="auto"/>
            <w:noWrap/>
            <w:vAlign w:val="bottom"/>
            <w:hideMark/>
          </w:tcPr>
          <w:p w14:paraId="4E290BAA" w14:textId="77777777" w:rsidR="00C573B0" w:rsidRPr="00BB5C25" w:rsidRDefault="00C573B0" w:rsidP="00303804">
            <w:pPr>
              <w:jc w:val="both"/>
              <w:rPr>
                <w:color w:val="000000"/>
                <w:sz w:val="20"/>
                <w:szCs w:val="20"/>
                <w:vertAlign w:val="superscript"/>
              </w:rPr>
            </w:pPr>
            <w:r w:rsidRPr="00596193">
              <w:rPr>
                <w:color w:val="000000"/>
                <w:sz w:val="20"/>
                <w:szCs w:val="20"/>
              </w:rPr>
              <w:t>High risk women (15-24)</w:t>
            </w:r>
          </w:p>
        </w:tc>
        <w:tc>
          <w:tcPr>
            <w:tcW w:w="0" w:type="auto"/>
            <w:shd w:val="clear" w:color="auto" w:fill="auto"/>
            <w:noWrap/>
            <w:vAlign w:val="bottom"/>
            <w:hideMark/>
          </w:tcPr>
          <w:p w14:paraId="17B14FAD" w14:textId="77777777" w:rsidR="00C573B0" w:rsidRPr="00596193" w:rsidRDefault="00C573B0" w:rsidP="00303804">
            <w:pPr>
              <w:jc w:val="both"/>
              <w:rPr>
                <w:color w:val="000000"/>
                <w:sz w:val="20"/>
                <w:szCs w:val="20"/>
              </w:rPr>
            </w:pPr>
          </w:p>
        </w:tc>
        <w:tc>
          <w:tcPr>
            <w:tcW w:w="0" w:type="auto"/>
          </w:tcPr>
          <w:p w14:paraId="084A6E4D" w14:textId="77777777" w:rsidR="00C573B0" w:rsidRPr="00596193" w:rsidRDefault="00C573B0" w:rsidP="00303804">
            <w:pPr>
              <w:jc w:val="both"/>
              <w:rPr>
                <w:color w:val="000000"/>
                <w:sz w:val="20"/>
                <w:szCs w:val="20"/>
              </w:rPr>
            </w:pPr>
          </w:p>
        </w:tc>
        <w:tc>
          <w:tcPr>
            <w:tcW w:w="0" w:type="auto"/>
          </w:tcPr>
          <w:p w14:paraId="2A763A45" w14:textId="77777777" w:rsidR="00C573B0" w:rsidRPr="00596193" w:rsidRDefault="00C573B0" w:rsidP="00303804">
            <w:pPr>
              <w:jc w:val="both"/>
              <w:rPr>
                <w:color w:val="000000"/>
                <w:sz w:val="20"/>
                <w:szCs w:val="20"/>
              </w:rPr>
            </w:pPr>
          </w:p>
        </w:tc>
        <w:tc>
          <w:tcPr>
            <w:tcW w:w="0" w:type="auto"/>
          </w:tcPr>
          <w:p w14:paraId="14A628AF" w14:textId="77777777" w:rsidR="00C573B0" w:rsidRPr="00596193" w:rsidRDefault="00C573B0" w:rsidP="00303804">
            <w:pPr>
              <w:jc w:val="both"/>
              <w:rPr>
                <w:color w:val="000000"/>
                <w:sz w:val="20"/>
                <w:szCs w:val="20"/>
              </w:rPr>
            </w:pPr>
          </w:p>
        </w:tc>
      </w:tr>
      <w:tr w:rsidR="00C573B0" w:rsidRPr="00596193" w14:paraId="5D6377D4" w14:textId="77777777" w:rsidTr="00303804">
        <w:trPr>
          <w:trHeight w:val="300"/>
        </w:trPr>
        <w:tc>
          <w:tcPr>
            <w:tcW w:w="0" w:type="auto"/>
            <w:shd w:val="clear" w:color="auto" w:fill="auto"/>
            <w:noWrap/>
            <w:vAlign w:val="bottom"/>
            <w:hideMark/>
          </w:tcPr>
          <w:p w14:paraId="7A97974B" w14:textId="77777777" w:rsidR="00C573B0" w:rsidRPr="00BB5C25" w:rsidRDefault="00C573B0" w:rsidP="00303804">
            <w:pPr>
              <w:jc w:val="both"/>
              <w:rPr>
                <w:color w:val="000000"/>
                <w:sz w:val="20"/>
                <w:szCs w:val="20"/>
                <w:vertAlign w:val="superscript"/>
              </w:rPr>
            </w:pPr>
            <w:r w:rsidRPr="00596193">
              <w:rPr>
                <w:color w:val="000000"/>
                <w:sz w:val="20"/>
                <w:szCs w:val="20"/>
              </w:rPr>
              <w:t>High risk women (25-34)</w:t>
            </w:r>
          </w:p>
        </w:tc>
        <w:tc>
          <w:tcPr>
            <w:tcW w:w="0" w:type="auto"/>
            <w:shd w:val="clear" w:color="auto" w:fill="auto"/>
            <w:noWrap/>
            <w:vAlign w:val="bottom"/>
            <w:hideMark/>
          </w:tcPr>
          <w:p w14:paraId="2494232A" w14:textId="77777777" w:rsidR="00C573B0" w:rsidRPr="00596193" w:rsidRDefault="00C573B0" w:rsidP="00303804">
            <w:pPr>
              <w:jc w:val="both"/>
              <w:rPr>
                <w:color w:val="000000"/>
                <w:sz w:val="20"/>
                <w:szCs w:val="20"/>
              </w:rPr>
            </w:pPr>
          </w:p>
        </w:tc>
        <w:tc>
          <w:tcPr>
            <w:tcW w:w="0" w:type="auto"/>
          </w:tcPr>
          <w:p w14:paraId="6215D31B" w14:textId="77777777" w:rsidR="00C573B0" w:rsidRPr="00596193" w:rsidRDefault="00C573B0" w:rsidP="00303804">
            <w:pPr>
              <w:jc w:val="both"/>
              <w:rPr>
                <w:color w:val="000000"/>
                <w:sz w:val="20"/>
                <w:szCs w:val="20"/>
              </w:rPr>
            </w:pPr>
          </w:p>
        </w:tc>
        <w:tc>
          <w:tcPr>
            <w:tcW w:w="0" w:type="auto"/>
          </w:tcPr>
          <w:p w14:paraId="7A508C45" w14:textId="77777777" w:rsidR="00C573B0" w:rsidRPr="00596193" w:rsidRDefault="00C573B0" w:rsidP="00303804">
            <w:pPr>
              <w:jc w:val="both"/>
              <w:rPr>
                <w:color w:val="000000"/>
                <w:sz w:val="20"/>
                <w:szCs w:val="20"/>
              </w:rPr>
            </w:pPr>
          </w:p>
        </w:tc>
        <w:tc>
          <w:tcPr>
            <w:tcW w:w="0" w:type="auto"/>
          </w:tcPr>
          <w:p w14:paraId="7F222E9F" w14:textId="77777777" w:rsidR="00C573B0" w:rsidRPr="00596193" w:rsidRDefault="00C573B0" w:rsidP="00303804">
            <w:pPr>
              <w:jc w:val="both"/>
              <w:rPr>
                <w:color w:val="000000"/>
                <w:sz w:val="20"/>
                <w:szCs w:val="20"/>
              </w:rPr>
            </w:pPr>
          </w:p>
        </w:tc>
      </w:tr>
      <w:tr w:rsidR="00C573B0" w:rsidRPr="00596193" w14:paraId="1ABFCEE6" w14:textId="77777777" w:rsidTr="00303804">
        <w:trPr>
          <w:trHeight w:val="300"/>
        </w:trPr>
        <w:tc>
          <w:tcPr>
            <w:tcW w:w="0" w:type="auto"/>
            <w:shd w:val="clear" w:color="auto" w:fill="auto"/>
            <w:noWrap/>
            <w:vAlign w:val="bottom"/>
            <w:hideMark/>
          </w:tcPr>
          <w:p w14:paraId="4BF8F9C6" w14:textId="77777777" w:rsidR="00C573B0" w:rsidRPr="00596193" w:rsidRDefault="00C573B0" w:rsidP="00303804">
            <w:pPr>
              <w:jc w:val="both"/>
              <w:rPr>
                <w:color w:val="000000"/>
                <w:sz w:val="20"/>
                <w:szCs w:val="20"/>
              </w:rPr>
            </w:pPr>
            <w:r w:rsidRPr="00596193">
              <w:rPr>
                <w:color w:val="000000"/>
                <w:sz w:val="20"/>
                <w:szCs w:val="20"/>
              </w:rPr>
              <w:t>High risk women (35-44)</w:t>
            </w:r>
          </w:p>
        </w:tc>
        <w:tc>
          <w:tcPr>
            <w:tcW w:w="0" w:type="auto"/>
            <w:shd w:val="clear" w:color="auto" w:fill="auto"/>
            <w:noWrap/>
            <w:vAlign w:val="bottom"/>
            <w:hideMark/>
          </w:tcPr>
          <w:p w14:paraId="29930124" w14:textId="77777777" w:rsidR="00C573B0" w:rsidRPr="00596193" w:rsidRDefault="00C573B0" w:rsidP="00303804">
            <w:pPr>
              <w:jc w:val="both"/>
              <w:rPr>
                <w:color w:val="000000"/>
                <w:sz w:val="20"/>
                <w:szCs w:val="20"/>
              </w:rPr>
            </w:pPr>
          </w:p>
        </w:tc>
        <w:tc>
          <w:tcPr>
            <w:tcW w:w="0" w:type="auto"/>
          </w:tcPr>
          <w:p w14:paraId="079F7E40" w14:textId="77777777" w:rsidR="00C573B0" w:rsidRPr="00596193" w:rsidRDefault="00C573B0" w:rsidP="00303804">
            <w:pPr>
              <w:jc w:val="both"/>
              <w:rPr>
                <w:color w:val="000000"/>
                <w:sz w:val="20"/>
                <w:szCs w:val="20"/>
              </w:rPr>
            </w:pPr>
          </w:p>
        </w:tc>
        <w:tc>
          <w:tcPr>
            <w:tcW w:w="0" w:type="auto"/>
          </w:tcPr>
          <w:p w14:paraId="0CBB0B42" w14:textId="77777777" w:rsidR="00C573B0" w:rsidRPr="00596193" w:rsidRDefault="00C573B0" w:rsidP="00303804">
            <w:pPr>
              <w:jc w:val="both"/>
              <w:rPr>
                <w:color w:val="000000"/>
                <w:sz w:val="20"/>
                <w:szCs w:val="20"/>
              </w:rPr>
            </w:pPr>
          </w:p>
        </w:tc>
        <w:tc>
          <w:tcPr>
            <w:tcW w:w="0" w:type="auto"/>
          </w:tcPr>
          <w:p w14:paraId="7EABAAAE" w14:textId="77777777" w:rsidR="00C573B0" w:rsidRPr="00596193" w:rsidRDefault="00C573B0" w:rsidP="00303804">
            <w:pPr>
              <w:jc w:val="both"/>
              <w:rPr>
                <w:color w:val="000000"/>
                <w:sz w:val="20"/>
                <w:szCs w:val="20"/>
              </w:rPr>
            </w:pPr>
          </w:p>
        </w:tc>
      </w:tr>
      <w:tr w:rsidR="00C573B0" w:rsidRPr="00596193" w14:paraId="29F9B229" w14:textId="77777777" w:rsidTr="00303804">
        <w:trPr>
          <w:trHeight w:val="300"/>
        </w:trPr>
        <w:tc>
          <w:tcPr>
            <w:tcW w:w="0" w:type="auto"/>
            <w:tcBorders>
              <w:bottom w:val="single" w:sz="4" w:space="0" w:color="auto"/>
            </w:tcBorders>
            <w:shd w:val="clear" w:color="auto" w:fill="auto"/>
            <w:noWrap/>
            <w:vAlign w:val="bottom"/>
            <w:hideMark/>
          </w:tcPr>
          <w:p w14:paraId="4B71006E" w14:textId="77777777" w:rsidR="00C573B0" w:rsidRPr="00596193" w:rsidRDefault="00C573B0" w:rsidP="00303804">
            <w:pPr>
              <w:jc w:val="both"/>
              <w:rPr>
                <w:color w:val="000000"/>
                <w:sz w:val="20"/>
                <w:szCs w:val="20"/>
              </w:rPr>
            </w:pPr>
            <w:r w:rsidRPr="00596193">
              <w:rPr>
                <w:color w:val="000000"/>
                <w:sz w:val="20"/>
                <w:szCs w:val="20"/>
              </w:rPr>
              <w:t>High risk women (45-54)</w:t>
            </w:r>
          </w:p>
        </w:tc>
        <w:tc>
          <w:tcPr>
            <w:tcW w:w="0" w:type="auto"/>
            <w:shd w:val="clear" w:color="auto" w:fill="auto"/>
            <w:noWrap/>
            <w:vAlign w:val="bottom"/>
            <w:hideMark/>
          </w:tcPr>
          <w:p w14:paraId="492A629D" w14:textId="77777777" w:rsidR="00C573B0" w:rsidRPr="00596193" w:rsidRDefault="00C573B0" w:rsidP="00303804">
            <w:pPr>
              <w:jc w:val="both"/>
              <w:rPr>
                <w:color w:val="000000"/>
                <w:sz w:val="20"/>
                <w:szCs w:val="20"/>
              </w:rPr>
            </w:pPr>
          </w:p>
        </w:tc>
        <w:tc>
          <w:tcPr>
            <w:tcW w:w="0" w:type="auto"/>
          </w:tcPr>
          <w:p w14:paraId="7A15F507" w14:textId="77777777" w:rsidR="00C573B0" w:rsidRPr="00596193" w:rsidRDefault="00C573B0" w:rsidP="00303804">
            <w:pPr>
              <w:jc w:val="both"/>
              <w:rPr>
                <w:color w:val="000000"/>
                <w:sz w:val="20"/>
                <w:szCs w:val="20"/>
              </w:rPr>
            </w:pPr>
          </w:p>
        </w:tc>
        <w:tc>
          <w:tcPr>
            <w:tcW w:w="0" w:type="auto"/>
          </w:tcPr>
          <w:p w14:paraId="3765FF23" w14:textId="77777777" w:rsidR="00C573B0" w:rsidRPr="00596193" w:rsidRDefault="00C573B0" w:rsidP="00303804">
            <w:pPr>
              <w:jc w:val="both"/>
              <w:rPr>
                <w:color w:val="000000"/>
                <w:sz w:val="20"/>
                <w:szCs w:val="20"/>
              </w:rPr>
            </w:pPr>
          </w:p>
        </w:tc>
        <w:tc>
          <w:tcPr>
            <w:tcW w:w="0" w:type="auto"/>
          </w:tcPr>
          <w:p w14:paraId="5EF9A347" w14:textId="77777777" w:rsidR="00C573B0" w:rsidRPr="00596193" w:rsidRDefault="00C573B0" w:rsidP="00303804">
            <w:pPr>
              <w:jc w:val="both"/>
              <w:rPr>
                <w:color w:val="000000"/>
                <w:sz w:val="20"/>
                <w:szCs w:val="20"/>
              </w:rPr>
            </w:pPr>
          </w:p>
        </w:tc>
      </w:tr>
      <w:tr w:rsidR="00C573B0" w:rsidRPr="00596193" w14:paraId="3A7686F8" w14:textId="77777777" w:rsidTr="00303804">
        <w:trPr>
          <w:trHeight w:val="300"/>
        </w:trPr>
        <w:tc>
          <w:tcPr>
            <w:tcW w:w="0" w:type="auto"/>
            <w:tcBorders>
              <w:bottom w:val="single" w:sz="4" w:space="0" w:color="auto"/>
            </w:tcBorders>
            <w:shd w:val="clear" w:color="auto" w:fill="auto"/>
            <w:noWrap/>
            <w:vAlign w:val="bottom"/>
            <w:hideMark/>
          </w:tcPr>
          <w:p w14:paraId="6B34A0CA" w14:textId="77777777" w:rsidR="00C573B0" w:rsidRPr="00596193" w:rsidRDefault="00C573B0" w:rsidP="00303804">
            <w:pPr>
              <w:jc w:val="both"/>
              <w:rPr>
                <w:color w:val="000000"/>
                <w:sz w:val="20"/>
                <w:szCs w:val="20"/>
              </w:rPr>
            </w:pPr>
            <w:r w:rsidRPr="00596193">
              <w:rPr>
                <w:color w:val="000000"/>
                <w:sz w:val="20"/>
                <w:szCs w:val="20"/>
              </w:rPr>
              <w:t>High risk women (55-64)</w:t>
            </w:r>
          </w:p>
        </w:tc>
        <w:tc>
          <w:tcPr>
            <w:tcW w:w="0" w:type="auto"/>
            <w:tcBorders>
              <w:bottom w:val="single" w:sz="4" w:space="0" w:color="auto"/>
            </w:tcBorders>
            <w:shd w:val="clear" w:color="auto" w:fill="auto"/>
            <w:noWrap/>
            <w:vAlign w:val="bottom"/>
            <w:hideMark/>
          </w:tcPr>
          <w:p w14:paraId="5D0953AD" w14:textId="77777777" w:rsidR="00C573B0" w:rsidRPr="00596193" w:rsidRDefault="00C573B0" w:rsidP="00303804">
            <w:pPr>
              <w:jc w:val="both"/>
              <w:rPr>
                <w:color w:val="000000"/>
                <w:sz w:val="20"/>
                <w:szCs w:val="20"/>
              </w:rPr>
            </w:pPr>
          </w:p>
        </w:tc>
        <w:tc>
          <w:tcPr>
            <w:tcW w:w="0" w:type="auto"/>
            <w:tcBorders>
              <w:bottom w:val="single" w:sz="4" w:space="0" w:color="auto"/>
            </w:tcBorders>
          </w:tcPr>
          <w:p w14:paraId="49DBFC13" w14:textId="77777777" w:rsidR="00C573B0" w:rsidRPr="00596193" w:rsidRDefault="00C573B0" w:rsidP="00303804">
            <w:pPr>
              <w:jc w:val="both"/>
              <w:rPr>
                <w:color w:val="000000"/>
                <w:sz w:val="20"/>
                <w:szCs w:val="20"/>
              </w:rPr>
            </w:pPr>
          </w:p>
        </w:tc>
        <w:tc>
          <w:tcPr>
            <w:tcW w:w="0" w:type="auto"/>
            <w:tcBorders>
              <w:bottom w:val="single" w:sz="4" w:space="0" w:color="auto"/>
            </w:tcBorders>
          </w:tcPr>
          <w:p w14:paraId="176231C8" w14:textId="77777777" w:rsidR="00C573B0" w:rsidRPr="00596193" w:rsidRDefault="00C573B0" w:rsidP="00303804">
            <w:pPr>
              <w:jc w:val="both"/>
              <w:rPr>
                <w:color w:val="000000"/>
                <w:sz w:val="20"/>
                <w:szCs w:val="20"/>
              </w:rPr>
            </w:pPr>
          </w:p>
        </w:tc>
        <w:tc>
          <w:tcPr>
            <w:tcW w:w="0" w:type="auto"/>
            <w:tcBorders>
              <w:bottom w:val="single" w:sz="4" w:space="0" w:color="auto"/>
            </w:tcBorders>
          </w:tcPr>
          <w:p w14:paraId="2D1C8712" w14:textId="77777777" w:rsidR="00C573B0" w:rsidRPr="00596193" w:rsidRDefault="00C573B0" w:rsidP="00303804">
            <w:pPr>
              <w:jc w:val="both"/>
              <w:rPr>
                <w:color w:val="000000"/>
                <w:sz w:val="20"/>
                <w:szCs w:val="20"/>
              </w:rPr>
            </w:pPr>
          </w:p>
        </w:tc>
      </w:tr>
    </w:tbl>
    <w:p w14:paraId="4595FDC0" w14:textId="77777777" w:rsidR="00C9678A" w:rsidRDefault="00C9678A" w:rsidP="00C573B0">
      <w:pPr>
        <w:jc w:val="both"/>
        <w:rPr>
          <w:b/>
          <w:iCs/>
        </w:rPr>
      </w:pPr>
    </w:p>
    <w:p w14:paraId="0BA062A0" w14:textId="77777777" w:rsidR="004F6186" w:rsidRDefault="004F6186">
      <w:pPr>
        <w:rPr>
          <w:b/>
        </w:rPr>
        <w:sectPr w:rsidR="004F6186" w:rsidSect="003060F6">
          <w:headerReference w:type="even" r:id="rId68"/>
          <w:headerReference w:type="default" r:id="rId69"/>
          <w:footerReference w:type="even" r:id="rId70"/>
          <w:footerReference w:type="default" r:id="rId71"/>
          <w:headerReference w:type="first" r:id="rId72"/>
          <w:pgSz w:w="12240" w:h="15840"/>
          <w:pgMar w:top="1440" w:right="1440" w:bottom="1440" w:left="1440" w:header="720" w:footer="720" w:gutter="0"/>
          <w:cols w:space="720"/>
          <w:docGrid w:linePitch="360"/>
        </w:sectPr>
      </w:pPr>
    </w:p>
    <w:p w14:paraId="184E61A1" w14:textId="2DA9D16F" w:rsidR="00C9678A" w:rsidRPr="00A25EAD" w:rsidRDefault="00C9678A">
      <w:pPr>
        <w:pStyle w:val="Heading2"/>
        <w:spacing w:before="0"/>
        <w:rPr>
          <w:rFonts w:cs="Times New Roman"/>
          <w:szCs w:val="24"/>
        </w:rPr>
      </w:pPr>
      <w:bookmarkStart w:id="305" w:name="_Death"/>
      <w:bookmarkStart w:id="306" w:name="_Toc82592750"/>
      <w:bookmarkEnd w:id="305"/>
      <w:r w:rsidRPr="00A25EAD">
        <w:rPr>
          <w:rFonts w:cs="Times New Roman"/>
          <w:szCs w:val="24"/>
        </w:rPr>
        <w:lastRenderedPageBreak/>
        <w:t>Death</w:t>
      </w:r>
      <w:bookmarkEnd w:id="306"/>
      <w:r w:rsidRPr="00A25EAD">
        <w:rPr>
          <w:rFonts w:cs="Times New Roman"/>
          <w:szCs w:val="24"/>
        </w:rPr>
        <w:t xml:space="preserve"> </w:t>
      </w:r>
    </w:p>
    <w:p w14:paraId="7B8ABC5A" w14:textId="77777777" w:rsidR="00C27F3E" w:rsidRDefault="00C27F3E"/>
    <w:p w14:paraId="120418D6" w14:textId="44BECE17" w:rsidR="00C9678A" w:rsidRPr="00EE2060" w:rsidRDefault="00D75179">
      <w:r>
        <w:t xml:space="preserve">Patients are classified as death when marked dead in the </w:t>
      </w:r>
      <w:proofErr w:type="spellStart"/>
      <w:r>
        <w:t>IeDEA</w:t>
      </w:r>
      <w:proofErr w:type="spellEnd"/>
      <w:r>
        <w:t xml:space="preserve"> data. </w:t>
      </w:r>
      <w:r w:rsidR="00C9678A" w:rsidRPr="00EE2060">
        <w:t xml:space="preserve">The parameter estimates for probability of death will apply to all compartments in infectious stage, including Undiagnosed; Diagnosed; Linkage to care; Loss-to follow up (LTFU); On ART and suppressed; and On ART and not suppressed. </w:t>
      </w:r>
    </w:p>
    <w:p w14:paraId="423977D3" w14:textId="77777777" w:rsidR="00C9678A" w:rsidRPr="00EE2060" w:rsidRDefault="00C9678A"/>
    <w:p w14:paraId="55668FBA" w14:textId="77777777" w:rsidR="00F41AC8" w:rsidRDefault="00F41AC8" w:rsidP="00F41AC8">
      <w:pPr>
        <w:jc w:val="both"/>
        <w:rPr>
          <w:b/>
          <w:bCs/>
          <w:i/>
          <w:iCs/>
        </w:rPr>
      </w:pPr>
      <w:r w:rsidRPr="00675361">
        <w:rPr>
          <w:b/>
          <w:bCs/>
          <w:i/>
          <w:iCs/>
        </w:rPr>
        <w:t>Data source</w:t>
      </w:r>
      <w:r>
        <w:rPr>
          <w:b/>
          <w:bCs/>
          <w:i/>
          <w:iCs/>
        </w:rPr>
        <w:t xml:space="preserve">. </w:t>
      </w:r>
    </w:p>
    <w:p w14:paraId="5AA4BE17" w14:textId="0CF71F32" w:rsidR="00F41AC8" w:rsidRDefault="00F41AC8" w:rsidP="002E50FA">
      <w:pPr>
        <w:pStyle w:val="ListParagraph"/>
        <w:numPr>
          <w:ilvl w:val="0"/>
          <w:numId w:val="28"/>
        </w:numPr>
        <w:jc w:val="both"/>
      </w:pPr>
      <w:r>
        <w:t xml:space="preserve">To estimate </w:t>
      </w:r>
      <w:r w:rsidR="00FB6B71">
        <w:t>probability of death</w:t>
      </w:r>
      <w:r>
        <w:t>, we will use the International epidemiology databases to evaluate AIDS (</w:t>
      </w:r>
      <w:proofErr w:type="spellStart"/>
      <w:r>
        <w:t>IeDEA</w:t>
      </w:r>
      <w:proofErr w:type="spellEnd"/>
      <w:r>
        <w:t>) consortium in Rwanda from 2004 to most current data.</w:t>
      </w:r>
      <w:r>
        <w:fldChar w:fldCharType="begin" w:fldLock="1"/>
      </w:r>
      <w:r w:rsidR="007527CC">
        <w:instrText>ADDIN CSL_CITATION {"citationItems":[{"id":"ITEM-1","itemData":{"author":[{"dropping-particle":"","family":"National Institute of Allergy and Infectious Diseases","given":"","non-dropping-particle":"","parse-names":false,"suffix":""}],"id":"ITEM-1","issued":{"date-parts":[["0"]]},"title":"International Epidemiological Databases to Evaluate AIDS","type":"article"},"uris":["http://www.mendeley.com/documents/?uuid=666acb78-cec1-4b66-b410-933fc01451ce"]}],"mendeley":{"formattedCitation":"&lt;sup&gt;51&lt;/sup&gt;","plainTextFormattedCitation":"51","previouslyFormattedCitation":"&lt;sup&gt;51&lt;/sup&gt;"},"properties":{"noteIndex":0},"schema":"https://github.com/citation-style-language/schema/raw/master/csl-citation.json"}</w:instrText>
      </w:r>
      <w:r>
        <w:fldChar w:fldCharType="separate"/>
      </w:r>
      <w:r w:rsidR="00036C3E" w:rsidRPr="00036C3E">
        <w:rPr>
          <w:noProof/>
          <w:vertAlign w:val="superscript"/>
        </w:rPr>
        <w:t>51</w:t>
      </w:r>
      <w:r>
        <w:fldChar w:fldCharType="end"/>
      </w:r>
      <w:r>
        <w:t xml:space="preserve">  </w:t>
      </w:r>
    </w:p>
    <w:p w14:paraId="7D1D6B4B" w14:textId="0544260D" w:rsidR="00F41AC8" w:rsidRDefault="00F41AC8" w:rsidP="002E50FA">
      <w:pPr>
        <w:pStyle w:val="BodyText"/>
        <w:numPr>
          <w:ilvl w:val="0"/>
          <w:numId w:val="28"/>
        </w:numPr>
        <w:spacing w:before="0" w:after="0"/>
        <w:jc w:val="both"/>
      </w:pPr>
      <w:r>
        <w:t xml:space="preserve">To adjust for the misclassification of loss to follow-up (LTFU) in the </w:t>
      </w:r>
      <w:proofErr w:type="spellStart"/>
      <w:r>
        <w:t>IeDEA</w:t>
      </w:r>
      <w:proofErr w:type="spellEnd"/>
      <w:r>
        <w:t xml:space="preserve"> data, a retrospective study from Kenya (2009-2011) is used, in which the</w:t>
      </w:r>
      <w:r w:rsidRPr="005E7705">
        <w:rPr>
          <w:color w:val="000000"/>
        </w:rPr>
        <w:t xml:space="preserve"> proportion of patients </w:t>
      </w:r>
      <w:r>
        <w:rPr>
          <w:color w:val="000000"/>
        </w:rPr>
        <w:t>who have died but coded as LTFU is 17%</w:t>
      </w:r>
      <w:r w:rsidRPr="005E7705">
        <w:t>.</w:t>
      </w:r>
      <w:r w:rsidRPr="005E7705">
        <w:fldChar w:fldCharType="begin" w:fldLock="1"/>
      </w:r>
      <w:r w:rsidR="007527CC">
        <w:instrText>ADDIN CSL_CITATION {"citationItems":[{"id":"ITEM-1","itemData":{"DOI":"10.1097/QAI.0000000000000492","ISBN":"0000000000000","ISSN":"10779450","abstract":"© 2014 Wolters Kluwer Health, Inc. Background: Academic Model Providing Access To Healthcare (AMPATH) program provides comprehensive HIV care and treatment services. Approximately, 30% of patients have become lost to follow-up (LTFU). We sought to actively trace and identify outcomes for a sample of these patients. Methods: LTFU was defined as missing a scheduled visit by $3 months. A randomly selected sample of 17% of patients identified as LTFU between January 2009 and June 2011 was generated, with sample stratification on age, antiretroviral therapy (ART) status at last visit, and facility. Chart reviews were conducted followed by active tracing. Tracing was completed by trained HIV-positive outreach workers July 2011 to February 2012. Outcomes were compared between adults and children and by ART status. Results: Of 14,811 LTFU patients, 2540 were randomly selected for tracing (2179 adults, 1071 on ART). The chart reviews indicated that 326 (12.8%) patients were not actually LTFU. Outcomes for 71% of sampled patients were determined including 85% of those physically traced. Of those with known outcomes, 21% had died, whereas 29% had disengaged from care for various reasons. The remaining patients had moved away (n = 458, 25%) or were still receiving HIV care (n = 443 total, 25%). Conclusions: Our findings demonstrate the feasibility of a largescale sampling-based approach. A significant proportion of patients were found not to be LTFU, and further, high numbers of patients who were LTFU could not be located. Over a quarter of patients disengaged from care for various reasons including access challenges and familial influences.","author":[{"dropping-particle":"","family":"Rachlis","given":"Beth","non-dropping-particle":"","parse-names":false,"suffix":""},{"dropping-particle":"","family":"Ochieng","given":"Daniel","non-dropping-particle":"","parse-names":false,"suffix":""},{"dropping-particle":"","family":"Geng","given":"Elvin","non-dropping-particle":"","parse-names":false,"suffix":""},{"dropping-particle":"","family":"Rotich","given":"Elyne","non-dropping-particle":"","parse-names":false,"suffix":""},{"dropping-particle":"","family":"Ochieng","given":"Vincent","non-dropping-particle":"","parse-names":false,"suffix":""},{"dropping-particle":"","family":"Maritim","given":"Beryl","non-dropping-particle":"","parse-names":false,"suffix":""},{"dropping-particle":"","family":"Ndege","given":"Samson","non-dropping-particle":"","parse-names":false,"suffix":""},{"dropping-particle":"","family":"Naanyu","given":"Violet","non-dropping-particle":"","parse-names":false,"suffix":""},{"dropping-particle":"","family":"Martin","given":"Jeffrey N.","non-dropping-particle":"","parse-names":false,"suffix":""},{"dropping-particle":"","family":"Keter","given":"Alfred","non-dropping-particle":"","parse-names":false,"suffix":""},{"dropping-particle":"","family":"Ayuo","given":"Paul","non-dropping-particle":"","parse-names":false,"suffix":""},{"dropping-particle":"","family":"Diero","given":"Lameck","non-dropping-particle":"","parse-names":false,"suffix":""},{"dropping-particle":"","family":"Nyambura","given":"Monicah","non-dropping-particle":"","parse-names":false,"suffix":""},{"dropping-particle":"","family":"Braitstein","given":"Paula","non-dropping-particle":"","parse-names":false,"suffix":""}],"container-title":"Journal of Acquired Immune Deficiency Syndromes","id":"ITEM-1","issue":"4","issued":{"date-parts":[["2015"]]},"page":"e46-e55","title":"Evaluating outcomes of patients lost to follow-up in a large comprehensive care treatment program in Western Kenya","type":"article-journal","volume":"68"},"uris":["http://www.mendeley.com/documents/?uuid=46dfb1ee-def0-49a8-aeda-dbe712f30a4f"]}],"mendeley":{"formattedCitation":"&lt;sup&gt;54&lt;/sup&gt;","plainTextFormattedCitation":"54","previouslyFormattedCitation":"&lt;sup&gt;54&lt;/sup&gt;"},"properties":{"noteIndex":0},"schema":"https://github.com/citation-style-language/schema/raw/master/csl-citation.json"}</w:instrText>
      </w:r>
      <w:r w:rsidRPr="005E7705">
        <w:fldChar w:fldCharType="separate"/>
      </w:r>
      <w:r w:rsidR="00036C3E" w:rsidRPr="00036C3E">
        <w:rPr>
          <w:noProof/>
          <w:vertAlign w:val="superscript"/>
        </w:rPr>
        <w:t>54</w:t>
      </w:r>
      <w:r w:rsidRPr="005E7705">
        <w:fldChar w:fldCharType="end"/>
      </w:r>
      <w:r w:rsidRPr="005E7705">
        <w:t xml:space="preserve"> </w:t>
      </w:r>
    </w:p>
    <w:p w14:paraId="6C64FD1B" w14:textId="2CE85411" w:rsidR="00D75179" w:rsidRPr="00E60418" w:rsidRDefault="00E60418" w:rsidP="002E50FA">
      <w:pPr>
        <w:pStyle w:val="BodyText"/>
        <w:numPr>
          <w:ilvl w:val="0"/>
          <w:numId w:val="28"/>
        </w:numPr>
        <w:spacing w:before="0" w:after="0"/>
        <w:jc w:val="both"/>
        <w:rPr>
          <w:b/>
          <w:bCs/>
        </w:rPr>
      </w:pPr>
      <w:r w:rsidRPr="00E60418">
        <w:rPr>
          <w:color w:val="000000"/>
          <w:lang w:eastAsia="ja-JP"/>
        </w:rPr>
        <w:t xml:space="preserve">For patients on ART, the weight applied to adjust for the misclassification of patients is extracted from previous study examining LTFU using </w:t>
      </w:r>
      <w:proofErr w:type="spellStart"/>
      <w:r w:rsidRPr="00E60418">
        <w:rPr>
          <w:color w:val="000000"/>
          <w:lang w:eastAsia="ja-JP"/>
        </w:rPr>
        <w:t>IeDEA</w:t>
      </w:r>
      <w:proofErr w:type="spellEnd"/>
      <w:r w:rsidRPr="00E60418">
        <w:rPr>
          <w:color w:val="000000"/>
          <w:lang w:eastAsia="ja-JP"/>
        </w:rPr>
        <w:t xml:space="preserve"> data, which is calculated based on a meta-analysis in sub-Saharan area. </w:t>
      </w:r>
      <w:r w:rsidR="00D75179" w:rsidRPr="00E60418">
        <w:rPr>
          <w:color w:val="000000"/>
          <w:lang w:eastAsia="ja-JP"/>
        </w:rPr>
        <w:t>The proportion of patients LTFU having died is 20.8%.</w:t>
      </w:r>
      <w:r w:rsidR="00D75179" w:rsidRPr="00E60418">
        <w:rPr>
          <w:color w:val="000000" w:themeColor="text1"/>
        </w:rPr>
        <w:fldChar w:fldCharType="begin" w:fldLock="1"/>
      </w:r>
      <w:r w:rsidR="007527CC">
        <w:rPr>
          <w:color w:val="000000" w:themeColor="text1"/>
          <w:lang w:eastAsia="ja-JP"/>
        </w:rPr>
        <w:instrText>ADDIN CSL_CITATION {"citationItems":[{"id":"ITEM-1","itemData":{"DOI":"10.1002/jia2.25084","ISSN":"17582652","abstract":"Introduction: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Society","id":"ITEM-1","issue":"2","issued":{"date-parts":[["2018"]]},"page":"1-7","title":"Retention and mortality on antiretroviral therapy in sub-Saharan Africa: Collaborative analyses of HIV treatment programmes: Collaborative","type":"article-journal","volume":"21"},"uris":["http://www.mendeley.com/documents/?uuid=973be433-f329-438c-a007-d6d819f544b0"]}],"mendeley":{"formattedCitation":"&lt;sup&gt;56&lt;/sup&gt;","plainTextFormattedCitation":"56","previouslyFormattedCitation":"&lt;sup&gt;56&lt;/sup&gt;"},"properties":{"noteIndex":0},"schema":"https://github.com/citation-style-language/schema/raw/master/csl-citation.json"}</w:instrText>
      </w:r>
      <w:r w:rsidR="00D75179" w:rsidRPr="00E60418">
        <w:rPr>
          <w:color w:val="000000" w:themeColor="text1"/>
        </w:rPr>
        <w:fldChar w:fldCharType="separate"/>
      </w:r>
      <w:r w:rsidR="00036C3E" w:rsidRPr="00036C3E">
        <w:rPr>
          <w:noProof/>
          <w:color w:val="000000" w:themeColor="text1"/>
          <w:vertAlign w:val="superscript"/>
        </w:rPr>
        <w:t>56</w:t>
      </w:r>
      <w:r w:rsidR="00D75179" w:rsidRPr="00E60418">
        <w:rPr>
          <w:color w:val="000000" w:themeColor="text1"/>
        </w:rPr>
        <w:fldChar w:fldCharType="end"/>
      </w:r>
      <w:r w:rsidR="00D75179" w:rsidRPr="00E60418" w:rsidDel="00C60B70">
        <w:rPr>
          <w:color w:val="000000"/>
        </w:rPr>
        <w:t xml:space="preserve"> </w:t>
      </w:r>
    </w:p>
    <w:p w14:paraId="4D2DAD7A" w14:textId="794EE233" w:rsidR="00D75179" w:rsidRDefault="00D75179" w:rsidP="00D75179">
      <w:pPr>
        <w:pStyle w:val="BodyText"/>
        <w:spacing w:before="0" w:after="0"/>
        <w:jc w:val="both"/>
      </w:pPr>
    </w:p>
    <w:p w14:paraId="5BB09399" w14:textId="77777777" w:rsidR="00D75179" w:rsidRDefault="00D75179" w:rsidP="00D75179">
      <w:pPr>
        <w:jc w:val="both"/>
        <w:rPr>
          <w:b/>
          <w:bCs/>
          <w:i/>
          <w:iCs/>
        </w:rPr>
      </w:pPr>
      <w:r>
        <w:rPr>
          <w:b/>
          <w:bCs/>
          <w:i/>
          <w:iCs/>
        </w:rPr>
        <w:t xml:space="preserve">Assumptions. </w:t>
      </w:r>
    </w:p>
    <w:p w14:paraId="201B4EDE" w14:textId="1A112B83" w:rsidR="00D75179" w:rsidRDefault="00D75179" w:rsidP="002E50FA">
      <w:pPr>
        <w:pStyle w:val="ListParagraph"/>
        <w:numPr>
          <w:ilvl w:val="0"/>
          <w:numId w:val="27"/>
        </w:numPr>
        <w:jc w:val="both"/>
      </w:pPr>
      <w:r>
        <w:t xml:space="preserve">We assume a linear trend in the decrease of CD4 level for individuals living with HIV. </w:t>
      </w:r>
    </w:p>
    <w:p w14:paraId="0F541346" w14:textId="391A4ADF" w:rsidR="00D75179" w:rsidRPr="00EE2060" w:rsidRDefault="00D75179" w:rsidP="002E50FA">
      <w:pPr>
        <w:pStyle w:val="ListParagraph"/>
        <w:numPr>
          <w:ilvl w:val="0"/>
          <w:numId w:val="27"/>
        </w:numPr>
        <w:jc w:val="both"/>
        <w:rPr>
          <w:b/>
          <w:bCs/>
          <w:i/>
          <w:iCs/>
        </w:rPr>
      </w:pPr>
      <w:r>
        <w:t xml:space="preserve">We assume that the probability of death for undiagnosed, diagnosed, and LTFU compartments are similar to the probability of death for linked due to the data limitation that </w:t>
      </w:r>
      <w:proofErr w:type="spellStart"/>
      <w:r>
        <w:t>IeDEA</w:t>
      </w:r>
      <w:proofErr w:type="spellEnd"/>
      <w:r>
        <w:t xml:space="preserve"> data is not feasible to examine individuals who are not linked to care. In sensitivity analysis, a multiplier (&gt;1) might be applied to account for increased probability of death when not linked. </w:t>
      </w:r>
    </w:p>
    <w:p w14:paraId="47646DB7" w14:textId="66F51D9F" w:rsidR="00C9678A" w:rsidRDefault="00C9678A" w:rsidP="00D75179">
      <w:pPr>
        <w:pStyle w:val="ListParagraph"/>
      </w:pPr>
    </w:p>
    <w:p w14:paraId="2FECD508" w14:textId="301F8062" w:rsidR="00D75179" w:rsidRDefault="00D75179" w:rsidP="00D75179">
      <w:pPr>
        <w:rPr>
          <w:b/>
          <w:bCs/>
          <w:i/>
          <w:iCs/>
        </w:rPr>
      </w:pPr>
      <w:r>
        <w:rPr>
          <w:b/>
          <w:bCs/>
          <w:i/>
          <w:iCs/>
        </w:rPr>
        <w:t>Estimation.</w:t>
      </w:r>
    </w:p>
    <w:p w14:paraId="538E1C74" w14:textId="2845AB35" w:rsidR="00D75179" w:rsidRDefault="00D75179" w:rsidP="00D75179">
      <w:r>
        <w:t>The probability of death will be estimated using a weighed cox proportional regression model for each sub-population (</w:t>
      </w:r>
      <w:r w:rsidR="008774AA">
        <w:fldChar w:fldCharType="begin"/>
      </w:r>
      <w:r w:rsidR="008774AA">
        <w:instrText xml:space="preserve"> REF _Ref82440365 \h </w:instrText>
      </w:r>
      <w:r w:rsidR="008774AA">
        <w:fldChar w:fldCharType="separate"/>
      </w:r>
      <w:r w:rsidR="001E49BE" w:rsidRPr="004F6186">
        <w:rPr>
          <w:b/>
          <w:bCs/>
          <w:color w:val="000000" w:themeColor="text1"/>
        </w:rPr>
        <w:t xml:space="preserve">Table </w:t>
      </w:r>
      <w:r w:rsidR="001E49BE">
        <w:rPr>
          <w:b/>
          <w:bCs/>
          <w:noProof/>
          <w:color w:val="000000" w:themeColor="text1"/>
        </w:rPr>
        <w:t>16</w:t>
      </w:r>
      <w:r w:rsidR="008774AA">
        <w:fldChar w:fldCharType="end"/>
      </w:r>
      <w:r>
        <w:rPr>
          <w:b/>
          <w:bCs/>
        </w:rPr>
        <w:t>)</w:t>
      </w:r>
      <w:r>
        <w:t xml:space="preserve">. </w:t>
      </w:r>
      <w:commentRangeStart w:id="307"/>
      <w:r>
        <w:t xml:space="preserve">The model is selected against the Kaplan-Meier model because </w:t>
      </w:r>
      <w:r w:rsidR="00FB6B71">
        <w:t xml:space="preserve">cox proportional hazard regression </w:t>
      </w:r>
      <w:r>
        <w:t xml:space="preserve">model allows us to control for the clinic- or site-level predictors. </w:t>
      </w:r>
      <w:commentRangeEnd w:id="307"/>
      <w:r w:rsidR="006D6912">
        <w:rPr>
          <w:rStyle w:val="CommentReference"/>
        </w:rPr>
        <w:commentReference w:id="307"/>
      </w:r>
      <w:r>
        <w:t xml:space="preserve">The weighted cox proportional regression model is presented as follows. </w:t>
      </w:r>
    </w:p>
    <w:p w14:paraId="13D3B245" w14:textId="77777777" w:rsidR="00D75179" w:rsidRDefault="00D75179" w:rsidP="00D75179"/>
    <w:p w14:paraId="106D88F7" w14:textId="13C5D14B" w:rsidR="00D75179" w:rsidRPr="00CF5A05" w:rsidRDefault="00000000" w:rsidP="003060F6">
      <m:oMath>
        <m:sSup>
          <m:sSupPr>
            <m:ctrlPr>
              <w:rPr>
                <w:rFonts w:ascii="Cambria Math" w:hAnsi="Cambria Math"/>
                <w:b/>
                <w:bCs/>
                <w:i/>
              </w:rPr>
            </m:ctrlPr>
          </m:sSupPr>
          <m:e>
            <m:r>
              <w:rPr>
                <w:rFonts w:ascii="Cambria Math" w:hAnsi="Cambria Math"/>
              </w:rPr>
              <m:t>h</m:t>
            </m:r>
          </m:e>
          <m:sup>
            <m:r>
              <w:rPr>
                <w:rFonts w:ascii="Cambria Math" w:hAnsi="Cambria Math"/>
              </w:rPr>
              <m:t>w</m:t>
            </m:r>
          </m:sup>
        </m:sSup>
        <m:d>
          <m:dPr>
            <m:ctrlPr>
              <w:rPr>
                <w:rFonts w:ascii="Cambria Math" w:hAnsi="Cambria Math"/>
                <w:b/>
                <w:bCs/>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w</m:t>
            </m:r>
          </m:sup>
        </m:sSubSup>
        <m:d>
          <m:dPr>
            <m:ctrlPr>
              <w:rPr>
                <w:rFonts w:ascii="Cambria Math" w:hAnsi="Cambria Math"/>
                <w:i/>
              </w:rPr>
            </m:ctrlPr>
          </m:dPr>
          <m:e>
            <m:r>
              <w:rPr>
                <w:rFonts w:ascii="Cambria Math" w:hAnsi="Cambria Math"/>
              </w:rPr>
              <m:t>t</m:t>
            </m:r>
          </m:e>
        </m:d>
        <m:r>
          <m:rPr>
            <m:sty m:val="p"/>
          </m:rPr>
          <w:rPr>
            <w:rFonts w:ascii="Cambria Math" w:hAnsi="Cambria Math"/>
          </w:rPr>
          <m:t>exp⁡(β</m:t>
        </m:r>
        <m:r>
          <m:rPr>
            <m:sty m:val="b"/>
          </m:rPr>
          <w:rPr>
            <w:rFonts w:ascii="Cambria Math" w:hAnsi="Cambria Math"/>
          </w:rPr>
          <m:t>X)</m:t>
        </m:r>
      </m:oMath>
      <w:r w:rsidR="00044274">
        <w:rPr>
          <w:b/>
        </w:rPr>
        <w:tab/>
      </w:r>
      <w:r w:rsidR="00044274">
        <w:rPr>
          <w:b/>
        </w:rPr>
        <w:tab/>
      </w:r>
      <w:r w:rsidR="00044274">
        <w:rPr>
          <w:b/>
        </w:rPr>
        <w:tab/>
      </w:r>
      <w:r w:rsidR="00044274">
        <w:rPr>
          <w:b/>
        </w:rPr>
        <w:tab/>
      </w:r>
      <w:r w:rsidR="00044274">
        <w:rPr>
          <w:b/>
        </w:rPr>
        <w:tab/>
      </w:r>
      <w:r w:rsidR="00044274">
        <w:rPr>
          <w:b/>
        </w:rPr>
        <w:tab/>
      </w:r>
      <w:r w:rsidR="00044274">
        <w:rPr>
          <w:b/>
        </w:rPr>
        <w:tab/>
      </w:r>
      <w:r w:rsidR="00044274">
        <w:rPr>
          <w:b/>
        </w:rPr>
        <w:tab/>
      </w:r>
      <w:r w:rsidR="00044274">
        <w:rPr>
          <w:b/>
        </w:rPr>
        <w:tab/>
      </w:r>
      <w:r w:rsidR="00044274" w:rsidRPr="00044274">
        <w:t>(1</w:t>
      </w:r>
      <w:r w:rsidR="00FA0F83">
        <w:t>6</w:t>
      </w:r>
      <w:r w:rsidR="00044274" w:rsidRPr="00044274">
        <w:t>)</w:t>
      </w:r>
    </w:p>
    <w:p w14:paraId="0ADCC6BB" w14:textId="77777777" w:rsidR="00044274" w:rsidRDefault="00044274" w:rsidP="00D75179">
      <w:pPr>
        <w:pStyle w:val="BodyText"/>
        <w:spacing w:before="0" w:after="0"/>
        <w:jc w:val="both"/>
        <w:rPr>
          <w:iCs/>
        </w:rPr>
      </w:pPr>
    </w:p>
    <w:p w14:paraId="552C1E28" w14:textId="00710516" w:rsidR="00D75179" w:rsidRPr="00EE2060" w:rsidRDefault="00D75179" w:rsidP="00D75179">
      <w:pPr>
        <w:pStyle w:val="BodyText"/>
        <w:spacing w:before="0" w:after="0"/>
        <w:jc w:val="both"/>
        <w:rPr>
          <w:iCs/>
        </w:rPr>
      </w:pPr>
      <w:r w:rsidRPr="00EE2060">
        <w:rPr>
          <w:iCs/>
        </w:rPr>
        <w:t>Where,</w:t>
      </w:r>
      <w:r w:rsidRPr="00EE2060">
        <w:rPr>
          <w:i/>
        </w:rPr>
        <w:t xml:space="preserve"> </w:t>
      </w:r>
      <w:r w:rsidRPr="00EE2060">
        <w:t xml:space="preserve">w = weight to account for misclassification of death, </w:t>
      </w:r>
      <w:r w:rsidRPr="00EE2060">
        <w:rPr>
          <w:i/>
          <w:iCs/>
        </w:rPr>
        <w:t xml:space="preserve">h </w:t>
      </w:r>
      <w:r w:rsidRPr="00EE2060">
        <w:t>= hazard,</w:t>
      </w:r>
      <w:r w:rsidRPr="00EE2060">
        <w:rPr>
          <w:iCs/>
        </w:rPr>
        <w:t xml:space="preserve"> </w:t>
      </w:r>
      <m:oMath>
        <m:sSup>
          <m:sSupPr>
            <m:ctrlPr>
              <w:rPr>
                <w:rFonts w:ascii="Cambria Math" w:hAnsi="Cambria Math"/>
                <w:b/>
                <w:bCs/>
                <w:i/>
              </w:rPr>
            </m:ctrlPr>
          </m:sSupPr>
          <m:e>
            <m:r>
              <w:rPr>
                <w:rFonts w:ascii="Cambria Math" w:hAnsi="Cambria Math"/>
              </w:rPr>
              <m:t>h</m:t>
            </m:r>
          </m:e>
          <m:sup>
            <m:r>
              <w:rPr>
                <w:rFonts w:ascii="Cambria Math" w:hAnsi="Cambria Math"/>
              </w:rPr>
              <m:t>w</m:t>
            </m:r>
          </m:sup>
        </m:sSup>
        <m:d>
          <m:dPr>
            <m:ctrlPr>
              <w:rPr>
                <w:rFonts w:ascii="Cambria Math" w:hAnsi="Cambria Math"/>
                <w:b/>
                <w:bCs/>
                <w:i/>
              </w:rPr>
            </m:ctrlPr>
          </m:dPr>
          <m:e>
            <m:r>
              <w:rPr>
                <w:rFonts w:ascii="Cambria Math" w:hAnsi="Cambria Math"/>
              </w:rPr>
              <m:t>t</m:t>
            </m:r>
          </m:e>
        </m:d>
      </m:oMath>
      <w:r w:rsidRPr="00EE2060">
        <w:rPr>
          <w:iCs/>
        </w:rPr>
        <w:t xml:space="preserve"> = weighted probability of death at time</w:t>
      </w:r>
      <m:oMath>
        <m:r>
          <w:rPr>
            <w:rFonts w:ascii="Cambria Math" w:hAnsi="Cambria Math"/>
          </w:rPr>
          <m:t xml:space="preserve"> t</m:t>
        </m:r>
      </m:oMath>
      <w:r w:rsidRPr="00EE2060">
        <w:rPr>
          <w:iCs/>
        </w:rPr>
        <w:t xml:space="preserve">, </w:t>
      </w:r>
      <w:r w:rsidRPr="00EE2060">
        <w:rPr>
          <w:b/>
          <w:bCs/>
          <w:i/>
        </w:rPr>
        <w:t>X</w:t>
      </w:r>
      <w:r w:rsidRPr="00EE2060">
        <w:rPr>
          <w:b/>
          <w:bCs/>
          <w:iCs/>
        </w:rPr>
        <w:t xml:space="preserve"> </w:t>
      </w:r>
      <w:r w:rsidRPr="00EE2060">
        <w:rPr>
          <w:iCs/>
        </w:rPr>
        <w:t xml:space="preserve">= vector of predictor variables (e.g., site) for patient </w:t>
      </w:r>
      <m:oMath>
        <m:r>
          <w:rPr>
            <w:rFonts w:ascii="Cambria Math" w:hAnsi="Cambria Math"/>
          </w:rPr>
          <m:t>i</m:t>
        </m:r>
      </m:oMath>
      <w:r w:rsidRPr="00EE2060">
        <w:rPr>
          <w:iCs/>
        </w:rP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w</m:t>
            </m:r>
          </m:sup>
        </m:sSubSup>
        <m:d>
          <m:dPr>
            <m:ctrlPr>
              <w:rPr>
                <w:rFonts w:ascii="Cambria Math" w:hAnsi="Cambria Math"/>
                <w:i/>
              </w:rPr>
            </m:ctrlPr>
          </m:dPr>
          <m:e>
            <m:r>
              <w:rPr>
                <w:rFonts w:ascii="Cambria Math" w:hAnsi="Cambria Math"/>
              </w:rPr>
              <m:t>t</m:t>
            </m:r>
          </m:e>
        </m:d>
      </m:oMath>
      <w:r w:rsidRPr="00EE2060">
        <w:rPr>
          <w:iCs/>
        </w:rPr>
        <w:t xml:space="preserve"> = time-dependent hazard function for death.</w:t>
      </w:r>
    </w:p>
    <w:p w14:paraId="5084C45A" w14:textId="77777777" w:rsidR="00D75179" w:rsidRPr="003060F6" w:rsidRDefault="00D75179" w:rsidP="00D75179"/>
    <w:p w14:paraId="2A10E7F3" w14:textId="63219D27" w:rsidR="00D75179" w:rsidRPr="00665C6D" w:rsidRDefault="00D75179" w:rsidP="00D75179">
      <w:pPr>
        <w:pStyle w:val="BodyText"/>
        <w:spacing w:before="0" w:after="0"/>
        <w:jc w:val="both"/>
        <w:rPr>
          <w:iCs/>
        </w:rPr>
      </w:pPr>
      <w:r>
        <w:t xml:space="preserve">In the cox proportional regression model, we will calculate the time-at-risk for each individual to estimate the hazard function of death. The process for estimating the time-at-risk can be found in </w:t>
      </w:r>
      <w:r>
        <w:rPr>
          <w:b/>
          <w:bCs/>
        </w:rPr>
        <w:t xml:space="preserve">Appendix A3. </w:t>
      </w:r>
      <w:r>
        <w:t>We will control for site-level factors only (</w:t>
      </w:r>
      <w:proofErr w:type="gramStart"/>
      <w:r>
        <w:t>i.e.</w:t>
      </w:r>
      <w:proofErr w:type="gramEnd"/>
      <w:r>
        <w:t xml:space="preserve"> clinics) since </w:t>
      </w:r>
      <w:r w:rsidRPr="005E7705">
        <w:t xml:space="preserve">clinic- or site-level factors can be associated with </w:t>
      </w:r>
      <w:r>
        <w:t xml:space="preserve">death </w:t>
      </w:r>
      <w:r w:rsidRPr="005E7705">
        <w:t>(e.g. nutrition support programs).</w:t>
      </w:r>
      <w:r w:rsidRPr="00D75179">
        <w:t xml:space="preserve"> </w:t>
      </w:r>
      <w:r>
        <w:t xml:space="preserve">We did not control for demographic characteristics or disease stage since the model is applied to each sub-population by CD4 stratum. </w:t>
      </w:r>
      <w:r>
        <w:rPr>
          <w:iCs/>
        </w:rPr>
        <w:t xml:space="preserve">The variables created for the model and </w:t>
      </w:r>
      <w:proofErr w:type="spellStart"/>
      <w:r>
        <w:rPr>
          <w:iCs/>
        </w:rPr>
        <w:t>IeDEA</w:t>
      </w:r>
      <w:proofErr w:type="spellEnd"/>
      <w:r>
        <w:rPr>
          <w:iCs/>
        </w:rPr>
        <w:t xml:space="preserve"> data used is presented in </w:t>
      </w:r>
      <w:r>
        <w:rPr>
          <w:b/>
          <w:bCs/>
          <w:iCs/>
        </w:rPr>
        <w:t xml:space="preserve">Table </w:t>
      </w:r>
      <w:r w:rsidR="00FB6B71">
        <w:rPr>
          <w:b/>
          <w:bCs/>
          <w:iCs/>
        </w:rPr>
        <w:t>13.</w:t>
      </w:r>
    </w:p>
    <w:p w14:paraId="0926BBF2" w14:textId="659F1C3C" w:rsidR="00D75179" w:rsidRDefault="00D75179" w:rsidP="00D75179">
      <w:r>
        <w:t xml:space="preserve"> </w:t>
      </w:r>
    </w:p>
    <w:p w14:paraId="0807D27B" w14:textId="7A9A308E" w:rsidR="00C9678A" w:rsidRDefault="00C9678A" w:rsidP="003060F6">
      <w:pPr>
        <w:pStyle w:val="BodyText"/>
        <w:spacing w:before="0" w:after="0"/>
        <w:jc w:val="both"/>
        <w:rPr>
          <w:color w:val="000000"/>
        </w:rPr>
      </w:pPr>
      <w:r w:rsidRPr="00EE2060">
        <w:t>The statistical model will also adjust for misclassification of death. Evidence from sub-Saharan Africa suggests that some patients recorded as LTFU had died or transferred to another clinic.</w:t>
      </w:r>
      <w:r w:rsidRPr="00EE2060">
        <w:fldChar w:fldCharType="begin" w:fldLock="1"/>
      </w:r>
      <w:r w:rsidR="007527CC">
        <w:instrText>ADDIN CSL_CITATION {"citationItems":[{"id":"ITEM-1","itemData":{"DOI":"10.2471/BLT.07.044248","ISSN":"00429686","PMID":"18670668","abstract":"Objective: To analyse the early loss of patients to antiretroviral therapy (ART) programmes in resource-limited settings. Methods: Using data on 5491 adult patients starting ART (median age 35 years, 46% female) in 15 treatment programmes in Africa, Asia and South America with ≥ 12 months of follow-up, we investigated risk factors for no follow-up after treatment initiation, and loss to follow-up or death in the first 6 months. Findings: Overall, 211 patients (3.8%) had no follow-up, 880 (16.0%) were lost to follow-up and 141 (2.6%) were known to have died in the first 6 months. The probability of no follow-up was higher in 2003-2004 than in 2000 or earlier (odds ratio, OR: 5.06; 95% confidence interval, CI: 1.28-20.0), as was loss to follow-up (hazard ratio, HR: 7.62; 95% CI: 4.55-12.8) but not recorded death (HR: 1.02; 95% CI: 0.44-2.36). Compared with a baseline CD4-cell count ≥ 50 cells/μl, a count &lt; 25 cells/μl was associated with a higher probability of no follow-up (OR: 2.49; 95% CI: 1.43-4.33), loss to follow-up (HR: 1.48; 95% CI: 1.23-1.77) and death (HR: 3.34; 95% CI: 2.10-5.30). Compared to free treatment, fee-for-service programmes were associated with a higher probability of no follow-up (OR: 3.71; 95% CI: 0.97-16.05) and higher mortality (HR: 4.64; 95% CI: 1.11-19.41). Conclusion: Early patient losses were increasingly common when programmes were scaled up and were associated with a fee for service and advanced immunodeficiency at baseline. Measures to maximize ART programme retention are required in resource-poor countries.","author":[{"dropping-particle":"","family":"Brinkhof","given":"Martin W.G.","non-dropping-particle":"","parse-names":false,"suffix":""},{"dropping-particle":"","family":"Dabis","given":"François","non-dropping-particle":"","parse-names":false,"suffix":""},{"dropping-particle":"","family":"Myer","given":"Landon","non-dropping-particle":"","parse-names":false,"suffix":""},{"dropping-particle":"","family":"Bangsberg","given":"David R.","non-dropping-particle":"","parse-names":false,"suffix":""},{"dropping-particle":"","family":"Boulle","given":"Andrew","non-dropping-particle":"","parse-names":false,"suffix":""},{"dropping-particle":"","family":"Nash","given":"Denis","non-dropping-particle":"","parse-names":false,"suffix":""},{"dropping-particle":"","family":"Schechter","given":"Mauro","non-dropping-particle":"","parse-names":false,"suffix":""},{"dropping-particle":"","family":"Laurent","given":"Christian","non-dropping-particle":"","parse-names":false,"suffix":""},{"dropping-particle":"","family":"Keiser","given":"Olivia","non-dropping-particle":"","parse-names":false,"suffix":""},{"dropping-particle":"","family":"May","given":"Margaret","non-dropping-particle":"","parse-names":false,"suffix":""},{"dropping-particle":"","family":"Sprinz","given":"Eduardo","non-dropping-particle":"","parse-names":false,"suffix":""},{"dropping-particle":"","family":"Egger","given":"Matthias","non-dropping-particle":"","parse-names":false,"suffix":""},{"dropping-particle":"","family":"Anglaret","given":"Xavier","non-dropping-particle":"","parse-names":false,"suffix":""}],"container-title":"Bulletin of the World Health Organization","id":"ITEM-1","issue":"7","issued":{"date-parts":[["2008"]]},"page":"559-567","title":"Early loss of HIV-infected patients on potent antiretroviral therapy programmes in lower-income countries","type":"article-journal","volume":"86"},"uris":["http://www.mendeley.com/documents/?uuid=d04be326-fec1-4921-8606-5c9a05fdd889"]},{"id":"ITEM-2","itemData":{"DOI":"10.1002/jia2.25178","ISSN":"17582652","abstract":"Introduction: Adolescence and pregnancy are potential risk factors for loss to follow-up (LTFU) while on antiretroviral therapy (ART). We compared adolescent and adult LTFU after ART initiation to quantify the impact of age, pregnancy, and site-level factors on LTFU. Methods: We used routine clinical data for patients initiating ART as young adolescents (YA; 10 to 14 years), older adolescents (OA; 15 to 19 years) and adults (≥20 years) from 2000 to 2014 at 52 health facilities affiliated with the International epidemiology Databases to Evaluate AIDS (IeDEA) East Africa collaboration. We estimated cumulative incidence (95% confidence interval, CI) of LTFU (no clinic visit for ≥6 months after ART initiation) and identified patient and site-level correlates of LTFU, using multivariable Cox proportional hazards models for all patients as well as individual age groups. Results: A total of 138,387 patients initiated ART, including 2496 YA, 2955 OA and 132,936 adults. Of these, 55%, 78% and 66%, respectively, were female and 0.7% of YA, 22.3% of OA and 8.3% of adults were pregnant at ART initiation. Cumulative incidence of LTFU at five years was 26.6% (24.6 to 28.6) among YA, 44.1% (41.8 to 46.3) among OA and 29.3% (29.1 to 29.6) among adults. Overall, compared to adults, the adjusted hazard ratio, aHR, (95% CI) of LTFU for OA was 1.54 (1.41 to 1.68) and 0.77 (0.69 to 0.86) for YA. Compared to males, pregnant females had higher hazard of LTFU, aHR 1.20 (1.14 to 1.27), and nonpregnant women had lower hazard aHR 0.90 (0.88 to 0.93). LTFU hazard among the OA was primarily driven by both pregnant and nonpregnant females, aHR 2.42 (1.98 to 2.95) and 1.51 (1.27 to 1.80), respectively, compared to men. The LTFU hazard ratio varied by IeDEA program. Site-level factors associated with overall lower LTFU hazard included receiving care in tertiary versus primary-care clinics aHR 0.61 (0.56 to 0.67), integrated adult and adolescent services and food ration provision aHR 0.93 (0.89 to 0.97) versus nonintegrated clinics with food ration provision, having patient support groups aHR 0.77 (0.66 to 0.90) and group adherence counselling aHR 0.61 (0.57 to 0.67). Conclusions: Older adolescents experienced higher risk of LTFU compared to YA and adults. Interventions to prevent LTFU among older adolescents are critically needed, particularly for female and/or pregnant adolescents.","author":[{"dropping-particle":"","family":"Nuwagaba-Biribonwoha","given":"Harriet","non-dropping-particle":"","parse-names":false,"suffix":""},{"dropping-particle":"","family":"Kiragga","given":"Agnes N.","non-dropping-particle":"","parse-names":false,"suffix":""},{"dropping-particle":"","family":"Yiannoutsos","given":"Constantin T.","non-dropping-particle":"","parse-names":false,"suffix":""},{"dropping-particle":"","family":"Musick","given":"Beverly S.","non-dropping-particle":"","parse-names":false,"suffix":""},{"dropping-particle":"","family":"Wools-Kaloustian","given":"Kara K.","non-dropping-particle":"","parse-names":false,"suffix":""},{"dropping-particle":"","family":"Ayaya","given":"Samuel","non-dropping-particle":"","parse-names":false,"suffix":""},{"dropping-particle":"","family":"Wolf","given":"Hilary","non-dropping-particle":"","parse-names":false,"suffix":""},{"dropping-particle":"","family":"Lugina","given":"Emmanuel","non-dropping-particle":"","parse-names":false,"suffix":""},{"dropping-particle":"","family":"Ssali","given":"John","non-dropping-particle":"","parse-names":false,"suffix":""},{"dropping-particle":"","family":"Abrams","given":"Elaine J.","non-dropping-particle":"","parse-names":false,"suffix":""},{"dropping-particle":"","family":"Elul","given":"Batya","non-dropping-particle":"","parse-names":false,"suffix":""}],"container-title":"Journal of the International AIDS Society","id":"ITEM-2","issue":"9","issued":{"date-parts":[["2018"]]},"page":"1-9","title":"Adolescent pregnancy at antiretroviral therapy (ART) initiation: a critical barrier to retention on ART","type":"article-journal","volume":"21"},"uris":["http://www.mendeley.com/documents/?uuid=1b82c4e5-769a-415f-84c8-2b40f42a726e"]},{"id":"ITEM-3","itemData":{"DOI":"10.1002/jia2.25084","ISSN":"17582652","abstract":"Introduction: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Society","id":"ITEM-3","issue":"2","issued":{"date-parts":[["2018"]]},"page":"1-7","title":"Retention and mortality on antiretroviral therapy in sub-Saharan Africa: Collaborative analyses of HIV treatment programmes: Collaborative","type":"article-journal","volume":"21"},"uris":["http://www.mendeley.com/documents/?uuid=973be433-f329-438c-a007-d6d819f544b0"]},{"id":"ITEM-4","itemData":{"DOI":"10.1136/jech-2015-206629.CD4","author":[{"dropping-particle":"","family":"Grimsrud","given":"Anna","non-dropping-particle":"","parse-names":false,"suffix":""},{"dropping-particle":"","family":"Cornell","given":"Morna","non-dropping-particle":"","parse-names":false,"suffix":""},{"dropping-particle":"","family":"Schomaker","given":"Michael","non-dropping-particle":"","parse-names":false,"suffix":""},{"dropping-particle":"","family":"Fox","given":"Matthew P","non-dropping-particle":"","parse-names":false,"suffix":""}],"container-title":"Journal of Epidemiology and Community Health","id":"ITEM-4","issue":"6","issued":{"date-parts":[["2016"]]},"page":"549-555","title":"CD4 count at antiretroviral therapy initiation and the risk of loss to follow-up: results from a multicentre cohort study","type":"article-journal","volume":"70"},"uris":["http://www.mendeley.com/documents/?uuid=7ad9f40a-96ee-4706-828a-d6e25db87d45"]},{"id":"ITEM-5","itemData":{"DOI":"10.1097/QAD.0000000000002358","ISBN":"0000000000","ISSN":"14735571","abstract":"Background:UNAIDS models use data from the International epidemiology Databases to Evaluate AIDS (IeDEA) collaboration in setting assumptions about mortality rates after antiretroviral treatment (ART) initiation. This study aims to update these assumptions with new data, to quantify the extent of regional variation in ART mortality and to assess trends in ART mortality.Methods:Adult ART patients from Africa, Asia and the Americas were included if they had a known date of ART initiation during 2001-2017 and a baseline CD4+ cell count. In cohorts that relied only on passive follow-up (no patient tracing or linkage to vital registration systems), mortality outcomes were imputed in patients lost to follow-up based on a meta-analysis of tracing study data. Poisson regression models were fitted to the mortality data.Results:464 048 ART patients were included. In multivariable analysis, mortality rates were lowest in Asia and highest in Africa, with no significant differences between African regions. Adjusted mortality rates varied significantly between programmes within regions. Mortality rates in the first 12 months after ART initiation were significantly higher during 2001-2006 than during 2010-2014, although the difference was more substantial in Asia and the Americas [adjusted incidence rate ratio (aIRR) 1.43, 95% CI: 1.22-1.66] than in Africa (aIRR 1.07, 95% CI: 1.04-1.11).Conclusion:There is substantial variation in ART mortality between and within regions, even after controlling for differences in mortality by age, sex, baseline CD4 category and calendar period. ART mortality rates have declined substantially over time, although declines have been slower in Africa.","author":[{"dropping-particle":"","family":"Johnson","given":"Leigh F.","non-dropping-particle":"","parse-names":false,"suffix":""},{"dropping-particle":"","family":"Anderegg","given":"Nanina","non-dropping-particle":"","parse-names":false,"suffix":""},{"dropping-particle":"","family":"Zaniewski","given":"Elizabeth","non-dropping-particle":"","parse-names":false,"suffix":""},{"dropping-particle":"","family":"Eaton","given":"Jeffrey W.","non-dropping-particle":"","parse-names":false,"suffix":""},{"dropping-particle":"","family":"Rebeiro","given":"Peter F.","non-dropping-particle":"","parse-names":false,"suffix":""},{"dropping-particle":"","family":"Carriquiry","given":"Gabriela","non-dropping-particle":"","parse-names":false,"suffix":""},{"dropping-particle":"","family":"Nash","given":"Denis","non-dropping-particle":"","parse-names":false,"suffix":""},{"dropping-particle":"","family":"Yotebieng","given":"Marcel","non-dropping-particle":"","parse-names":false,"suffix":""},{"dropping-particle":"","family":"Ekouevi","given":"Didier K.","non-dropping-particle":"","parse-names":false,"suffix":""},{"dropping-particle":"","family":"Holmes","given":"Charles B.","non-dropping-particle":"","parse-names":false,"suffix":""},{"dropping-particle":"","family":"Choi","given":"Jun Y.","non-dropping-particle":"","parse-names":false,"suffix":""},{"dropping-particle":"","family":"Jiamsakul","given":"Awachana","non-dropping-particle":"","parse-names":false,"suffix":""},{"dropping-particle":"","family":"Bakoyannis","given":"Giorgos","non-dropping-particle":"","parse-names":false,"suffix":""},{"dropping-particle":"","family":"Althoff","given":"Keri N.","non-dropping-particle":"","parse-names":false,"suffix":""},{"dropping-particle":"","family":"Sohn","given":"Annette H.","non-dropping-particle":"","parse-names":false,"suffix":""},{"dropping-particle":"","family":"Yiannoutsos","given":"Constantin","non-dropping-particle":"","parse-names":false,"suffix":""},{"dropping-particle":"","family":"Egger","given":"Matthias","non-dropping-particle":"","parse-names":false,"suffix":""}],"container-title":"Aids","id":"ITEM-5","issue":"July","issued":{"date-parts":[["2019"]]},"page":"S283-S294","title":"Global variations in mortality in adults after initiating antiretroviral treatment: An updated analysis of the International epidemiology Databases to Evaluate AIDS cohort collaboration","type":"article-journal","volume":"33"},"uris":["http://www.mendeley.com/documents/?uuid=650a724a-f89a-4c70-b7a0-59378177b12b"]}],"mendeley":{"formattedCitation":"&lt;sup&gt;56,63–66&lt;/sup&gt;","plainTextFormattedCitation":"56,63–66","previouslyFormattedCitation":"&lt;sup&gt;56,63–66&lt;/sup&gt;"},"properties":{"noteIndex":0},"schema":"https://github.com/citation-style-language/schema/raw/master/csl-citation.json"}</w:instrText>
      </w:r>
      <w:r w:rsidRPr="00EE2060">
        <w:fldChar w:fldCharType="separate"/>
      </w:r>
      <w:r w:rsidR="00036C3E" w:rsidRPr="00036C3E">
        <w:rPr>
          <w:noProof/>
          <w:vertAlign w:val="superscript"/>
        </w:rPr>
        <w:t>56,63–</w:t>
      </w:r>
      <w:r w:rsidR="00036C3E" w:rsidRPr="00036C3E">
        <w:rPr>
          <w:noProof/>
          <w:vertAlign w:val="superscript"/>
        </w:rPr>
        <w:lastRenderedPageBreak/>
        <w:t>66</w:t>
      </w:r>
      <w:r w:rsidRPr="00EE2060">
        <w:fldChar w:fldCharType="end"/>
      </w:r>
      <w:r w:rsidRPr="00EE2060">
        <w:t xml:space="preserve"> When estimating the probability of death, we will adjust for the estimates among patients misclassified as LTFU using probability weights.</w:t>
      </w:r>
      <w:r w:rsidRPr="00EE2060">
        <w:fldChar w:fldCharType="begin" w:fldLock="1"/>
      </w:r>
      <w:r w:rsidR="007527CC">
        <w:instrText>ADDIN CSL_CITATION {"citationItems":[{"id":"ITEM-1","itemData":{"DOI":"10.1002/jia2.25084","ISSN":"17582652","abstract":"Introduction: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Society","id":"ITEM-1","issue":"2","issued":{"date-parts":[["2018"]]},"page":"1-7","title":"Retention and mortality on antiretroviral therapy in sub-Saharan Africa: Collaborative analyses of HIV treatment programmes: Collaborative","type":"article-journal","volume":"21"},"uris":["http://www.mendeley.com/documents/?uuid=973be433-f329-438c-a007-d6d819f544b0"]}],"mendeley":{"formattedCitation":"&lt;sup&gt;56&lt;/sup&gt;","plainTextFormattedCitation":"56","previouslyFormattedCitation":"&lt;sup&gt;56&lt;/sup&gt;"},"properties":{"noteIndex":0},"schema":"https://github.com/citation-style-language/schema/raw/master/csl-citation.json"}</w:instrText>
      </w:r>
      <w:r w:rsidRPr="00EE2060">
        <w:fldChar w:fldCharType="separate"/>
      </w:r>
      <w:r w:rsidR="00036C3E" w:rsidRPr="00036C3E">
        <w:rPr>
          <w:noProof/>
          <w:vertAlign w:val="superscript"/>
        </w:rPr>
        <w:t>56</w:t>
      </w:r>
      <w:r w:rsidRPr="00EE2060">
        <w:fldChar w:fldCharType="end"/>
      </w:r>
      <w:r w:rsidRPr="00EE2060">
        <w:t xml:space="preserve"> The probability </w:t>
      </w:r>
      <w:r w:rsidRPr="00EE2060">
        <w:rPr>
          <w:color w:val="000000"/>
        </w:rPr>
        <w:t xml:space="preserve">weight is calculated as: </w:t>
      </w:r>
    </w:p>
    <w:p w14:paraId="78BFB6BF" w14:textId="77777777" w:rsidR="00044274" w:rsidRPr="00EE2060" w:rsidRDefault="00044274" w:rsidP="003060F6">
      <w:pPr>
        <w:pStyle w:val="BodyText"/>
        <w:spacing w:before="0" w:after="0"/>
        <w:jc w:val="both"/>
      </w:pPr>
    </w:p>
    <w:p w14:paraId="2F227D8B" w14:textId="1B96CB32" w:rsidR="00C9678A" w:rsidRDefault="00000000" w:rsidP="00044274">
      <w:pPr>
        <w:pStyle w:val="BodyText"/>
        <w:spacing w:before="0" w:after="0"/>
        <w:rPr>
          <w:rFonts w:eastAsiaTheme="minorEastAsia"/>
        </w:rPr>
      </w:pPr>
      <m:oMath>
        <m:sSub>
          <m:sSubPr>
            <m:ctrlPr>
              <w:rPr>
                <w:rFonts w:ascii="Cambria Math" w:hAnsi="Cambria Math"/>
                <w:i/>
              </w:rPr>
            </m:ctrlPr>
          </m:sSubPr>
          <m:e>
            <m:r>
              <w:rPr>
                <w:rFonts w:ascii="Cambria Math" w:hAnsi="Cambria Math"/>
              </w:rPr>
              <m:t>weight</m:t>
            </m:r>
          </m:e>
          <m:sub>
            <m:r>
              <w:rPr>
                <w:rFonts w:ascii="Cambria Math" w:hAnsi="Cambria Math"/>
              </w:rPr>
              <m:t>dead</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dead</m:t>
                    </m:r>
                  </m:sub>
                </m:sSub>
              </m:num>
              <m:den>
                <m:sSub>
                  <m:sSubPr>
                    <m:ctrlPr>
                      <w:rPr>
                        <w:rFonts w:ascii="Cambria Math" w:hAnsi="Cambria Math"/>
                        <w:i/>
                      </w:rPr>
                    </m:ctrlPr>
                  </m:sSubPr>
                  <m:e>
                    <m:r>
                      <w:rPr>
                        <w:rFonts w:ascii="Cambria Math" w:hAnsi="Cambria Math"/>
                      </w:rPr>
                      <m:t>n</m:t>
                    </m:r>
                  </m:e>
                  <m:sub>
                    <m:r>
                      <w:rPr>
                        <w:rFonts w:ascii="Cambria Math" w:hAnsi="Cambria Math"/>
                      </w:rPr>
                      <m:t>dead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LTFU</m:t>
                    </m:r>
                  </m:sub>
                </m:sSub>
              </m:den>
            </m:f>
          </m:den>
        </m:f>
      </m:oMath>
      <w:r w:rsidR="00044274">
        <w:rPr>
          <w:rFonts w:eastAsiaTheme="minorEastAsia"/>
        </w:rPr>
        <w:tab/>
      </w:r>
      <w:r w:rsidR="00044274">
        <w:rPr>
          <w:rFonts w:eastAsiaTheme="minorEastAsia"/>
        </w:rPr>
        <w:tab/>
      </w:r>
      <w:r w:rsidR="00044274">
        <w:rPr>
          <w:rFonts w:eastAsiaTheme="minorEastAsia"/>
        </w:rPr>
        <w:tab/>
      </w:r>
      <w:r w:rsidR="00044274">
        <w:rPr>
          <w:rFonts w:eastAsiaTheme="minorEastAsia"/>
        </w:rPr>
        <w:tab/>
      </w:r>
      <w:r w:rsidR="00044274">
        <w:rPr>
          <w:rFonts w:eastAsiaTheme="minorEastAsia"/>
        </w:rPr>
        <w:tab/>
      </w:r>
      <w:r w:rsidR="00044274">
        <w:rPr>
          <w:rFonts w:eastAsiaTheme="minorEastAsia"/>
        </w:rPr>
        <w:tab/>
      </w:r>
      <w:r w:rsidR="00044274">
        <w:rPr>
          <w:rFonts w:eastAsiaTheme="minorEastAsia"/>
        </w:rPr>
        <w:tab/>
      </w:r>
      <w:r w:rsidR="00044274">
        <w:rPr>
          <w:rFonts w:eastAsiaTheme="minorEastAsia"/>
        </w:rPr>
        <w:tab/>
        <w:t>(1</w:t>
      </w:r>
      <w:r w:rsidR="00FA0F83">
        <w:rPr>
          <w:rFonts w:eastAsiaTheme="minorEastAsia"/>
        </w:rPr>
        <w:t>7</w:t>
      </w:r>
      <w:r w:rsidR="00044274">
        <w:rPr>
          <w:rFonts w:eastAsiaTheme="minorEastAsia"/>
        </w:rPr>
        <w:t>)</w:t>
      </w:r>
    </w:p>
    <w:p w14:paraId="4A698876" w14:textId="77777777" w:rsidR="00044274" w:rsidRPr="00044274" w:rsidRDefault="00044274" w:rsidP="00044274">
      <w:pPr>
        <w:pStyle w:val="BodyText"/>
        <w:spacing w:before="0" w:after="0"/>
      </w:pPr>
    </w:p>
    <w:p w14:paraId="6C63EB79" w14:textId="77777777" w:rsidR="00C9678A" w:rsidRPr="00FB6B71" w:rsidRDefault="00000000" w:rsidP="003060F6">
      <w:pPr>
        <w:pStyle w:val="BodyText"/>
        <w:spacing w:before="0" w:after="0"/>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weight</m:t>
              </m:r>
            </m:e>
            <m:sub>
              <m:r>
                <w:rPr>
                  <w:rFonts w:ascii="Cambria Math" w:hAnsi="Cambria Math"/>
                </w:rPr>
                <m:t>censor</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censor</m:t>
                      </m:r>
                    </m:sub>
                  </m:sSub>
                </m:num>
                <m:den>
                  <m:sSub>
                    <m:sSubPr>
                      <m:ctrlPr>
                        <w:rPr>
                          <w:rFonts w:ascii="Cambria Math" w:hAnsi="Cambria Math"/>
                          <w:i/>
                        </w:rPr>
                      </m:ctrlPr>
                    </m:sSubPr>
                    <m:e>
                      <m:r>
                        <w:rPr>
                          <w:rFonts w:ascii="Cambria Math" w:hAnsi="Cambria Math"/>
                        </w:rPr>
                        <m:t>n</m:t>
                      </m:r>
                    </m:e>
                    <m:sub>
                      <m:r>
                        <w:rPr>
                          <w:rFonts w:ascii="Cambria Math" w:hAnsi="Cambria Math"/>
                        </w:rPr>
                        <m:t>censor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LTFU</m:t>
                      </m:r>
                    </m:sub>
                  </m:sSub>
                </m:den>
              </m:f>
            </m:den>
          </m:f>
        </m:oMath>
      </m:oMathPara>
    </w:p>
    <w:p w14:paraId="435ECD52" w14:textId="77777777" w:rsidR="00FB6B71" w:rsidRDefault="00FB6B71" w:rsidP="003060F6">
      <w:pPr>
        <w:pStyle w:val="BodyText"/>
        <w:spacing w:before="0" w:after="0"/>
        <w:jc w:val="center"/>
        <w:rPr>
          <w:rFonts w:eastAsiaTheme="minorEastAsia"/>
        </w:rPr>
      </w:pPr>
    </w:p>
    <w:p w14:paraId="26F79FB4" w14:textId="77777777" w:rsidR="00FB6B71" w:rsidRDefault="00FB6B71" w:rsidP="00FB6B71">
      <w:pPr>
        <w:pStyle w:val="BodyText"/>
        <w:spacing w:before="0" w:after="0"/>
        <w:jc w:val="both"/>
      </w:pPr>
      <w:r>
        <w:t>We parameterize this expression as follows:</w:t>
      </w:r>
    </w:p>
    <w:p w14:paraId="04B678DD" w14:textId="77777777" w:rsidR="00FB6B71" w:rsidRPr="00050905" w:rsidRDefault="00FB6B71" w:rsidP="00FB6B71">
      <w:pPr>
        <w:pStyle w:val="BodyText"/>
        <w:spacing w:before="0" w:after="0"/>
        <w:jc w:val="both"/>
      </w:pPr>
    </w:p>
    <w:p w14:paraId="0A385598" w14:textId="1C6FA006" w:rsidR="00FB6B71" w:rsidRDefault="00FB6B71" w:rsidP="00CA4591">
      <w:pPr>
        <w:pStyle w:val="BodyText"/>
        <w:numPr>
          <w:ilvl w:val="0"/>
          <w:numId w:val="16"/>
        </w:numPr>
        <w:spacing w:before="0" w:after="0"/>
        <w:jc w:val="both"/>
      </w:pPr>
      <w:r w:rsidRPr="00FB6B71">
        <w:rPr>
          <w:color w:val="000000"/>
          <w:u w:val="single"/>
        </w:rPr>
        <w:t>Proportion of death among LTFU</w:t>
      </w:r>
      <w:r w:rsidRPr="00FB6B71">
        <w:rPr>
          <w:color w:val="000000"/>
        </w:rPr>
        <w:t>. The proportion of patients LTFU but who have died is based on a retrospective study from Kenya that evaluated outcomes of people living with HIV in the general population and LTFU (data from 2009-2011); the study</w:t>
      </w:r>
      <w:r w:rsidRPr="00050905">
        <w:t xml:space="preserve"> found that 17%</w:t>
      </w:r>
      <w:r>
        <w:t xml:space="preserve"> </w:t>
      </w:r>
      <w:r w:rsidRPr="00050905">
        <w:t>of pre-ART patients classified as LTFU had died.</w:t>
      </w:r>
      <w:r w:rsidRPr="00050905">
        <w:fldChar w:fldCharType="begin" w:fldLock="1"/>
      </w:r>
      <w:r w:rsidR="007527CC">
        <w:instrText>ADDIN CSL_CITATION {"citationItems":[{"id":"ITEM-1","itemData":{"DOI":"10.1097/QAI.0000000000000492","ISBN":"0000000000000","ISSN":"10779450","abstract":"© 2014 Wolters Kluwer Health, Inc. Background: Academic Model Providing Access To Healthcare (AMPATH) program provides comprehensive HIV care and treatment services. Approximately, 30% of patients have become lost to follow-up (LTFU). We sought to actively trace and identify outcomes for a sample of these patients. Methods: LTFU was defined as missing a scheduled visit by $3 months. A randomly selected sample of 17% of patients identified as LTFU between January 2009 and June 2011 was generated, with sample stratification on age, antiretroviral therapy (ART) status at last visit, and facility. Chart reviews were conducted followed by active tracing. Tracing was completed by trained HIV-positive outreach workers July 2011 to February 2012. Outcomes were compared between adults and children and by ART status. Results: Of 14,811 LTFU patients, 2540 were randomly selected for tracing (2179 adults, 1071 on ART). The chart reviews indicated that 326 (12.8%) patients were not actually LTFU. Outcomes for 71% of sampled patients were determined including 85% of those physically traced. Of those with known outcomes, 21% had died, whereas 29% had disengaged from care for various reasons. The remaining patients had moved away (n = 458, 25%) or were still receiving HIV care (n = 443 total, 25%). Conclusions: Our findings demonstrate the feasibility of a largescale sampling-based approach. A significant proportion of patients were found not to be LTFU, and further, high numbers of patients who were LTFU could not be located. Over a quarter of patients disengaged from care for various reasons including access challenges and familial influences.","author":[{"dropping-particle":"","family":"Rachlis","given":"Beth","non-dropping-particle":"","parse-names":false,"suffix":""},{"dropping-particle":"","family":"Ochieng","given":"Daniel","non-dropping-particle":"","parse-names":false,"suffix":""},{"dropping-particle":"","family":"Geng","given":"Elvin","non-dropping-particle":"","parse-names":false,"suffix":""},{"dropping-particle":"","family":"Rotich","given":"Elyne","non-dropping-particle":"","parse-names":false,"suffix":""},{"dropping-particle":"","family":"Ochieng","given":"Vincent","non-dropping-particle":"","parse-names":false,"suffix":""},{"dropping-particle":"","family":"Maritim","given":"Beryl","non-dropping-particle":"","parse-names":false,"suffix":""},{"dropping-particle":"","family":"Ndege","given":"Samson","non-dropping-particle":"","parse-names":false,"suffix":""},{"dropping-particle":"","family":"Naanyu","given":"Violet","non-dropping-particle":"","parse-names":false,"suffix":""},{"dropping-particle":"","family":"Martin","given":"Jeffrey N.","non-dropping-particle":"","parse-names":false,"suffix":""},{"dropping-particle":"","family":"Keter","given":"Alfred","non-dropping-particle":"","parse-names":false,"suffix":""},{"dropping-particle":"","family":"Ayuo","given":"Paul","non-dropping-particle":"","parse-names":false,"suffix":""},{"dropping-particle":"","family":"Diero","given":"Lameck","non-dropping-particle":"","parse-names":false,"suffix":""},{"dropping-particle":"","family":"Nyambura","given":"Monicah","non-dropping-particle":"","parse-names":false,"suffix":""},{"dropping-particle":"","family":"Braitstein","given":"Paula","non-dropping-particle":"","parse-names":false,"suffix":""}],"container-title":"Journal of Acquired Immune Deficiency Syndromes","id":"ITEM-1","issue":"4","issued":{"date-parts":[["2015"]]},"page":"e46-e55","title":"Evaluating outcomes of patients lost to follow-up in a large comprehensive care treatment program in Western Kenya","type":"article-journal","volume":"68"},"uris":["http://www.mendeley.com/documents/?uuid=46dfb1ee-def0-49a8-aeda-dbe712f30a4f"]}],"mendeley":{"formattedCitation":"&lt;sup&gt;54&lt;/sup&gt;","plainTextFormattedCitation":"54","previouslyFormattedCitation":"&lt;sup&gt;54&lt;/sup&gt;"},"properties":{"noteIndex":0},"schema":"https://github.com/citation-style-language/schema/raw/master/csl-citation.json"}</w:instrText>
      </w:r>
      <w:r w:rsidRPr="00050905">
        <w:fldChar w:fldCharType="separate"/>
      </w:r>
      <w:r w:rsidR="00036C3E" w:rsidRPr="00036C3E">
        <w:rPr>
          <w:noProof/>
          <w:vertAlign w:val="superscript"/>
        </w:rPr>
        <w:t>54</w:t>
      </w:r>
      <w:r w:rsidRPr="00050905">
        <w:fldChar w:fldCharType="end"/>
      </w:r>
    </w:p>
    <w:p w14:paraId="74BEFD03" w14:textId="02FDF178" w:rsidR="00F013FE" w:rsidRDefault="00FB6B71" w:rsidP="00580BE8">
      <w:pPr>
        <w:pStyle w:val="BodyText"/>
        <w:numPr>
          <w:ilvl w:val="0"/>
          <w:numId w:val="16"/>
        </w:numPr>
        <w:spacing w:before="0" w:after="0"/>
        <w:jc w:val="both"/>
        <w:sectPr w:rsidR="00F013FE" w:rsidSect="00EE2060">
          <w:headerReference w:type="even" r:id="rId73"/>
          <w:headerReference w:type="default" r:id="rId74"/>
          <w:headerReference w:type="first" r:id="rId75"/>
          <w:pgSz w:w="12240" w:h="15840"/>
          <w:pgMar w:top="1440" w:right="1440" w:bottom="1440" w:left="1440" w:header="720" w:footer="720" w:gutter="0"/>
          <w:cols w:space="720"/>
          <w:docGrid w:linePitch="360"/>
        </w:sectPr>
      </w:pPr>
      <w:r w:rsidRPr="00FB6B71">
        <w:rPr>
          <w:color w:val="000000"/>
          <w:u w:val="single"/>
        </w:rPr>
        <w:t>Proportion of died among LTFU when on ART</w:t>
      </w:r>
      <w:r w:rsidRPr="00FB6B71">
        <w:rPr>
          <w:color w:val="000000"/>
        </w:rPr>
        <w:t>. The proportion of patients LTFU having transferred to another site is based on a meta-analysis on LTFU among patients in ART programs in sub-Saharan Africa; the study found that 20.8% of patients recorded as LTFU had died.</w:t>
      </w:r>
      <w:r w:rsidRPr="00FF7A3B">
        <w:rPr>
          <w:color w:val="000000" w:themeColor="text1"/>
        </w:rPr>
        <w:fldChar w:fldCharType="begin" w:fldLock="1"/>
      </w:r>
      <w:r w:rsidR="007527CC">
        <w:rPr>
          <w:color w:val="000000" w:themeColor="text1"/>
        </w:rPr>
        <w:instrText>ADDIN CSL_CITATION {"citationItems":[{"id":"ITEM-1","itemData":{"DOI":"10.1002/jia2.25084","ISSN":"17582652","abstract":"Introduction: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 Ann","non-dropping-particle":"","parse-names":false,"suffix":""},{"dropping-particle":"","family":"Egger","given":"Matthias","non-dropping-particle":"","parse-names":false,"suffix":""}],"container-title":"Journal of the International AIDS Society","id":"ITEM-1","issue":"2","issued":{"date-parts":[["2018"]]},"page":"1-7","title":"Retention and mortality on antiretroviral therapy in sub-Saharan Africa: Collaborative analyses of HIV treatment programmes: Collaborative","type":"article-journal","volume":"21"},"uris":["http://www.mendeley.com/documents/?uuid=973be433-f329-438c-a007-d6d819f544b0"]}],"mendeley":{"formattedCitation":"&lt;sup&gt;56&lt;/sup&gt;","plainTextFormattedCitation":"56","previouslyFormattedCitation":"&lt;sup&gt;56&lt;/sup&gt;"},"properties":{"noteIndex":0},"schema":"https://github.com/citation-style-language/schema/raw/master/csl-citation.json"}</w:instrText>
      </w:r>
      <w:r w:rsidRPr="00FF7A3B">
        <w:rPr>
          <w:color w:val="000000" w:themeColor="text1"/>
        </w:rPr>
        <w:fldChar w:fldCharType="separate"/>
      </w:r>
      <w:r w:rsidR="00036C3E" w:rsidRPr="00036C3E">
        <w:rPr>
          <w:noProof/>
          <w:color w:val="000000" w:themeColor="text1"/>
          <w:vertAlign w:val="superscript"/>
        </w:rPr>
        <w:t>56</w:t>
      </w:r>
      <w:r w:rsidRPr="00FF7A3B">
        <w:rPr>
          <w:color w:val="000000" w:themeColor="text1"/>
        </w:rPr>
        <w:fldChar w:fldCharType="end"/>
      </w:r>
    </w:p>
    <w:p w14:paraId="5DFD4AE8" w14:textId="5F96075E" w:rsidR="00C9678A" w:rsidRDefault="00C9678A" w:rsidP="00580BE8">
      <w:pPr>
        <w:pStyle w:val="BodyText"/>
        <w:rPr>
          <w:b/>
          <w:bCs/>
          <w:color w:val="000000" w:themeColor="text1"/>
        </w:rPr>
      </w:pPr>
      <w:bookmarkStart w:id="308" w:name="_Ref82440365"/>
      <w:bookmarkStart w:id="309" w:name="_Toc82448079"/>
      <w:bookmarkStart w:id="310" w:name="_Toc82592510"/>
      <w:bookmarkStart w:id="311" w:name="_Toc82599275"/>
      <w:r w:rsidRPr="004F6186">
        <w:rPr>
          <w:b/>
          <w:bCs/>
          <w:color w:val="000000" w:themeColor="text1"/>
        </w:rPr>
        <w:lastRenderedPageBreak/>
        <w:t xml:space="preserve">Table </w:t>
      </w:r>
      <w:r w:rsidRPr="004F6186">
        <w:rPr>
          <w:b/>
          <w:bCs/>
          <w:color w:val="000000" w:themeColor="text1"/>
        </w:rPr>
        <w:fldChar w:fldCharType="begin"/>
      </w:r>
      <w:r w:rsidRPr="004F6186">
        <w:rPr>
          <w:b/>
          <w:bCs/>
          <w:color w:val="000000" w:themeColor="text1"/>
        </w:rPr>
        <w:instrText xml:space="preserve"> SEQ Table \* ARABIC </w:instrText>
      </w:r>
      <w:r w:rsidRPr="004F6186">
        <w:rPr>
          <w:b/>
          <w:bCs/>
          <w:color w:val="000000" w:themeColor="text1"/>
        </w:rPr>
        <w:fldChar w:fldCharType="separate"/>
      </w:r>
      <w:r w:rsidR="001E49BE">
        <w:rPr>
          <w:b/>
          <w:bCs/>
          <w:noProof/>
          <w:color w:val="000000" w:themeColor="text1"/>
        </w:rPr>
        <w:t>16</w:t>
      </w:r>
      <w:r w:rsidRPr="004F6186">
        <w:rPr>
          <w:b/>
          <w:bCs/>
          <w:color w:val="000000" w:themeColor="text1"/>
        </w:rPr>
        <w:fldChar w:fldCharType="end"/>
      </w:r>
      <w:bookmarkEnd w:id="308"/>
      <w:r w:rsidRPr="004F6186">
        <w:rPr>
          <w:b/>
          <w:bCs/>
          <w:color w:val="000000" w:themeColor="text1"/>
        </w:rPr>
        <w:t xml:space="preserve">: </w:t>
      </w:r>
      <w:bookmarkStart w:id="312" w:name="_Hlk74741978"/>
      <w:r w:rsidR="00C569A0">
        <w:rPr>
          <w:b/>
          <w:bCs/>
          <w:color w:val="000000" w:themeColor="text1"/>
        </w:rPr>
        <w:t>Monthly probability of sub-population death, by CD4 stratum and engagement in care</w:t>
      </w:r>
      <w:bookmarkEnd w:id="309"/>
      <w:bookmarkEnd w:id="310"/>
      <w:bookmarkEnd w:id="311"/>
      <w:r w:rsidR="00E60A0C" w:rsidRPr="004F6186" w:rsidDel="00E60A0C">
        <w:rPr>
          <w:b/>
          <w:bCs/>
          <w:color w:val="000000" w:themeColor="text1"/>
        </w:rPr>
        <w:t xml:space="preserve"> </w:t>
      </w:r>
      <w:bookmarkEnd w:id="3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1"/>
        <w:gridCol w:w="904"/>
        <w:gridCol w:w="904"/>
        <w:gridCol w:w="1016"/>
        <w:gridCol w:w="840"/>
        <w:gridCol w:w="967"/>
        <w:gridCol w:w="904"/>
        <w:gridCol w:w="904"/>
        <w:gridCol w:w="826"/>
        <w:gridCol w:w="981"/>
        <w:gridCol w:w="904"/>
        <w:gridCol w:w="904"/>
        <w:gridCol w:w="895"/>
      </w:tblGrid>
      <w:tr w:rsidR="00FB6B71" w14:paraId="02C97C35" w14:textId="77777777" w:rsidTr="00580BE8">
        <w:trPr>
          <w:trHeight w:val="242"/>
        </w:trPr>
        <w:tc>
          <w:tcPr>
            <w:tcW w:w="1196" w:type="pct"/>
            <w:vMerge w:val="restart"/>
            <w:shd w:val="clear" w:color="auto" w:fill="auto"/>
            <w:noWrap/>
            <w:vAlign w:val="bottom"/>
            <w:hideMark/>
          </w:tcPr>
          <w:p w14:paraId="736DABAC" w14:textId="77777777" w:rsidR="00FB6B71" w:rsidRPr="00596193" w:rsidRDefault="00FB6B71" w:rsidP="00303804">
            <w:pPr>
              <w:rPr>
                <w:color w:val="000000"/>
                <w:sz w:val="20"/>
                <w:szCs w:val="20"/>
              </w:rPr>
            </w:pPr>
            <w:r w:rsidRPr="00596193">
              <w:rPr>
                <w:color w:val="000000"/>
                <w:sz w:val="20"/>
                <w:szCs w:val="20"/>
              </w:rPr>
              <w:t>Sub-population</w:t>
            </w:r>
          </w:p>
        </w:tc>
        <w:tc>
          <w:tcPr>
            <w:tcW w:w="1273" w:type="pct"/>
            <w:gridSpan w:val="4"/>
            <w:vAlign w:val="center"/>
          </w:tcPr>
          <w:p w14:paraId="628ED5A3" w14:textId="7A410A52" w:rsidR="00FB6B71" w:rsidRPr="00580BE8" w:rsidDel="000F1C47" w:rsidRDefault="00FB6B71" w:rsidP="00303804">
            <w:pPr>
              <w:jc w:val="center"/>
              <w:rPr>
                <w:color w:val="000000"/>
                <w:sz w:val="20"/>
                <w:szCs w:val="20"/>
                <w:vertAlign w:val="superscript"/>
              </w:rPr>
            </w:pPr>
            <w:proofErr w:type="spellStart"/>
            <w:r>
              <w:rPr>
                <w:color w:val="000000"/>
                <w:sz w:val="20"/>
                <w:szCs w:val="20"/>
              </w:rPr>
              <w:t>Linked</w:t>
            </w:r>
            <w:r>
              <w:rPr>
                <w:color w:val="000000"/>
                <w:sz w:val="20"/>
                <w:szCs w:val="20"/>
                <w:vertAlign w:val="superscript"/>
              </w:rPr>
              <w:t>a</w:t>
            </w:r>
            <w:proofErr w:type="spellEnd"/>
          </w:p>
        </w:tc>
        <w:tc>
          <w:tcPr>
            <w:tcW w:w="1251" w:type="pct"/>
            <w:gridSpan w:val="4"/>
            <w:vAlign w:val="bottom"/>
          </w:tcPr>
          <w:p w14:paraId="1CA6BB03" w14:textId="35F4329C" w:rsidR="00FB6B71" w:rsidRPr="00596193" w:rsidRDefault="00FB6B71" w:rsidP="00303804">
            <w:pPr>
              <w:rPr>
                <w:color w:val="000000"/>
                <w:sz w:val="20"/>
                <w:szCs w:val="20"/>
              </w:rPr>
            </w:pPr>
            <w:r>
              <w:rPr>
                <w:color w:val="000000"/>
                <w:sz w:val="20"/>
                <w:szCs w:val="20"/>
              </w:rPr>
              <w:t>On ART &amp; suppressed</w:t>
            </w:r>
          </w:p>
        </w:tc>
        <w:tc>
          <w:tcPr>
            <w:tcW w:w="1280" w:type="pct"/>
            <w:gridSpan w:val="4"/>
            <w:vAlign w:val="bottom"/>
          </w:tcPr>
          <w:p w14:paraId="4361320A" w14:textId="5CFFB803" w:rsidR="00FB6B71" w:rsidRDefault="00FB6B71" w:rsidP="00303804">
            <w:pPr>
              <w:rPr>
                <w:color w:val="000000"/>
                <w:sz w:val="20"/>
                <w:szCs w:val="20"/>
              </w:rPr>
            </w:pPr>
            <w:commentRangeStart w:id="313"/>
            <w:commentRangeStart w:id="314"/>
            <w:r>
              <w:rPr>
                <w:color w:val="000000"/>
                <w:sz w:val="20"/>
                <w:szCs w:val="20"/>
              </w:rPr>
              <w:t>On ART &amp; not suppressed</w:t>
            </w:r>
            <w:commentRangeEnd w:id="313"/>
            <w:r>
              <w:rPr>
                <w:rStyle w:val="CommentReference"/>
              </w:rPr>
              <w:commentReference w:id="313"/>
            </w:r>
            <w:commentRangeEnd w:id="314"/>
            <w:r>
              <w:rPr>
                <w:rStyle w:val="CommentReference"/>
              </w:rPr>
              <w:commentReference w:id="314"/>
            </w:r>
          </w:p>
        </w:tc>
      </w:tr>
      <w:tr w:rsidR="00FB6B71" w:rsidDel="000F1C47" w14:paraId="2E1AEFD9" w14:textId="77777777" w:rsidTr="00580BE8">
        <w:trPr>
          <w:trHeight w:val="485"/>
        </w:trPr>
        <w:tc>
          <w:tcPr>
            <w:tcW w:w="1196" w:type="pct"/>
            <w:vMerge/>
            <w:shd w:val="clear" w:color="auto" w:fill="auto"/>
            <w:noWrap/>
            <w:vAlign w:val="bottom"/>
          </w:tcPr>
          <w:p w14:paraId="06AEB72D" w14:textId="77777777" w:rsidR="00FB6B71" w:rsidRPr="00596193" w:rsidRDefault="00FB6B71" w:rsidP="00303804">
            <w:pPr>
              <w:rPr>
                <w:color w:val="000000"/>
                <w:sz w:val="20"/>
                <w:szCs w:val="20"/>
              </w:rPr>
            </w:pPr>
          </w:p>
        </w:tc>
        <w:tc>
          <w:tcPr>
            <w:tcW w:w="314" w:type="pct"/>
          </w:tcPr>
          <w:p w14:paraId="477A1ECD" w14:textId="77777777" w:rsidR="00FB6B71" w:rsidRDefault="00FB6B71" w:rsidP="00CF5A05">
            <w:pPr>
              <w:rPr>
                <w:color w:val="000000"/>
                <w:sz w:val="20"/>
                <w:szCs w:val="20"/>
              </w:rPr>
            </w:pPr>
            <w:r>
              <w:rPr>
                <w:color w:val="000000"/>
                <w:sz w:val="20"/>
                <w:szCs w:val="20"/>
              </w:rPr>
              <w:t xml:space="preserve">CD4, </w:t>
            </w:r>
          </w:p>
          <w:p w14:paraId="32FC892C" w14:textId="77777777" w:rsidR="00FB6B71" w:rsidDel="000F1C47" w:rsidRDefault="00FB6B71" w:rsidP="00CF5A05">
            <w:pPr>
              <w:rPr>
                <w:color w:val="000000"/>
                <w:sz w:val="20"/>
                <w:szCs w:val="20"/>
              </w:rPr>
            </w:pPr>
            <w:r>
              <w:rPr>
                <w:color w:val="000000"/>
                <w:sz w:val="20"/>
                <w:szCs w:val="20"/>
              </w:rPr>
              <w:t>&gt;500</w:t>
            </w:r>
          </w:p>
        </w:tc>
        <w:tc>
          <w:tcPr>
            <w:tcW w:w="314" w:type="pct"/>
          </w:tcPr>
          <w:p w14:paraId="1D2729A3" w14:textId="77777777" w:rsidR="00FB6B71" w:rsidDel="000F1C47" w:rsidRDefault="00FB6B71" w:rsidP="00CF5A05">
            <w:pPr>
              <w:rPr>
                <w:color w:val="000000"/>
                <w:sz w:val="20"/>
                <w:szCs w:val="20"/>
              </w:rPr>
            </w:pPr>
            <w:r>
              <w:rPr>
                <w:color w:val="000000"/>
                <w:sz w:val="20"/>
                <w:szCs w:val="20"/>
              </w:rPr>
              <w:t>CD4, 350-500</w:t>
            </w:r>
          </w:p>
        </w:tc>
        <w:tc>
          <w:tcPr>
            <w:tcW w:w="353" w:type="pct"/>
          </w:tcPr>
          <w:p w14:paraId="02752517" w14:textId="77777777" w:rsidR="00FB6B71" w:rsidDel="000F1C47" w:rsidRDefault="00FB6B71" w:rsidP="00CF5A05">
            <w:pPr>
              <w:rPr>
                <w:color w:val="000000"/>
                <w:sz w:val="20"/>
                <w:szCs w:val="20"/>
              </w:rPr>
            </w:pPr>
            <w:r>
              <w:rPr>
                <w:color w:val="000000"/>
                <w:sz w:val="20"/>
                <w:szCs w:val="20"/>
              </w:rPr>
              <w:t>CD4, 200-350</w:t>
            </w:r>
          </w:p>
        </w:tc>
        <w:tc>
          <w:tcPr>
            <w:tcW w:w="292" w:type="pct"/>
          </w:tcPr>
          <w:p w14:paraId="631C92C9" w14:textId="77777777" w:rsidR="00FB6B71" w:rsidRDefault="00FB6B71" w:rsidP="00CF5A05">
            <w:pPr>
              <w:rPr>
                <w:color w:val="000000"/>
                <w:sz w:val="20"/>
                <w:szCs w:val="20"/>
              </w:rPr>
            </w:pPr>
            <w:r>
              <w:rPr>
                <w:color w:val="000000"/>
                <w:sz w:val="20"/>
                <w:szCs w:val="20"/>
              </w:rPr>
              <w:t xml:space="preserve">CD4, </w:t>
            </w:r>
          </w:p>
          <w:p w14:paraId="5A380209" w14:textId="77777777" w:rsidR="00FB6B71" w:rsidDel="000F1C47" w:rsidRDefault="00FB6B71" w:rsidP="00CF5A05">
            <w:pPr>
              <w:rPr>
                <w:color w:val="000000"/>
                <w:sz w:val="20"/>
                <w:szCs w:val="20"/>
              </w:rPr>
            </w:pPr>
            <w:r>
              <w:rPr>
                <w:color w:val="000000"/>
                <w:sz w:val="20"/>
                <w:szCs w:val="20"/>
              </w:rPr>
              <w:t>&lt; 200</w:t>
            </w:r>
          </w:p>
        </w:tc>
        <w:tc>
          <w:tcPr>
            <w:tcW w:w="336" w:type="pct"/>
          </w:tcPr>
          <w:p w14:paraId="31B2FC05" w14:textId="77777777" w:rsidR="00FB6B71" w:rsidRDefault="00FB6B71" w:rsidP="00CF5A05">
            <w:pPr>
              <w:rPr>
                <w:color w:val="000000"/>
                <w:sz w:val="20"/>
                <w:szCs w:val="20"/>
              </w:rPr>
            </w:pPr>
            <w:r>
              <w:rPr>
                <w:color w:val="000000"/>
                <w:sz w:val="20"/>
                <w:szCs w:val="20"/>
              </w:rPr>
              <w:t xml:space="preserve">CD4, </w:t>
            </w:r>
          </w:p>
          <w:p w14:paraId="3A7B231C" w14:textId="77777777" w:rsidR="00FB6B71" w:rsidDel="000F1C47" w:rsidRDefault="00FB6B71" w:rsidP="00CF5A05">
            <w:pPr>
              <w:rPr>
                <w:color w:val="000000"/>
                <w:sz w:val="20"/>
                <w:szCs w:val="20"/>
              </w:rPr>
            </w:pPr>
            <w:r>
              <w:rPr>
                <w:color w:val="000000"/>
                <w:sz w:val="20"/>
                <w:szCs w:val="20"/>
              </w:rPr>
              <w:t>&gt;500</w:t>
            </w:r>
          </w:p>
        </w:tc>
        <w:tc>
          <w:tcPr>
            <w:tcW w:w="314" w:type="pct"/>
          </w:tcPr>
          <w:p w14:paraId="20FEB41A" w14:textId="77777777" w:rsidR="00FB6B71" w:rsidDel="000F1C47" w:rsidRDefault="00FB6B71" w:rsidP="00CF5A05">
            <w:pPr>
              <w:rPr>
                <w:color w:val="000000"/>
                <w:sz w:val="20"/>
                <w:szCs w:val="20"/>
              </w:rPr>
            </w:pPr>
            <w:r>
              <w:rPr>
                <w:color w:val="000000"/>
                <w:sz w:val="20"/>
                <w:szCs w:val="20"/>
              </w:rPr>
              <w:t>CD4, 350-500</w:t>
            </w:r>
          </w:p>
        </w:tc>
        <w:tc>
          <w:tcPr>
            <w:tcW w:w="314" w:type="pct"/>
          </w:tcPr>
          <w:p w14:paraId="6650157F" w14:textId="77777777" w:rsidR="00FB6B71" w:rsidDel="000F1C47" w:rsidRDefault="00FB6B71" w:rsidP="00CF5A05">
            <w:pPr>
              <w:rPr>
                <w:color w:val="000000"/>
                <w:sz w:val="20"/>
                <w:szCs w:val="20"/>
              </w:rPr>
            </w:pPr>
            <w:r>
              <w:rPr>
                <w:color w:val="000000"/>
                <w:sz w:val="20"/>
                <w:szCs w:val="20"/>
              </w:rPr>
              <w:t>CD4, 200-350</w:t>
            </w:r>
          </w:p>
        </w:tc>
        <w:tc>
          <w:tcPr>
            <w:tcW w:w="287" w:type="pct"/>
          </w:tcPr>
          <w:p w14:paraId="295590FD" w14:textId="77777777" w:rsidR="00FB6B71" w:rsidRDefault="00FB6B71" w:rsidP="00CF5A05">
            <w:pPr>
              <w:rPr>
                <w:color w:val="000000"/>
                <w:sz w:val="20"/>
                <w:szCs w:val="20"/>
              </w:rPr>
            </w:pPr>
            <w:r>
              <w:rPr>
                <w:color w:val="000000"/>
                <w:sz w:val="20"/>
                <w:szCs w:val="20"/>
              </w:rPr>
              <w:t xml:space="preserve">CD4, </w:t>
            </w:r>
          </w:p>
          <w:p w14:paraId="52A80A4F" w14:textId="77777777" w:rsidR="00FB6B71" w:rsidDel="000F1C47" w:rsidRDefault="00FB6B71" w:rsidP="00CF5A05">
            <w:pPr>
              <w:rPr>
                <w:color w:val="000000"/>
                <w:sz w:val="20"/>
                <w:szCs w:val="20"/>
              </w:rPr>
            </w:pPr>
            <w:r>
              <w:rPr>
                <w:color w:val="000000"/>
                <w:sz w:val="20"/>
                <w:szCs w:val="20"/>
              </w:rPr>
              <w:t>&lt; 200</w:t>
            </w:r>
          </w:p>
        </w:tc>
        <w:tc>
          <w:tcPr>
            <w:tcW w:w="341" w:type="pct"/>
          </w:tcPr>
          <w:p w14:paraId="13A04EB8" w14:textId="77777777" w:rsidR="00FB6B71" w:rsidRDefault="00FB6B71" w:rsidP="00CF5A05">
            <w:pPr>
              <w:rPr>
                <w:color w:val="000000"/>
                <w:sz w:val="20"/>
                <w:szCs w:val="20"/>
              </w:rPr>
            </w:pPr>
            <w:r>
              <w:rPr>
                <w:color w:val="000000"/>
                <w:sz w:val="20"/>
                <w:szCs w:val="20"/>
              </w:rPr>
              <w:t xml:space="preserve">CD4, </w:t>
            </w:r>
          </w:p>
          <w:p w14:paraId="07F8B067" w14:textId="77777777" w:rsidR="00FB6B71" w:rsidDel="000F1C47" w:rsidRDefault="00FB6B71" w:rsidP="00CF5A05">
            <w:pPr>
              <w:rPr>
                <w:color w:val="000000"/>
                <w:sz w:val="20"/>
                <w:szCs w:val="20"/>
              </w:rPr>
            </w:pPr>
            <w:r>
              <w:rPr>
                <w:color w:val="000000"/>
                <w:sz w:val="20"/>
                <w:szCs w:val="20"/>
              </w:rPr>
              <w:t>&gt;500</w:t>
            </w:r>
          </w:p>
        </w:tc>
        <w:tc>
          <w:tcPr>
            <w:tcW w:w="314" w:type="pct"/>
          </w:tcPr>
          <w:p w14:paraId="6A9424CD" w14:textId="77777777" w:rsidR="00FB6B71" w:rsidDel="000F1C47" w:rsidRDefault="00FB6B71" w:rsidP="00CF5A05">
            <w:pPr>
              <w:rPr>
                <w:color w:val="000000"/>
                <w:sz w:val="20"/>
                <w:szCs w:val="20"/>
              </w:rPr>
            </w:pPr>
            <w:r>
              <w:rPr>
                <w:color w:val="000000"/>
                <w:sz w:val="20"/>
                <w:szCs w:val="20"/>
              </w:rPr>
              <w:t>CD4, 350-500</w:t>
            </w:r>
          </w:p>
        </w:tc>
        <w:tc>
          <w:tcPr>
            <w:tcW w:w="314" w:type="pct"/>
          </w:tcPr>
          <w:p w14:paraId="5054ADF4" w14:textId="77777777" w:rsidR="00FB6B71" w:rsidDel="000F1C47" w:rsidRDefault="00FB6B71" w:rsidP="00CF5A05">
            <w:pPr>
              <w:rPr>
                <w:color w:val="000000"/>
                <w:sz w:val="20"/>
                <w:szCs w:val="20"/>
              </w:rPr>
            </w:pPr>
            <w:r>
              <w:rPr>
                <w:color w:val="000000"/>
                <w:sz w:val="20"/>
                <w:szCs w:val="20"/>
              </w:rPr>
              <w:t>CD4, 200-350</w:t>
            </w:r>
          </w:p>
        </w:tc>
        <w:tc>
          <w:tcPr>
            <w:tcW w:w="311" w:type="pct"/>
          </w:tcPr>
          <w:p w14:paraId="5BA24F8B" w14:textId="77777777" w:rsidR="00FB6B71" w:rsidRDefault="00FB6B71" w:rsidP="00CF5A05">
            <w:pPr>
              <w:rPr>
                <w:color w:val="000000"/>
                <w:sz w:val="20"/>
                <w:szCs w:val="20"/>
              </w:rPr>
            </w:pPr>
            <w:r>
              <w:rPr>
                <w:color w:val="000000"/>
                <w:sz w:val="20"/>
                <w:szCs w:val="20"/>
              </w:rPr>
              <w:t xml:space="preserve">CD4, </w:t>
            </w:r>
          </w:p>
          <w:p w14:paraId="7CD26288" w14:textId="77777777" w:rsidR="00FB6B71" w:rsidDel="000F1C47" w:rsidRDefault="00FB6B71" w:rsidP="00CF5A05">
            <w:pPr>
              <w:rPr>
                <w:color w:val="000000"/>
                <w:sz w:val="20"/>
                <w:szCs w:val="20"/>
              </w:rPr>
            </w:pPr>
            <w:r>
              <w:rPr>
                <w:color w:val="000000"/>
                <w:sz w:val="20"/>
                <w:szCs w:val="20"/>
              </w:rPr>
              <w:t>&lt; 200</w:t>
            </w:r>
          </w:p>
        </w:tc>
      </w:tr>
      <w:tr w:rsidR="00FB6B71" w:rsidRPr="00910FD4" w14:paraId="0C6DD9C8" w14:textId="77777777" w:rsidTr="00580BE8">
        <w:trPr>
          <w:trHeight w:val="300"/>
        </w:trPr>
        <w:tc>
          <w:tcPr>
            <w:tcW w:w="1196" w:type="pct"/>
            <w:shd w:val="clear" w:color="auto" w:fill="auto"/>
            <w:noWrap/>
            <w:vAlign w:val="bottom"/>
            <w:hideMark/>
          </w:tcPr>
          <w:p w14:paraId="5A7015CC" w14:textId="77777777" w:rsidR="00FB6B71" w:rsidRPr="00596193" w:rsidRDefault="00FB6B71" w:rsidP="00303804">
            <w:pPr>
              <w:jc w:val="both"/>
              <w:rPr>
                <w:color w:val="000000"/>
                <w:sz w:val="20"/>
                <w:szCs w:val="20"/>
              </w:rPr>
            </w:pPr>
            <w:r w:rsidRPr="00596193">
              <w:rPr>
                <w:color w:val="000000"/>
                <w:sz w:val="20"/>
                <w:szCs w:val="20"/>
              </w:rPr>
              <w:t>Low-risk urban women (15-24)</w:t>
            </w:r>
          </w:p>
        </w:tc>
        <w:tc>
          <w:tcPr>
            <w:tcW w:w="314" w:type="pct"/>
            <w:vAlign w:val="bottom"/>
          </w:tcPr>
          <w:p w14:paraId="3603081E" w14:textId="77777777" w:rsidR="00FB6B71" w:rsidRPr="00596193" w:rsidRDefault="00FB6B71" w:rsidP="00303804">
            <w:pPr>
              <w:jc w:val="both"/>
              <w:rPr>
                <w:color w:val="000000"/>
                <w:sz w:val="20"/>
                <w:szCs w:val="20"/>
              </w:rPr>
            </w:pPr>
          </w:p>
        </w:tc>
        <w:tc>
          <w:tcPr>
            <w:tcW w:w="314" w:type="pct"/>
          </w:tcPr>
          <w:p w14:paraId="2D5B4875" w14:textId="77777777" w:rsidR="00FB6B71" w:rsidRPr="00596193" w:rsidRDefault="00FB6B71" w:rsidP="00303804">
            <w:pPr>
              <w:jc w:val="both"/>
              <w:rPr>
                <w:color w:val="000000"/>
                <w:sz w:val="20"/>
                <w:szCs w:val="20"/>
              </w:rPr>
            </w:pPr>
          </w:p>
        </w:tc>
        <w:tc>
          <w:tcPr>
            <w:tcW w:w="353" w:type="pct"/>
          </w:tcPr>
          <w:p w14:paraId="21F77703" w14:textId="77777777" w:rsidR="00FB6B71" w:rsidRPr="00596193" w:rsidRDefault="00FB6B71" w:rsidP="00303804">
            <w:pPr>
              <w:jc w:val="both"/>
              <w:rPr>
                <w:color w:val="000000"/>
                <w:sz w:val="20"/>
                <w:szCs w:val="20"/>
              </w:rPr>
            </w:pPr>
          </w:p>
        </w:tc>
        <w:tc>
          <w:tcPr>
            <w:tcW w:w="292" w:type="pct"/>
          </w:tcPr>
          <w:p w14:paraId="2D9D8502" w14:textId="77777777" w:rsidR="00FB6B71" w:rsidRPr="00596193" w:rsidRDefault="00FB6B71" w:rsidP="00303804">
            <w:pPr>
              <w:jc w:val="both"/>
              <w:rPr>
                <w:color w:val="000000"/>
                <w:sz w:val="20"/>
                <w:szCs w:val="20"/>
              </w:rPr>
            </w:pPr>
          </w:p>
        </w:tc>
        <w:tc>
          <w:tcPr>
            <w:tcW w:w="336" w:type="pct"/>
            <w:vAlign w:val="bottom"/>
          </w:tcPr>
          <w:p w14:paraId="0F046C2E" w14:textId="77777777" w:rsidR="00FB6B71" w:rsidRPr="00596193" w:rsidRDefault="00FB6B71" w:rsidP="00303804">
            <w:pPr>
              <w:jc w:val="both"/>
              <w:rPr>
                <w:color w:val="000000"/>
                <w:sz w:val="20"/>
                <w:szCs w:val="20"/>
              </w:rPr>
            </w:pPr>
          </w:p>
        </w:tc>
        <w:tc>
          <w:tcPr>
            <w:tcW w:w="314" w:type="pct"/>
            <w:vAlign w:val="bottom"/>
          </w:tcPr>
          <w:p w14:paraId="37B6DB02" w14:textId="77777777" w:rsidR="00FB6B71" w:rsidRPr="00596193" w:rsidRDefault="00FB6B71" w:rsidP="00303804">
            <w:pPr>
              <w:jc w:val="both"/>
              <w:rPr>
                <w:color w:val="000000"/>
                <w:sz w:val="20"/>
                <w:szCs w:val="20"/>
              </w:rPr>
            </w:pPr>
          </w:p>
        </w:tc>
        <w:tc>
          <w:tcPr>
            <w:tcW w:w="314" w:type="pct"/>
            <w:vAlign w:val="bottom"/>
          </w:tcPr>
          <w:p w14:paraId="7CFC9B56" w14:textId="77777777" w:rsidR="00FB6B71" w:rsidRPr="00596193" w:rsidRDefault="00FB6B71" w:rsidP="00303804">
            <w:pPr>
              <w:jc w:val="both"/>
              <w:rPr>
                <w:color w:val="000000"/>
                <w:sz w:val="20"/>
                <w:szCs w:val="20"/>
              </w:rPr>
            </w:pPr>
          </w:p>
        </w:tc>
        <w:tc>
          <w:tcPr>
            <w:tcW w:w="287" w:type="pct"/>
            <w:vAlign w:val="bottom"/>
          </w:tcPr>
          <w:p w14:paraId="01E03A9E" w14:textId="77777777" w:rsidR="00FB6B71" w:rsidRPr="00596193" w:rsidRDefault="00FB6B71" w:rsidP="00303804">
            <w:pPr>
              <w:jc w:val="both"/>
              <w:rPr>
                <w:color w:val="000000"/>
                <w:sz w:val="20"/>
                <w:szCs w:val="20"/>
              </w:rPr>
            </w:pPr>
          </w:p>
        </w:tc>
        <w:tc>
          <w:tcPr>
            <w:tcW w:w="341" w:type="pct"/>
          </w:tcPr>
          <w:p w14:paraId="123562FE" w14:textId="77777777" w:rsidR="00FB6B71" w:rsidRPr="00910FD4" w:rsidRDefault="00FB6B71" w:rsidP="00303804">
            <w:pPr>
              <w:jc w:val="both"/>
              <w:rPr>
                <w:color w:val="000000"/>
                <w:sz w:val="20"/>
                <w:szCs w:val="20"/>
              </w:rPr>
            </w:pPr>
          </w:p>
        </w:tc>
        <w:tc>
          <w:tcPr>
            <w:tcW w:w="314" w:type="pct"/>
          </w:tcPr>
          <w:p w14:paraId="25236878" w14:textId="77777777" w:rsidR="00FB6B71" w:rsidRPr="00910FD4" w:rsidRDefault="00FB6B71" w:rsidP="00303804">
            <w:pPr>
              <w:jc w:val="both"/>
              <w:rPr>
                <w:color w:val="000000"/>
                <w:sz w:val="20"/>
                <w:szCs w:val="20"/>
              </w:rPr>
            </w:pPr>
          </w:p>
        </w:tc>
        <w:tc>
          <w:tcPr>
            <w:tcW w:w="314" w:type="pct"/>
          </w:tcPr>
          <w:p w14:paraId="5A6B84EE" w14:textId="77777777" w:rsidR="00FB6B71" w:rsidRPr="00910FD4" w:rsidRDefault="00FB6B71" w:rsidP="00303804">
            <w:pPr>
              <w:jc w:val="both"/>
              <w:rPr>
                <w:color w:val="000000"/>
                <w:sz w:val="20"/>
                <w:szCs w:val="20"/>
              </w:rPr>
            </w:pPr>
          </w:p>
        </w:tc>
        <w:tc>
          <w:tcPr>
            <w:tcW w:w="311" w:type="pct"/>
          </w:tcPr>
          <w:p w14:paraId="69D78749" w14:textId="77777777" w:rsidR="00FB6B71" w:rsidRPr="00910FD4" w:rsidRDefault="00FB6B71" w:rsidP="00303804">
            <w:pPr>
              <w:jc w:val="both"/>
              <w:rPr>
                <w:color w:val="000000"/>
                <w:sz w:val="20"/>
                <w:szCs w:val="20"/>
              </w:rPr>
            </w:pPr>
          </w:p>
        </w:tc>
      </w:tr>
      <w:tr w:rsidR="00FB6B71" w:rsidRPr="00910FD4" w14:paraId="3A24B41A" w14:textId="77777777" w:rsidTr="00580BE8">
        <w:trPr>
          <w:trHeight w:val="300"/>
        </w:trPr>
        <w:tc>
          <w:tcPr>
            <w:tcW w:w="1196" w:type="pct"/>
            <w:shd w:val="clear" w:color="auto" w:fill="auto"/>
            <w:noWrap/>
            <w:vAlign w:val="bottom"/>
            <w:hideMark/>
          </w:tcPr>
          <w:p w14:paraId="6D489476" w14:textId="77777777" w:rsidR="00FB6B71" w:rsidRPr="00596193" w:rsidRDefault="00FB6B71" w:rsidP="00303804">
            <w:pPr>
              <w:jc w:val="both"/>
              <w:rPr>
                <w:color w:val="000000"/>
                <w:sz w:val="20"/>
                <w:szCs w:val="20"/>
              </w:rPr>
            </w:pPr>
            <w:r w:rsidRPr="00596193">
              <w:rPr>
                <w:color w:val="000000"/>
                <w:sz w:val="20"/>
                <w:szCs w:val="20"/>
              </w:rPr>
              <w:t>Low-risk urban women (25-34)</w:t>
            </w:r>
          </w:p>
        </w:tc>
        <w:tc>
          <w:tcPr>
            <w:tcW w:w="314" w:type="pct"/>
            <w:vAlign w:val="bottom"/>
          </w:tcPr>
          <w:p w14:paraId="267BE76B" w14:textId="77777777" w:rsidR="00FB6B71" w:rsidRPr="00596193" w:rsidRDefault="00FB6B71" w:rsidP="00303804">
            <w:pPr>
              <w:jc w:val="both"/>
              <w:rPr>
                <w:color w:val="000000"/>
                <w:sz w:val="20"/>
                <w:szCs w:val="20"/>
              </w:rPr>
            </w:pPr>
          </w:p>
        </w:tc>
        <w:tc>
          <w:tcPr>
            <w:tcW w:w="314" w:type="pct"/>
          </w:tcPr>
          <w:p w14:paraId="7A69CC49" w14:textId="77777777" w:rsidR="00FB6B71" w:rsidRPr="00596193" w:rsidRDefault="00FB6B71" w:rsidP="00303804">
            <w:pPr>
              <w:jc w:val="both"/>
              <w:rPr>
                <w:color w:val="000000"/>
                <w:sz w:val="20"/>
                <w:szCs w:val="20"/>
              </w:rPr>
            </w:pPr>
          </w:p>
        </w:tc>
        <w:tc>
          <w:tcPr>
            <w:tcW w:w="353" w:type="pct"/>
          </w:tcPr>
          <w:p w14:paraId="47CEF33F" w14:textId="77777777" w:rsidR="00FB6B71" w:rsidRPr="00596193" w:rsidRDefault="00FB6B71" w:rsidP="00303804">
            <w:pPr>
              <w:jc w:val="both"/>
              <w:rPr>
                <w:color w:val="000000"/>
                <w:sz w:val="20"/>
                <w:szCs w:val="20"/>
              </w:rPr>
            </w:pPr>
          </w:p>
        </w:tc>
        <w:tc>
          <w:tcPr>
            <w:tcW w:w="292" w:type="pct"/>
          </w:tcPr>
          <w:p w14:paraId="695692EC" w14:textId="77777777" w:rsidR="00FB6B71" w:rsidRPr="00596193" w:rsidRDefault="00FB6B71" w:rsidP="00303804">
            <w:pPr>
              <w:jc w:val="both"/>
              <w:rPr>
                <w:color w:val="000000"/>
                <w:sz w:val="20"/>
                <w:szCs w:val="20"/>
              </w:rPr>
            </w:pPr>
          </w:p>
        </w:tc>
        <w:tc>
          <w:tcPr>
            <w:tcW w:w="336" w:type="pct"/>
            <w:vAlign w:val="bottom"/>
          </w:tcPr>
          <w:p w14:paraId="394F5C2C" w14:textId="77777777" w:rsidR="00FB6B71" w:rsidRPr="00596193" w:rsidRDefault="00FB6B71" w:rsidP="00303804">
            <w:pPr>
              <w:jc w:val="both"/>
              <w:rPr>
                <w:color w:val="000000"/>
                <w:sz w:val="20"/>
                <w:szCs w:val="20"/>
              </w:rPr>
            </w:pPr>
          </w:p>
        </w:tc>
        <w:tc>
          <w:tcPr>
            <w:tcW w:w="314" w:type="pct"/>
            <w:vAlign w:val="bottom"/>
          </w:tcPr>
          <w:p w14:paraId="348FE82A" w14:textId="77777777" w:rsidR="00FB6B71" w:rsidRPr="00596193" w:rsidRDefault="00FB6B71" w:rsidP="00303804">
            <w:pPr>
              <w:jc w:val="both"/>
              <w:rPr>
                <w:color w:val="000000"/>
                <w:sz w:val="20"/>
                <w:szCs w:val="20"/>
              </w:rPr>
            </w:pPr>
          </w:p>
        </w:tc>
        <w:tc>
          <w:tcPr>
            <w:tcW w:w="314" w:type="pct"/>
            <w:vAlign w:val="bottom"/>
          </w:tcPr>
          <w:p w14:paraId="0FCA677B" w14:textId="77777777" w:rsidR="00FB6B71" w:rsidRPr="00596193" w:rsidRDefault="00FB6B71" w:rsidP="00303804">
            <w:pPr>
              <w:jc w:val="both"/>
              <w:rPr>
                <w:color w:val="000000"/>
                <w:sz w:val="20"/>
                <w:szCs w:val="20"/>
              </w:rPr>
            </w:pPr>
          </w:p>
        </w:tc>
        <w:tc>
          <w:tcPr>
            <w:tcW w:w="287" w:type="pct"/>
            <w:vAlign w:val="bottom"/>
          </w:tcPr>
          <w:p w14:paraId="62F09374" w14:textId="77777777" w:rsidR="00FB6B71" w:rsidRPr="00596193" w:rsidRDefault="00FB6B71" w:rsidP="00303804">
            <w:pPr>
              <w:jc w:val="both"/>
              <w:rPr>
                <w:color w:val="000000"/>
                <w:sz w:val="20"/>
                <w:szCs w:val="20"/>
              </w:rPr>
            </w:pPr>
          </w:p>
        </w:tc>
        <w:tc>
          <w:tcPr>
            <w:tcW w:w="341" w:type="pct"/>
          </w:tcPr>
          <w:p w14:paraId="4255A4B4" w14:textId="77777777" w:rsidR="00FB6B71" w:rsidRPr="00910FD4" w:rsidRDefault="00FB6B71" w:rsidP="00303804">
            <w:pPr>
              <w:jc w:val="both"/>
              <w:rPr>
                <w:color w:val="000000"/>
                <w:sz w:val="20"/>
                <w:szCs w:val="20"/>
              </w:rPr>
            </w:pPr>
          </w:p>
        </w:tc>
        <w:tc>
          <w:tcPr>
            <w:tcW w:w="314" w:type="pct"/>
          </w:tcPr>
          <w:p w14:paraId="6A9C65E1" w14:textId="77777777" w:rsidR="00FB6B71" w:rsidRPr="00910FD4" w:rsidRDefault="00FB6B71" w:rsidP="00303804">
            <w:pPr>
              <w:jc w:val="both"/>
              <w:rPr>
                <w:color w:val="000000"/>
                <w:sz w:val="20"/>
                <w:szCs w:val="20"/>
              </w:rPr>
            </w:pPr>
          </w:p>
        </w:tc>
        <w:tc>
          <w:tcPr>
            <w:tcW w:w="314" w:type="pct"/>
          </w:tcPr>
          <w:p w14:paraId="0CFD5670" w14:textId="77777777" w:rsidR="00FB6B71" w:rsidRPr="00910FD4" w:rsidRDefault="00FB6B71" w:rsidP="00303804">
            <w:pPr>
              <w:jc w:val="both"/>
              <w:rPr>
                <w:color w:val="000000"/>
                <w:sz w:val="20"/>
                <w:szCs w:val="20"/>
              </w:rPr>
            </w:pPr>
          </w:p>
        </w:tc>
        <w:tc>
          <w:tcPr>
            <w:tcW w:w="311" w:type="pct"/>
          </w:tcPr>
          <w:p w14:paraId="6DE9B72A" w14:textId="77777777" w:rsidR="00FB6B71" w:rsidRPr="00910FD4" w:rsidRDefault="00FB6B71" w:rsidP="00303804">
            <w:pPr>
              <w:jc w:val="both"/>
              <w:rPr>
                <w:color w:val="000000"/>
                <w:sz w:val="20"/>
                <w:szCs w:val="20"/>
              </w:rPr>
            </w:pPr>
          </w:p>
        </w:tc>
      </w:tr>
      <w:tr w:rsidR="00FB6B71" w:rsidRPr="00910FD4" w14:paraId="5EA8ABB4" w14:textId="77777777" w:rsidTr="00580BE8">
        <w:trPr>
          <w:trHeight w:val="300"/>
        </w:trPr>
        <w:tc>
          <w:tcPr>
            <w:tcW w:w="1196" w:type="pct"/>
            <w:shd w:val="clear" w:color="auto" w:fill="auto"/>
            <w:noWrap/>
            <w:vAlign w:val="bottom"/>
            <w:hideMark/>
          </w:tcPr>
          <w:p w14:paraId="2D1E2E60" w14:textId="77777777" w:rsidR="00FB6B71" w:rsidRPr="00596193" w:rsidRDefault="00FB6B71" w:rsidP="00303804">
            <w:pPr>
              <w:jc w:val="both"/>
              <w:rPr>
                <w:color w:val="000000"/>
                <w:sz w:val="20"/>
                <w:szCs w:val="20"/>
              </w:rPr>
            </w:pPr>
            <w:r w:rsidRPr="00596193">
              <w:rPr>
                <w:color w:val="000000"/>
                <w:sz w:val="20"/>
                <w:szCs w:val="20"/>
              </w:rPr>
              <w:t>Low-risk urban women (35-44)</w:t>
            </w:r>
          </w:p>
        </w:tc>
        <w:tc>
          <w:tcPr>
            <w:tcW w:w="314" w:type="pct"/>
            <w:vAlign w:val="bottom"/>
          </w:tcPr>
          <w:p w14:paraId="122F53A2" w14:textId="77777777" w:rsidR="00FB6B71" w:rsidRPr="00596193" w:rsidRDefault="00FB6B71" w:rsidP="00303804">
            <w:pPr>
              <w:jc w:val="both"/>
              <w:rPr>
                <w:color w:val="000000"/>
                <w:sz w:val="20"/>
                <w:szCs w:val="20"/>
              </w:rPr>
            </w:pPr>
          </w:p>
        </w:tc>
        <w:tc>
          <w:tcPr>
            <w:tcW w:w="314" w:type="pct"/>
          </w:tcPr>
          <w:p w14:paraId="3CA83170" w14:textId="77777777" w:rsidR="00FB6B71" w:rsidRPr="00596193" w:rsidRDefault="00FB6B71" w:rsidP="00303804">
            <w:pPr>
              <w:jc w:val="both"/>
              <w:rPr>
                <w:color w:val="000000"/>
                <w:sz w:val="20"/>
                <w:szCs w:val="20"/>
              </w:rPr>
            </w:pPr>
          </w:p>
        </w:tc>
        <w:tc>
          <w:tcPr>
            <w:tcW w:w="353" w:type="pct"/>
          </w:tcPr>
          <w:p w14:paraId="1B7D6963" w14:textId="77777777" w:rsidR="00FB6B71" w:rsidRPr="00596193" w:rsidRDefault="00FB6B71" w:rsidP="00303804">
            <w:pPr>
              <w:jc w:val="both"/>
              <w:rPr>
                <w:color w:val="000000"/>
                <w:sz w:val="20"/>
                <w:szCs w:val="20"/>
              </w:rPr>
            </w:pPr>
          </w:p>
        </w:tc>
        <w:tc>
          <w:tcPr>
            <w:tcW w:w="292" w:type="pct"/>
          </w:tcPr>
          <w:p w14:paraId="3540AA52" w14:textId="77777777" w:rsidR="00FB6B71" w:rsidRPr="00596193" w:rsidRDefault="00FB6B71" w:rsidP="00303804">
            <w:pPr>
              <w:jc w:val="both"/>
              <w:rPr>
                <w:color w:val="000000"/>
                <w:sz w:val="20"/>
                <w:szCs w:val="20"/>
              </w:rPr>
            </w:pPr>
          </w:p>
        </w:tc>
        <w:tc>
          <w:tcPr>
            <w:tcW w:w="336" w:type="pct"/>
            <w:vAlign w:val="bottom"/>
          </w:tcPr>
          <w:p w14:paraId="0CD2DDD7" w14:textId="77777777" w:rsidR="00FB6B71" w:rsidRPr="00596193" w:rsidRDefault="00FB6B71" w:rsidP="00303804">
            <w:pPr>
              <w:jc w:val="both"/>
              <w:rPr>
                <w:color w:val="000000"/>
                <w:sz w:val="20"/>
                <w:szCs w:val="20"/>
              </w:rPr>
            </w:pPr>
          </w:p>
        </w:tc>
        <w:tc>
          <w:tcPr>
            <w:tcW w:w="314" w:type="pct"/>
            <w:vAlign w:val="bottom"/>
          </w:tcPr>
          <w:p w14:paraId="1095309D" w14:textId="77777777" w:rsidR="00FB6B71" w:rsidRPr="00596193" w:rsidRDefault="00FB6B71" w:rsidP="00303804">
            <w:pPr>
              <w:jc w:val="both"/>
              <w:rPr>
                <w:color w:val="000000"/>
                <w:sz w:val="20"/>
                <w:szCs w:val="20"/>
              </w:rPr>
            </w:pPr>
          </w:p>
        </w:tc>
        <w:tc>
          <w:tcPr>
            <w:tcW w:w="314" w:type="pct"/>
            <w:vAlign w:val="bottom"/>
          </w:tcPr>
          <w:p w14:paraId="4676B0A8" w14:textId="77777777" w:rsidR="00FB6B71" w:rsidRPr="00596193" w:rsidRDefault="00FB6B71" w:rsidP="00303804">
            <w:pPr>
              <w:jc w:val="both"/>
              <w:rPr>
                <w:color w:val="000000"/>
                <w:sz w:val="20"/>
                <w:szCs w:val="20"/>
              </w:rPr>
            </w:pPr>
          </w:p>
        </w:tc>
        <w:tc>
          <w:tcPr>
            <w:tcW w:w="287" w:type="pct"/>
            <w:vAlign w:val="bottom"/>
          </w:tcPr>
          <w:p w14:paraId="5263EAA8" w14:textId="77777777" w:rsidR="00FB6B71" w:rsidRPr="00596193" w:rsidRDefault="00FB6B71" w:rsidP="00303804">
            <w:pPr>
              <w:jc w:val="both"/>
              <w:rPr>
                <w:color w:val="000000"/>
                <w:sz w:val="20"/>
                <w:szCs w:val="20"/>
              </w:rPr>
            </w:pPr>
          </w:p>
        </w:tc>
        <w:tc>
          <w:tcPr>
            <w:tcW w:w="341" w:type="pct"/>
          </w:tcPr>
          <w:p w14:paraId="5E2E0FC3" w14:textId="77777777" w:rsidR="00FB6B71" w:rsidRPr="00910FD4" w:rsidRDefault="00FB6B71" w:rsidP="00303804">
            <w:pPr>
              <w:jc w:val="both"/>
              <w:rPr>
                <w:color w:val="000000"/>
                <w:sz w:val="20"/>
                <w:szCs w:val="20"/>
              </w:rPr>
            </w:pPr>
          </w:p>
        </w:tc>
        <w:tc>
          <w:tcPr>
            <w:tcW w:w="314" w:type="pct"/>
          </w:tcPr>
          <w:p w14:paraId="281F98CA" w14:textId="77777777" w:rsidR="00FB6B71" w:rsidRPr="00910FD4" w:rsidRDefault="00FB6B71" w:rsidP="00303804">
            <w:pPr>
              <w:jc w:val="both"/>
              <w:rPr>
                <w:color w:val="000000"/>
                <w:sz w:val="20"/>
                <w:szCs w:val="20"/>
              </w:rPr>
            </w:pPr>
          </w:p>
        </w:tc>
        <w:tc>
          <w:tcPr>
            <w:tcW w:w="314" w:type="pct"/>
          </w:tcPr>
          <w:p w14:paraId="5F3534E7" w14:textId="77777777" w:rsidR="00FB6B71" w:rsidRPr="00910FD4" w:rsidRDefault="00FB6B71" w:rsidP="00303804">
            <w:pPr>
              <w:jc w:val="both"/>
              <w:rPr>
                <w:color w:val="000000"/>
                <w:sz w:val="20"/>
                <w:szCs w:val="20"/>
              </w:rPr>
            </w:pPr>
          </w:p>
        </w:tc>
        <w:tc>
          <w:tcPr>
            <w:tcW w:w="311" w:type="pct"/>
          </w:tcPr>
          <w:p w14:paraId="173B729D" w14:textId="77777777" w:rsidR="00FB6B71" w:rsidRPr="00910FD4" w:rsidRDefault="00FB6B71" w:rsidP="00303804">
            <w:pPr>
              <w:jc w:val="both"/>
              <w:rPr>
                <w:color w:val="000000"/>
                <w:sz w:val="20"/>
                <w:szCs w:val="20"/>
              </w:rPr>
            </w:pPr>
          </w:p>
        </w:tc>
      </w:tr>
      <w:tr w:rsidR="00FB6B71" w:rsidRPr="00910FD4" w14:paraId="6EDBAD55" w14:textId="77777777" w:rsidTr="00580BE8">
        <w:trPr>
          <w:trHeight w:val="300"/>
        </w:trPr>
        <w:tc>
          <w:tcPr>
            <w:tcW w:w="1196" w:type="pct"/>
            <w:shd w:val="clear" w:color="auto" w:fill="auto"/>
            <w:noWrap/>
            <w:vAlign w:val="bottom"/>
            <w:hideMark/>
          </w:tcPr>
          <w:p w14:paraId="07CFFADA" w14:textId="77777777" w:rsidR="00FB6B71" w:rsidRPr="00596193" w:rsidRDefault="00FB6B71" w:rsidP="00303804">
            <w:pPr>
              <w:jc w:val="both"/>
              <w:rPr>
                <w:color w:val="000000"/>
                <w:sz w:val="20"/>
                <w:szCs w:val="20"/>
              </w:rPr>
            </w:pPr>
            <w:r w:rsidRPr="00596193">
              <w:rPr>
                <w:color w:val="000000"/>
                <w:sz w:val="20"/>
                <w:szCs w:val="20"/>
              </w:rPr>
              <w:t>Low-risk urban women (45-54)</w:t>
            </w:r>
          </w:p>
        </w:tc>
        <w:tc>
          <w:tcPr>
            <w:tcW w:w="314" w:type="pct"/>
            <w:vAlign w:val="bottom"/>
          </w:tcPr>
          <w:p w14:paraId="73CC97DD" w14:textId="77777777" w:rsidR="00FB6B71" w:rsidRPr="00596193" w:rsidRDefault="00FB6B71" w:rsidP="00303804">
            <w:pPr>
              <w:jc w:val="both"/>
              <w:rPr>
                <w:color w:val="000000"/>
                <w:sz w:val="20"/>
                <w:szCs w:val="20"/>
              </w:rPr>
            </w:pPr>
          </w:p>
        </w:tc>
        <w:tc>
          <w:tcPr>
            <w:tcW w:w="314" w:type="pct"/>
          </w:tcPr>
          <w:p w14:paraId="0AEAF1C6" w14:textId="77777777" w:rsidR="00FB6B71" w:rsidRPr="00596193" w:rsidRDefault="00FB6B71" w:rsidP="00303804">
            <w:pPr>
              <w:jc w:val="both"/>
              <w:rPr>
                <w:color w:val="000000"/>
                <w:sz w:val="20"/>
                <w:szCs w:val="20"/>
              </w:rPr>
            </w:pPr>
          </w:p>
        </w:tc>
        <w:tc>
          <w:tcPr>
            <w:tcW w:w="353" w:type="pct"/>
          </w:tcPr>
          <w:p w14:paraId="7249EF66" w14:textId="77777777" w:rsidR="00FB6B71" w:rsidRPr="00596193" w:rsidRDefault="00FB6B71" w:rsidP="00303804">
            <w:pPr>
              <w:jc w:val="both"/>
              <w:rPr>
                <w:color w:val="000000"/>
                <w:sz w:val="20"/>
                <w:szCs w:val="20"/>
              </w:rPr>
            </w:pPr>
          </w:p>
        </w:tc>
        <w:tc>
          <w:tcPr>
            <w:tcW w:w="292" w:type="pct"/>
          </w:tcPr>
          <w:p w14:paraId="19721E48" w14:textId="77777777" w:rsidR="00FB6B71" w:rsidRPr="00596193" w:rsidRDefault="00FB6B71" w:rsidP="00303804">
            <w:pPr>
              <w:jc w:val="both"/>
              <w:rPr>
                <w:color w:val="000000"/>
                <w:sz w:val="20"/>
                <w:szCs w:val="20"/>
              </w:rPr>
            </w:pPr>
          </w:p>
        </w:tc>
        <w:tc>
          <w:tcPr>
            <w:tcW w:w="336" w:type="pct"/>
            <w:vAlign w:val="bottom"/>
          </w:tcPr>
          <w:p w14:paraId="4A007E4E" w14:textId="77777777" w:rsidR="00FB6B71" w:rsidRPr="00596193" w:rsidRDefault="00FB6B71" w:rsidP="00303804">
            <w:pPr>
              <w:jc w:val="both"/>
              <w:rPr>
                <w:color w:val="000000"/>
                <w:sz w:val="20"/>
                <w:szCs w:val="20"/>
              </w:rPr>
            </w:pPr>
          </w:p>
        </w:tc>
        <w:tc>
          <w:tcPr>
            <w:tcW w:w="314" w:type="pct"/>
            <w:vAlign w:val="bottom"/>
          </w:tcPr>
          <w:p w14:paraId="0FFA617D" w14:textId="77777777" w:rsidR="00FB6B71" w:rsidRPr="00596193" w:rsidRDefault="00FB6B71" w:rsidP="00303804">
            <w:pPr>
              <w:jc w:val="both"/>
              <w:rPr>
                <w:color w:val="000000"/>
                <w:sz w:val="20"/>
                <w:szCs w:val="20"/>
              </w:rPr>
            </w:pPr>
          </w:p>
        </w:tc>
        <w:tc>
          <w:tcPr>
            <w:tcW w:w="314" w:type="pct"/>
            <w:vAlign w:val="bottom"/>
          </w:tcPr>
          <w:p w14:paraId="137AA226" w14:textId="77777777" w:rsidR="00FB6B71" w:rsidRPr="00596193" w:rsidRDefault="00FB6B71" w:rsidP="00303804">
            <w:pPr>
              <w:jc w:val="both"/>
              <w:rPr>
                <w:color w:val="000000"/>
                <w:sz w:val="20"/>
                <w:szCs w:val="20"/>
              </w:rPr>
            </w:pPr>
          </w:p>
        </w:tc>
        <w:tc>
          <w:tcPr>
            <w:tcW w:w="287" w:type="pct"/>
            <w:vAlign w:val="bottom"/>
          </w:tcPr>
          <w:p w14:paraId="62AB45F2" w14:textId="77777777" w:rsidR="00FB6B71" w:rsidRPr="00596193" w:rsidRDefault="00FB6B71" w:rsidP="00303804">
            <w:pPr>
              <w:jc w:val="both"/>
              <w:rPr>
                <w:color w:val="000000"/>
                <w:sz w:val="20"/>
                <w:szCs w:val="20"/>
              </w:rPr>
            </w:pPr>
          </w:p>
        </w:tc>
        <w:tc>
          <w:tcPr>
            <w:tcW w:w="341" w:type="pct"/>
          </w:tcPr>
          <w:p w14:paraId="5FA75351" w14:textId="77777777" w:rsidR="00FB6B71" w:rsidRPr="00910FD4" w:rsidRDefault="00FB6B71" w:rsidP="00303804">
            <w:pPr>
              <w:jc w:val="both"/>
              <w:rPr>
                <w:color w:val="000000"/>
                <w:sz w:val="20"/>
                <w:szCs w:val="20"/>
              </w:rPr>
            </w:pPr>
          </w:p>
        </w:tc>
        <w:tc>
          <w:tcPr>
            <w:tcW w:w="314" w:type="pct"/>
          </w:tcPr>
          <w:p w14:paraId="313434AD" w14:textId="77777777" w:rsidR="00FB6B71" w:rsidRPr="00910FD4" w:rsidRDefault="00FB6B71" w:rsidP="00303804">
            <w:pPr>
              <w:jc w:val="both"/>
              <w:rPr>
                <w:color w:val="000000"/>
                <w:sz w:val="20"/>
                <w:szCs w:val="20"/>
              </w:rPr>
            </w:pPr>
          </w:p>
        </w:tc>
        <w:tc>
          <w:tcPr>
            <w:tcW w:w="314" w:type="pct"/>
          </w:tcPr>
          <w:p w14:paraId="3AD59A0E" w14:textId="77777777" w:rsidR="00FB6B71" w:rsidRPr="00910FD4" w:rsidRDefault="00FB6B71" w:rsidP="00303804">
            <w:pPr>
              <w:jc w:val="both"/>
              <w:rPr>
                <w:color w:val="000000"/>
                <w:sz w:val="20"/>
                <w:szCs w:val="20"/>
              </w:rPr>
            </w:pPr>
          </w:p>
        </w:tc>
        <w:tc>
          <w:tcPr>
            <w:tcW w:w="311" w:type="pct"/>
          </w:tcPr>
          <w:p w14:paraId="2F83D052" w14:textId="77777777" w:rsidR="00FB6B71" w:rsidRPr="00910FD4" w:rsidRDefault="00FB6B71" w:rsidP="00303804">
            <w:pPr>
              <w:jc w:val="both"/>
              <w:rPr>
                <w:color w:val="000000"/>
                <w:sz w:val="20"/>
                <w:szCs w:val="20"/>
              </w:rPr>
            </w:pPr>
          </w:p>
        </w:tc>
      </w:tr>
      <w:tr w:rsidR="00FB6B71" w:rsidRPr="00910FD4" w14:paraId="61E9FCB9" w14:textId="77777777" w:rsidTr="00580BE8">
        <w:trPr>
          <w:trHeight w:val="300"/>
        </w:trPr>
        <w:tc>
          <w:tcPr>
            <w:tcW w:w="1196" w:type="pct"/>
            <w:shd w:val="clear" w:color="auto" w:fill="auto"/>
            <w:noWrap/>
            <w:vAlign w:val="bottom"/>
            <w:hideMark/>
          </w:tcPr>
          <w:p w14:paraId="7C958405" w14:textId="77777777" w:rsidR="00FB6B71" w:rsidRPr="00596193" w:rsidRDefault="00FB6B71" w:rsidP="00303804">
            <w:pPr>
              <w:jc w:val="both"/>
              <w:rPr>
                <w:color w:val="000000"/>
                <w:sz w:val="20"/>
                <w:szCs w:val="20"/>
              </w:rPr>
            </w:pPr>
            <w:r w:rsidRPr="00596193">
              <w:rPr>
                <w:color w:val="000000"/>
                <w:sz w:val="20"/>
                <w:szCs w:val="20"/>
              </w:rPr>
              <w:t>Low-risk urban women (55-64)</w:t>
            </w:r>
          </w:p>
        </w:tc>
        <w:tc>
          <w:tcPr>
            <w:tcW w:w="314" w:type="pct"/>
            <w:vAlign w:val="bottom"/>
          </w:tcPr>
          <w:p w14:paraId="4D9E54EF" w14:textId="77777777" w:rsidR="00FB6B71" w:rsidRPr="00596193" w:rsidRDefault="00FB6B71" w:rsidP="00303804">
            <w:pPr>
              <w:jc w:val="both"/>
              <w:rPr>
                <w:color w:val="000000"/>
                <w:sz w:val="20"/>
                <w:szCs w:val="20"/>
              </w:rPr>
            </w:pPr>
          </w:p>
        </w:tc>
        <w:tc>
          <w:tcPr>
            <w:tcW w:w="314" w:type="pct"/>
          </w:tcPr>
          <w:p w14:paraId="4E2D3842" w14:textId="77777777" w:rsidR="00FB6B71" w:rsidRPr="00596193" w:rsidRDefault="00FB6B71" w:rsidP="00303804">
            <w:pPr>
              <w:jc w:val="both"/>
              <w:rPr>
                <w:color w:val="000000"/>
                <w:sz w:val="20"/>
                <w:szCs w:val="20"/>
              </w:rPr>
            </w:pPr>
          </w:p>
        </w:tc>
        <w:tc>
          <w:tcPr>
            <w:tcW w:w="353" w:type="pct"/>
          </w:tcPr>
          <w:p w14:paraId="37D407E1" w14:textId="77777777" w:rsidR="00FB6B71" w:rsidRPr="00596193" w:rsidRDefault="00FB6B71" w:rsidP="00303804">
            <w:pPr>
              <w:jc w:val="both"/>
              <w:rPr>
                <w:color w:val="000000"/>
                <w:sz w:val="20"/>
                <w:szCs w:val="20"/>
              </w:rPr>
            </w:pPr>
          </w:p>
        </w:tc>
        <w:tc>
          <w:tcPr>
            <w:tcW w:w="292" w:type="pct"/>
          </w:tcPr>
          <w:p w14:paraId="5C3F1CA7" w14:textId="77777777" w:rsidR="00FB6B71" w:rsidRPr="00596193" w:rsidRDefault="00FB6B71" w:rsidP="00303804">
            <w:pPr>
              <w:jc w:val="both"/>
              <w:rPr>
                <w:color w:val="000000"/>
                <w:sz w:val="20"/>
                <w:szCs w:val="20"/>
              </w:rPr>
            </w:pPr>
          </w:p>
        </w:tc>
        <w:tc>
          <w:tcPr>
            <w:tcW w:w="336" w:type="pct"/>
            <w:vAlign w:val="bottom"/>
          </w:tcPr>
          <w:p w14:paraId="7C3B0B4E" w14:textId="77777777" w:rsidR="00FB6B71" w:rsidRPr="00596193" w:rsidRDefault="00FB6B71" w:rsidP="00303804">
            <w:pPr>
              <w:jc w:val="both"/>
              <w:rPr>
                <w:color w:val="000000"/>
                <w:sz w:val="20"/>
                <w:szCs w:val="20"/>
              </w:rPr>
            </w:pPr>
          </w:p>
        </w:tc>
        <w:tc>
          <w:tcPr>
            <w:tcW w:w="314" w:type="pct"/>
            <w:vAlign w:val="bottom"/>
          </w:tcPr>
          <w:p w14:paraId="002DAAF9" w14:textId="77777777" w:rsidR="00FB6B71" w:rsidRPr="00596193" w:rsidRDefault="00FB6B71" w:rsidP="00303804">
            <w:pPr>
              <w:jc w:val="both"/>
              <w:rPr>
                <w:color w:val="000000"/>
                <w:sz w:val="20"/>
                <w:szCs w:val="20"/>
              </w:rPr>
            </w:pPr>
          </w:p>
        </w:tc>
        <w:tc>
          <w:tcPr>
            <w:tcW w:w="314" w:type="pct"/>
            <w:vAlign w:val="bottom"/>
          </w:tcPr>
          <w:p w14:paraId="7304BAD7" w14:textId="77777777" w:rsidR="00FB6B71" w:rsidRPr="00596193" w:rsidRDefault="00FB6B71" w:rsidP="00303804">
            <w:pPr>
              <w:jc w:val="both"/>
              <w:rPr>
                <w:color w:val="000000"/>
                <w:sz w:val="20"/>
                <w:szCs w:val="20"/>
              </w:rPr>
            </w:pPr>
          </w:p>
        </w:tc>
        <w:tc>
          <w:tcPr>
            <w:tcW w:w="287" w:type="pct"/>
            <w:vAlign w:val="bottom"/>
          </w:tcPr>
          <w:p w14:paraId="1780C6A4" w14:textId="77777777" w:rsidR="00FB6B71" w:rsidRPr="00596193" w:rsidRDefault="00FB6B71" w:rsidP="00303804">
            <w:pPr>
              <w:jc w:val="both"/>
              <w:rPr>
                <w:color w:val="000000"/>
                <w:sz w:val="20"/>
                <w:szCs w:val="20"/>
              </w:rPr>
            </w:pPr>
          </w:p>
        </w:tc>
        <w:tc>
          <w:tcPr>
            <w:tcW w:w="341" w:type="pct"/>
          </w:tcPr>
          <w:p w14:paraId="42513F18" w14:textId="77777777" w:rsidR="00FB6B71" w:rsidRPr="00910FD4" w:rsidRDefault="00FB6B71" w:rsidP="00303804">
            <w:pPr>
              <w:jc w:val="both"/>
              <w:rPr>
                <w:color w:val="000000"/>
                <w:sz w:val="20"/>
                <w:szCs w:val="20"/>
              </w:rPr>
            </w:pPr>
          </w:p>
        </w:tc>
        <w:tc>
          <w:tcPr>
            <w:tcW w:w="314" w:type="pct"/>
          </w:tcPr>
          <w:p w14:paraId="41EE5A6E" w14:textId="77777777" w:rsidR="00FB6B71" w:rsidRPr="00910FD4" w:rsidRDefault="00FB6B71" w:rsidP="00303804">
            <w:pPr>
              <w:jc w:val="both"/>
              <w:rPr>
                <w:color w:val="000000"/>
                <w:sz w:val="20"/>
                <w:szCs w:val="20"/>
              </w:rPr>
            </w:pPr>
          </w:p>
        </w:tc>
        <w:tc>
          <w:tcPr>
            <w:tcW w:w="314" w:type="pct"/>
          </w:tcPr>
          <w:p w14:paraId="700FF836" w14:textId="77777777" w:rsidR="00FB6B71" w:rsidRPr="00910FD4" w:rsidRDefault="00FB6B71" w:rsidP="00303804">
            <w:pPr>
              <w:jc w:val="both"/>
              <w:rPr>
                <w:color w:val="000000"/>
                <w:sz w:val="20"/>
                <w:szCs w:val="20"/>
              </w:rPr>
            </w:pPr>
          </w:p>
        </w:tc>
        <w:tc>
          <w:tcPr>
            <w:tcW w:w="311" w:type="pct"/>
          </w:tcPr>
          <w:p w14:paraId="2FB2300C" w14:textId="77777777" w:rsidR="00FB6B71" w:rsidRPr="00910FD4" w:rsidRDefault="00FB6B71" w:rsidP="00303804">
            <w:pPr>
              <w:jc w:val="both"/>
              <w:rPr>
                <w:color w:val="000000"/>
                <w:sz w:val="20"/>
                <w:szCs w:val="20"/>
              </w:rPr>
            </w:pPr>
          </w:p>
        </w:tc>
      </w:tr>
      <w:tr w:rsidR="00FB6B71" w:rsidRPr="00910FD4" w14:paraId="07C77661" w14:textId="77777777" w:rsidTr="00580BE8">
        <w:trPr>
          <w:trHeight w:val="300"/>
        </w:trPr>
        <w:tc>
          <w:tcPr>
            <w:tcW w:w="1196" w:type="pct"/>
            <w:shd w:val="clear" w:color="auto" w:fill="auto"/>
            <w:noWrap/>
            <w:vAlign w:val="bottom"/>
            <w:hideMark/>
          </w:tcPr>
          <w:p w14:paraId="6891202B" w14:textId="77777777" w:rsidR="00FB6B71" w:rsidRPr="00596193" w:rsidRDefault="00FB6B71" w:rsidP="00303804">
            <w:pPr>
              <w:jc w:val="both"/>
              <w:rPr>
                <w:color w:val="000000"/>
                <w:sz w:val="20"/>
                <w:szCs w:val="20"/>
              </w:rPr>
            </w:pPr>
            <w:r w:rsidRPr="00596193">
              <w:rPr>
                <w:color w:val="000000"/>
                <w:sz w:val="20"/>
                <w:szCs w:val="20"/>
              </w:rPr>
              <w:t>Low-risk rural women (15-24)</w:t>
            </w:r>
          </w:p>
        </w:tc>
        <w:tc>
          <w:tcPr>
            <w:tcW w:w="314" w:type="pct"/>
            <w:vAlign w:val="bottom"/>
          </w:tcPr>
          <w:p w14:paraId="22AB4E95" w14:textId="77777777" w:rsidR="00FB6B71" w:rsidRPr="00596193" w:rsidRDefault="00FB6B71" w:rsidP="00303804">
            <w:pPr>
              <w:jc w:val="both"/>
              <w:rPr>
                <w:color w:val="000000"/>
                <w:sz w:val="20"/>
                <w:szCs w:val="20"/>
              </w:rPr>
            </w:pPr>
          </w:p>
        </w:tc>
        <w:tc>
          <w:tcPr>
            <w:tcW w:w="314" w:type="pct"/>
          </w:tcPr>
          <w:p w14:paraId="20F27CA1" w14:textId="77777777" w:rsidR="00FB6B71" w:rsidRPr="00596193" w:rsidRDefault="00FB6B71" w:rsidP="00303804">
            <w:pPr>
              <w:jc w:val="both"/>
              <w:rPr>
                <w:color w:val="000000"/>
                <w:sz w:val="20"/>
                <w:szCs w:val="20"/>
              </w:rPr>
            </w:pPr>
          </w:p>
        </w:tc>
        <w:tc>
          <w:tcPr>
            <w:tcW w:w="353" w:type="pct"/>
          </w:tcPr>
          <w:p w14:paraId="11A3DF71" w14:textId="77777777" w:rsidR="00FB6B71" w:rsidRPr="00596193" w:rsidRDefault="00FB6B71" w:rsidP="00303804">
            <w:pPr>
              <w:jc w:val="both"/>
              <w:rPr>
                <w:color w:val="000000"/>
                <w:sz w:val="20"/>
                <w:szCs w:val="20"/>
              </w:rPr>
            </w:pPr>
          </w:p>
        </w:tc>
        <w:tc>
          <w:tcPr>
            <w:tcW w:w="292" w:type="pct"/>
          </w:tcPr>
          <w:p w14:paraId="56BFB94E" w14:textId="77777777" w:rsidR="00FB6B71" w:rsidRPr="00596193" w:rsidRDefault="00FB6B71" w:rsidP="00303804">
            <w:pPr>
              <w:jc w:val="both"/>
              <w:rPr>
                <w:color w:val="000000"/>
                <w:sz w:val="20"/>
                <w:szCs w:val="20"/>
              </w:rPr>
            </w:pPr>
          </w:p>
        </w:tc>
        <w:tc>
          <w:tcPr>
            <w:tcW w:w="336" w:type="pct"/>
            <w:vAlign w:val="bottom"/>
          </w:tcPr>
          <w:p w14:paraId="1434DB93" w14:textId="77777777" w:rsidR="00FB6B71" w:rsidRPr="00596193" w:rsidRDefault="00FB6B71" w:rsidP="00303804">
            <w:pPr>
              <w:jc w:val="both"/>
              <w:rPr>
                <w:color w:val="000000"/>
                <w:sz w:val="20"/>
                <w:szCs w:val="20"/>
              </w:rPr>
            </w:pPr>
          </w:p>
        </w:tc>
        <w:tc>
          <w:tcPr>
            <w:tcW w:w="314" w:type="pct"/>
            <w:vAlign w:val="bottom"/>
          </w:tcPr>
          <w:p w14:paraId="4AD86201" w14:textId="77777777" w:rsidR="00FB6B71" w:rsidRPr="00596193" w:rsidRDefault="00FB6B71" w:rsidP="00303804">
            <w:pPr>
              <w:jc w:val="both"/>
              <w:rPr>
                <w:color w:val="000000"/>
                <w:sz w:val="20"/>
                <w:szCs w:val="20"/>
              </w:rPr>
            </w:pPr>
          </w:p>
        </w:tc>
        <w:tc>
          <w:tcPr>
            <w:tcW w:w="314" w:type="pct"/>
            <w:vAlign w:val="bottom"/>
          </w:tcPr>
          <w:p w14:paraId="6A34A4C4" w14:textId="77777777" w:rsidR="00FB6B71" w:rsidRPr="00596193" w:rsidRDefault="00FB6B71" w:rsidP="00303804">
            <w:pPr>
              <w:jc w:val="both"/>
              <w:rPr>
                <w:color w:val="000000"/>
                <w:sz w:val="20"/>
                <w:szCs w:val="20"/>
              </w:rPr>
            </w:pPr>
          </w:p>
        </w:tc>
        <w:tc>
          <w:tcPr>
            <w:tcW w:w="287" w:type="pct"/>
            <w:vAlign w:val="bottom"/>
          </w:tcPr>
          <w:p w14:paraId="00A1DC55" w14:textId="77777777" w:rsidR="00FB6B71" w:rsidRPr="00596193" w:rsidRDefault="00FB6B71" w:rsidP="00303804">
            <w:pPr>
              <w:jc w:val="both"/>
              <w:rPr>
                <w:color w:val="000000"/>
                <w:sz w:val="20"/>
                <w:szCs w:val="20"/>
              </w:rPr>
            </w:pPr>
          </w:p>
        </w:tc>
        <w:tc>
          <w:tcPr>
            <w:tcW w:w="341" w:type="pct"/>
          </w:tcPr>
          <w:p w14:paraId="5C8E5649" w14:textId="77777777" w:rsidR="00FB6B71" w:rsidRPr="00910FD4" w:rsidRDefault="00FB6B71" w:rsidP="00303804">
            <w:pPr>
              <w:jc w:val="both"/>
              <w:rPr>
                <w:color w:val="000000"/>
                <w:sz w:val="20"/>
                <w:szCs w:val="20"/>
              </w:rPr>
            </w:pPr>
          </w:p>
        </w:tc>
        <w:tc>
          <w:tcPr>
            <w:tcW w:w="314" w:type="pct"/>
          </w:tcPr>
          <w:p w14:paraId="5B910B35" w14:textId="77777777" w:rsidR="00FB6B71" w:rsidRPr="00910FD4" w:rsidRDefault="00FB6B71" w:rsidP="00303804">
            <w:pPr>
              <w:jc w:val="both"/>
              <w:rPr>
                <w:color w:val="000000"/>
                <w:sz w:val="20"/>
                <w:szCs w:val="20"/>
              </w:rPr>
            </w:pPr>
          </w:p>
        </w:tc>
        <w:tc>
          <w:tcPr>
            <w:tcW w:w="314" w:type="pct"/>
          </w:tcPr>
          <w:p w14:paraId="6667C9A4" w14:textId="77777777" w:rsidR="00FB6B71" w:rsidRPr="00910FD4" w:rsidRDefault="00FB6B71" w:rsidP="00303804">
            <w:pPr>
              <w:jc w:val="both"/>
              <w:rPr>
                <w:color w:val="000000"/>
                <w:sz w:val="20"/>
                <w:szCs w:val="20"/>
              </w:rPr>
            </w:pPr>
          </w:p>
        </w:tc>
        <w:tc>
          <w:tcPr>
            <w:tcW w:w="311" w:type="pct"/>
          </w:tcPr>
          <w:p w14:paraId="36AF8D2B" w14:textId="77777777" w:rsidR="00FB6B71" w:rsidRPr="00910FD4" w:rsidRDefault="00FB6B71" w:rsidP="00303804">
            <w:pPr>
              <w:jc w:val="both"/>
              <w:rPr>
                <w:color w:val="000000"/>
                <w:sz w:val="20"/>
                <w:szCs w:val="20"/>
              </w:rPr>
            </w:pPr>
          </w:p>
        </w:tc>
      </w:tr>
      <w:tr w:rsidR="00FB6B71" w:rsidRPr="00910FD4" w14:paraId="2A96598B" w14:textId="77777777" w:rsidTr="00580BE8">
        <w:trPr>
          <w:trHeight w:val="300"/>
        </w:trPr>
        <w:tc>
          <w:tcPr>
            <w:tcW w:w="1196" w:type="pct"/>
            <w:shd w:val="clear" w:color="auto" w:fill="auto"/>
            <w:noWrap/>
            <w:vAlign w:val="bottom"/>
            <w:hideMark/>
          </w:tcPr>
          <w:p w14:paraId="0A150CDB" w14:textId="77777777" w:rsidR="00FB6B71" w:rsidRPr="00596193" w:rsidRDefault="00FB6B71" w:rsidP="00303804">
            <w:pPr>
              <w:jc w:val="both"/>
              <w:rPr>
                <w:color w:val="000000"/>
                <w:sz w:val="20"/>
                <w:szCs w:val="20"/>
              </w:rPr>
            </w:pPr>
            <w:r w:rsidRPr="00596193">
              <w:rPr>
                <w:color w:val="000000"/>
                <w:sz w:val="20"/>
                <w:szCs w:val="20"/>
              </w:rPr>
              <w:t>Low-risk rural women (25-34)</w:t>
            </w:r>
          </w:p>
        </w:tc>
        <w:tc>
          <w:tcPr>
            <w:tcW w:w="314" w:type="pct"/>
            <w:vAlign w:val="bottom"/>
          </w:tcPr>
          <w:p w14:paraId="7FFFBABA" w14:textId="77777777" w:rsidR="00FB6B71" w:rsidRPr="00596193" w:rsidRDefault="00FB6B71" w:rsidP="00303804">
            <w:pPr>
              <w:jc w:val="both"/>
              <w:rPr>
                <w:color w:val="000000"/>
                <w:sz w:val="20"/>
                <w:szCs w:val="20"/>
              </w:rPr>
            </w:pPr>
          </w:p>
        </w:tc>
        <w:tc>
          <w:tcPr>
            <w:tcW w:w="314" w:type="pct"/>
          </w:tcPr>
          <w:p w14:paraId="10AB778C" w14:textId="77777777" w:rsidR="00FB6B71" w:rsidRPr="00596193" w:rsidRDefault="00FB6B71" w:rsidP="00303804">
            <w:pPr>
              <w:jc w:val="both"/>
              <w:rPr>
                <w:color w:val="000000"/>
                <w:sz w:val="20"/>
                <w:szCs w:val="20"/>
              </w:rPr>
            </w:pPr>
          </w:p>
        </w:tc>
        <w:tc>
          <w:tcPr>
            <w:tcW w:w="353" w:type="pct"/>
          </w:tcPr>
          <w:p w14:paraId="1D15E0A5" w14:textId="77777777" w:rsidR="00FB6B71" w:rsidRPr="00596193" w:rsidRDefault="00FB6B71" w:rsidP="00303804">
            <w:pPr>
              <w:jc w:val="both"/>
              <w:rPr>
                <w:color w:val="000000"/>
                <w:sz w:val="20"/>
                <w:szCs w:val="20"/>
              </w:rPr>
            </w:pPr>
          </w:p>
        </w:tc>
        <w:tc>
          <w:tcPr>
            <w:tcW w:w="292" w:type="pct"/>
          </w:tcPr>
          <w:p w14:paraId="6B57E8EA" w14:textId="77777777" w:rsidR="00FB6B71" w:rsidRPr="00596193" w:rsidRDefault="00FB6B71" w:rsidP="00303804">
            <w:pPr>
              <w:jc w:val="both"/>
              <w:rPr>
                <w:color w:val="000000"/>
                <w:sz w:val="20"/>
                <w:szCs w:val="20"/>
              </w:rPr>
            </w:pPr>
          </w:p>
        </w:tc>
        <w:tc>
          <w:tcPr>
            <w:tcW w:w="336" w:type="pct"/>
            <w:vAlign w:val="bottom"/>
          </w:tcPr>
          <w:p w14:paraId="268F4415" w14:textId="77777777" w:rsidR="00FB6B71" w:rsidRPr="00596193" w:rsidRDefault="00FB6B71" w:rsidP="00303804">
            <w:pPr>
              <w:jc w:val="both"/>
              <w:rPr>
                <w:color w:val="000000"/>
                <w:sz w:val="20"/>
                <w:szCs w:val="20"/>
              </w:rPr>
            </w:pPr>
          </w:p>
        </w:tc>
        <w:tc>
          <w:tcPr>
            <w:tcW w:w="314" w:type="pct"/>
            <w:vAlign w:val="bottom"/>
          </w:tcPr>
          <w:p w14:paraId="6133A2D5" w14:textId="77777777" w:rsidR="00FB6B71" w:rsidRPr="00596193" w:rsidRDefault="00FB6B71" w:rsidP="00303804">
            <w:pPr>
              <w:jc w:val="both"/>
              <w:rPr>
                <w:color w:val="000000"/>
                <w:sz w:val="20"/>
                <w:szCs w:val="20"/>
              </w:rPr>
            </w:pPr>
          </w:p>
        </w:tc>
        <w:tc>
          <w:tcPr>
            <w:tcW w:w="314" w:type="pct"/>
            <w:vAlign w:val="bottom"/>
          </w:tcPr>
          <w:p w14:paraId="14FAB0FB" w14:textId="77777777" w:rsidR="00FB6B71" w:rsidRPr="00596193" w:rsidRDefault="00FB6B71" w:rsidP="00303804">
            <w:pPr>
              <w:jc w:val="both"/>
              <w:rPr>
                <w:color w:val="000000"/>
                <w:sz w:val="20"/>
                <w:szCs w:val="20"/>
              </w:rPr>
            </w:pPr>
          </w:p>
        </w:tc>
        <w:tc>
          <w:tcPr>
            <w:tcW w:w="287" w:type="pct"/>
            <w:vAlign w:val="bottom"/>
          </w:tcPr>
          <w:p w14:paraId="70643A5D" w14:textId="77777777" w:rsidR="00FB6B71" w:rsidRPr="00596193" w:rsidRDefault="00FB6B71" w:rsidP="00303804">
            <w:pPr>
              <w:jc w:val="both"/>
              <w:rPr>
                <w:color w:val="000000"/>
                <w:sz w:val="20"/>
                <w:szCs w:val="20"/>
              </w:rPr>
            </w:pPr>
          </w:p>
        </w:tc>
        <w:tc>
          <w:tcPr>
            <w:tcW w:w="341" w:type="pct"/>
          </w:tcPr>
          <w:p w14:paraId="501FEFEE" w14:textId="77777777" w:rsidR="00FB6B71" w:rsidRPr="00910FD4" w:rsidRDefault="00FB6B71" w:rsidP="00303804">
            <w:pPr>
              <w:jc w:val="both"/>
              <w:rPr>
                <w:color w:val="000000"/>
                <w:sz w:val="20"/>
                <w:szCs w:val="20"/>
              </w:rPr>
            </w:pPr>
          </w:p>
        </w:tc>
        <w:tc>
          <w:tcPr>
            <w:tcW w:w="314" w:type="pct"/>
          </w:tcPr>
          <w:p w14:paraId="744457E6" w14:textId="77777777" w:rsidR="00FB6B71" w:rsidRPr="00910FD4" w:rsidRDefault="00FB6B71" w:rsidP="00303804">
            <w:pPr>
              <w:jc w:val="both"/>
              <w:rPr>
                <w:color w:val="000000"/>
                <w:sz w:val="20"/>
                <w:szCs w:val="20"/>
              </w:rPr>
            </w:pPr>
          </w:p>
        </w:tc>
        <w:tc>
          <w:tcPr>
            <w:tcW w:w="314" w:type="pct"/>
          </w:tcPr>
          <w:p w14:paraId="7CECF59B" w14:textId="77777777" w:rsidR="00FB6B71" w:rsidRPr="00910FD4" w:rsidRDefault="00FB6B71" w:rsidP="00303804">
            <w:pPr>
              <w:jc w:val="both"/>
              <w:rPr>
                <w:color w:val="000000"/>
                <w:sz w:val="20"/>
                <w:szCs w:val="20"/>
              </w:rPr>
            </w:pPr>
          </w:p>
        </w:tc>
        <w:tc>
          <w:tcPr>
            <w:tcW w:w="311" w:type="pct"/>
          </w:tcPr>
          <w:p w14:paraId="2997409C" w14:textId="77777777" w:rsidR="00FB6B71" w:rsidRPr="00910FD4" w:rsidRDefault="00FB6B71" w:rsidP="00303804">
            <w:pPr>
              <w:jc w:val="both"/>
              <w:rPr>
                <w:color w:val="000000"/>
                <w:sz w:val="20"/>
                <w:szCs w:val="20"/>
              </w:rPr>
            </w:pPr>
          </w:p>
        </w:tc>
      </w:tr>
      <w:tr w:rsidR="00FB6B71" w:rsidRPr="00910FD4" w14:paraId="650EB525" w14:textId="77777777" w:rsidTr="00580BE8">
        <w:trPr>
          <w:trHeight w:val="300"/>
        </w:trPr>
        <w:tc>
          <w:tcPr>
            <w:tcW w:w="1196" w:type="pct"/>
            <w:shd w:val="clear" w:color="auto" w:fill="auto"/>
            <w:noWrap/>
            <w:vAlign w:val="bottom"/>
            <w:hideMark/>
          </w:tcPr>
          <w:p w14:paraId="64F5FE2A" w14:textId="77777777" w:rsidR="00FB6B71" w:rsidRPr="00596193" w:rsidRDefault="00FB6B71" w:rsidP="00303804">
            <w:pPr>
              <w:jc w:val="both"/>
              <w:rPr>
                <w:color w:val="000000"/>
                <w:sz w:val="20"/>
                <w:szCs w:val="20"/>
              </w:rPr>
            </w:pPr>
            <w:r w:rsidRPr="00596193">
              <w:rPr>
                <w:color w:val="000000"/>
                <w:sz w:val="20"/>
                <w:szCs w:val="20"/>
              </w:rPr>
              <w:t>Low-risk rural women (35-44)</w:t>
            </w:r>
          </w:p>
        </w:tc>
        <w:tc>
          <w:tcPr>
            <w:tcW w:w="314" w:type="pct"/>
            <w:vAlign w:val="bottom"/>
          </w:tcPr>
          <w:p w14:paraId="16742B15" w14:textId="77777777" w:rsidR="00FB6B71" w:rsidRPr="00596193" w:rsidRDefault="00FB6B71" w:rsidP="00303804">
            <w:pPr>
              <w:jc w:val="both"/>
              <w:rPr>
                <w:color w:val="000000"/>
                <w:sz w:val="20"/>
                <w:szCs w:val="20"/>
              </w:rPr>
            </w:pPr>
          </w:p>
        </w:tc>
        <w:tc>
          <w:tcPr>
            <w:tcW w:w="314" w:type="pct"/>
          </w:tcPr>
          <w:p w14:paraId="01A570FE" w14:textId="77777777" w:rsidR="00FB6B71" w:rsidRPr="00596193" w:rsidRDefault="00FB6B71" w:rsidP="00303804">
            <w:pPr>
              <w:jc w:val="both"/>
              <w:rPr>
                <w:color w:val="000000"/>
                <w:sz w:val="20"/>
                <w:szCs w:val="20"/>
              </w:rPr>
            </w:pPr>
          </w:p>
        </w:tc>
        <w:tc>
          <w:tcPr>
            <w:tcW w:w="353" w:type="pct"/>
          </w:tcPr>
          <w:p w14:paraId="42EC61C4" w14:textId="77777777" w:rsidR="00FB6B71" w:rsidRPr="00596193" w:rsidRDefault="00FB6B71" w:rsidP="00303804">
            <w:pPr>
              <w:jc w:val="both"/>
              <w:rPr>
                <w:color w:val="000000"/>
                <w:sz w:val="20"/>
                <w:szCs w:val="20"/>
              </w:rPr>
            </w:pPr>
          </w:p>
        </w:tc>
        <w:tc>
          <w:tcPr>
            <w:tcW w:w="292" w:type="pct"/>
          </w:tcPr>
          <w:p w14:paraId="016F7D77" w14:textId="77777777" w:rsidR="00FB6B71" w:rsidRPr="00596193" w:rsidRDefault="00FB6B71" w:rsidP="00303804">
            <w:pPr>
              <w:jc w:val="both"/>
              <w:rPr>
                <w:color w:val="000000"/>
                <w:sz w:val="20"/>
                <w:szCs w:val="20"/>
              </w:rPr>
            </w:pPr>
          </w:p>
        </w:tc>
        <w:tc>
          <w:tcPr>
            <w:tcW w:w="336" w:type="pct"/>
            <w:vAlign w:val="bottom"/>
          </w:tcPr>
          <w:p w14:paraId="2D2CF455" w14:textId="77777777" w:rsidR="00FB6B71" w:rsidRPr="00596193" w:rsidRDefault="00FB6B71" w:rsidP="00303804">
            <w:pPr>
              <w:jc w:val="both"/>
              <w:rPr>
                <w:color w:val="000000"/>
                <w:sz w:val="20"/>
                <w:szCs w:val="20"/>
              </w:rPr>
            </w:pPr>
          </w:p>
        </w:tc>
        <w:tc>
          <w:tcPr>
            <w:tcW w:w="314" w:type="pct"/>
            <w:vAlign w:val="bottom"/>
          </w:tcPr>
          <w:p w14:paraId="30A619E7" w14:textId="77777777" w:rsidR="00FB6B71" w:rsidRPr="00596193" w:rsidRDefault="00FB6B71" w:rsidP="00303804">
            <w:pPr>
              <w:jc w:val="both"/>
              <w:rPr>
                <w:color w:val="000000"/>
                <w:sz w:val="20"/>
                <w:szCs w:val="20"/>
              </w:rPr>
            </w:pPr>
          </w:p>
        </w:tc>
        <w:tc>
          <w:tcPr>
            <w:tcW w:w="314" w:type="pct"/>
            <w:vAlign w:val="bottom"/>
          </w:tcPr>
          <w:p w14:paraId="6F3C7AA9" w14:textId="77777777" w:rsidR="00FB6B71" w:rsidRPr="00596193" w:rsidRDefault="00FB6B71" w:rsidP="00303804">
            <w:pPr>
              <w:jc w:val="both"/>
              <w:rPr>
                <w:color w:val="000000"/>
                <w:sz w:val="20"/>
                <w:szCs w:val="20"/>
              </w:rPr>
            </w:pPr>
          </w:p>
        </w:tc>
        <w:tc>
          <w:tcPr>
            <w:tcW w:w="287" w:type="pct"/>
            <w:vAlign w:val="bottom"/>
          </w:tcPr>
          <w:p w14:paraId="7E3A8F61" w14:textId="77777777" w:rsidR="00FB6B71" w:rsidRPr="00596193" w:rsidRDefault="00FB6B71" w:rsidP="00303804">
            <w:pPr>
              <w:jc w:val="both"/>
              <w:rPr>
                <w:color w:val="000000"/>
                <w:sz w:val="20"/>
                <w:szCs w:val="20"/>
              </w:rPr>
            </w:pPr>
          </w:p>
        </w:tc>
        <w:tc>
          <w:tcPr>
            <w:tcW w:w="341" w:type="pct"/>
          </w:tcPr>
          <w:p w14:paraId="279B66B7" w14:textId="77777777" w:rsidR="00FB6B71" w:rsidRPr="00910FD4" w:rsidRDefault="00FB6B71" w:rsidP="00303804">
            <w:pPr>
              <w:jc w:val="both"/>
              <w:rPr>
                <w:color w:val="000000"/>
                <w:sz w:val="20"/>
                <w:szCs w:val="20"/>
              </w:rPr>
            </w:pPr>
          </w:p>
        </w:tc>
        <w:tc>
          <w:tcPr>
            <w:tcW w:w="314" w:type="pct"/>
          </w:tcPr>
          <w:p w14:paraId="0FC0324E" w14:textId="77777777" w:rsidR="00FB6B71" w:rsidRPr="00910FD4" w:rsidRDefault="00FB6B71" w:rsidP="00303804">
            <w:pPr>
              <w:jc w:val="both"/>
              <w:rPr>
                <w:color w:val="000000"/>
                <w:sz w:val="20"/>
                <w:szCs w:val="20"/>
              </w:rPr>
            </w:pPr>
          </w:p>
        </w:tc>
        <w:tc>
          <w:tcPr>
            <w:tcW w:w="314" w:type="pct"/>
          </w:tcPr>
          <w:p w14:paraId="5B569A2C" w14:textId="77777777" w:rsidR="00FB6B71" w:rsidRPr="00910FD4" w:rsidRDefault="00FB6B71" w:rsidP="00303804">
            <w:pPr>
              <w:jc w:val="both"/>
              <w:rPr>
                <w:color w:val="000000"/>
                <w:sz w:val="20"/>
                <w:szCs w:val="20"/>
              </w:rPr>
            </w:pPr>
          </w:p>
        </w:tc>
        <w:tc>
          <w:tcPr>
            <w:tcW w:w="311" w:type="pct"/>
          </w:tcPr>
          <w:p w14:paraId="246580E6" w14:textId="77777777" w:rsidR="00FB6B71" w:rsidRPr="00910FD4" w:rsidRDefault="00FB6B71" w:rsidP="00303804">
            <w:pPr>
              <w:jc w:val="both"/>
              <w:rPr>
                <w:color w:val="000000"/>
                <w:sz w:val="20"/>
                <w:szCs w:val="20"/>
              </w:rPr>
            </w:pPr>
          </w:p>
        </w:tc>
      </w:tr>
      <w:tr w:rsidR="00FB6B71" w:rsidRPr="00910FD4" w14:paraId="320EFA40" w14:textId="77777777" w:rsidTr="00580BE8">
        <w:trPr>
          <w:trHeight w:val="300"/>
        </w:trPr>
        <w:tc>
          <w:tcPr>
            <w:tcW w:w="1196" w:type="pct"/>
            <w:shd w:val="clear" w:color="auto" w:fill="auto"/>
            <w:noWrap/>
            <w:vAlign w:val="bottom"/>
            <w:hideMark/>
          </w:tcPr>
          <w:p w14:paraId="00483220" w14:textId="77777777" w:rsidR="00FB6B71" w:rsidRPr="00596193" w:rsidRDefault="00FB6B71" w:rsidP="00303804">
            <w:pPr>
              <w:jc w:val="both"/>
              <w:rPr>
                <w:color w:val="000000"/>
                <w:sz w:val="20"/>
                <w:szCs w:val="20"/>
              </w:rPr>
            </w:pPr>
            <w:r w:rsidRPr="00596193">
              <w:rPr>
                <w:color w:val="000000"/>
                <w:sz w:val="20"/>
                <w:szCs w:val="20"/>
              </w:rPr>
              <w:t>Low-risk rural women (45-54)</w:t>
            </w:r>
          </w:p>
        </w:tc>
        <w:tc>
          <w:tcPr>
            <w:tcW w:w="314" w:type="pct"/>
            <w:vAlign w:val="bottom"/>
          </w:tcPr>
          <w:p w14:paraId="3B6765C7" w14:textId="77777777" w:rsidR="00FB6B71" w:rsidRPr="00596193" w:rsidRDefault="00FB6B71" w:rsidP="00303804">
            <w:pPr>
              <w:jc w:val="both"/>
              <w:rPr>
                <w:color w:val="000000"/>
                <w:sz w:val="20"/>
                <w:szCs w:val="20"/>
              </w:rPr>
            </w:pPr>
          </w:p>
        </w:tc>
        <w:tc>
          <w:tcPr>
            <w:tcW w:w="314" w:type="pct"/>
          </w:tcPr>
          <w:p w14:paraId="08B854D2" w14:textId="77777777" w:rsidR="00FB6B71" w:rsidRPr="00596193" w:rsidRDefault="00FB6B71" w:rsidP="00303804">
            <w:pPr>
              <w:jc w:val="both"/>
              <w:rPr>
                <w:color w:val="000000"/>
                <w:sz w:val="20"/>
                <w:szCs w:val="20"/>
              </w:rPr>
            </w:pPr>
          </w:p>
        </w:tc>
        <w:tc>
          <w:tcPr>
            <w:tcW w:w="353" w:type="pct"/>
          </w:tcPr>
          <w:p w14:paraId="229AA161" w14:textId="77777777" w:rsidR="00FB6B71" w:rsidRPr="00596193" w:rsidRDefault="00FB6B71" w:rsidP="00303804">
            <w:pPr>
              <w:jc w:val="both"/>
              <w:rPr>
                <w:color w:val="000000"/>
                <w:sz w:val="20"/>
                <w:szCs w:val="20"/>
              </w:rPr>
            </w:pPr>
          </w:p>
        </w:tc>
        <w:tc>
          <w:tcPr>
            <w:tcW w:w="292" w:type="pct"/>
          </w:tcPr>
          <w:p w14:paraId="212DDCB5" w14:textId="77777777" w:rsidR="00FB6B71" w:rsidRPr="00596193" w:rsidRDefault="00FB6B71" w:rsidP="00303804">
            <w:pPr>
              <w:jc w:val="both"/>
              <w:rPr>
                <w:color w:val="000000"/>
                <w:sz w:val="20"/>
                <w:szCs w:val="20"/>
              </w:rPr>
            </w:pPr>
          </w:p>
        </w:tc>
        <w:tc>
          <w:tcPr>
            <w:tcW w:w="336" w:type="pct"/>
            <w:vAlign w:val="bottom"/>
          </w:tcPr>
          <w:p w14:paraId="7778D6C1" w14:textId="77777777" w:rsidR="00FB6B71" w:rsidRPr="00596193" w:rsidRDefault="00FB6B71" w:rsidP="00303804">
            <w:pPr>
              <w:jc w:val="both"/>
              <w:rPr>
                <w:color w:val="000000"/>
                <w:sz w:val="20"/>
                <w:szCs w:val="20"/>
              </w:rPr>
            </w:pPr>
          </w:p>
        </w:tc>
        <w:tc>
          <w:tcPr>
            <w:tcW w:w="314" w:type="pct"/>
            <w:vAlign w:val="bottom"/>
          </w:tcPr>
          <w:p w14:paraId="71D3A37F" w14:textId="77777777" w:rsidR="00FB6B71" w:rsidRPr="00596193" w:rsidRDefault="00FB6B71" w:rsidP="00303804">
            <w:pPr>
              <w:jc w:val="both"/>
              <w:rPr>
                <w:color w:val="000000"/>
                <w:sz w:val="20"/>
                <w:szCs w:val="20"/>
              </w:rPr>
            </w:pPr>
          </w:p>
        </w:tc>
        <w:tc>
          <w:tcPr>
            <w:tcW w:w="314" w:type="pct"/>
            <w:vAlign w:val="bottom"/>
          </w:tcPr>
          <w:p w14:paraId="5F3422DD" w14:textId="77777777" w:rsidR="00FB6B71" w:rsidRPr="00596193" w:rsidRDefault="00FB6B71" w:rsidP="00303804">
            <w:pPr>
              <w:jc w:val="both"/>
              <w:rPr>
                <w:color w:val="000000"/>
                <w:sz w:val="20"/>
                <w:szCs w:val="20"/>
              </w:rPr>
            </w:pPr>
          </w:p>
        </w:tc>
        <w:tc>
          <w:tcPr>
            <w:tcW w:w="287" w:type="pct"/>
            <w:vAlign w:val="bottom"/>
          </w:tcPr>
          <w:p w14:paraId="6E2A6F7E" w14:textId="77777777" w:rsidR="00FB6B71" w:rsidRPr="00596193" w:rsidRDefault="00FB6B71" w:rsidP="00303804">
            <w:pPr>
              <w:jc w:val="both"/>
              <w:rPr>
                <w:color w:val="000000"/>
                <w:sz w:val="20"/>
                <w:szCs w:val="20"/>
              </w:rPr>
            </w:pPr>
          </w:p>
        </w:tc>
        <w:tc>
          <w:tcPr>
            <w:tcW w:w="341" w:type="pct"/>
          </w:tcPr>
          <w:p w14:paraId="6D043499" w14:textId="77777777" w:rsidR="00FB6B71" w:rsidRPr="00910FD4" w:rsidRDefault="00FB6B71" w:rsidP="00303804">
            <w:pPr>
              <w:jc w:val="both"/>
              <w:rPr>
                <w:color w:val="000000"/>
                <w:sz w:val="20"/>
                <w:szCs w:val="20"/>
              </w:rPr>
            </w:pPr>
          </w:p>
        </w:tc>
        <w:tc>
          <w:tcPr>
            <w:tcW w:w="314" w:type="pct"/>
          </w:tcPr>
          <w:p w14:paraId="5562CD4A" w14:textId="77777777" w:rsidR="00FB6B71" w:rsidRPr="00910FD4" w:rsidRDefault="00FB6B71" w:rsidP="00303804">
            <w:pPr>
              <w:jc w:val="both"/>
              <w:rPr>
                <w:color w:val="000000"/>
                <w:sz w:val="20"/>
                <w:szCs w:val="20"/>
              </w:rPr>
            </w:pPr>
          </w:p>
        </w:tc>
        <w:tc>
          <w:tcPr>
            <w:tcW w:w="314" w:type="pct"/>
          </w:tcPr>
          <w:p w14:paraId="4A6A6587" w14:textId="77777777" w:rsidR="00FB6B71" w:rsidRPr="00910FD4" w:rsidRDefault="00FB6B71" w:rsidP="00303804">
            <w:pPr>
              <w:jc w:val="both"/>
              <w:rPr>
                <w:color w:val="000000"/>
                <w:sz w:val="20"/>
                <w:szCs w:val="20"/>
              </w:rPr>
            </w:pPr>
          </w:p>
        </w:tc>
        <w:tc>
          <w:tcPr>
            <w:tcW w:w="311" w:type="pct"/>
          </w:tcPr>
          <w:p w14:paraId="6EC5B71E" w14:textId="77777777" w:rsidR="00FB6B71" w:rsidRPr="00910FD4" w:rsidRDefault="00FB6B71" w:rsidP="00303804">
            <w:pPr>
              <w:jc w:val="both"/>
              <w:rPr>
                <w:color w:val="000000"/>
                <w:sz w:val="20"/>
                <w:szCs w:val="20"/>
              </w:rPr>
            </w:pPr>
          </w:p>
        </w:tc>
      </w:tr>
      <w:tr w:rsidR="00FB6B71" w:rsidRPr="00910FD4" w14:paraId="71422EED" w14:textId="77777777" w:rsidTr="00580BE8">
        <w:trPr>
          <w:trHeight w:val="300"/>
        </w:trPr>
        <w:tc>
          <w:tcPr>
            <w:tcW w:w="1196" w:type="pct"/>
            <w:shd w:val="clear" w:color="auto" w:fill="auto"/>
            <w:noWrap/>
            <w:vAlign w:val="bottom"/>
            <w:hideMark/>
          </w:tcPr>
          <w:p w14:paraId="03A348F0" w14:textId="77777777" w:rsidR="00FB6B71" w:rsidRPr="00596193" w:rsidRDefault="00FB6B71" w:rsidP="00303804">
            <w:pPr>
              <w:jc w:val="both"/>
              <w:rPr>
                <w:color w:val="000000"/>
                <w:sz w:val="20"/>
                <w:szCs w:val="20"/>
              </w:rPr>
            </w:pPr>
            <w:r w:rsidRPr="00596193">
              <w:rPr>
                <w:color w:val="000000"/>
                <w:sz w:val="20"/>
                <w:szCs w:val="20"/>
              </w:rPr>
              <w:t>Low-risk rural women (55-64)</w:t>
            </w:r>
          </w:p>
        </w:tc>
        <w:tc>
          <w:tcPr>
            <w:tcW w:w="314" w:type="pct"/>
            <w:vAlign w:val="bottom"/>
          </w:tcPr>
          <w:p w14:paraId="20905801" w14:textId="77777777" w:rsidR="00FB6B71" w:rsidRPr="00596193" w:rsidRDefault="00FB6B71" w:rsidP="00303804">
            <w:pPr>
              <w:jc w:val="both"/>
              <w:rPr>
                <w:color w:val="000000"/>
                <w:sz w:val="20"/>
                <w:szCs w:val="20"/>
              </w:rPr>
            </w:pPr>
          </w:p>
        </w:tc>
        <w:tc>
          <w:tcPr>
            <w:tcW w:w="314" w:type="pct"/>
          </w:tcPr>
          <w:p w14:paraId="5C8CD18A" w14:textId="77777777" w:rsidR="00FB6B71" w:rsidRPr="00596193" w:rsidRDefault="00FB6B71" w:rsidP="00303804">
            <w:pPr>
              <w:jc w:val="both"/>
              <w:rPr>
                <w:color w:val="000000"/>
                <w:sz w:val="20"/>
                <w:szCs w:val="20"/>
              </w:rPr>
            </w:pPr>
          </w:p>
        </w:tc>
        <w:tc>
          <w:tcPr>
            <w:tcW w:w="353" w:type="pct"/>
          </w:tcPr>
          <w:p w14:paraId="214F774C" w14:textId="77777777" w:rsidR="00FB6B71" w:rsidRPr="00596193" w:rsidRDefault="00FB6B71" w:rsidP="00303804">
            <w:pPr>
              <w:jc w:val="both"/>
              <w:rPr>
                <w:color w:val="000000"/>
                <w:sz w:val="20"/>
                <w:szCs w:val="20"/>
              </w:rPr>
            </w:pPr>
          </w:p>
        </w:tc>
        <w:tc>
          <w:tcPr>
            <w:tcW w:w="292" w:type="pct"/>
          </w:tcPr>
          <w:p w14:paraId="00A06220" w14:textId="77777777" w:rsidR="00FB6B71" w:rsidRPr="00596193" w:rsidRDefault="00FB6B71" w:rsidP="00303804">
            <w:pPr>
              <w:jc w:val="both"/>
              <w:rPr>
                <w:color w:val="000000"/>
                <w:sz w:val="20"/>
                <w:szCs w:val="20"/>
              </w:rPr>
            </w:pPr>
          </w:p>
        </w:tc>
        <w:tc>
          <w:tcPr>
            <w:tcW w:w="336" w:type="pct"/>
            <w:vAlign w:val="bottom"/>
          </w:tcPr>
          <w:p w14:paraId="23E10BFE" w14:textId="77777777" w:rsidR="00FB6B71" w:rsidRPr="00596193" w:rsidRDefault="00FB6B71" w:rsidP="00303804">
            <w:pPr>
              <w:jc w:val="both"/>
              <w:rPr>
                <w:color w:val="000000"/>
                <w:sz w:val="20"/>
                <w:szCs w:val="20"/>
              </w:rPr>
            </w:pPr>
          </w:p>
        </w:tc>
        <w:tc>
          <w:tcPr>
            <w:tcW w:w="314" w:type="pct"/>
            <w:vAlign w:val="bottom"/>
          </w:tcPr>
          <w:p w14:paraId="0B95C2C1" w14:textId="77777777" w:rsidR="00FB6B71" w:rsidRPr="00596193" w:rsidRDefault="00FB6B71" w:rsidP="00303804">
            <w:pPr>
              <w:jc w:val="both"/>
              <w:rPr>
                <w:color w:val="000000"/>
                <w:sz w:val="20"/>
                <w:szCs w:val="20"/>
              </w:rPr>
            </w:pPr>
          </w:p>
        </w:tc>
        <w:tc>
          <w:tcPr>
            <w:tcW w:w="314" w:type="pct"/>
            <w:vAlign w:val="bottom"/>
          </w:tcPr>
          <w:p w14:paraId="0B5D1CED" w14:textId="77777777" w:rsidR="00FB6B71" w:rsidRPr="00596193" w:rsidRDefault="00FB6B71" w:rsidP="00303804">
            <w:pPr>
              <w:jc w:val="both"/>
              <w:rPr>
                <w:color w:val="000000"/>
                <w:sz w:val="20"/>
                <w:szCs w:val="20"/>
              </w:rPr>
            </w:pPr>
          </w:p>
        </w:tc>
        <w:tc>
          <w:tcPr>
            <w:tcW w:w="287" w:type="pct"/>
            <w:vAlign w:val="bottom"/>
          </w:tcPr>
          <w:p w14:paraId="0E2B71C7" w14:textId="77777777" w:rsidR="00FB6B71" w:rsidRPr="00596193" w:rsidRDefault="00FB6B71" w:rsidP="00303804">
            <w:pPr>
              <w:jc w:val="both"/>
              <w:rPr>
                <w:color w:val="000000"/>
                <w:sz w:val="20"/>
                <w:szCs w:val="20"/>
              </w:rPr>
            </w:pPr>
          </w:p>
        </w:tc>
        <w:tc>
          <w:tcPr>
            <w:tcW w:w="341" w:type="pct"/>
          </w:tcPr>
          <w:p w14:paraId="33B88791" w14:textId="77777777" w:rsidR="00FB6B71" w:rsidRPr="00910FD4" w:rsidRDefault="00FB6B71" w:rsidP="00303804">
            <w:pPr>
              <w:jc w:val="both"/>
              <w:rPr>
                <w:color w:val="000000"/>
                <w:sz w:val="20"/>
                <w:szCs w:val="20"/>
              </w:rPr>
            </w:pPr>
          </w:p>
        </w:tc>
        <w:tc>
          <w:tcPr>
            <w:tcW w:w="314" w:type="pct"/>
          </w:tcPr>
          <w:p w14:paraId="4935A492" w14:textId="77777777" w:rsidR="00FB6B71" w:rsidRPr="00910FD4" w:rsidRDefault="00FB6B71" w:rsidP="00303804">
            <w:pPr>
              <w:jc w:val="both"/>
              <w:rPr>
                <w:color w:val="000000"/>
                <w:sz w:val="20"/>
                <w:szCs w:val="20"/>
              </w:rPr>
            </w:pPr>
          </w:p>
        </w:tc>
        <w:tc>
          <w:tcPr>
            <w:tcW w:w="314" w:type="pct"/>
          </w:tcPr>
          <w:p w14:paraId="29F763E6" w14:textId="77777777" w:rsidR="00FB6B71" w:rsidRPr="00910FD4" w:rsidRDefault="00FB6B71" w:rsidP="00303804">
            <w:pPr>
              <w:jc w:val="both"/>
              <w:rPr>
                <w:color w:val="000000"/>
                <w:sz w:val="20"/>
                <w:szCs w:val="20"/>
              </w:rPr>
            </w:pPr>
          </w:p>
        </w:tc>
        <w:tc>
          <w:tcPr>
            <w:tcW w:w="311" w:type="pct"/>
          </w:tcPr>
          <w:p w14:paraId="12C02B1A" w14:textId="77777777" w:rsidR="00FB6B71" w:rsidRPr="00910FD4" w:rsidRDefault="00FB6B71" w:rsidP="00303804">
            <w:pPr>
              <w:jc w:val="both"/>
              <w:rPr>
                <w:color w:val="000000"/>
                <w:sz w:val="20"/>
                <w:szCs w:val="20"/>
              </w:rPr>
            </w:pPr>
          </w:p>
        </w:tc>
      </w:tr>
      <w:tr w:rsidR="00FB6B71" w:rsidRPr="00910FD4" w14:paraId="406F0964" w14:textId="77777777" w:rsidTr="00580BE8">
        <w:trPr>
          <w:trHeight w:val="300"/>
        </w:trPr>
        <w:tc>
          <w:tcPr>
            <w:tcW w:w="1196" w:type="pct"/>
            <w:shd w:val="clear" w:color="auto" w:fill="auto"/>
            <w:noWrap/>
            <w:vAlign w:val="bottom"/>
            <w:hideMark/>
          </w:tcPr>
          <w:p w14:paraId="130F39EE" w14:textId="77777777" w:rsidR="00FB6B71" w:rsidRPr="00596193" w:rsidRDefault="00FB6B71" w:rsidP="00303804">
            <w:pPr>
              <w:jc w:val="both"/>
              <w:rPr>
                <w:color w:val="000000"/>
                <w:sz w:val="20"/>
                <w:szCs w:val="20"/>
              </w:rPr>
            </w:pPr>
            <w:r w:rsidRPr="00596193">
              <w:rPr>
                <w:color w:val="000000"/>
                <w:sz w:val="20"/>
                <w:szCs w:val="20"/>
              </w:rPr>
              <w:t>Urban men (15-24)</w:t>
            </w:r>
          </w:p>
        </w:tc>
        <w:tc>
          <w:tcPr>
            <w:tcW w:w="314" w:type="pct"/>
            <w:vAlign w:val="bottom"/>
          </w:tcPr>
          <w:p w14:paraId="01DDDA80" w14:textId="77777777" w:rsidR="00FB6B71" w:rsidRPr="00596193" w:rsidRDefault="00FB6B71" w:rsidP="00303804">
            <w:pPr>
              <w:jc w:val="both"/>
              <w:rPr>
                <w:color w:val="000000"/>
                <w:sz w:val="20"/>
                <w:szCs w:val="20"/>
              </w:rPr>
            </w:pPr>
          </w:p>
        </w:tc>
        <w:tc>
          <w:tcPr>
            <w:tcW w:w="314" w:type="pct"/>
          </w:tcPr>
          <w:p w14:paraId="37140ECE" w14:textId="77777777" w:rsidR="00FB6B71" w:rsidRPr="00596193" w:rsidRDefault="00FB6B71" w:rsidP="00303804">
            <w:pPr>
              <w:jc w:val="both"/>
              <w:rPr>
                <w:color w:val="000000"/>
                <w:sz w:val="20"/>
                <w:szCs w:val="20"/>
              </w:rPr>
            </w:pPr>
          </w:p>
        </w:tc>
        <w:tc>
          <w:tcPr>
            <w:tcW w:w="353" w:type="pct"/>
          </w:tcPr>
          <w:p w14:paraId="1788D86C" w14:textId="77777777" w:rsidR="00FB6B71" w:rsidRPr="00596193" w:rsidRDefault="00FB6B71" w:rsidP="00303804">
            <w:pPr>
              <w:jc w:val="both"/>
              <w:rPr>
                <w:color w:val="000000"/>
                <w:sz w:val="20"/>
                <w:szCs w:val="20"/>
              </w:rPr>
            </w:pPr>
          </w:p>
        </w:tc>
        <w:tc>
          <w:tcPr>
            <w:tcW w:w="292" w:type="pct"/>
          </w:tcPr>
          <w:p w14:paraId="77E35AB5" w14:textId="77777777" w:rsidR="00FB6B71" w:rsidRPr="00596193" w:rsidRDefault="00FB6B71" w:rsidP="00303804">
            <w:pPr>
              <w:jc w:val="both"/>
              <w:rPr>
                <w:color w:val="000000"/>
                <w:sz w:val="20"/>
                <w:szCs w:val="20"/>
              </w:rPr>
            </w:pPr>
          </w:p>
        </w:tc>
        <w:tc>
          <w:tcPr>
            <w:tcW w:w="336" w:type="pct"/>
            <w:vAlign w:val="bottom"/>
          </w:tcPr>
          <w:p w14:paraId="681BC9C9" w14:textId="77777777" w:rsidR="00FB6B71" w:rsidRPr="00596193" w:rsidRDefault="00FB6B71" w:rsidP="00303804">
            <w:pPr>
              <w:jc w:val="both"/>
              <w:rPr>
                <w:color w:val="000000"/>
                <w:sz w:val="20"/>
                <w:szCs w:val="20"/>
              </w:rPr>
            </w:pPr>
          </w:p>
        </w:tc>
        <w:tc>
          <w:tcPr>
            <w:tcW w:w="314" w:type="pct"/>
            <w:vAlign w:val="bottom"/>
          </w:tcPr>
          <w:p w14:paraId="0D1923ED" w14:textId="77777777" w:rsidR="00FB6B71" w:rsidRPr="00596193" w:rsidRDefault="00FB6B71" w:rsidP="00303804">
            <w:pPr>
              <w:jc w:val="both"/>
              <w:rPr>
                <w:color w:val="000000"/>
                <w:sz w:val="20"/>
                <w:szCs w:val="20"/>
              </w:rPr>
            </w:pPr>
          </w:p>
        </w:tc>
        <w:tc>
          <w:tcPr>
            <w:tcW w:w="314" w:type="pct"/>
            <w:vAlign w:val="bottom"/>
          </w:tcPr>
          <w:p w14:paraId="1883F0E6" w14:textId="77777777" w:rsidR="00FB6B71" w:rsidRPr="00596193" w:rsidRDefault="00FB6B71" w:rsidP="00303804">
            <w:pPr>
              <w:jc w:val="both"/>
              <w:rPr>
                <w:color w:val="000000"/>
                <w:sz w:val="20"/>
                <w:szCs w:val="20"/>
              </w:rPr>
            </w:pPr>
          </w:p>
        </w:tc>
        <w:tc>
          <w:tcPr>
            <w:tcW w:w="287" w:type="pct"/>
            <w:vAlign w:val="bottom"/>
          </w:tcPr>
          <w:p w14:paraId="18BD6B11" w14:textId="77777777" w:rsidR="00FB6B71" w:rsidRPr="00596193" w:rsidRDefault="00FB6B71" w:rsidP="00303804">
            <w:pPr>
              <w:jc w:val="both"/>
              <w:rPr>
                <w:color w:val="000000"/>
                <w:sz w:val="20"/>
                <w:szCs w:val="20"/>
              </w:rPr>
            </w:pPr>
          </w:p>
        </w:tc>
        <w:tc>
          <w:tcPr>
            <w:tcW w:w="341" w:type="pct"/>
          </w:tcPr>
          <w:p w14:paraId="35C137E7" w14:textId="77777777" w:rsidR="00FB6B71" w:rsidRPr="00910FD4" w:rsidRDefault="00FB6B71" w:rsidP="00303804">
            <w:pPr>
              <w:jc w:val="both"/>
              <w:rPr>
                <w:color w:val="000000"/>
                <w:sz w:val="20"/>
                <w:szCs w:val="20"/>
              </w:rPr>
            </w:pPr>
          </w:p>
        </w:tc>
        <w:tc>
          <w:tcPr>
            <w:tcW w:w="314" w:type="pct"/>
          </w:tcPr>
          <w:p w14:paraId="508A72C2" w14:textId="77777777" w:rsidR="00FB6B71" w:rsidRPr="00910FD4" w:rsidRDefault="00FB6B71" w:rsidP="00303804">
            <w:pPr>
              <w:jc w:val="both"/>
              <w:rPr>
                <w:color w:val="000000"/>
                <w:sz w:val="20"/>
                <w:szCs w:val="20"/>
              </w:rPr>
            </w:pPr>
          </w:p>
        </w:tc>
        <w:tc>
          <w:tcPr>
            <w:tcW w:w="314" w:type="pct"/>
          </w:tcPr>
          <w:p w14:paraId="6A614E25" w14:textId="77777777" w:rsidR="00FB6B71" w:rsidRPr="00910FD4" w:rsidRDefault="00FB6B71" w:rsidP="00303804">
            <w:pPr>
              <w:jc w:val="both"/>
              <w:rPr>
                <w:color w:val="000000"/>
                <w:sz w:val="20"/>
                <w:szCs w:val="20"/>
              </w:rPr>
            </w:pPr>
          </w:p>
        </w:tc>
        <w:tc>
          <w:tcPr>
            <w:tcW w:w="311" w:type="pct"/>
          </w:tcPr>
          <w:p w14:paraId="31FFE132" w14:textId="77777777" w:rsidR="00FB6B71" w:rsidRPr="00910FD4" w:rsidRDefault="00FB6B71" w:rsidP="00303804">
            <w:pPr>
              <w:jc w:val="both"/>
              <w:rPr>
                <w:color w:val="000000"/>
                <w:sz w:val="20"/>
                <w:szCs w:val="20"/>
              </w:rPr>
            </w:pPr>
          </w:p>
        </w:tc>
      </w:tr>
      <w:tr w:rsidR="00FB6B71" w:rsidRPr="00910FD4" w14:paraId="622E2A9D" w14:textId="77777777" w:rsidTr="00580BE8">
        <w:trPr>
          <w:trHeight w:val="300"/>
        </w:trPr>
        <w:tc>
          <w:tcPr>
            <w:tcW w:w="1196" w:type="pct"/>
            <w:shd w:val="clear" w:color="auto" w:fill="auto"/>
            <w:noWrap/>
            <w:vAlign w:val="bottom"/>
            <w:hideMark/>
          </w:tcPr>
          <w:p w14:paraId="7EC80D14" w14:textId="77777777" w:rsidR="00FB6B71" w:rsidRPr="00596193" w:rsidRDefault="00FB6B71" w:rsidP="00303804">
            <w:pPr>
              <w:jc w:val="both"/>
              <w:rPr>
                <w:color w:val="000000"/>
                <w:sz w:val="20"/>
                <w:szCs w:val="20"/>
              </w:rPr>
            </w:pPr>
            <w:r w:rsidRPr="00596193">
              <w:rPr>
                <w:color w:val="000000"/>
                <w:sz w:val="20"/>
                <w:szCs w:val="20"/>
              </w:rPr>
              <w:t>Urban men (25-34)</w:t>
            </w:r>
          </w:p>
        </w:tc>
        <w:tc>
          <w:tcPr>
            <w:tcW w:w="314" w:type="pct"/>
            <w:vAlign w:val="bottom"/>
          </w:tcPr>
          <w:p w14:paraId="6E4A2DCE" w14:textId="77777777" w:rsidR="00FB6B71" w:rsidRPr="00596193" w:rsidRDefault="00FB6B71" w:rsidP="00303804">
            <w:pPr>
              <w:jc w:val="both"/>
              <w:rPr>
                <w:color w:val="000000"/>
                <w:sz w:val="20"/>
                <w:szCs w:val="20"/>
              </w:rPr>
            </w:pPr>
          </w:p>
        </w:tc>
        <w:tc>
          <w:tcPr>
            <w:tcW w:w="314" w:type="pct"/>
          </w:tcPr>
          <w:p w14:paraId="2ECC3125" w14:textId="77777777" w:rsidR="00FB6B71" w:rsidRPr="00596193" w:rsidRDefault="00FB6B71" w:rsidP="00303804">
            <w:pPr>
              <w:jc w:val="both"/>
              <w:rPr>
                <w:color w:val="000000"/>
                <w:sz w:val="20"/>
                <w:szCs w:val="20"/>
              </w:rPr>
            </w:pPr>
          </w:p>
        </w:tc>
        <w:tc>
          <w:tcPr>
            <w:tcW w:w="353" w:type="pct"/>
          </w:tcPr>
          <w:p w14:paraId="6A863546" w14:textId="77777777" w:rsidR="00FB6B71" w:rsidRPr="00596193" w:rsidRDefault="00FB6B71" w:rsidP="00303804">
            <w:pPr>
              <w:jc w:val="both"/>
              <w:rPr>
                <w:color w:val="000000"/>
                <w:sz w:val="20"/>
                <w:szCs w:val="20"/>
              </w:rPr>
            </w:pPr>
          </w:p>
        </w:tc>
        <w:tc>
          <w:tcPr>
            <w:tcW w:w="292" w:type="pct"/>
          </w:tcPr>
          <w:p w14:paraId="39B6C0A8" w14:textId="77777777" w:rsidR="00FB6B71" w:rsidRPr="00596193" w:rsidRDefault="00FB6B71" w:rsidP="00303804">
            <w:pPr>
              <w:jc w:val="both"/>
              <w:rPr>
                <w:color w:val="000000"/>
                <w:sz w:val="20"/>
                <w:szCs w:val="20"/>
              </w:rPr>
            </w:pPr>
          </w:p>
        </w:tc>
        <w:tc>
          <w:tcPr>
            <w:tcW w:w="336" w:type="pct"/>
            <w:vAlign w:val="bottom"/>
          </w:tcPr>
          <w:p w14:paraId="3309BB08" w14:textId="77777777" w:rsidR="00FB6B71" w:rsidRPr="00596193" w:rsidRDefault="00FB6B71" w:rsidP="00303804">
            <w:pPr>
              <w:jc w:val="both"/>
              <w:rPr>
                <w:color w:val="000000"/>
                <w:sz w:val="20"/>
                <w:szCs w:val="20"/>
              </w:rPr>
            </w:pPr>
          </w:p>
        </w:tc>
        <w:tc>
          <w:tcPr>
            <w:tcW w:w="314" w:type="pct"/>
            <w:vAlign w:val="bottom"/>
          </w:tcPr>
          <w:p w14:paraId="1758FF1F" w14:textId="77777777" w:rsidR="00FB6B71" w:rsidRPr="00596193" w:rsidRDefault="00FB6B71" w:rsidP="00303804">
            <w:pPr>
              <w:jc w:val="both"/>
              <w:rPr>
                <w:color w:val="000000"/>
                <w:sz w:val="20"/>
                <w:szCs w:val="20"/>
              </w:rPr>
            </w:pPr>
          </w:p>
        </w:tc>
        <w:tc>
          <w:tcPr>
            <w:tcW w:w="314" w:type="pct"/>
            <w:vAlign w:val="bottom"/>
          </w:tcPr>
          <w:p w14:paraId="4C3FFA3D" w14:textId="77777777" w:rsidR="00FB6B71" w:rsidRPr="00596193" w:rsidRDefault="00FB6B71" w:rsidP="00303804">
            <w:pPr>
              <w:jc w:val="both"/>
              <w:rPr>
                <w:color w:val="000000"/>
                <w:sz w:val="20"/>
                <w:szCs w:val="20"/>
              </w:rPr>
            </w:pPr>
          </w:p>
        </w:tc>
        <w:tc>
          <w:tcPr>
            <w:tcW w:w="287" w:type="pct"/>
            <w:vAlign w:val="bottom"/>
          </w:tcPr>
          <w:p w14:paraId="4D6FD5EB" w14:textId="77777777" w:rsidR="00FB6B71" w:rsidRPr="00596193" w:rsidRDefault="00FB6B71" w:rsidP="00303804">
            <w:pPr>
              <w:jc w:val="both"/>
              <w:rPr>
                <w:color w:val="000000"/>
                <w:sz w:val="20"/>
                <w:szCs w:val="20"/>
              </w:rPr>
            </w:pPr>
          </w:p>
        </w:tc>
        <w:tc>
          <w:tcPr>
            <w:tcW w:w="341" w:type="pct"/>
          </w:tcPr>
          <w:p w14:paraId="566E7774" w14:textId="77777777" w:rsidR="00FB6B71" w:rsidRPr="00910FD4" w:rsidRDefault="00FB6B71" w:rsidP="00303804">
            <w:pPr>
              <w:jc w:val="both"/>
              <w:rPr>
                <w:color w:val="000000"/>
                <w:sz w:val="20"/>
                <w:szCs w:val="20"/>
              </w:rPr>
            </w:pPr>
          </w:p>
        </w:tc>
        <w:tc>
          <w:tcPr>
            <w:tcW w:w="314" w:type="pct"/>
          </w:tcPr>
          <w:p w14:paraId="66E98A3C" w14:textId="77777777" w:rsidR="00FB6B71" w:rsidRPr="00910FD4" w:rsidRDefault="00FB6B71" w:rsidP="00303804">
            <w:pPr>
              <w:jc w:val="both"/>
              <w:rPr>
                <w:color w:val="000000"/>
                <w:sz w:val="20"/>
                <w:szCs w:val="20"/>
              </w:rPr>
            </w:pPr>
          </w:p>
        </w:tc>
        <w:tc>
          <w:tcPr>
            <w:tcW w:w="314" w:type="pct"/>
          </w:tcPr>
          <w:p w14:paraId="28690B9F" w14:textId="77777777" w:rsidR="00FB6B71" w:rsidRPr="00910FD4" w:rsidRDefault="00FB6B71" w:rsidP="00303804">
            <w:pPr>
              <w:jc w:val="both"/>
              <w:rPr>
                <w:color w:val="000000"/>
                <w:sz w:val="20"/>
                <w:szCs w:val="20"/>
              </w:rPr>
            </w:pPr>
          </w:p>
        </w:tc>
        <w:tc>
          <w:tcPr>
            <w:tcW w:w="311" w:type="pct"/>
          </w:tcPr>
          <w:p w14:paraId="60EF94D9" w14:textId="77777777" w:rsidR="00FB6B71" w:rsidRPr="00910FD4" w:rsidRDefault="00FB6B71" w:rsidP="00303804">
            <w:pPr>
              <w:jc w:val="both"/>
              <w:rPr>
                <w:color w:val="000000"/>
                <w:sz w:val="20"/>
                <w:szCs w:val="20"/>
              </w:rPr>
            </w:pPr>
          </w:p>
        </w:tc>
      </w:tr>
      <w:tr w:rsidR="00FB6B71" w:rsidRPr="00910FD4" w14:paraId="674D32F1" w14:textId="77777777" w:rsidTr="00580BE8">
        <w:trPr>
          <w:trHeight w:val="300"/>
        </w:trPr>
        <w:tc>
          <w:tcPr>
            <w:tcW w:w="1196" w:type="pct"/>
            <w:shd w:val="clear" w:color="auto" w:fill="auto"/>
            <w:noWrap/>
            <w:vAlign w:val="bottom"/>
            <w:hideMark/>
          </w:tcPr>
          <w:p w14:paraId="2025A473" w14:textId="77777777" w:rsidR="00FB6B71" w:rsidRPr="00596193" w:rsidRDefault="00FB6B71" w:rsidP="00303804">
            <w:pPr>
              <w:jc w:val="both"/>
              <w:rPr>
                <w:color w:val="000000"/>
                <w:sz w:val="20"/>
                <w:szCs w:val="20"/>
              </w:rPr>
            </w:pPr>
            <w:r w:rsidRPr="00596193">
              <w:rPr>
                <w:color w:val="000000"/>
                <w:sz w:val="20"/>
                <w:szCs w:val="20"/>
              </w:rPr>
              <w:t>Urban men (35-44)</w:t>
            </w:r>
          </w:p>
        </w:tc>
        <w:tc>
          <w:tcPr>
            <w:tcW w:w="314" w:type="pct"/>
            <w:vAlign w:val="bottom"/>
          </w:tcPr>
          <w:p w14:paraId="4873BB6A" w14:textId="77777777" w:rsidR="00FB6B71" w:rsidRPr="00596193" w:rsidRDefault="00FB6B71" w:rsidP="00303804">
            <w:pPr>
              <w:jc w:val="both"/>
              <w:rPr>
                <w:color w:val="000000"/>
                <w:sz w:val="20"/>
                <w:szCs w:val="20"/>
              </w:rPr>
            </w:pPr>
          </w:p>
        </w:tc>
        <w:tc>
          <w:tcPr>
            <w:tcW w:w="314" w:type="pct"/>
          </w:tcPr>
          <w:p w14:paraId="1AE9B35E" w14:textId="77777777" w:rsidR="00FB6B71" w:rsidRPr="00596193" w:rsidRDefault="00FB6B71" w:rsidP="00303804">
            <w:pPr>
              <w:jc w:val="both"/>
              <w:rPr>
                <w:color w:val="000000"/>
                <w:sz w:val="20"/>
                <w:szCs w:val="20"/>
              </w:rPr>
            </w:pPr>
          </w:p>
        </w:tc>
        <w:tc>
          <w:tcPr>
            <w:tcW w:w="353" w:type="pct"/>
          </w:tcPr>
          <w:p w14:paraId="1292D92B" w14:textId="77777777" w:rsidR="00FB6B71" w:rsidRPr="00596193" w:rsidRDefault="00FB6B71" w:rsidP="00303804">
            <w:pPr>
              <w:jc w:val="both"/>
              <w:rPr>
                <w:color w:val="000000"/>
                <w:sz w:val="20"/>
                <w:szCs w:val="20"/>
              </w:rPr>
            </w:pPr>
          </w:p>
        </w:tc>
        <w:tc>
          <w:tcPr>
            <w:tcW w:w="292" w:type="pct"/>
          </w:tcPr>
          <w:p w14:paraId="26A20D0E" w14:textId="77777777" w:rsidR="00FB6B71" w:rsidRPr="00596193" w:rsidRDefault="00FB6B71" w:rsidP="00303804">
            <w:pPr>
              <w:jc w:val="both"/>
              <w:rPr>
                <w:color w:val="000000"/>
                <w:sz w:val="20"/>
                <w:szCs w:val="20"/>
              </w:rPr>
            </w:pPr>
          </w:p>
        </w:tc>
        <w:tc>
          <w:tcPr>
            <w:tcW w:w="336" w:type="pct"/>
            <w:vAlign w:val="bottom"/>
          </w:tcPr>
          <w:p w14:paraId="31DBA209" w14:textId="77777777" w:rsidR="00FB6B71" w:rsidRPr="00596193" w:rsidRDefault="00FB6B71" w:rsidP="00303804">
            <w:pPr>
              <w:jc w:val="both"/>
              <w:rPr>
                <w:color w:val="000000"/>
                <w:sz w:val="20"/>
                <w:szCs w:val="20"/>
              </w:rPr>
            </w:pPr>
          </w:p>
        </w:tc>
        <w:tc>
          <w:tcPr>
            <w:tcW w:w="314" w:type="pct"/>
            <w:vAlign w:val="bottom"/>
          </w:tcPr>
          <w:p w14:paraId="51E405D7" w14:textId="77777777" w:rsidR="00FB6B71" w:rsidRPr="00596193" w:rsidRDefault="00FB6B71" w:rsidP="00303804">
            <w:pPr>
              <w:jc w:val="both"/>
              <w:rPr>
                <w:color w:val="000000"/>
                <w:sz w:val="20"/>
                <w:szCs w:val="20"/>
              </w:rPr>
            </w:pPr>
          </w:p>
        </w:tc>
        <w:tc>
          <w:tcPr>
            <w:tcW w:w="314" w:type="pct"/>
            <w:vAlign w:val="bottom"/>
          </w:tcPr>
          <w:p w14:paraId="33C0E964" w14:textId="77777777" w:rsidR="00FB6B71" w:rsidRPr="00596193" w:rsidRDefault="00FB6B71" w:rsidP="00303804">
            <w:pPr>
              <w:jc w:val="both"/>
              <w:rPr>
                <w:color w:val="000000"/>
                <w:sz w:val="20"/>
                <w:szCs w:val="20"/>
              </w:rPr>
            </w:pPr>
          </w:p>
        </w:tc>
        <w:tc>
          <w:tcPr>
            <w:tcW w:w="287" w:type="pct"/>
            <w:vAlign w:val="bottom"/>
          </w:tcPr>
          <w:p w14:paraId="0AC66478" w14:textId="77777777" w:rsidR="00FB6B71" w:rsidRPr="00596193" w:rsidRDefault="00FB6B71" w:rsidP="00303804">
            <w:pPr>
              <w:jc w:val="both"/>
              <w:rPr>
                <w:color w:val="000000"/>
                <w:sz w:val="20"/>
                <w:szCs w:val="20"/>
              </w:rPr>
            </w:pPr>
          </w:p>
        </w:tc>
        <w:tc>
          <w:tcPr>
            <w:tcW w:w="341" w:type="pct"/>
          </w:tcPr>
          <w:p w14:paraId="7808F97A" w14:textId="77777777" w:rsidR="00FB6B71" w:rsidRPr="00910FD4" w:rsidRDefault="00FB6B71" w:rsidP="00303804">
            <w:pPr>
              <w:jc w:val="both"/>
              <w:rPr>
                <w:color w:val="000000"/>
                <w:sz w:val="20"/>
                <w:szCs w:val="20"/>
              </w:rPr>
            </w:pPr>
          </w:p>
        </w:tc>
        <w:tc>
          <w:tcPr>
            <w:tcW w:w="314" w:type="pct"/>
          </w:tcPr>
          <w:p w14:paraId="0B57ABC5" w14:textId="77777777" w:rsidR="00FB6B71" w:rsidRPr="00910FD4" w:rsidRDefault="00FB6B71" w:rsidP="00303804">
            <w:pPr>
              <w:jc w:val="both"/>
              <w:rPr>
                <w:color w:val="000000"/>
                <w:sz w:val="20"/>
                <w:szCs w:val="20"/>
              </w:rPr>
            </w:pPr>
          </w:p>
        </w:tc>
        <w:tc>
          <w:tcPr>
            <w:tcW w:w="314" w:type="pct"/>
          </w:tcPr>
          <w:p w14:paraId="3D654E27" w14:textId="77777777" w:rsidR="00FB6B71" w:rsidRPr="00910FD4" w:rsidRDefault="00FB6B71" w:rsidP="00303804">
            <w:pPr>
              <w:jc w:val="both"/>
              <w:rPr>
                <w:color w:val="000000"/>
                <w:sz w:val="20"/>
                <w:szCs w:val="20"/>
              </w:rPr>
            </w:pPr>
          </w:p>
        </w:tc>
        <w:tc>
          <w:tcPr>
            <w:tcW w:w="311" w:type="pct"/>
          </w:tcPr>
          <w:p w14:paraId="727400BC" w14:textId="77777777" w:rsidR="00FB6B71" w:rsidRPr="00910FD4" w:rsidRDefault="00FB6B71" w:rsidP="00303804">
            <w:pPr>
              <w:jc w:val="both"/>
              <w:rPr>
                <w:color w:val="000000"/>
                <w:sz w:val="20"/>
                <w:szCs w:val="20"/>
              </w:rPr>
            </w:pPr>
          </w:p>
        </w:tc>
      </w:tr>
      <w:tr w:rsidR="00FB6B71" w:rsidRPr="00910FD4" w14:paraId="661BB8C9" w14:textId="77777777" w:rsidTr="00580BE8">
        <w:trPr>
          <w:trHeight w:val="300"/>
        </w:trPr>
        <w:tc>
          <w:tcPr>
            <w:tcW w:w="1196" w:type="pct"/>
            <w:shd w:val="clear" w:color="auto" w:fill="auto"/>
            <w:noWrap/>
            <w:vAlign w:val="bottom"/>
            <w:hideMark/>
          </w:tcPr>
          <w:p w14:paraId="17A83121" w14:textId="77777777" w:rsidR="00FB6B71" w:rsidRPr="00596193" w:rsidRDefault="00FB6B71" w:rsidP="00303804">
            <w:pPr>
              <w:jc w:val="both"/>
              <w:rPr>
                <w:color w:val="000000"/>
                <w:sz w:val="20"/>
                <w:szCs w:val="20"/>
              </w:rPr>
            </w:pPr>
            <w:r w:rsidRPr="00596193">
              <w:rPr>
                <w:color w:val="000000"/>
                <w:sz w:val="20"/>
                <w:szCs w:val="20"/>
              </w:rPr>
              <w:t>Urban men (45-54)</w:t>
            </w:r>
          </w:p>
        </w:tc>
        <w:tc>
          <w:tcPr>
            <w:tcW w:w="314" w:type="pct"/>
            <w:vAlign w:val="bottom"/>
          </w:tcPr>
          <w:p w14:paraId="366330F0" w14:textId="77777777" w:rsidR="00FB6B71" w:rsidRPr="00596193" w:rsidRDefault="00FB6B71" w:rsidP="00303804">
            <w:pPr>
              <w:jc w:val="both"/>
              <w:rPr>
                <w:color w:val="000000"/>
                <w:sz w:val="20"/>
                <w:szCs w:val="20"/>
              </w:rPr>
            </w:pPr>
          </w:p>
        </w:tc>
        <w:tc>
          <w:tcPr>
            <w:tcW w:w="314" w:type="pct"/>
          </w:tcPr>
          <w:p w14:paraId="16592B73" w14:textId="77777777" w:rsidR="00FB6B71" w:rsidRPr="00596193" w:rsidRDefault="00FB6B71" w:rsidP="00303804">
            <w:pPr>
              <w:jc w:val="both"/>
              <w:rPr>
                <w:color w:val="000000"/>
                <w:sz w:val="20"/>
                <w:szCs w:val="20"/>
              </w:rPr>
            </w:pPr>
          </w:p>
        </w:tc>
        <w:tc>
          <w:tcPr>
            <w:tcW w:w="353" w:type="pct"/>
          </w:tcPr>
          <w:p w14:paraId="75E4A075" w14:textId="77777777" w:rsidR="00FB6B71" w:rsidRPr="00596193" w:rsidRDefault="00FB6B71" w:rsidP="00303804">
            <w:pPr>
              <w:jc w:val="both"/>
              <w:rPr>
                <w:color w:val="000000"/>
                <w:sz w:val="20"/>
                <w:szCs w:val="20"/>
              </w:rPr>
            </w:pPr>
          </w:p>
        </w:tc>
        <w:tc>
          <w:tcPr>
            <w:tcW w:w="292" w:type="pct"/>
          </w:tcPr>
          <w:p w14:paraId="5EECA5DB" w14:textId="77777777" w:rsidR="00FB6B71" w:rsidRPr="00596193" w:rsidRDefault="00FB6B71" w:rsidP="00303804">
            <w:pPr>
              <w:jc w:val="both"/>
              <w:rPr>
                <w:color w:val="000000"/>
                <w:sz w:val="20"/>
                <w:szCs w:val="20"/>
              </w:rPr>
            </w:pPr>
          </w:p>
        </w:tc>
        <w:tc>
          <w:tcPr>
            <w:tcW w:w="336" w:type="pct"/>
            <w:vAlign w:val="bottom"/>
          </w:tcPr>
          <w:p w14:paraId="37A3BE6A" w14:textId="77777777" w:rsidR="00FB6B71" w:rsidRPr="00596193" w:rsidRDefault="00FB6B71" w:rsidP="00303804">
            <w:pPr>
              <w:jc w:val="both"/>
              <w:rPr>
                <w:color w:val="000000"/>
                <w:sz w:val="20"/>
                <w:szCs w:val="20"/>
              </w:rPr>
            </w:pPr>
          </w:p>
        </w:tc>
        <w:tc>
          <w:tcPr>
            <w:tcW w:w="314" w:type="pct"/>
            <w:vAlign w:val="bottom"/>
          </w:tcPr>
          <w:p w14:paraId="1FCCCC04" w14:textId="77777777" w:rsidR="00FB6B71" w:rsidRPr="00596193" w:rsidRDefault="00FB6B71" w:rsidP="00303804">
            <w:pPr>
              <w:jc w:val="both"/>
              <w:rPr>
                <w:color w:val="000000"/>
                <w:sz w:val="20"/>
                <w:szCs w:val="20"/>
              </w:rPr>
            </w:pPr>
          </w:p>
        </w:tc>
        <w:tc>
          <w:tcPr>
            <w:tcW w:w="314" w:type="pct"/>
            <w:vAlign w:val="bottom"/>
          </w:tcPr>
          <w:p w14:paraId="0EBB7153" w14:textId="77777777" w:rsidR="00FB6B71" w:rsidRPr="00596193" w:rsidRDefault="00FB6B71" w:rsidP="00303804">
            <w:pPr>
              <w:jc w:val="both"/>
              <w:rPr>
                <w:color w:val="000000"/>
                <w:sz w:val="20"/>
                <w:szCs w:val="20"/>
              </w:rPr>
            </w:pPr>
          </w:p>
        </w:tc>
        <w:tc>
          <w:tcPr>
            <w:tcW w:w="287" w:type="pct"/>
            <w:vAlign w:val="bottom"/>
          </w:tcPr>
          <w:p w14:paraId="47F735A6" w14:textId="77777777" w:rsidR="00FB6B71" w:rsidRPr="00596193" w:rsidRDefault="00FB6B71" w:rsidP="00303804">
            <w:pPr>
              <w:jc w:val="both"/>
              <w:rPr>
                <w:color w:val="000000"/>
                <w:sz w:val="20"/>
                <w:szCs w:val="20"/>
              </w:rPr>
            </w:pPr>
          </w:p>
        </w:tc>
        <w:tc>
          <w:tcPr>
            <w:tcW w:w="341" w:type="pct"/>
          </w:tcPr>
          <w:p w14:paraId="71D1F97E" w14:textId="77777777" w:rsidR="00FB6B71" w:rsidRPr="00910FD4" w:rsidRDefault="00FB6B71" w:rsidP="00303804">
            <w:pPr>
              <w:jc w:val="both"/>
              <w:rPr>
                <w:color w:val="000000"/>
                <w:sz w:val="20"/>
                <w:szCs w:val="20"/>
              </w:rPr>
            </w:pPr>
          </w:p>
        </w:tc>
        <w:tc>
          <w:tcPr>
            <w:tcW w:w="314" w:type="pct"/>
          </w:tcPr>
          <w:p w14:paraId="1F5D4EF6" w14:textId="77777777" w:rsidR="00FB6B71" w:rsidRPr="00910FD4" w:rsidRDefault="00FB6B71" w:rsidP="00303804">
            <w:pPr>
              <w:jc w:val="both"/>
              <w:rPr>
                <w:color w:val="000000"/>
                <w:sz w:val="20"/>
                <w:szCs w:val="20"/>
              </w:rPr>
            </w:pPr>
          </w:p>
        </w:tc>
        <w:tc>
          <w:tcPr>
            <w:tcW w:w="314" w:type="pct"/>
          </w:tcPr>
          <w:p w14:paraId="59AAF454" w14:textId="77777777" w:rsidR="00FB6B71" w:rsidRPr="00910FD4" w:rsidRDefault="00FB6B71" w:rsidP="00303804">
            <w:pPr>
              <w:jc w:val="both"/>
              <w:rPr>
                <w:color w:val="000000"/>
                <w:sz w:val="20"/>
                <w:szCs w:val="20"/>
              </w:rPr>
            </w:pPr>
          </w:p>
        </w:tc>
        <w:tc>
          <w:tcPr>
            <w:tcW w:w="311" w:type="pct"/>
          </w:tcPr>
          <w:p w14:paraId="0E6C26DE" w14:textId="77777777" w:rsidR="00FB6B71" w:rsidRPr="00910FD4" w:rsidRDefault="00FB6B71" w:rsidP="00303804">
            <w:pPr>
              <w:jc w:val="both"/>
              <w:rPr>
                <w:color w:val="000000"/>
                <w:sz w:val="20"/>
                <w:szCs w:val="20"/>
              </w:rPr>
            </w:pPr>
          </w:p>
        </w:tc>
      </w:tr>
      <w:tr w:rsidR="00FB6B71" w:rsidRPr="00910FD4" w14:paraId="2E4826A3" w14:textId="77777777" w:rsidTr="00580BE8">
        <w:trPr>
          <w:trHeight w:val="300"/>
        </w:trPr>
        <w:tc>
          <w:tcPr>
            <w:tcW w:w="1196" w:type="pct"/>
            <w:shd w:val="clear" w:color="auto" w:fill="auto"/>
            <w:noWrap/>
            <w:vAlign w:val="bottom"/>
            <w:hideMark/>
          </w:tcPr>
          <w:p w14:paraId="508CE251" w14:textId="77777777" w:rsidR="00FB6B71" w:rsidRPr="00596193" w:rsidRDefault="00FB6B71" w:rsidP="00303804">
            <w:pPr>
              <w:jc w:val="both"/>
              <w:rPr>
                <w:color w:val="000000"/>
                <w:sz w:val="20"/>
                <w:szCs w:val="20"/>
              </w:rPr>
            </w:pPr>
            <w:r w:rsidRPr="00596193">
              <w:rPr>
                <w:color w:val="000000"/>
                <w:sz w:val="20"/>
                <w:szCs w:val="20"/>
              </w:rPr>
              <w:t>Urban men (55-64)</w:t>
            </w:r>
          </w:p>
        </w:tc>
        <w:tc>
          <w:tcPr>
            <w:tcW w:w="314" w:type="pct"/>
            <w:vAlign w:val="bottom"/>
          </w:tcPr>
          <w:p w14:paraId="0FB5C5E1" w14:textId="77777777" w:rsidR="00FB6B71" w:rsidRPr="00596193" w:rsidRDefault="00FB6B71" w:rsidP="00303804">
            <w:pPr>
              <w:jc w:val="both"/>
              <w:rPr>
                <w:color w:val="000000"/>
                <w:sz w:val="20"/>
                <w:szCs w:val="20"/>
              </w:rPr>
            </w:pPr>
          </w:p>
        </w:tc>
        <w:tc>
          <w:tcPr>
            <w:tcW w:w="314" w:type="pct"/>
          </w:tcPr>
          <w:p w14:paraId="4B7511B8" w14:textId="77777777" w:rsidR="00FB6B71" w:rsidRPr="00596193" w:rsidRDefault="00FB6B71" w:rsidP="00303804">
            <w:pPr>
              <w:jc w:val="both"/>
              <w:rPr>
                <w:color w:val="000000"/>
                <w:sz w:val="20"/>
                <w:szCs w:val="20"/>
              </w:rPr>
            </w:pPr>
          </w:p>
        </w:tc>
        <w:tc>
          <w:tcPr>
            <w:tcW w:w="353" w:type="pct"/>
          </w:tcPr>
          <w:p w14:paraId="65359689" w14:textId="77777777" w:rsidR="00FB6B71" w:rsidRPr="00596193" w:rsidRDefault="00FB6B71" w:rsidP="00303804">
            <w:pPr>
              <w:jc w:val="both"/>
              <w:rPr>
                <w:color w:val="000000"/>
                <w:sz w:val="20"/>
                <w:szCs w:val="20"/>
              </w:rPr>
            </w:pPr>
          </w:p>
        </w:tc>
        <w:tc>
          <w:tcPr>
            <w:tcW w:w="292" w:type="pct"/>
          </w:tcPr>
          <w:p w14:paraId="53DCE5AD" w14:textId="77777777" w:rsidR="00FB6B71" w:rsidRPr="00596193" w:rsidRDefault="00FB6B71" w:rsidP="00303804">
            <w:pPr>
              <w:jc w:val="both"/>
              <w:rPr>
                <w:color w:val="000000"/>
                <w:sz w:val="20"/>
                <w:szCs w:val="20"/>
              </w:rPr>
            </w:pPr>
          </w:p>
        </w:tc>
        <w:tc>
          <w:tcPr>
            <w:tcW w:w="336" w:type="pct"/>
            <w:vAlign w:val="bottom"/>
          </w:tcPr>
          <w:p w14:paraId="5C640ADE" w14:textId="77777777" w:rsidR="00FB6B71" w:rsidRPr="00596193" w:rsidRDefault="00FB6B71" w:rsidP="00303804">
            <w:pPr>
              <w:jc w:val="both"/>
              <w:rPr>
                <w:color w:val="000000"/>
                <w:sz w:val="20"/>
                <w:szCs w:val="20"/>
              </w:rPr>
            </w:pPr>
          </w:p>
        </w:tc>
        <w:tc>
          <w:tcPr>
            <w:tcW w:w="314" w:type="pct"/>
            <w:vAlign w:val="bottom"/>
          </w:tcPr>
          <w:p w14:paraId="0501CB81" w14:textId="77777777" w:rsidR="00FB6B71" w:rsidRPr="00596193" w:rsidRDefault="00FB6B71" w:rsidP="00303804">
            <w:pPr>
              <w:jc w:val="both"/>
              <w:rPr>
                <w:color w:val="000000"/>
                <w:sz w:val="20"/>
                <w:szCs w:val="20"/>
              </w:rPr>
            </w:pPr>
          </w:p>
        </w:tc>
        <w:tc>
          <w:tcPr>
            <w:tcW w:w="314" w:type="pct"/>
            <w:vAlign w:val="bottom"/>
          </w:tcPr>
          <w:p w14:paraId="30E8DA13" w14:textId="77777777" w:rsidR="00FB6B71" w:rsidRPr="00596193" w:rsidRDefault="00FB6B71" w:rsidP="00303804">
            <w:pPr>
              <w:jc w:val="both"/>
              <w:rPr>
                <w:color w:val="000000"/>
                <w:sz w:val="20"/>
                <w:szCs w:val="20"/>
              </w:rPr>
            </w:pPr>
          </w:p>
        </w:tc>
        <w:tc>
          <w:tcPr>
            <w:tcW w:w="287" w:type="pct"/>
            <w:vAlign w:val="bottom"/>
          </w:tcPr>
          <w:p w14:paraId="7002C5F1" w14:textId="77777777" w:rsidR="00FB6B71" w:rsidRPr="00596193" w:rsidRDefault="00FB6B71" w:rsidP="00303804">
            <w:pPr>
              <w:jc w:val="both"/>
              <w:rPr>
                <w:color w:val="000000"/>
                <w:sz w:val="20"/>
                <w:szCs w:val="20"/>
              </w:rPr>
            </w:pPr>
          </w:p>
        </w:tc>
        <w:tc>
          <w:tcPr>
            <w:tcW w:w="341" w:type="pct"/>
          </w:tcPr>
          <w:p w14:paraId="3570B3D9" w14:textId="77777777" w:rsidR="00FB6B71" w:rsidRPr="00910FD4" w:rsidRDefault="00FB6B71" w:rsidP="00303804">
            <w:pPr>
              <w:jc w:val="both"/>
              <w:rPr>
                <w:color w:val="000000"/>
                <w:sz w:val="20"/>
                <w:szCs w:val="20"/>
              </w:rPr>
            </w:pPr>
          </w:p>
        </w:tc>
        <w:tc>
          <w:tcPr>
            <w:tcW w:w="314" w:type="pct"/>
          </w:tcPr>
          <w:p w14:paraId="3FB06B11" w14:textId="77777777" w:rsidR="00FB6B71" w:rsidRPr="00910FD4" w:rsidRDefault="00FB6B71" w:rsidP="00303804">
            <w:pPr>
              <w:jc w:val="both"/>
              <w:rPr>
                <w:color w:val="000000"/>
                <w:sz w:val="20"/>
                <w:szCs w:val="20"/>
              </w:rPr>
            </w:pPr>
          </w:p>
        </w:tc>
        <w:tc>
          <w:tcPr>
            <w:tcW w:w="314" w:type="pct"/>
          </w:tcPr>
          <w:p w14:paraId="6E083FD8" w14:textId="77777777" w:rsidR="00FB6B71" w:rsidRPr="00910FD4" w:rsidRDefault="00FB6B71" w:rsidP="00303804">
            <w:pPr>
              <w:jc w:val="both"/>
              <w:rPr>
                <w:color w:val="000000"/>
                <w:sz w:val="20"/>
                <w:szCs w:val="20"/>
              </w:rPr>
            </w:pPr>
          </w:p>
        </w:tc>
        <w:tc>
          <w:tcPr>
            <w:tcW w:w="311" w:type="pct"/>
          </w:tcPr>
          <w:p w14:paraId="4D86250C" w14:textId="77777777" w:rsidR="00FB6B71" w:rsidRPr="00910FD4" w:rsidRDefault="00FB6B71" w:rsidP="00303804">
            <w:pPr>
              <w:jc w:val="both"/>
              <w:rPr>
                <w:color w:val="000000"/>
                <w:sz w:val="20"/>
                <w:szCs w:val="20"/>
              </w:rPr>
            </w:pPr>
          </w:p>
        </w:tc>
      </w:tr>
      <w:tr w:rsidR="00FB6B71" w:rsidRPr="00910FD4" w14:paraId="444CB876" w14:textId="77777777" w:rsidTr="00580BE8">
        <w:trPr>
          <w:trHeight w:val="300"/>
        </w:trPr>
        <w:tc>
          <w:tcPr>
            <w:tcW w:w="1196" w:type="pct"/>
            <w:shd w:val="clear" w:color="auto" w:fill="auto"/>
            <w:noWrap/>
            <w:vAlign w:val="bottom"/>
            <w:hideMark/>
          </w:tcPr>
          <w:p w14:paraId="20FEF68F" w14:textId="77777777" w:rsidR="00FB6B71" w:rsidRPr="00596193" w:rsidRDefault="00FB6B71" w:rsidP="00303804">
            <w:pPr>
              <w:jc w:val="both"/>
              <w:rPr>
                <w:color w:val="000000"/>
                <w:sz w:val="20"/>
                <w:szCs w:val="20"/>
              </w:rPr>
            </w:pPr>
            <w:r w:rsidRPr="00596193">
              <w:rPr>
                <w:color w:val="000000"/>
                <w:sz w:val="20"/>
                <w:szCs w:val="20"/>
              </w:rPr>
              <w:t>Rural men (15-24)</w:t>
            </w:r>
          </w:p>
        </w:tc>
        <w:tc>
          <w:tcPr>
            <w:tcW w:w="314" w:type="pct"/>
            <w:vAlign w:val="bottom"/>
          </w:tcPr>
          <w:p w14:paraId="5C752FD3" w14:textId="77777777" w:rsidR="00FB6B71" w:rsidRPr="00596193" w:rsidRDefault="00FB6B71" w:rsidP="00303804">
            <w:pPr>
              <w:jc w:val="both"/>
              <w:rPr>
                <w:color w:val="000000"/>
                <w:sz w:val="20"/>
                <w:szCs w:val="20"/>
              </w:rPr>
            </w:pPr>
          </w:p>
        </w:tc>
        <w:tc>
          <w:tcPr>
            <w:tcW w:w="314" w:type="pct"/>
          </w:tcPr>
          <w:p w14:paraId="16B89828" w14:textId="77777777" w:rsidR="00FB6B71" w:rsidRPr="00596193" w:rsidRDefault="00FB6B71" w:rsidP="00303804">
            <w:pPr>
              <w:jc w:val="both"/>
              <w:rPr>
                <w:color w:val="000000"/>
                <w:sz w:val="20"/>
                <w:szCs w:val="20"/>
              </w:rPr>
            </w:pPr>
          </w:p>
        </w:tc>
        <w:tc>
          <w:tcPr>
            <w:tcW w:w="353" w:type="pct"/>
          </w:tcPr>
          <w:p w14:paraId="42B1FC97" w14:textId="77777777" w:rsidR="00FB6B71" w:rsidRPr="00596193" w:rsidRDefault="00FB6B71" w:rsidP="00303804">
            <w:pPr>
              <w:jc w:val="both"/>
              <w:rPr>
                <w:color w:val="000000"/>
                <w:sz w:val="20"/>
                <w:szCs w:val="20"/>
              </w:rPr>
            </w:pPr>
          </w:p>
        </w:tc>
        <w:tc>
          <w:tcPr>
            <w:tcW w:w="292" w:type="pct"/>
          </w:tcPr>
          <w:p w14:paraId="41340053" w14:textId="77777777" w:rsidR="00FB6B71" w:rsidRPr="00596193" w:rsidRDefault="00FB6B71" w:rsidP="00303804">
            <w:pPr>
              <w:jc w:val="both"/>
              <w:rPr>
                <w:color w:val="000000"/>
                <w:sz w:val="20"/>
                <w:szCs w:val="20"/>
              </w:rPr>
            </w:pPr>
          </w:p>
        </w:tc>
        <w:tc>
          <w:tcPr>
            <w:tcW w:w="336" w:type="pct"/>
            <w:vAlign w:val="bottom"/>
          </w:tcPr>
          <w:p w14:paraId="02FD5755" w14:textId="77777777" w:rsidR="00FB6B71" w:rsidRPr="00596193" w:rsidRDefault="00FB6B71" w:rsidP="00303804">
            <w:pPr>
              <w:jc w:val="both"/>
              <w:rPr>
                <w:color w:val="000000"/>
                <w:sz w:val="20"/>
                <w:szCs w:val="20"/>
              </w:rPr>
            </w:pPr>
          </w:p>
        </w:tc>
        <w:tc>
          <w:tcPr>
            <w:tcW w:w="314" w:type="pct"/>
            <w:vAlign w:val="bottom"/>
          </w:tcPr>
          <w:p w14:paraId="4C0C0FED" w14:textId="77777777" w:rsidR="00FB6B71" w:rsidRPr="00596193" w:rsidRDefault="00FB6B71" w:rsidP="00303804">
            <w:pPr>
              <w:jc w:val="both"/>
              <w:rPr>
                <w:color w:val="000000"/>
                <w:sz w:val="20"/>
                <w:szCs w:val="20"/>
              </w:rPr>
            </w:pPr>
          </w:p>
        </w:tc>
        <w:tc>
          <w:tcPr>
            <w:tcW w:w="314" w:type="pct"/>
            <w:vAlign w:val="bottom"/>
          </w:tcPr>
          <w:p w14:paraId="05CBCBD9" w14:textId="77777777" w:rsidR="00FB6B71" w:rsidRPr="00596193" w:rsidRDefault="00FB6B71" w:rsidP="00303804">
            <w:pPr>
              <w:jc w:val="both"/>
              <w:rPr>
                <w:color w:val="000000"/>
                <w:sz w:val="20"/>
                <w:szCs w:val="20"/>
              </w:rPr>
            </w:pPr>
          </w:p>
        </w:tc>
        <w:tc>
          <w:tcPr>
            <w:tcW w:w="287" w:type="pct"/>
            <w:vAlign w:val="bottom"/>
          </w:tcPr>
          <w:p w14:paraId="7657F8A7" w14:textId="77777777" w:rsidR="00FB6B71" w:rsidRPr="00596193" w:rsidRDefault="00FB6B71" w:rsidP="00303804">
            <w:pPr>
              <w:jc w:val="both"/>
              <w:rPr>
                <w:color w:val="000000"/>
                <w:sz w:val="20"/>
                <w:szCs w:val="20"/>
              </w:rPr>
            </w:pPr>
          </w:p>
        </w:tc>
        <w:tc>
          <w:tcPr>
            <w:tcW w:w="341" w:type="pct"/>
          </w:tcPr>
          <w:p w14:paraId="27EB210C" w14:textId="77777777" w:rsidR="00FB6B71" w:rsidRPr="00910FD4" w:rsidRDefault="00FB6B71" w:rsidP="00303804">
            <w:pPr>
              <w:jc w:val="both"/>
              <w:rPr>
                <w:color w:val="000000"/>
                <w:sz w:val="20"/>
                <w:szCs w:val="20"/>
              </w:rPr>
            </w:pPr>
          </w:p>
        </w:tc>
        <w:tc>
          <w:tcPr>
            <w:tcW w:w="314" w:type="pct"/>
          </w:tcPr>
          <w:p w14:paraId="025F7EF0" w14:textId="77777777" w:rsidR="00FB6B71" w:rsidRPr="00910FD4" w:rsidRDefault="00FB6B71" w:rsidP="00303804">
            <w:pPr>
              <w:jc w:val="both"/>
              <w:rPr>
                <w:color w:val="000000"/>
                <w:sz w:val="20"/>
                <w:szCs w:val="20"/>
              </w:rPr>
            </w:pPr>
          </w:p>
        </w:tc>
        <w:tc>
          <w:tcPr>
            <w:tcW w:w="314" w:type="pct"/>
          </w:tcPr>
          <w:p w14:paraId="24956BCB" w14:textId="77777777" w:rsidR="00FB6B71" w:rsidRPr="00910FD4" w:rsidRDefault="00FB6B71" w:rsidP="00303804">
            <w:pPr>
              <w:jc w:val="both"/>
              <w:rPr>
                <w:color w:val="000000"/>
                <w:sz w:val="20"/>
                <w:szCs w:val="20"/>
              </w:rPr>
            </w:pPr>
          </w:p>
        </w:tc>
        <w:tc>
          <w:tcPr>
            <w:tcW w:w="311" w:type="pct"/>
          </w:tcPr>
          <w:p w14:paraId="135523D7" w14:textId="77777777" w:rsidR="00FB6B71" w:rsidRPr="00910FD4" w:rsidRDefault="00FB6B71" w:rsidP="00303804">
            <w:pPr>
              <w:jc w:val="both"/>
              <w:rPr>
                <w:color w:val="000000"/>
                <w:sz w:val="20"/>
                <w:szCs w:val="20"/>
              </w:rPr>
            </w:pPr>
          </w:p>
        </w:tc>
      </w:tr>
      <w:tr w:rsidR="00FB6B71" w:rsidRPr="00910FD4" w14:paraId="77DFFDC3" w14:textId="77777777" w:rsidTr="00580BE8">
        <w:trPr>
          <w:trHeight w:val="300"/>
        </w:trPr>
        <w:tc>
          <w:tcPr>
            <w:tcW w:w="1196" w:type="pct"/>
            <w:shd w:val="clear" w:color="auto" w:fill="auto"/>
            <w:noWrap/>
            <w:vAlign w:val="bottom"/>
            <w:hideMark/>
          </w:tcPr>
          <w:p w14:paraId="4E4D5A09" w14:textId="77777777" w:rsidR="00FB6B71" w:rsidRPr="00596193" w:rsidRDefault="00FB6B71" w:rsidP="00303804">
            <w:pPr>
              <w:jc w:val="both"/>
              <w:rPr>
                <w:color w:val="000000"/>
                <w:sz w:val="20"/>
                <w:szCs w:val="20"/>
              </w:rPr>
            </w:pPr>
            <w:r w:rsidRPr="00596193">
              <w:rPr>
                <w:color w:val="000000"/>
                <w:sz w:val="20"/>
                <w:szCs w:val="20"/>
              </w:rPr>
              <w:t>Rural men (25-34)</w:t>
            </w:r>
          </w:p>
        </w:tc>
        <w:tc>
          <w:tcPr>
            <w:tcW w:w="314" w:type="pct"/>
            <w:vAlign w:val="bottom"/>
          </w:tcPr>
          <w:p w14:paraId="327C25E6" w14:textId="77777777" w:rsidR="00FB6B71" w:rsidRPr="00596193" w:rsidRDefault="00FB6B71" w:rsidP="00303804">
            <w:pPr>
              <w:jc w:val="both"/>
              <w:rPr>
                <w:color w:val="000000"/>
                <w:sz w:val="20"/>
                <w:szCs w:val="20"/>
              </w:rPr>
            </w:pPr>
          </w:p>
        </w:tc>
        <w:tc>
          <w:tcPr>
            <w:tcW w:w="314" w:type="pct"/>
          </w:tcPr>
          <w:p w14:paraId="5FC6BC2C" w14:textId="77777777" w:rsidR="00FB6B71" w:rsidRPr="00596193" w:rsidRDefault="00FB6B71" w:rsidP="00303804">
            <w:pPr>
              <w:jc w:val="both"/>
              <w:rPr>
                <w:color w:val="000000"/>
                <w:sz w:val="20"/>
                <w:szCs w:val="20"/>
              </w:rPr>
            </w:pPr>
          </w:p>
        </w:tc>
        <w:tc>
          <w:tcPr>
            <w:tcW w:w="353" w:type="pct"/>
          </w:tcPr>
          <w:p w14:paraId="662DD918" w14:textId="77777777" w:rsidR="00FB6B71" w:rsidRPr="00596193" w:rsidRDefault="00FB6B71" w:rsidP="00303804">
            <w:pPr>
              <w:jc w:val="both"/>
              <w:rPr>
                <w:color w:val="000000"/>
                <w:sz w:val="20"/>
                <w:szCs w:val="20"/>
              </w:rPr>
            </w:pPr>
          </w:p>
        </w:tc>
        <w:tc>
          <w:tcPr>
            <w:tcW w:w="292" w:type="pct"/>
          </w:tcPr>
          <w:p w14:paraId="07EE6A41" w14:textId="77777777" w:rsidR="00FB6B71" w:rsidRPr="00596193" w:rsidRDefault="00FB6B71" w:rsidP="00303804">
            <w:pPr>
              <w:jc w:val="both"/>
              <w:rPr>
                <w:color w:val="000000"/>
                <w:sz w:val="20"/>
                <w:szCs w:val="20"/>
              </w:rPr>
            </w:pPr>
          </w:p>
        </w:tc>
        <w:tc>
          <w:tcPr>
            <w:tcW w:w="336" w:type="pct"/>
            <w:vAlign w:val="bottom"/>
          </w:tcPr>
          <w:p w14:paraId="606EEEBE" w14:textId="77777777" w:rsidR="00FB6B71" w:rsidRPr="00596193" w:rsidRDefault="00FB6B71" w:rsidP="00303804">
            <w:pPr>
              <w:jc w:val="both"/>
              <w:rPr>
                <w:color w:val="000000"/>
                <w:sz w:val="20"/>
                <w:szCs w:val="20"/>
              </w:rPr>
            </w:pPr>
          </w:p>
        </w:tc>
        <w:tc>
          <w:tcPr>
            <w:tcW w:w="314" w:type="pct"/>
            <w:vAlign w:val="bottom"/>
          </w:tcPr>
          <w:p w14:paraId="1AC9D288" w14:textId="77777777" w:rsidR="00FB6B71" w:rsidRPr="00596193" w:rsidRDefault="00FB6B71" w:rsidP="00303804">
            <w:pPr>
              <w:jc w:val="both"/>
              <w:rPr>
                <w:color w:val="000000"/>
                <w:sz w:val="20"/>
                <w:szCs w:val="20"/>
              </w:rPr>
            </w:pPr>
          </w:p>
        </w:tc>
        <w:tc>
          <w:tcPr>
            <w:tcW w:w="314" w:type="pct"/>
            <w:vAlign w:val="bottom"/>
          </w:tcPr>
          <w:p w14:paraId="4B9E6746" w14:textId="77777777" w:rsidR="00FB6B71" w:rsidRPr="00596193" w:rsidRDefault="00FB6B71" w:rsidP="00303804">
            <w:pPr>
              <w:jc w:val="both"/>
              <w:rPr>
                <w:color w:val="000000"/>
                <w:sz w:val="20"/>
                <w:szCs w:val="20"/>
              </w:rPr>
            </w:pPr>
          </w:p>
        </w:tc>
        <w:tc>
          <w:tcPr>
            <w:tcW w:w="287" w:type="pct"/>
            <w:vAlign w:val="bottom"/>
          </w:tcPr>
          <w:p w14:paraId="16ECC74B" w14:textId="77777777" w:rsidR="00FB6B71" w:rsidRPr="00596193" w:rsidRDefault="00FB6B71" w:rsidP="00303804">
            <w:pPr>
              <w:jc w:val="both"/>
              <w:rPr>
                <w:color w:val="000000"/>
                <w:sz w:val="20"/>
                <w:szCs w:val="20"/>
              </w:rPr>
            </w:pPr>
          </w:p>
        </w:tc>
        <w:tc>
          <w:tcPr>
            <w:tcW w:w="341" w:type="pct"/>
          </w:tcPr>
          <w:p w14:paraId="14A63A14" w14:textId="77777777" w:rsidR="00FB6B71" w:rsidRPr="00910FD4" w:rsidRDefault="00FB6B71" w:rsidP="00303804">
            <w:pPr>
              <w:jc w:val="both"/>
              <w:rPr>
                <w:color w:val="000000"/>
                <w:sz w:val="20"/>
                <w:szCs w:val="20"/>
              </w:rPr>
            </w:pPr>
          </w:p>
        </w:tc>
        <w:tc>
          <w:tcPr>
            <w:tcW w:w="314" w:type="pct"/>
          </w:tcPr>
          <w:p w14:paraId="480EBCB9" w14:textId="77777777" w:rsidR="00FB6B71" w:rsidRPr="00910FD4" w:rsidRDefault="00FB6B71" w:rsidP="00303804">
            <w:pPr>
              <w:jc w:val="both"/>
              <w:rPr>
                <w:color w:val="000000"/>
                <w:sz w:val="20"/>
                <w:szCs w:val="20"/>
              </w:rPr>
            </w:pPr>
          </w:p>
        </w:tc>
        <w:tc>
          <w:tcPr>
            <w:tcW w:w="314" w:type="pct"/>
          </w:tcPr>
          <w:p w14:paraId="786AEC88" w14:textId="77777777" w:rsidR="00FB6B71" w:rsidRPr="00910FD4" w:rsidRDefault="00FB6B71" w:rsidP="00303804">
            <w:pPr>
              <w:jc w:val="both"/>
              <w:rPr>
                <w:color w:val="000000"/>
                <w:sz w:val="20"/>
                <w:szCs w:val="20"/>
              </w:rPr>
            </w:pPr>
          </w:p>
        </w:tc>
        <w:tc>
          <w:tcPr>
            <w:tcW w:w="311" w:type="pct"/>
          </w:tcPr>
          <w:p w14:paraId="390109C1" w14:textId="77777777" w:rsidR="00FB6B71" w:rsidRPr="00910FD4" w:rsidRDefault="00FB6B71" w:rsidP="00303804">
            <w:pPr>
              <w:jc w:val="both"/>
              <w:rPr>
                <w:color w:val="000000"/>
                <w:sz w:val="20"/>
                <w:szCs w:val="20"/>
              </w:rPr>
            </w:pPr>
          </w:p>
        </w:tc>
      </w:tr>
      <w:tr w:rsidR="00FB6B71" w:rsidRPr="00910FD4" w14:paraId="4C205F14" w14:textId="77777777" w:rsidTr="00580BE8">
        <w:trPr>
          <w:trHeight w:val="300"/>
        </w:trPr>
        <w:tc>
          <w:tcPr>
            <w:tcW w:w="1196" w:type="pct"/>
            <w:shd w:val="clear" w:color="auto" w:fill="auto"/>
            <w:noWrap/>
            <w:vAlign w:val="bottom"/>
            <w:hideMark/>
          </w:tcPr>
          <w:p w14:paraId="67171B12" w14:textId="77777777" w:rsidR="00FB6B71" w:rsidRPr="00596193" w:rsidRDefault="00FB6B71" w:rsidP="00303804">
            <w:pPr>
              <w:jc w:val="both"/>
              <w:rPr>
                <w:color w:val="000000"/>
                <w:sz w:val="20"/>
                <w:szCs w:val="20"/>
              </w:rPr>
            </w:pPr>
            <w:r w:rsidRPr="00596193">
              <w:rPr>
                <w:color w:val="000000"/>
                <w:sz w:val="20"/>
                <w:szCs w:val="20"/>
              </w:rPr>
              <w:t>Rural men (35-44)</w:t>
            </w:r>
          </w:p>
        </w:tc>
        <w:tc>
          <w:tcPr>
            <w:tcW w:w="314" w:type="pct"/>
            <w:vAlign w:val="bottom"/>
          </w:tcPr>
          <w:p w14:paraId="55E8C168" w14:textId="77777777" w:rsidR="00FB6B71" w:rsidRPr="00596193" w:rsidRDefault="00FB6B71" w:rsidP="00303804">
            <w:pPr>
              <w:jc w:val="both"/>
              <w:rPr>
                <w:color w:val="000000"/>
                <w:sz w:val="20"/>
                <w:szCs w:val="20"/>
              </w:rPr>
            </w:pPr>
          </w:p>
        </w:tc>
        <w:tc>
          <w:tcPr>
            <w:tcW w:w="314" w:type="pct"/>
          </w:tcPr>
          <w:p w14:paraId="5D50A32C" w14:textId="77777777" w:rsidR="00FB6B71" w:rsidRPr="00596193" w:rsidRDefault="00FB6B71" w:rsidP="00303804">
            <w:pPr>
              <w:jc w:val="both"/>
              <w:rPr>
                <w:color w:val="000000"/>
                <w:sz w:val="20"/>
                <w:szCs w:val="20"/>
              </w:rPr>
            </w:pPr>
          </w:p>
        </w:tc>
        <w:tc>
          <w:tcPr>
            <w:tcW w:w="353" w:type="pct"/>
          </w:tcPr>
          <w:p w14:paraId="7990BA81" w14:textId="77777777" w:rsidR="00FB6B71" w:rsidRPr="00596193" w:rsidRDefault="00FB6B71" w:rsidP="00303804">
            <w:pPr>
              <w:jc w:val="both"/>
              <w:rPr>
                <w:color w:val="000000"/>
                <w:sz w:val="20"/>
                <w:szCs w:val="20"/>
              </w:rPr>
            </w:pPr>
          </w:p>
        </w:tc>
        <w:tc>
          <w:tcPr>
            <w:tcW w:w="292" w:type="pct"/>
          </w:tcPr>
          <w:p w14:paraId="404FD9CE" w14:textId="77777777" w:rsidR="00FB6B71" w:rsidRPr="00596193" w:rsidRDefault="00FB6B71" w:rsidP="00303804">
            <w:pPr>
              <w:jc w:val="both"/>
              <w:rPr>
                <w:color w:val="000000"/>
                <w:sz w:val="20"/>
                <w:szCs w:val="20"/>
              </w:rPr>
            </w:pPr>
          </w:p>
        </w:tc>
        <w:tc>
          <w:tcPr>
            <w:tcW w:w="336" w:type="pct"/>
            <w:vAlign w:val="bottom"/>
          </w:tcPr>
          <w:p w14:paraId="52637FE3" w14:textId="77777777" w:rsidR="00FB6B71" w:rsidRPr="00596193" w:rsidRDefault="00FB6B71" w:rsidP="00303804">
            <w:pPr>
              <w:jc w:val="both"/>
              <w:rPr>
                <w:color w:val="000000"/>
                <w:sz w:val="20"/>
                <w:szCs w:val="20"/>
              </w:rPr>
            </w:pPr>
          </w:p>
        </w:tc>
        <w:tc>
          <w:tcPr>
            <w:tcW w:w="314" w:type="pct"/>
            <w:vAlign w:val="bottom"/>
          </w:tcPr>
          <w:p w14:paraId="4E2E0F51" w14:textId="77777777" w:rsidR="00FB6B71" w:rsidRPr="00596193" w:rsidRDefault="00FB6B71" w:rsidP="00303804">
            <w:pPr>
              <w:jc w:val="both"/>
              <w:rPr>
                <w:color w:val="000000"/>
                <w:sz w:val="20"/>
                <w:szCs w:val="20"/>
              </w:rPr>
            </w:pPr>
          </w:p>
        </w:tc>
        <w:tc>
          <w:tcPr>
            <w:tcW w:w="314" w:type="pct"/>
            <w:vAlign w:val="bottom"/>
          </w:tcPr>
          <w:p w14:paraId="580E66D3" w14:textId="77777777" w:rsidR="00FB6B71" w:rsidRPr="00596193" w:rsidRDefault="00FB6B71" w:rsidP="00303804">
            <w:pPr>
              <w:jc w:val="both"/>
              <w:rPr>
                <w:color w:val="000000"/>
                <w:sz w:val="20"/>
                <w:szCs w:val="20"/>
              </w:rPr>
            </w:pPr>
          </w:p>
        </w:tc>
        <w:tc>
          <w:tcPr>
            <w:tcW w:w="287" w:type="pct"/>
            <w:vAlign w:val="bottom"/>
          </w:tcPr>
          <w:p w14:paraId="3B8B82AC" w14:textId="77777777" w:rsidR="00FB6B71" w:rsidRPr="00596193" w:rsidRDefault="00FB6B71" w:rsidP="00303804">
            <w:pPr>
              <w:jc w:val="both"/>
              <w:rPr>
                <w:color w:val="000000"/>
                <w:sz w:val="20"/>
                <w:szCs w:val="20"/>
              </w:rPr>
            </w:pPr>
          </w:p>
        </w:tc>
        <w:tc>
          <w:tcPr>
            <w:tcW w:w="341" w:type="pct"/>
          </w:tcPr>
          <w:p w14:paraId="7220C80A" w14:textId="77777777" w:rsidR="00FB6B71" w:rsidRPr="00910FD4" w:rsidRDefault="00FB6B71" w:rsidP="00303804">
            <w:pPr>
              <w:jc w:val="both"/>
              <w:rPr>
                <w:color w:val="000000"/>
                <w:sz w:val="20"/>
                <w:szCs w:val="20"/>
              </w:rPr>
            </w:pPr>
          </w:p>
        </w:tc>
        <w:tc>
          <w:tcPr>
            <w:tcW w:w="314" w:type="pct"/>
          </w:tcPr>
          <w:p w14:paraId="6EA71361" w14:textId="77777777" w:rsidR="00FB6B71" w:rsidRPr="00910FD4" w:rsidRDefault="00FB6B71" w:rsidP="00303804">
            <w:pPr>
              <w:jc w:val="both"/>
              <w:rPr>
                <w:color w:val="000000"/>
                <w:sz w:val="20"/>
                <w:szCs w:val="20"/>
              </w:rPr>
            </w:pPr>
          </w:p>
        </w:tc>
        <w:tc>
          <w:tcPr>
            <w:tcW w:w="314" w:type="pct"/>
          </w:tcPr>
          <w:p w14:paraId="1A9F51DF" w14:textId="77777777" w:rsidR="00FB6B71" w:rsidRPr="00910FD4" w:rsidRDefault="00FB6B71" w:rsidP="00303804">
            <w:pPr>
              <w:jc w:val="both"/>
              <w:rPr>
                <w:color w:val="000000"/>
                <w:sz w:val="20"/>
                <w:szCs w:val="20"/>
              </w:rPr>
            </w:pPr>
          </w:p>
        </w:tc>
        <w:tc>
          <w:tcPr>
            <w:tcW w:w="311" w:type="pct"/>
          </w:tcPr>
          <w:p w14:paraId="6D14A58F" w14:textId="77777777" w:rsidR="00FB6B71" w:rsidRPr="00910FD4" w:rsidRDefault="00FB6B71" w:rsidP="00303804">
            <w:pPr>
              <w:jc w:val="both"/>
              <w:rPr>
                <w:color w:val="000000"/>
                <w:sz w:val="20"/>
                <w:szCs w:val="20"/>
              </w:rPr>
            </w:pPr>
          </w:p>
        </w:tc>
      </w:tr>
      <w:tr w:rsidR="00FB6B71" w:rsidRPr="00910FD4" w14:paraId="213A908E" w14:textId="77777777" w:rsidTr="00580BE8">
        <w:trPr>
          <w:trHeight w:val="300"/>
        </w:trPr>
        <w:tc>
          <w:tcPr>
            <w:tcW w:w="1196" w:type="pct"/>
            <w:shd w:val="clear" w:color="auto" w:fill="auto"/>
            <w:noWrap/>
            <w:vAlign w:val="bottom"/>
            <w:hideMark/>
          </w:tcPr>
          <w:p w14:paraId="10EC4D1F" w14:textId="77777777" w:rsidR="00FB6B71" w:rsidRPr="00596193" w:rsidRDefault="00FB6B71" w:rsidP="00303804">
            <w:pPr>
              <w:jc w:val="both"/>
              <w:rPr>
                <w:color w:val="000000"/>
                <w:sz w:val="20"/>
                <w:szCs w:val="20"/>
              </w:rPr>
            </w:pPr>
            <w:r w:rsidRPr="00596193">
              <w:rPr>
                <w:color w:val="000000"/>
                <w:sz w:val="20"/>
                <w:szCs w:val="20"/>
              </w:rPr>
              <w:t>Rural men (45-54)</w:t>
            </w:r>
          </w:p>
        </w:tc>
        <w:tc>
          <w:tcPr>
            <w:tcW w:w="314" w:type="pct"/>
            <w:vAlign w:val="bottom"/>
          </w:tcPr>
          <w:p w14:paraId="0146C8CB" w14:textId="77777777" w:rsidR="00FB6B71" w:rsidRPr="00596193" w:rsidRDefault="00FB6B71" w:rsidP="00303804">
            <w:pPr>
              <w:jc w:val="both"/>
              <w:rPr>
                <w:color w:val="000000"/>
                <w:sz w:val="20"/>
                <w:szCs w:val="20"/>
              </w:rPr>
            </w:pPr>
          </w:p>
        </w:tc>
        <w:tc>
          <w:tcPr>
            <w:tcW w:w="314" w:type="pct"/>
          </w:tcPr>
          <w:p w14:paraId="1391B7F1" w14:textId="77777777" w:rsidR="00FB6B71" w:rsidRPr="00596193" w:rsidRDefault="00FB6B71" w:rsidP="00303804">
            <w:pPr>
              <w:jc w:val="both"/>
              <w:rPr>
                <w:color w:val="000000"/>
                <w:sz w:val="20"/>
                <w:szCs w:val="20"/>
              </w:rPr>
            </w:pPr>
          </w:p>
        </w:tc>
        <w:tc>
          <w:tcPr>
            <w:tcW w:w="353" w:type="pct"/>
          </w:tcPr>
          <w:p w14:paraId="584A41C3" w14:textId="77777777" w:rsidR="00FB6B71" w:rsidRPr="00596193" w:rsidRDefault="00FB6B71" w:rsidP="00303804">
            <w:pPr>
              <w:jc w:val="both"/>
              <w:rPr>
                <w:color w:val="000000"/>
                <w:sz w:val="20"/>
                <w:szCs w:val="20"/>
              </w:rPr>
            </w:pPr>
          </w:p>
        </w:tc>
        <w:tc>
          <w:tcPr>
            <w:tcW w:w="292" w:type="pct"/>
          </w:tcPr>
          <w:p w14:paraId="33C9B76F" w14:textId="77777777" w:rsidR="00FB6B71" w:rsidRPr="00596193" w:rsidRDefault="00FB6B71" w:rsidP="00303804">
            <w:pPr>
              <w:jc w:val="both"/>
              <w:rPr>
                <w:color w:val="000000"/>
                <w:sz w:val="20"/>
                <w:szCs w:val="20"/>
              </w:rPr>
            </w:pPr>
          </w:p>
        </w:tc>
        <w:tc>
          <w:tcPr>
            <w:tcW w:w="336" w:type="pct"/>
            <w:vAlign w:val="bottom"/>
          </w:tcPr>
          <w:p w14:paraId="5C8EFA89" w14:textId="77777777" w:rsidR="00FB6B71" w:rsidRPr="00596193" w:rsidRDefault="00FB6B71" w:rsidP="00303804">
            <w:pPr>
              <w:jc w:val="both"/>
              <w:rPr>
                <w:color w:val="000000"/>
                <w:sz w:val="20"/>
                <w:szCs w:val="20"/>
              </w:rPr>
            </w:pPr>
          </w:p>
        </w:tc>
        <w:tc>
          <w:tcPr>
            <w:tcW w:w="314" w:type="pct"/>
            <w:vAlign w:val="bottom"/>
          </w:tcPr>
          <w:p w14:paraId="742E321B" w14:textId="77777777" w:rsidR="00FB6B71" w:rsidRPr="00596193" w:rsidRDefault="00FB6B71" w:rsidP="00303804">
            <w:pPr>
              <w:jc w:val="both"/>
              <w:rPr>
                <w:color w:val="000000"/>
                <w:sz w:val="20"/>
                <w:szCs w:val="20"/>
              </w:rPr>
            </w:pPr>
          </w:p>
        </w:tc>
        <w:tc>
          <w:tcPr>
            <w:tcW w:w="314" w:type="pct"/>
            <w:vAlign w:val="bottom"/>
          </w:tcPr>
          <w:p w14:paraId="2B453BEF" w14:textId="77777777" w:rsidR="00FB6B71" w:rsidRPr="00596193" w:rsidRDefault="00FB6B71" w:rsidP="00303804">
            <w:pPr>
              <w:jc w:val="both"/>
              <w:rPr>
                <w:color w:val="000000"/>
                <w:sz w:val="20"/>
                <w:szCs w:val="20"/>
              </w:rPr>
            </w:pPr>
          </w:p>
        </w:tc>
        <w:tc>
          <w:tcPr>
            <w:tcW w:w="287" w:type="pct"/>
            <w:vAlign w:val="bottom"/>
          </w:tcPr>
          <w:p w14:paraId="1A18F8B3" w14:textId="77777777" w:rsidR="00FB6B71" w:rsidRPr="00596193" w:rsidRDefault="00FB6B71" w:rsidP="00303804">
            <w:pPr>
              <w:jc w:val="both"/>
              <w:rPr>
                <w:color w:val="000000"/>
                <w:sz w:val="20"/>
                <w:szCs w:val="20"/>
              </w:rPr>
            </w:pPr>
          </w:p>
        </w:tc>
        <w:tc>
          <w:tcPr>
            <w:tcW w:w="341" w:type="pct"/>
          </w:tcPr>
          <w:p w14:paraId="4B099955" w14:textId="77777777" w:rsidR="00FB6B71" w:rsidRPr="00910FD4" w:rsidRDefault="00FB6B71" w:rsidP="00303804">
            <w:pPr>
              <w:jc w:val="both"/>
              <w:rPr>
                <w:color w:val="000000"/>
                <w:sz w:val="20"/>
                <w:szCs w:val="20"/>
              </w:rPr>
            </w:pPr>
          </w:p>
        </w:tc>
        <w:tc>
          <w:tcPr>
            <w:tcW w:w="314" w:type="pct"/>
          </w:tcPr>
          <w:p w14:paraId="4A4C3575" w14:textId="77777777" w:rsidR="00FB6B71" w:rsidRPr="00910FD4" w:rsidRDefault="00FB6B71" w:rsidP="00303804">
            <w:pPr>
              <w:jc w:val="both"/>
              <w:rPr>
                <w:color w:val="000000"/>
                <w:sz w:val="20"/>
                <w:szCs w:val="20"/>
              </w:rPr>
            </w:pPr>
          </w:p>
        </w:tc>
        <w:tc>
          <w:tcPr>
            <w:tcW w:w="314" w:type="pct"/>
          </w:tcPr>
          <w:p w14:paraId="68ABB2B3" w14:textId="77777777" w:rsidR="00FB6B71" w:rsidRPr="00910FD4" w:rsidRDefault="00FB6B71" w:rsidP="00303804">
            <w:pPr>
              <w:jc w:val="both"/>
              <w:rPr>
                <w:color w:val="000000"/>
                <w:sz w:val="20"/>
                <w:szCs w:val="20"/>
              </w:rPr>
            </w:pPr>
          </w:p>
        </w:tc>
        <w:tc>
          <w:tcPr>
            <w:tcW w:w="311" w:type="pct"/>
          </w:tcPr>
          <w:p w14:paraId="1DF37E22" w14:textId="77777777" w:rsidR="00FB6B71" w:rsidRPr="00910FD4" w:rsidRDefault="00FB6B71" w:rsidP="00303804">
            <w:pPr>
              <w:jc w:val="both"/>
              <w:rPr>
                <w:color w:val="000000"/>
                <w:sz w:val="20"/>
                <w:szCs w:val="20"/>
              </w:rPr>
            </w:pPr>
          </w:p>
        </w:tc>
      </w:tr>
      <w:tr w:rsidR="00FB6B71" w:rsidRPr="00910FD4" w14:paraId="3601D571" w14:textId="77777777" w:rsidTr="00580BE8">
        <w:trPr>
          <w:trHeight w:val="300"/>
        </w:trPr>
        <w:tc>
          <w:tcPr>
            <w:tcW w:w="1196" w:type="pct"/>
            <w:shd w:val="clear" w:color="auto" w:fill="auto"/>
            <w:noWrap/>
            <w:vAlign w:val="bottom"/>
            <w:hideMark/>
          </w:tcPr>
          <w:p w14:paraId="5EC865E2" w14:textId="77777777" w:rsidR="00FB6B71" w:rsidRPr="00596193" w:rsidRDefault="00FB6B71" w:rsidP="00303804">
            <w:pPr>
              <w:jc w:val="both"/>
              <w:rPr>
                <w:color w:val="000000"/>
                <w:sz w:val="20"/>
                <w:szCs w:val="20"/>
              </w:rPr>
            </w:pPr>
            <w:r w:rsidRPr="00596193">
              <w:rPr>
                <w:color w:val="000000"/>
                <w:sz w:val="20"/>
                <w:szCs w:val="20"/>
              </w:rPr>
              <w:t>Rural men (55-64)</w:t>
            </w:r>
          </w:p>
        </w:tc>
        <w:tc>
          <w:tcPr>
            <w:tcW w:w="314" w:type="pct"/>
            <w:vAlign w:val="bottom"/>
          </w:tcPr>
          <w:p w14:paraId="07CAC354" w14:textId="77777777" w:rsidR="00FB6B71" w:rsidRPr="00596193" w:rsidRDefault="00FB6B71" w:rsidP="00303804">
            <w:pPr>
              <w:jc w:val="both"/>
              <w:rPr>
                <w:color w:val="000000"/>
                <w:sz w:val="20"/>
                <w:szCs w:val="20"/>
              </w:rPr>
            </w:pPr>
          </w:p>
        </w:tc>
        <w:tc>
          <w:tcPr>
            <w:tcW w:w="314" w:type="pct"/>
          </w:tcPr>
          <w:p w14:paraId="08B4141B" w14:textId="77777777" w:rsidR="00FB6B71" w:rsidRPr="00596193" w:rsidRDefault="00FB6B71" w:rsidP="00303804">
            <w:pPr>
              <w:jc w:val="both"/>
              <w:rPr>
                <w:color w:val="000000"/>
                <w:sz w:val="20"/>
                <w:szCs w:val="20"/>
              </w:rPr>
            </w:pPr>
          </w:p>
        </w:tc>
        <w:tc>
          <w:tcPr>
            <w:tcW w:w="353" w:type="pct"/>
          </w:tcPr>
          <w:p w14:paraId="7F741830" w14:textId="77777777" w:rsidR="00FB6B71" w:rsidRPr="00596193" w:rsidRDefault="00FB6B71" w:rsidP="00303804">
            <w:pPr>
              <w:jc w:val="both"/>
              <w:rPr>
                <w:color w:val="000000"/>
                <w:sz w:val="20"/>
                <w:szCs w:val="20"/>
              </w:rPr>
            </w:pPr>
          </w:p>
        </w:tc>
        <w:tc>
          <w:tcPr>
            <w:tcW w:w="292" w:type="pct"/>
          </w:tcPr>
          <w:p w14:paraId="23D0D51D" w14:textId="77777777" w:rsidR="00FB6B71" w:rsidRPr="00596193" w:rsidRDefault="00FB6B71" w:rsidP="00303804">
            <w:pPr>
              <w:jc w:val="both"/>
              <w:rPr>
                <w:color w:val="000000"/>
                <w:sz w:val="20"/>
                <w:szCs w:val="20"/>
              </w:rPr>
            </w:pPr>
          </w:p>
        </w:tc>
        <w:tc>
          <w:tcPr>
            <w:tcW w:w="336" w:type="pct"/>
            <w:vAlign w:val="bottom"/>
          </w:tcPr>
          <w:p w14:paraId="1D8C6DC3" w14:textId="77777777" w:rsidR="00FB6B71" w:rsidRPr="00596193" w:rsidRDefault="00FB6B71" w:rsidP="00303804">
            <w:pPr>
              <w:jc w:val="both"/>
              <w:rPr>
                <w:color w:val="000000"/>
                <w:sz w:val="20"/>
                <w:szCs w:val="20"/>
              </w:rPr>
            </w:pPr>
          </w:p>
        </w:tc>
        <w:tc>
          <w:tcPr>
            <w:tcW w:w="314" w:type="pct"/>
            <w:vAlign w:val="bottom"/>
          </w:tcPr>
          <w:p w14:paraId="2F5B9C78" w14:textId="77777777" w:rsidR="00FB6B71" w:rsidRPr="00596193" w:rsidRDefault="00FB6B71" w:rsidP="00303804">
            <w:pPr>
              <w:jc w:val="both"/>
              <w:rPr>
                <w:color w:val="000000"/>
                <w:sz w:val="20"/>
                <w:szCs w:val="20"/>
              </w:rPr>
            </w:pPr>
          </w:p>
        </w:tc>
        <w:tc>
          <w:tcPr>
            <w:tcW w:w="314" w:type="pct"/>
            <w:vAlign w:val="bottom"/>
          </w:tcPr>
          <w:p w14:paraId="688E7E22" w14:textId="77777777" w:rsidR="00FB6B71" w:rsidRPr="00596193" w:rsidRDefault="00FB6B71" w:rsidP="00303804">
            <w:pPr>
              <w:jc w:val="both"/>
              <w:rPr>
                <w:color w:val="000000"/>
                <w:sz w:val="20"/>
                <w:szCs w:val="20"/>
              </w:rPr>
            </w:pPr>
          </w:p>
        </w:tc>
        <w:tc>
          <w:tcPr>
            <w:tcW w:w="287" w:type="pct"/>
            <w:vAlign w:val="bottom"/>
          </w:tcPr>
          <w:p w14:paraId="3D89D6B0" w14:textId="77777777" w:rsidR="00FB6B71" w:rsidRPr="00596193" w:rsidRDefault="00FB6B71" w:rsidP="00303804">
            <w:pPr>
              <w:jc w:val="both"/>
              <w:rPr>
                <w:color w:val="000000"/>
                <w:sz w:val="20"/>
                <w:szCs w:val="20"/>
              </w:rPr>
            </w:pPr>
          </w:p>
        </w:tc>
        <w:tc>
          <w:tcPr>
            <w:tcW w:w="341" w:type="pct"/>
          </w:tcPr>
          <w:p w14:paraId="6BFDECD6" w14:textId="77777777" w:rsidR="00FB6B71" w:rsidRPr="00910FD4" w:rsidRDefault="00FB6B71" w:rsidP="00303804">
            <w:pPr>
              <w:jc w:val="both"/>
              <w:rPr>
                <w:color w:val="000000"/>
                <w:sz w:val="20"/>
                <w:szCs w:val="20"/>
              </w:rPr>
            </w:pPr>
          </w:p>
        </w:tc>
        <w:tc>
          <w:tcPr>
            <w:tcW w:w="314" w:type="pct"/>
          </w:tcPr>
          <w:p w14:paraId="0773B1DA" w14:textId="77777777" w:rsidR="00FB6B71" w:rsidRPr="00910FD4" w:rsidRDefault="00FB6B71" w:rsidP="00303804">
            <w:pPr>
              <w:jc w:val="both"/>
              <w:rPr>
                <w:color w:val="000000"/>
                <w:sz w:val="20"/>
                <w:szCs w:val="20"/>
              </w:rPr>
            </w:pPr>
          </w:p>
        </w:tc>
        <w:tc>
          <w:tcPr>
            <w:tcW w:w="314" w:type="pct"/>
          </w:tcPr>
          <w:p w14:paraId="7C7A9F14" w14:textId="77777777" w:rsidR="00FB6B71" w:rsidRPr="00910FD4" w:rsidRDefault="00FB6B71" w:rsidP="00303804">
            <w:pPr>
              <w:jc w:val="both"/>
              <w:rPr>
                <w:color w:val="000000"/>
                <w:sz w:val="20"/>
                <w:szCs w:val="20"/>
              </w:rPr>
            </w:pPr>
          </w:p>
        </w:tc>
        <w:tc>
          <w:tcPr>
            <w:tcW w:w="311" w:type="pct"/>
          </w:tcPr>
          <w:p w14:paraId="0735CCE3" w14:textId="77777777" w:rsidR="00FB6B71" w:rsidRPr="00910FD4" w:rsidRDefault="00FB6B71" w:rsidP="00303804">
            <w:pPr>
              <w:jc w:val="both"/>
              <w:rPr>
                <w:color w:val="000000"/>
                <w:sz w:val="20"/>
                <w:szCs w:val="20"/>
              </w:rPr>
            </w:pPr>
          </w:p>
        </w:tc>
      </w:tr>
      <w:tr w:rsidR="00FB6B71" w:rsidRPr="00910FD4" w14:paraId="1B8191FC" w14:textId="77777777" w:rsidTr="00580BE8">
        <w:trPr>
          <w:trHeight w:val="300"/>
        </w:trPr>
        <w:tc>
          <w:tcPr>
            <w:tcW w:w="1196" w:type="pct"/>
            <w:shd w:val="clear" w:color="auto" w:fill="auto"/>
            <w:noWrap/>
            <w:vAlign w:val="bottom"/>
            <w:hideMark/>
          </w:tcPr>
          <w:p w14:paraId="7F6613A2" w14:textId="77777777" w:rsidR="00FB6B71" w:rsidRPr="00BB5C25" w:rsidRDefault="00FB6B71" w:rsidP="00303804">
            <w:pPr>
              <w:jc w:val="both"/>
              <w:rPr>
                <w:color w:val="000000"/>
                <w:sz w:val="20"/>
                <w:szCs w:val="20"/>
                <w:vertAlign w:val="superscript"/>
              </w:rPr>
            </w:pPr>
            <w:r w:rsidRPr="00596193">
              <w:rPr>
                <w:color w:val="000000"/>
                <w:sz w:val="20"/>
                <w:szCs w:val="20"/>
              </w:rPr>
              <w:t>High risk women (15-24)</w:t>
            </w:r>
          </w:p>
        </w:tc>
        <w:tc>
          <w:tcPr>
            <w:tcW w:w="314" w:type="pct"/>
            <w:vAlign w:val="bottom"/>
          </w:tcPr>
          <w:p w14:paraId="3754DE13" w14:textId="77777777" w:rsidR="00FB6B71" w:rsidRPr="00596193" w:rsidRDefault="00FB6B71" w:rsidP="00303804">
            <w:pPr>
              <w:jc w:val="both"/>
              <w:rPr>
                <w:color w:val="000000"/>
                <w:sz w:val="20"/>
                <w:szCs w:val="20"/>
              </w:rPr>
            </w:pPr>
          </w:p>
        </w:tc>
        <w:tc>
          <w:tcPr>
            <w:tcW w:w="314" w:type="pct"/>
          </w:tcPr>
          <w:p w14:paraId="4DD84902" w14:textId="77777777" w:rsidR="00FB6B71" w:rsidRPr="00596193" w:rsidRDefault="00FB6B71" w:rsidP="00303804">
            <w:pPr>
              <w:jc w:val="both"/>
              <w:rPr>
                <w:color w:val="000000"/>
                <w:sz w:val="20"/>
                <w:szCs w:val="20"/>
              </w:rPr>
            </w:pPr>
          </w:p>
        </w:tc>
        <w:tc>
          <w:tcPr>
            <w:tcW w:w="353" w:type="pct"/>
          </w:tcPr>
          <w:p w14:paraId="7D759DDA" w14:textId="77777777" w:rsidR="00FB6B71" w:rsidRPr="00596193" w:rsidRDefault="00FB6B71" w:rsidP="00303804">
            <w:pPr>
              <w:jc w:val="both"/>
              <w:rPr>
                <w:color w:val="000000"/>
                <w:sz w:val="20"/>
                <w:szCs w:val="20"/>
              </w:rPr>
            </w:pPr>
          </w:p>
        </w:tc>
        <w:tc>
          <w:tcPr>
            <w:tcW w:w="292" w:type="pct"/>
          </w:tcPr>
          <w:p w14:paraId="2435A304" w14:textId="77777777" w:rsidR="00FB6B71" w:rsidRPr="00596193" w:rsidRDefault="00FB6B71" w:rsidP="00303804">
            <w:pPr>
              <w:jc w:val="both"/>
              <w:rPr>
                <w:color w:val="000000"/>
                <w:sz w:val="20"/>
                <w:szCs w:val="20"/>
              </w:rPr>
            </w:pPr>
          </w:p>
        </w:tc>
        <w:tc>
          <w:tcPr>
            <w:tcW w:w="336" w:type="pct"/>
            <w:vAlign w:val="bottom"/>
          </w:tcPr>
          <w:p w14:paraId="38BB9CCE" w14:textId="77777777" w:rsidR="00FB6B71" w:rsidRPr="00596193" w:rsidRDefault="00FB6B71" w:rsidP="00303804">
            <w:pPr>
              <w:jc w:val="both"/>
              <w:rPr>
                <w:color w:val="000000"/>
                <w:sz w:val="20"/>
                <w:szCs w:val="20"/>
              </w:rPr>
            </w:pPr>
          </w:p>
        </w:tc>
        <w:tc>
          <w:tcPr>
            <w:tcW w:w="314" w:type="pct"/>
            <w:vAlign w:val="bottom"/>
          </w:tcPr>
          <w:p w14:paraId="107B6833" w14:textId="77777777" w:rsidR="00FB6B71" w:rsidRPr="00596193" w:rsidRDefault="00FB6B71" w:rsidP="00303804">
            <w:pPr>
              <w:jc w:val="both"/>
              <w:rPr>
                <w:color w:val="000000"/>
                <w:sz w:val="20"/>
                <w:szCs w:val="20"/>
              </w:rPr>
            </w:pPr>
          </w:p>
        </w:tc>
        <w:tc>
          <w:tcPr>
            <w:tcW w:w="314" w:type="pct"/>
            <w:vAlign w:val="bottom"/>
          </w:tcPr>
          <w:p w14:paraId="69592C70" w14:textId="77777777" w:rsidR="00FB6B71" w:rsidRPr="00596193" w:rsidRDefault="00FB6B71" w:rsidP="00303804">
            <w:pPr>
              <w:jc w:val="both"/>
              <w:rPr>
                <w:color w:val="000000"/>
                <w:sz w:val="20"/>
                <w:szCs w:val="20"/>
              </w:rPr>
            </w:pPr>
          </w:p>
        </w:tc>
        <w:tc>
          <w:tcPr>
            <w:tcW w:w="287" w:type="pct"/>
            <w:vAlign w:val="bottom"/>
          </w:tcPr>
          <w:p w14:paraId="1D0AC292" w14:textId="77777777" w:rsidR="00FB6B71" w:rsidRPr="00596193" w:rsidRDefault="00FB6B71" w:rsidP="00303804">
            <w:pPr>
              <w:jc w:val="both"/>
              <w:rPr>
                <w:color w:val="000000"/>
                <w:sz w:val="20"/>
                <w:szCs w:val="20"/>
              </w:rPr>
            </w:pPr>
          </w:p>
        </w:tc>
        <w:tc>
          <w:tcPr>
            <w:tcW w:w="341" w:type="pct"/>
          </w:tcPr>
          <w:p w14:paraId="40D71482" w14:textId="77777777" w:rsidR="00FB6B71" w:rsidRPr="00910FD4" w:rsidRDefault="00FB6B71" w:rsidP="00303804">
            <w:pPr>
              <w:jc w:val="both"/>
              <w:rPr>
                <w:color w:val="000000"/>
                <w:sz w:val="20"/>
                <w:szCs w:val="20"/>
              </w:rPr>
            </w:pPr>
          </w:p>
        </w:tc>
        <w:tc>
          <w:tcPr>
            <w:tcW w:w="314" w:type="pct"/>
          </w:tcPr>
          <w:p w14:paraId="163AA548" w14:textId="77777777" w:rsidR="00FB6B71" w:rsidRPr="00910FD4" w:rsidRDefault="00FB6B71" w:rsidP="00303804">
            <w:pPr>
              <w:jc w:val="both"/>
              <w:rPr>
                <w:color w:val="000000"/>
                <w:sz w:val="20"/>
                <w:szCs w:val="20"/>
              </w:rPr>
            </w:pPr>
          </w:p>
        </w:tc>
        <w:tc>
          <w:tcPr>
            <w:tcW w:w="314" w:type="pct"/>
          </w:tcPr>
          <w:p w14:paraId="62E37DC4" w14:textId="77777777" w:rsidR="00FB6B71" w:rsidRPr="00910FD4" w:rsidRDefault="00FB6B71" w:rsidP="00303804">
            <w:pPr>
              <w:jc w:val="both"/>
              <w:rPr>
                <w:color w:val="000000"/>
                <w:sz w:val="20"/>
                <w:szCs w:val="20"/>
              </w:rPr>
            </w:pPr>
          </w:p>
        </w:tc>
        <w:tc>
          <w:tcPr>
            <w:tcW w:w="311" w:type="pct"/>
          </w:tcPr>
          <w:p w14:paraId="4C5CB466" w14:textId="77777777" w:rsidR="00FB6B71" w:rsidRPr="00910FD4" w:rsidRDefault="00FB6B71" w:rsidP="00303804">
            <w:pPr>
              <w:jc w:val="both"/>
              <w:rPr>
                <w:color w:val="000000"/>
                <w:sz w:val="20"/>
                <w:szCs w:val="20"/>
              </w:rPr>
            </w:pPr>
          </w:p>
        </w:tc>
      </w:tr>
      <w:tr w:rsidR="00FB6B71" w:rsidRPr="00910FD4" w14:paraId="402DF507" w14:textId="77777777" w:rsidTr="00580BE8">
        <w:trPr>
          <w:trHeight w:val="300"/>
        </w:trPr>
        <w:tc>
          <w:tcPr>
            <w:tcW w:w="1196" w:type="pct"/>
            <w:shd w:val="clear" w:color="auto" w:fill="auto"/>
            <w:noWrap/>
            <w:vAlign w:val="bottom"/>
            <w:hideMark/>
          </w:tcPr>
          <w:p w14:paraId="54CA3DB9" w14:textId="77777777" w:rsidR="00FB6B71" w:rsidRPr="00BB5C25" w:rsidRDefault="00FB6B71" w:rsidP="00303804">
            <w:pPr>
              <w:jc w:val="both"/>
              <w:rPr>
                <w:color w:val="000000"/>
                <w:sz w:val="20"/>
                <w:szCs w:val="20"/>
                <w:vertAlign w:val="superscript"/>
              </w:rPr>
            </w:pPr>
            <w:r w:rsidRPr="00596193">
              <w:rPr>
                <w:color w:val="000000"/>
                <w:sz w:val="20"/>
                <w:szCs w:val="20"/>
              </w:rPr>
              <w:t>High risk women (25-34)</w:t>
            </w:r>
          </w:p>
        </w:tc>
        <w:tc>
          <w:tcPr>
            <w:tcW w:w="314" w:type="pct"/>
            <w:vAlign w:val="bottom"/>
          </w:tcPr>
          <w:p w14:paraId="520B5B78" w14:textId="77777777" w:rsidR="00FB6B71" w:rsidRPr="00596193" w:rsidRDefault="00FB6B71" w:rsidP="00303804">
            <w:pPr>
              <w:jc w:val="both"/>
              <w:rPr>
                <w:color w:val="000000"/>
                <w:sz w:val="20"/>
                <w:szCs w:val="20"/>
              </w:rPr>
            </w:pPr>
          </w:p>
        </w:tc>
        <w:tc>
          <w:tcPr>
            <w:tcW w:w="314" w:type="pct"/>
          </w:tcPr>
          <w:p w14:paraId="18C0E1D0" w14:textId="77777777" w:rsidR="00FB6B71" w:rsidRPr="00596193" w:rsidRDefault="00FB6B71" w:rsidP="00303804">
            <w:pPr>
              <w:jc w:val="both"/>
              <w:rPr>
                <w:color w:val="000000"/>
                <w:sz w:val="20"/>
                <w:szCs w:val="20"/>
              </w:rPr>
            </w:pPr>
          </w:p>
        </w:tc>
        <w:tc>
          <w:tcPr>
            <w:tcW w:w="353" w:type="pct"/>
          </w:tcPr>
          <w:p w14:paraId="3AA3AC86" w14:textId="77777777" w:rsidR="00FB6B71" w:rsidRPr="00596193" w:rsidRDefault="00FB6B71" w:rsidP="00303804">
            <w:pPr>
              <w:jc w:val="both"/>
              <w:rPr>
                <w:color w:val="000000"/>
                <w:sz w:val="20"/>
                <w:szCs w:val="20"/>
              </w:rPr>
            </w:pPr>
          </w:p>
        </w:tc>
        <w:tc>
          <w:tcPr>
            <w:tcW w:w="292" w:type="pct"/>
          </w:tcPr>
          <w:p w14:paraId="341E60DB" w14:textId="77777777" w:rsidR="00FB6B71" w:rsidRPr="00596193" w:rsidRDefault="00FB6B71" w:rsidP="00303804">
            <w:pPr>
              <w:jc w:val="both"/>
              <w:rPr>
                <w:color w:val="000000"/>
                <w:sz w:val="20"/>
                <w:szCs w:val="20"/>
              </w:rPr>
            </w:pPr>
          </w:p>
        </w:tc>
        <w:tc>
          <w:tcPr>
            <w:tcW w:w="336" w:type="pct"/>
            <w:vAlign w:val="bottom"/>
          </w:tcPr>
          <w:p w14:paraId="0C7672AD" w14:textId="77777777" w:rsidR="00FB6B71" w:rsidRPr="00596193" w:rsidRDefault="00FB6B71" w:rsidP="00303804">
            <w:pPr>
              <w:jc w:val="both"/>
              <w:rPr>
                <w:color w:val="000000"/>
                <w:sz w:val="20"/>
                <w:szCs w:val="20"/>
              </w:rPr>
            </w:pPr>
          </w:p>
        </w:tc>
        <w:tc>
          <w:tcPr>
            <w:tcW w:w="314" w:type="pct"/>
            <w:vAlign w:val="bottom"/>
          </w:tcPr>
          <w:p w14:paraId="371A0468" w14:textId="77777777" w:rsidR="00FB6B71" w:rsidRPr="00596193" w:rsidRDefault="00FB6B71" w:rsidP="00303804">
            <w:pPr>
              <w:jc w:val="both"/>
              <w:rPr>
                <w:color w:val="000000"/>
                <w:sz w:val="20"/>
                <w:szCs w:val="20"/>
              </w:rPr>
            </w:pPr>
          </w:p>
        </w:tc>
        <w:tc>
          <w:tcPr>
            <w:tcW w:w="314" w:type="pct"/>
            <w:vAlign w:val="bottom"/>
          </w:tcPr>
          <w:p w14:paraId="7C27CE0A" w14:textId="77777777" w:rsidR="00FB6B71" w:rsidRPr="00596193" w:rsidRDefault="00FB6B71" w:rsidP="00303804">
            <w:pPr>
              <w:jc w:val="both"/>
              <w:rPr>
                <w:color w:val="000000"/>
                <w:sz w:val="20"/>
                <w:szCs w:val="20"/>
              </w:rPr>
            </w:pPr>
          </w:p>
        </w:tc>
        <w:tc>
          <w:tcPr>
            <w:tcW w:w="287" w:type="pct"/>
            <w:vAlign w:val="bottom"/>
          </w:tcPr>
          <w:p w14:paraId="1E1841AF" w14:textId="77777777" w:rsidR="00FB6B71" w:rsidRPr="00596193" w:rsidRDefault="00FB6B71" w:rsidP="00303804">
            <w:pPr>
              <w:jc w:val="both"/>
              <w:rPr>
                <w:color w:val="000000"/>
                <w:sz w:val="20"/>
                <w:szCs w:val="20"/>
              </w:rPr>
            </w:pPr>
          </w:p>
        </w:tc>
        <w:tc>
          <w:tcPr>
            <w:tcW w:w="341" w:type="pct"/>
          </w:tcPr>
          <w:p w14:paraId="239C875B" w14:textId="77777777" w:rsidR="00FB6B71" w:rsidRPr="00910FD4" w:rsidRDefault="00FB6B71" w:rsidP="00303804">
            <w:pPr>
              <w:jc w:val="both"/>
              <w:rPr>
                <w:color w:val="000000"/>
                <w:sz w:val="20"/>
                <w:szCs w:val="20"/>
              </w:rPr>
            </w:pPr>
          </w:p>
        </w:tc>
        <w:tc>
          <w:tcPr>
            <w:tcW w:w="314" w:type="pct"/>
          </w:tcPr>
          <w:p w14:paraId="47016B0D" w14:textId="77777777" w:rsidR="00FB6B71" w:rsidRPr="00910FD4" w:rsidRDefault="00FB6B71" w:rsidP="00303804">
            <w:pPr>
              <w:jc w:val="both"/>
              <w:rPr>
                <w:color w:val="000000"/>
                <w:sz w:val="20"/>
                <w:szCs w:val="20"/>
              </w:rPr>
            </w:pPr>
          </w:p>
        </w:tc>
        <w:tc>
          <w:tcPr>
            <w:tcW w:w="314" w:type="pct"/>
          </w:tcPr>
          <w:p w14:paraId="1C74A605" w14:textId="77777777" w:rsidR="00FB6B71" w:rsidRPr="00910FD4" w:rsidRDefault="00FB6B71" w:rsidP="00303804">
            <w:pPr>
              <w:jc w:val="both"/>
              <w:rPr>
                <w:color w:val="000000"/>
                <w:sz w:val="20"/>
                <w:szCs w:val="20"/>
              </w:rPr>
            </w:pPr>
          </w:p>
        </w:tc>
        <w:tc>
          <w:tcPr>
            <w:tcW w:w="311" w:type="pct"/>
          </w:tcPr>
          <w:p w14:paraId="4211CE8E" w14:textId="77777777" w:rsidR="00FB6B71" w:rsidRPr="00910FD4" w:rsidRDefault="00FB6B71" w:rsidP="00303804">
            <w:pPr>
              <w:jc w:val="both"/>
              <w:rPr>
                <w:color w:val="000000"/>
                <w:sz w:val="20"/>
                <w:szCs w:val="20"/>
              </w:rPr>
            </w:pPr>
          </w:p>
        </w:tc>
      </w:tr>
      <w:tr w:rsidR="00FB6B71" w:rsidRPr="00910FD4" w14:paraId="706FE165" w14:textId="77777777" w:rsidTr="00580BE8">
        <w:trPr>
          <w:trHeight w:val="300"/>
        </w:trPr>
        <w:tc>
          <w:tcPr>
            <w:tcW w:w="1196" w:type="pct"/>
            <w:shd w:val="clear" w:color="auto" w:fill="auto"/>
            <w:noWrap/>
            <w:vAlign w:val="bottom"/>
            <w:hideMark/>
          </w:tcPr>
          <w:p w14:paraId="3E1DE669" w14:textId="77777777" w:rsidR="00FB6B71" w:rsidRPr="00596193" w:rsidRDefault="00FB6B71" w:rsidP="00303804">
            <w:pPr>
              <w:jc w:val="both"/>
              <w:rPr>
                <w:color w:val="000000"/>
                <w:sz w:val="20"/>
                <w:szCs w:val="20"/>
              </w:rPr>
            </w:pPr>
            <w:r w:rsidRPr="00596193">
              <w:rPr>
                <w:color w:val="000000"/>
                <w:sz w:val="20"/>
                <w:szCs w:val="20"/>
              </w:rPr>
              <w:t>High risk women (35-44)</w:t>
            </w:r>
          </w:p>
        </w:tc>
        <w:tc>
          <w:tcPr>
            <w:tcW w:w="314" w:type="pct"/>
            <w:vAlign w:val="bottom"/>
          </w:tcPr>
          <w:p w14:paraId="4E61BCF2" w14:textId="77777777" w:rsidR="00FB6B71" w:rsidRPr="00596193" w:rsidRDefault="00FB6B71" w:rsidP="00303804">
            <w:pPr>
              <w:jc w:val="both"/>
              <w:rPr>
                <w:color w:val="000000"/>
                <w:sz w:val="20"/>
                <w:szCs w:val="20"/>
              </w:rPr>
            </w:pPr>
          </w:p>
        </w:tc>
        <w:tc>
          <w:tcPr>
            <w:tcW w:w="314" w:type="pct"/>
          </w:tcPr>
          <w:p w14:paraId="169A7ED0" w14:textId="77777777" w:rsidR="00FB6B71" w:rsidRPr="00596193" w:rsidRDefault="00FB6B71" w:rsidP="00303804">
            <w:pPr>
              <w:jc w:val="both"/>
              <w:rPr>
                <w:color w:val="000000"/>
                <w:sz w:val="20"/>
                <w:szCs w:val="20"/>
              </w:rPr>
            </w:pPr>
          </w:p>
        </w:tc>
        <w:tc>
          <w:tcPr>
            <w:tcW w:w="353" w:type="pct"/>
          </w:tcPr>
          <w:p w14:paraId="3FFF9E72" w14:textId="77777777" w:rsidR="00FB6B71" w:rsidRPr="00596193" w:rsidRDefault="00FB6B71" w:rsidP="00303804">
            <w:pPr>
              <w:jc w:val="both"/>
              <w:rPr>
                <w:color w:val="000000"/>
                <w:sz w:val="20"/>
                <w:szCs w:val="20"/>
              </w:rPr>
            </w:pPr>
          </w:p>
        </w:tc>
        <w:tc>
          <w:tcPr>
            <w:tcW w:w="292" w:type="pct"/>
          </w:tcPr>
          <w:p w14:paraId="4C6E4DAF" w14:textId="77777777" w:rsidR="00FB6B71" w:rsidRPr="00596193" w:rsidRDefault="00FB6B71" w:rsidP="00303804">
            <w:pPr>
              <w:jc w:val="both"/>
              <w:rPr>
                <w:color w:val="000000"/>
                <w:sz w:val="20"/>
                <w:szCs w:val="20"/>
              </w:rPr>
            </w:pPr>
          </w:p>
        </w:tc>
        <w:tc>
          <w:tcPr>
            <w:tcW w:w="336" w:type="pct"/>
            <w:vAlign w:val="bottom"/>
          </w:tcPr>
          <w:p w14:paraId="3EA71D59" w14:textId="77777777" w:rsidR="00FB6B71" w:rsidRPr="00596193" w:rsidRDefault="00FB6B71" w:rsidP="00303804">
            <w:pPr>
              <w:jc w:val="both"/>
              <w:rPr>
                <w:color w:val="000000"/>
                <w:sz w:val="20"/>
                <w:szCs w:val="20"/>
              </w:rPr>
            </w:pPr>
          </w:p>
        </w:tc>
        <w:tc>
          <w:tcPr>
            <w:tcW w:w="314" w:type="pct"/>
            <w:vAlign w:val="bottom"/>
          </w:tcPr>
          <w:p w14:paraId="2C1DB2F4" w14:textId="77777777" w:rsidR="00FB6B71" w:rsidRPr="00596193" w:rsidRDefault="00FB6B71" w:rsidP="00303804">
            <w:pPr>
              <w:jc w:val="both"/>
              <w:rPr>
                <w:color w:val="000000"/>
                <w:sz w:val="20"/>
                <w:szCs w:val="20"/>
              </w:rPr>
            </w:pPr>
          </w:p>
        </w:tc>
        <w:tc>
          <w:tcPr>
            <w:tcW w:w="314" w:type="pct"/>
            <w:vAlign w:val="bottom"/>
          </w:tcPr>
          <w:p w14:paraId="0A670965" w14:textId="77777777" w:rsidR="00FB6B71" w:rsidRPr="00596193" w:rsidRDefault="00FB6B71" w:rsidP="00303804">
            <w:pPr>
              <w:jc w:val="both"/>
              <w:rPr>
                <w:color w:val="000000"/>
                <w:sz w:val="20"/>
                <w:szCs w:val="20"/>
              </w:rPr>
            </w:pPr>
          </w:p>
        </w:tc>
        <w:tc>
          <w:tcPr>
            <w:tcW w:w="287" w:type="pct"/>
            <w:vAlign w:val="bottom"/>
          </w:tcPr>
          <w:p w14:paraId="2DE0177F" w14:textId="77777777" w:rsidR="00FB6B71" w:rsidRPr="00596193" w:rsidRDefault="00FB6B71" w:rsidP="00303804">
            <w:pPr>
              <w:jc w:val="both"/>
              <w:rPr>
                <w:color w:val="000000"/>
                <w:sz w:val="20"/>
                <w:szCs w:val="20"/>
              </w:rPr>
            </w:pPr>
          </w:p>
        </w:tc>
        <w:tc>
          <w:tcPr>
            <w:tcW w:w="341" w:type="pct"/>
          </w:tcPr>
          <w:p w14:paraId="08F238A2" w14:textId="77777777" w:rsidR="00FB6B71" w:rsidRPr="00910FD4" w:rsidRDefault="00FB6B71" w:rsidP="00303804">
            <w:pPr>
              <w:jc w:val="both"/>
              <w:rPr>
                <w:color w:val="000000"/>
                <w:sz w:val="20"/>
                <w:szCs w:val="20"/>
              </w:rPr>
            </w:pPr>
          </w:p>
        </w:tc>
        <w:tc>
          <w:tcPr>
            <w:tcW w:w="314" w:type="pct"/>
          </w:tcPr>
          <w:p w14:paraId="4F735BFE" w14:textId="77777777" w:rsidR="00FB6B71" w:rsidRPr="00910FD4" w:rsidRDefault="00FB6B71" w:rsidP="00303804">
            <w:pPr>
              <w:jc w:val="both"/>
              <w:rPr>
                <w:color w:val="000000"/>
                <w:sz w:val="20"/>
                <w:szCs w:val="20"/>
              </w:rPr>
            </w:pPr>
          </w:p>
        </w:tc>
        <w:tc>
          <w:tcPr>
            <w:tcW w:w="314" w:type="pct"/>
          </w:tcPr>
          <w:p w14:paraId="179D0182" w14:textId="77777777" w:rsidR="00FB6B71" w:rsidRPr="00910FD4" w:rsidRDefault="00FB6B71" w:rsidP="00303804">
            <w:pPr>
              <w:jc w:val="both"/>
              <w:rPr>
                <w:color w:val="000000"/>
                <w:sz w:val="20"/>
                <w:szCs w:val="20"/>
              </w:rPr>
            </w:pPr>
          </w:p>
        </w:tc>
        <w:tc>
          <w:tcPr>
            <w:tcW w:w="311" w:type="pct"/>
          </w:tcPr>
          <w:p w14:paraId="7D4F90B8" w14:textId="77777777" w:rsidR="00FB6B71" w:rsidRPr="00910FD4" w:rsidRDefault="00FB6B71" w:rsidP="00303804">
            <w:pPr>
              <w:jc w:val="both"/>
              <w:rPr>
                <w:color w:val="000000"/>
                <w:sz w:val="20"/>
                <w:szCs w:val="20"/>
              </w:rPr>
            </w:pPr>
          </w:p>
        </w:tc>
      </w:tr>
      <w:tr w:rsidR="00FB6B71" w:rsidRPr="00910FD4" w14:paraId="54C493FE" w14:textId="77777777" w:rsidTr="00580BE8">
        <w:trPr>
          <w:trHeight w:val="300"/>
        </w:trPr>
        <w:tc>
          <w:tcPr>
            <w:tcW w:w="1196" w:type="pct"/>
            <w:tcBorders>
              <w:bottom w:val="single" w:sz="4" w:space="0" w:color="auto"/>
            </w:tcBorders>
            <w:shd w:val="clear" w:color="auto" w:fill="auto"/>
            <w:noWrap/>
            <w:vAlign w:val="bottom"/>
            <w:hideMark/>
          </w:tcPr>
          <w:p w14:paraId="0F26D7F4" w14:textId="77777777" w:rsidR="00FB6B71" w:rsidRPr="00596193" w:rsidRDefault="00FB6B71" w:rsidP="00303804">
            <w:pPr>
              <w:jc w:val="both"/>
              <w:rPr>
                <w:color w:val="000000"/>
                <w:sz w:val="20"/>
                <w:szCs w:val="20"/>
              </w:rPr>
            </w:pPr>
            <w:r w:rsidRPr="00596193">
              <w:rPr>
                <w:color w:val="000000"/>
                <w:sz w:val="20"/>
                <w:szCs w:val="20"/>
              </w:rPr>
              <w:t>High risk women (45-54)</w:t>
            </w:r>
          </w:p>
        </w:tc>
        <w:tc>
          <w:tcPr>
            <w:tcW w:w="314" w:type="pct"/>
            <w:tcBorders>
              <w:bottom w:val="single" w:sz="4" w:space="0" w:color="auto"/>
            </w:tcBorders>
            <w:vAlign w:val="bottom"/>
          </w:tcPr>
          <w:p w14:paraId="4FB48B4B" w14:textId="77777777" w:rsidR="00FB6B71" w:rsidRPr="00596193" w:rsidRDefault="00FB6B71" w:rsidP="00303804">
            <w:pPr>
              <w:jc w:val="both"/>
              <w:rPr>
                <w:color w:val="000000"/>
                <w:sz w:val="20"/>
                <w:szCs w:val="20"/>
              </w:rPr>
            </w:pPr>
          </w:p>
        </w:tc>
        <w:tc>
          <w:tcPr>
            <w:tcW w:w="314" w:type="pct"/>
            <w:tcBorders>
              <w:bottom w:val="single" w:sz="4" w:space="0" w:color="auto"/>
            </w:tcBorders>
          </w:tcPr>
          <w:p w14:paraId="5C50A824" w14:textId="77777777" w:rsidR="00FB6B71" w:rsidRPr="00596193" w:rsidRDefault="00FB6B71" w:rsidP="00303804">
            <w:pPr>
              <w:jc w:val="both"/>
              <w:rPr>
                <w:color w:val="000000"/>
                <w:sz w:val="20"/>
                <w:szCs w:val="20"/>
              </w:rPr>
            </w:pPr>
          </w:p>
        </w:tc>
        <w:tc>
          <w:tcPr>
            <w:tcW w:w="353" w:type="pct"/>
            <w:tcBorders>
              <w:bottom w:val="single" w:sz="4" w:space="0" w:color="auto"/>
            </w:tcBorders>
          </w:tcPr>
          <w:p w14:paraId="1D4F5C80" w14:textId="77777777" w:rsidR="00FB6B71" w:rsidRPr="00596193" w:rsidRDefault="00FB6B71" w:rsidP="00303804">
            <w:pPr>
              <w:jc w:val="both"/>
              <w:rPr>
                <w:color w:val="000000"/>
                <w:sz w:val="20"/>
                <w:szCs w:val="20"/>
              </w:rPr>
            </w:pPr>
          </w:p>
        </w:tc>
        <w:tc>
          <w:tcPr>
            <w:tcW w:w="292" w:type="pct"/>
            <w:tcBorders>
              <w:bottom w:val="single" w:sz="4" w:space="0" w:color="auto"/>
            </w:tcBorders>
          </w:tcPr>
          <w:p w14:paraId="089C51CD" w14:textId="77777777" w:rsidR="00FB6B71" w:rsidRPr="00596193" w:rsidRDefault="00FB6B71" w:rsidP="00303804">
            <w:pPr>
              <w:jc w:val="both"/>
              <w:rPr>
                <w:color w:val="000000"/>
                <w:sz w:val="20"/>
                <w:szCs w:val="20"/>
              </w:rPr>
            </w:pPr>
          </w:p>
        </w:tc>
        <w:tc>
          <w:tcPr>
            <w:tcW w:w="336" w:type="pct"/>
            <w:vAlign w:val="bottom"/>
          </w:tcPr>
          <w:p w14:paraId="6FFADAE5" w14:textId="77777777" w:rsidR="00FB6B71" w:rsidRPr="00596193" w:rsidRDefault="00FB6B71" w:rsidP="00303804">
            <w:pPr>
              <w:jc w:val="both"/>
              <w:rPr>
                <w:color w:val="000000"/>
                <w:sz w:val="20"/>
                <w:szCs w:val="20"/>
              </w:rPr>
            </w:pPr>
          </w:p>
        </w:tc>
        <w:tc>
          <w:tcPr>
            <w:tcW w:w="314" w:type="pct"/>
            <w:vAlign w:val="bottom"/>
          </w:tcPr>
          <w:p w14:paraId="05AC7097" w14:textId="77777777" w:rsidR="00FB6B71" w:rsidRPr="00596193" w:rsidRDefault="00FB6B71" w:rsidP="00303804">
            <w:pPr>
              <w:jc w:val="both"/>
              <w:rPr>
                <w:color w:val="000000"/>
                <w:sz w:val="20"/>
                <w:szCs w:val="20"/>
              </w:rPr>
            </w:pPr>
          </w:p>
        </w:tc>
        <w:tc>
          <w:tcPr>
            <w:tcW w:w="314" w:type="pct"/>
            <w:vAlign w:val="bottom"/>
          </w:tcPr>
          <w:p w14:paraId="43680BD3" w14:textId="77777777" w:rsidR="00FB6B71" w:rsidRPr="00596193" w:rsidRDefault="00FB6B71" w:rsidP="00303804">
            <w:pPr>
              <w:jc w:val="both"/>
              <w:rPr>
                <w:color w:val="000000"/>
                <w:sz w:val="20"/>
                <w:szCs w:val="20"/>
              </w:rPr>
            </w:pPr>
          </w:p>
        </w:tc>
        <w:tc>
          <w:tcPr>
            <w:tcW w:w="287" w:type="pct"/>
            <w:vAlign w:val="bottom"/>
          </w:tcPr>
          <w:p w14:paraId="099A759F" w14:textId="77777777" w:rsidR="00FB6B71" w:rsidRPr="00596193" w:rsidRDefault="00FB6B71" w:rsidP="00303804">
            <w:pPr>
              <w:jc w:val="both"/>
              <w:rPr>
                <w:color w:val="000000"/>
                <w:sz w:val="20"/>
                <w:szCs w:val="20"/>
              </w:rPr>
            </w:pPr>
          </w:p>
        </w:tc>
        <w:tc>
          <w:tcPr>
            <w:tcW w:w="341" w:type="pct"/>
          </w:tcPr>
          <w:p w14:paraId="059F11AF" w14:textId="77777777" w:rsidR="00FB6B71" w:rsidRPr="00910FD4" w:rsidRDefault="00FB6B71" w:rsidP="00303804">
            <w:pPr>
              <w:jc w:val="both"/>
              <w:rPr>
                <w:color w:val="000000"/>
                <w:sz w:val="20"/>
                <w:szCs w:val="20"/>
              </w:rPr>
            </w:pPr>
          </w:p>
        </w:tc>
        <w:tc>
          <w:tcPr>
            <w:tcW w:w="314" w:type="pct"/>
          </w:tcPr>
          <w:p w14:paraId="42760D8A" w14:textId="77777777" w:rsidR="00FB6B71" w:rsidRPr="00910FD4" w:rsidRDefault="00FB6B71" w:rsidP="00303804">
            <w:pPr>
              <w:jc w:val="both"/>
              <w:rPr>
                <w:color w:val="000000"/>
                <w:sz w:val="20"/>
                <w:szCs w:val="20"/>
              </w:rPr>
            </w:pPr>
          </w:p>
        </w:tc>
        <w:tc>
          <w:tcPr>
            <w:tcW w:w="314" w:type="pct"/>
          </w:tcPr>
          <w:p w14:paraId="45F22BFE" w14:textId="77777777" w:rsidR="00FB6B71" w:rsidRPr="00910FD4" w:rsidRDefault="00FB6B71" w:rsidP="00303804">
            <w:pPr>
              <w:jc w:val="both"/>
              <w:rPr>
                <w:color w:val="000000"/>
                <w:sz w:val="20"/>
                <w:szCs w:val="20"/>
              </w:rPr>
            </w:pPr>
          </w:p>
        </w:tc>
        <w:tc>
          <w:tcPr>
            <w:tcW w:w="311" w:type="pct"/>
          </w:tcPr>
          <w:p w14:paraId="768E8656" w14:textId="77777777" w:rsidR="00FB6B71" w:rsidRPr="00910FD4" w:rsidRDefault="00FB6B71" w:rsidP="00303804">
            <w:pPr>
              <w:jc w:val="both"/>
              <w:rPr>
                <w:color w:val="000000"/>
                <w:sz w:val="20"/>
                <w:szCs w:val="20"/>
              </w:rPr>
            </w:pPr>
          </w:p>
        </w:tc>
      </w:tr>
      <w:tr w:rsidR="00FB6B71" w:rsidRPr="00910FD4" w14:paraId="0E3F9A58" w14:textId="77777777" w:rsidTr="00580BE8">
        <w:trPr>
          <w:trHeight w:val="300"/>
        </w:trPr>
        <w:tc>
          <w:tcPr>
            <w:tcW w:w="1196" w:type="pct"/>
            <w:tcBorders>
              <w:bottom w:val="single" w:sz="4" w:space="0" w:color="auto"/>
            </w:tcBorders>
            <w:shd w:val="clear" w:color="auto" w:fill="auto"/>
            <w:noWrap/>
            <w:vAlign w:val="bottom"/>
            <w:hideMark/>
          </w:tcPr>
          <w:p w14:paraId="146E4FC4" w14:textId="77777777" w:rsidR="00FB6B71" w:rsidRPr="00596193" w:rsidRDefault="00FB6B71" w:rsidP="00303804">
            <w:pPr>
              <w:jc w:val="both"/>
              <w:rPr>
                <w:color w:val="000000"/>
                <w:sz w:val="20"/>
                <w:szCs w:val="20"/>
              </w:rPr>
            </w:pPr>
            <w:r w:rsidRPr="00596193">
              <w:rPr>
                <w:color w:val="000000"/>
                <w:sz w:val="20"/>
                <w:szCs w:val="20"/>
              </w:rPr>
              <w:t>High risk women (55-64)</w:t>
            </w:r>
          </w:p>
        </w:tc>
        <w:tc>
          <w:tcPr>
            <w:tcW w:w="314" w:type="pct"/>
            <w:tcBorders>
              <w:bottom w:val="single" w:sz="4" w:space="0" w:color="auto"/>
            </w:tcBorders>
            <w:vAlign w:val="bottom"/>
          </w:tcPr>
          <w:p w14:paraId="3293A48A" w14:textId="77777777" w:rsidR="00FB6B71" w:rsidRPr="00596193" w:rsidRDefault="00FB6B71" w:rsidP="00303804">
            <w:pPr>
              <w:jc w:val="both"/>
              <w:rPr>
                <w:color w:val="000000"/>
                <w:sz w:val="20"/>
                <w:szCs w:val="20"/>
              </w:rPr>
            </w:pPr>
          </w:p>
        </w:tc>
        <w:tc>
          <w:tcPr>
            <w:tcW w:w="314" w:type="pct"/>
            <w:tcBorders>
              <w:bottom w:val="single" w:sz="4" w:space="0" w:color="auto"/>
            </w:tcBorders>
          </w:tcPr>
          <w:p w14:paraId="651C014C" w14:textId="77777777" w:rsidR="00FB6B71" w:rsidRPr="00596193" w:rsidRDefault="00FB6B71" w:rsidP="00303804">
            <w:pPr>
              <w:jc w:val="both"/>
              <w:rPr>
                <w:color w:val="000000"/>
                <w:sz w:val="20"/>
                <w:szCs w:val="20"/>
              </w:rPr>
            </w:pPr>
          </w:p>
        </w:tc>
        <w:tc>
          <w:tcPr>
            <w:tcW w:w="353" w:type="pct"/>
            <w:tcBorders>
              <w:bottom w:val="single" w:sz="4" w:space="0" w:color="auto"/>
            </w:tcBorders>
          </w:tcPr>
          <w:p w14:paraId="7E6A9F2A" w14:textId="77777777" w:rsidR="00FB6B71" w:rsidRPr="00596193" w:rsidRDefault="00FB6B71" w:rsidP="00303804">
            <w:pPr>
              <w:jc w:val="both"/>
              <w:rPr>
                <w:color w:val="000000"/>
                <w:sz w:val="20"/>
                <w:szCs w:val="20"/>
              </w:rPr>
            </w:pPr>
          </w:p>
        </w:tc>
        <w:tc>
          <w:tcPr>
            <w:tcW w:w="292" w:type="pct"/>
            <w:tcBorders>
              <w:bottom w:val="single" w:sz="4" w:space="0" w:color="auto"/>
            </w:tcBorders>
          </w:tcPr>
          <w:p w14:paraId="5B69174D" w14:textId="77777777" w:rsidR="00FB6B71" w:rsidRPr="00596193" w:rsidRDefault="00FB6B71" w:rsidP="00303804">
            <w:pPr>
              <w:jc w:val="both"/>
              <w:rPr>
                <w:color w:val="000000"/>
                <w:sz w:val="20"/>
                <w:szCs w:val="20"/>
              </w:rPr>
            </w:pPr>
          </w:p>
        </w:tc>
        <w:tc>
          <w:tcPr>
            <w:tcW w:w="336" w:type="pct"/>
            <w:tcBorders>
              <w:bottom w:val="single" w:sz="4" w:space="0" w:color="auto"/>
            </w:tcBorders>
            <w:vAlign w:val="bottom"/>
          </w:tcPr>
          <w:p w14:paraId="69AFC75A" w14:textId="77777777" w:rsidR="00FB6B71" w:rsidRPr="00596193" w:rsidRDefault="00FB6B71" w:rsidP="00303804">
            <w:pPr>
              <w:jc w:val="both"/>
              <w:rPr>
                <w:color w:val="000000"/>
                <w:sz w:val="20"/>
                <w:szCs w:val="20"/>
              </w:rPr>
            </w:pPr>
          </w:p>
        </w:tc>
        <w:tc>
          <w:tcPr>
            <w:tcW w:w="314" w:type="pct"/>
            <w:tcBorders>
              <w:bottom w:val="single" w:sz="4" w:space="0" w:color="auto"/>
            </w:tcBorders>
            <w:vAlign w:val="bottom"/>
          </w:tcPr>
          <w:p w14:paraId="177FB47E" w14:textId="77777777" w:rsidR="00FB6B71" w:rsidRPr="00596193" w:rsidRDefault="00FB6B71" w:rsidP="00303804">
            <w:pPr>
              <w:jc w:val="both"/>
              <w:rPr>
                <w:color w:val="000000"/>
                <w:sz w:val="20"/>
                <w:szCs w:val="20"/>
              </w:rPr>
            </w:pPr>
          </w:p>
        </w:tc>
        <w:tc>
          <w:tcPr>
            <w:tcW w:w="314" w:type="pct"/>
            <w:tcBorders>
              <w:bottom w:val="single" w:sz="4" w:space="0" w:color="auto"/>
            </w:tcBorders>
            <w:vAlign w:val="bottom"/>
          </w:tcPr>
          <w:p w14:paraId="193C15BA" w14:textId="77777777" w:rsidR="00FB6B71" w:rsidRPr="00596193" w:rsidRDefault="00FB6B71" w:rsidP="00303804">
            <w:pPr>
              <w:jc w:val="both"/>
              <w:rPr>
                <w:color w:val="000000"/>
                <w:sz w:val="20"/>
                <w:szCs w:val="20"/>
              </w:rPr>
            </w:pPr>
          </w:p>
        </w:tc>
        <w:tc>
          <w:tcPr>
            <w:tcW w:w="287" w:type="pct"/>
            <w:tcBorders>
              <w:bottom w:val="single" w:sz="4" w:space="0" w:color="auto"/>
            </w:tcBorders>
            <w:vAlign w:val="bottom"/>
          </w:tcPr>
          <w:p w14:paraId="311A2CC7" w14:textId="77777777" w:rsidR="00FB6B71" w:rsidRPr="00596193" w:rsidRDefault="00FB6B71" w:rsidP="00303804">
            <w:pPr>
              <w:jc w:val="both"/>
              <w:rPr>
                <w:color w:val="000000"/>
                <w:sz w:val="20"/>
                <w:szCs w:val="20"/>
              </w:rPr>
            </w:pPr>
          </w:p>
        </w:tc>
        <w:tc>
          <w:tcPr>
            <w:tcW w:w="341" w:type="pct"/>
            <w:tcBorders>
              <w:bottom w:val="single" w:sz="4" w:space="0" w:color="auto"/>
            </w:tcBorders>
          </w:tcPr>
          <w:p w14:paraId="5434AE93" w14:textId="77777777" w:rsidR="00FB6B71" w:rsidRPr="00910FD4" w:rsidRDefault="00FB6B71" w:rsidP="00303804">
            <w:pPr>
              <w:jc w:val="both"/>
              <w:rPr>
                <w:color w:val="000000"/>
                <w:sz w:val="20"/>
                <w:szCs w:val="20"/>
              </w:rPr>
            </w:pPr>
          </w:p>
        </w:tc>
        <w:tc>
          <w:tcPr>
            <w:tcW w:w="314" w:type="pct"/>
            <w:tcBorders>
              <w:bottom w:val="single" w:sz="4" w:space="0" w:color="auto"/>
            </w:tcBorders>
          </w:tcPr>
          <w:p w14:paraId="041A26E8" w14:textId="77777777" w:rsidR="00FB6B71" w:rsidRPr="00910FD4" w:rsidRDefault="00FB6B71" w:rsidP="00303804">
            <w:pPr>
              <w:jc w:val="both"/>
              <w:rPr>
                <w:color w:val="000000"/>
                <w:sz w:val="20"/>
                <w:szCs w:val="20"/>
              </w:rPr>
            </w:pPr>
          </w:p>
        </w:tc>
        <w:tc>
          <w:tcPr>
            <w:tcW w:w="314" w:type="pct"/>
            <w:tcBorders>
              <w:bottom w:val="single" w:sz="4" w:space="0" w:color="auto"/>
            </w:tcBorders>
          </w:tcPr>
          <w:p w14:paraId="7A533C2A" w14:textId="77777777" w:rsidR="00FB6B71" w:rsidRPr="00910FD4" w:rsidRDefault="00FB6B71" w:rsidP="00303804">
            <w:pPr>
              <w:jc w:val="both"/>
              <w:rPr>
                <w:color w:val="000000"/>
                <w:sz w:val="20"/>
                <w:szCs w:val="20"/>
              </w:rPr>
            </w:pPr>
          </w:p>
        </w:tc>
        <w:tc>
          <w:tcPr>
            <w:tcW w:w="311" w:type="pct"/>
            <w:tcBorders>
              <w:bottom w:val="single" w:sz="4" w:space="0" w:color="auto"/>
            </w:tcBorders>
          </w:tcPr>
          <w:p w14:paraId="663805B3" w14:textId="77777777" w:rsidR="00FB6B71" w:rsidRPr="00910FD4" w:rsidRDefault="00FB6B71" w:rsidP="00303804">
            <w:pPr>
              <w:jc w:val="both"/>
              <w:rPr>
                <w:color w:val="000000"/>
                <w:sz w:val="20"/>
                <w:szCs w:val="20"/>
              </w:rPr>
            </w:pPr>
          </w:p>
        </w:tc>
      </w:tr>
    </w:tbl>
    <w:p w14:paraId="033440B4" w14:textId="7BA6F4F4" w:rsidR="00635F4A" w:rsidRPr="00580BE8" w:rsidRDefault="00B871A8" w:rsidP="00580BE8">
      <w:pPr>
        <w:pStyle w:val="ListParagraph"/>
        <w:numPr>
          <w:ilvl w:val="0"/>
          <w:numId w:val="52"/>
        </w:numPr>
        <w:rPr>
          <w:b/>
          <w:bCs/>
          <w:sz w:val="20"/>
          <w:szCs w:val="20"/>
        </w:rPr>
        <w:sectPr w:rsidR="00635F4A" w:rsidRPr="00580BE8" w:rsidSect="00E447D3">
          <w:pgSz w:w="15840" w:h="12240" w:orient="landscape"/>
          <w:pgMar w:top="720" w:right="720" w:bottom="720" w:left="720" w:header="720" w:footer="720" w:gutter="0"/>
          <w:cols w:space="720"/>
          <w:docGrid w:linePitch="326"/>
        </w:sectPr>
      </w:pPr>
      <w:r w:rsidRPr="00580BE8">
        <w:rPr>
          <w:sz w:val="20"/>
          <w:szCs w:val="20"/>
        </w:rPr>
        <w:t>The probability of death for individuals undiagnosed, diagnosed, and LTFU will be the same as the probability of death for individuals linked to care. In the sensitivity analysis</w:t>
      </w:r>
      <w:r w:rsidRPr="00580BE8">
        <w:rPr>
          <w:color w:val="000000" w:themeColor="text1"/>
          <w:sz w:val="20"/>
          <w:szCs w:val="20"/>
        </w:rPr>
        <w:t>, a multiplier will be applied to capture the difference in probability of death due to medical care (e.g., nutrition support)</w:t>
      </w:r>
    </w:p>
    <w:p w14:paraId="319384AA" w14:textId="6B7E6097" w:rsidR="00D75179" w:rsidRDefault="00260B6D" w:rsidP="00D75179">
      <w:pPr>
        <w:pStyle w:val="Heading1"/>
        <w:spacing w:before="0"/>
        <w:rPr>
          <w:rFonts w:cs="Times New Roman"/>
          <w:szCs w:val="24"/>
        </w:rPr>
      </w:pPr>
      <w:bookmarkStart w:id="315" w:name="_Toc82592751"/>
      <w:bookmarkStart w:id="316" w:name="OLE_LINK13"/>
      <w:bookmarkStart w:id="317" w:name="OLE_LINK14"/>
      <w:r w:rsidRPr="00EF17A0">
        <w:rPr>
          <w:rFonts w:cs="Times New Roman"/>
          <w:szCs w:val="24"/>
        </w:rPr>
        <w:lastRenderedPageBreak/>
        <w:t xml:space="preserve">Calibration </w:t>
      </w:r>
      <w:r w:rsidR="001856A1">
        <w:rPr>
          <w:rFonts w:cs="Times New Roman"/>
          <w:szCs w:val="24"/>
        </w:rPr>
        <w:t>approach</w:t>
      </w:r>
      <w:bookmarkEnd w:id="315"/>
    </w:p>
    <w:p w14:paraId="1439E01D" w14:textId="55F8B291" w:rsidR="00D75179" w:rsidRPr="003060F6" w:rsidRDefault="00D75179" w:rsidP="0051032A">
      <w:pPr>
        <w:rPr>
          <w:b/>
          <w:bCs/>
        </w:rPr>
      </w:pPr>
      <w:commentRangeStart w:id="318"/>
      <w:commentRangeStart w:id="319"/>
      <w:r w:rsidRPr="003060F6">
        <w:t>External model calibration is a process to identify unobserved parameters or to inform parameter inputs with significant uncertainty so that the model outputs are reasonably consistent with data from other sources (external data) which is not used to parameterize the model.</w:t>
      </w:r>
      <w:r w:rsidRPr="003060F6">
        <w:rPr>
          <w:b/>
          <w:bCs/>
        </w:rPr>
        <w:fldChar w:fldCharType="begin" w:fldLock="1"/>
      </w:r>
      <w:r w:rsidR="007527CC">
        <w:instrText>ADDIN CSL_CITATION {"citationItems":[{"id":"ITEM-1","itemData":{"DOI":"10.1016/S0749-3797(97)00069-X","ISSN":"07493797","author":[{"dropping-particle":"","family":"Drummond","given":"M. F.","non-dropping-particle":"","parse-names":false,"suffix":""},{"dropping-particle":"","family":"O'Brien","given":"B.","non-dropping-particle":"","parse-names":false,"suffix":""},{"dropping-particle":"","family":"Stoddart","given":"G. L.","non-dropping-particle":"","parse-names":false,"suffix":""},{"dropping-particle":"","family":"Torrance","given":"G. W.","non-dropping-particle":"","parse-names":false,"suffix":""}],"container-title":"American Journal of Preventive Medicine","id":"ITEM-1","issued":{"date-parts":[["1998"]]},"title":"Methods for the Economic Evaluation of Health Care Programmes, Second Edition","type":"article"},"uris":["http://www.mendeley.com/documents/?uuid=e9d7adb6-8197-4ec9-853c-d9b70b688b27"]}],"mendeley":{"formattedCitation":"&lt;sup&gt;69&lt;/sup&gt;","plainTextFormattedCitation":"69","previouslyFormattedCitation":"&lt;sup&gt;69&lt;/sup&gt;"},"properties":{"noteIndex":0},"schema":"https://github.com/citation-style-language/schema/raw/master/csl-citation.json"}</w:instrText>
      </w:r>
      <w:r w:rsidRPr="003060F6">
        <w:rPr>
          <w:b/>
          <w:bCs/>
        </w:rPr>
        <w:fldChar w:fldCharType="separate"/>
      </w:r>
      <w:r w:rsidR="00036C3E" w:rsidRPr="00036C3E">
        <w:rPr>
          <w:noProof/>
          <w:vertAlign w:val="superscript"/>
        </w:rPr>
        <w:t>69</w:t>
      </w:r>
      <w:r w:rsidRPr="003060F6">
        <w:rPr>
          <w:b/>
          <w:bCs/>
        </w:rPr>
        <w:fldChar w:fldCharType="end"/>
      </w:r>
      <w:r w:rsidRPr="003060F6">
        <w:t xml:space="preserve"> </w:t>
      </w:r>
      <w:commentRangeEnd w:id="318"/>
      <w:r w:rsidRPr="003060F6">
        <w:rPr>
          <w:rStyle w:val="Heading2Char"/>
          <w:rFonts w:cs="Times New Roman"/>
          <w:szCs w:val="24"/>
        </w:rPr>
        <w:commentReference w:id="318"/>
      </w:r>
      <w:commentRangeEnd w:id="319"/>
      <w:r w:rsidR="00927F20">
        <w:rPr>
          <w:rStyle w:val="CommentReference"/>
        </w:rPr>
        <w:commentReference w:id="319"/>
      </w:r>
      <w:r w:rsidRPr="003060F6" w:rsidDel="00D75179">
        <w:t xml:space="preserve"> </w:t>
      </w:r>
    </w:p>
    <w:p w14:paraId="646FF24A" w14:textId="00DB7A81" w:rsidR="00260B6D" w:rsidRPr="003060F6" w:rsidRDefault="00927F20" w:rsidP="003060F6">
      <w:pPr>
        <w:pStyle w:val="Heading2"/>
        <w:rPr>
          <w:rFonts w:cs="Times New Roman"/>
          <w:szCs w:val="24"/>
        </w:rPr>
      </w:pPr>
      <w:bookmarkStart w:id="320" w:name="_Toc82592752"/>
      <w:r>
        <w:rPr>
          <w:rFonts w:cs="Times New Roman"/>
          <w:szCs w:val="24"/>
        </w:rPr>
        <w:t>C</w:t>
      </w:r>
      <w:r w:rsidR="00260B6D" w:rsidRPr="003060F6">
        <w:rPr>
          <w:rFonts w:cs="Times New Roman"/>
          <w:szCs w:val="24"/>
        </w:rPr>
        <w:t>alibration targets</w:t>
      </w:r>
      <w:bookmarkEnd w:id="320"/>
    </w:p>
    <w:p w14:paraId="4454F831" w14:textId="6FC50AA2" w:rsidR="00D75179" w:rsidRPr="00D645D5" w:rsidRDefault="00D75179" w:rsidP="00D75179">
      <w:r>
        <w:t xml:space="preserve">We identified 6 </w:t>
      </w:r>
      <w:r w:rsidRPr="00D645D5">
        <w:t>calibration targets</w:t>
      </w:r>
      <w:r>
        <w:t xml:space="preserve"> based on the surveys and Rwanda national reports</w:t>
      </w:r>
      <w:r w:rsidRPr="00D645D5">
        <w:t xml:space="preserve">. The targets include: 1) HIV prevalence; 2) HIV incidence; 3) </w:t>
      </w:r>
      <w:r>
        <w:t>n</w:t>
      </w:r>
      <w:r w:rsidRPr="00D645D5">
        <w:t xml:space="preserve">umber of individuals on ART; 4) </w:t>
      </w:r>
      <w:r>
        <w:t>p</w:t>
      </w:r>
      <w:r w:rsidRPr="00D645D5">
        <w:t>ercent</w:t>
      </w:r>
      <w:r w:rsidR="00927F20">
        <w:t>age</w:t>
      </w:r>
      <w:r w:rsidRPr="00D645D5">
        <w:t xml:space="preserve"> of individuals diagnosed with HIV on ART; 5) </w:t>
      </w:r>
      <w:r>
        <w:t>p</w:t>
      </w:r>
      <w:r w:rsidRPr="00D645D5">
        <w:t>ercent viral</w:t>
      </w:r>
      <w:r w:rsidR="00927F20">
        <w:t>ly</w:t>
      </w:r>
      <w:r w:rsidRPr="00D645D5">
        <w:t xml:space="preserve"> suppressed; and </w:t>
      </w:r>
      <w:r>
        <w:t>6) p</w:t>
      </w:r>
      <w:r w:rsidRPr="00D645D5">
        <w:t>ercent viral</w:t>
      </w:r>
      <w:r w:rsidR="00927F20">
        <w:t>ly</w:t>
      </w:r>
      <w:r w:rsidRPr="00D645D5">
        <w:t xml:space="preserve"> suppressed conditional on ART. The calibration targets </w:t>
      </w:r>
      <w:commentRangeStart w:id="321"/>
      <w:commentRangeEnd w:id="321"/>
      <w:r w:rsidR="00927F20">
        <w:rPr>
          <w:rStyle w:val="CommentReference"/>
        </w:rPr>
        <w:commentReference w:id="321"/>
      </w:r>
      <w:r w:rsidR="00927F20">
        <w:t xml:space="preserve">are </w:t>
      </w:r>
      <w:r w:rsidRPr="00D645D5">
        <w:t xml:space="preserve">presented below. </w:t>
      </w:r>
    </w:p>
    <w:p w14:paraId="0AC24AFE" w14:textId="77777777" w:rsidR="00D75179" w:rsidRPr="00D645D5" w:rsidRDefault="00D75179" w:rsidP="00D75179">
      <w:pPr>
        <w:jc w:val="both"/>
        <w:rPr>
          <w:b/>
        </w:rPr>
      </w:pPr>
    </w:p>
    <w:p w14:paraId="5AC3A7EC" w14:textId="77777777" w:rsidR="00D75179" w:rsidRPr="00D645D5" w:rsidRDefault="00D75179" w:rsidP="00D75179">
      <w:pPr>
        <w:rPr>
          <w:b/>
          <w:i/>
          <w:iCs/>
        </w:rPr>
      </w:pPr>
      <w:r w:rsidRPr="00D645D5">
        <w:rPr>
          <w:b/>
          <w:i/>
          <w:iCs/>
        </w:rPr>
        <w:t>HIV prevalence</w:t>
      </w:r>
    </w:p>
    <w:p w14:paraId="1F0DE4AC" w14:textId="2E5D654D" w:rsidR="00D75179" w:rsidRPr="008A07C3" w:rsidRDefault="00D75179" w:rsidP="00D75179">
      <w:pPr>
        <w:widowControl w:val="0"/>
        <w:autoSpaceDE w:val="0"/>
        <w:autoSpaceDN w:val="0"/>
        <w:adjustRightInd w:val="0"/>
        <w:rPr>
          <w:b/>
          <w:bCs/>
          <w:noProof/>
        </w:rPr>
      </w:pPr>
      <w:r w:rsidRPr="00D645D5">
        <w:rPr>
          <w:bCs/>
          <w:i/>
        </w:rPr>
        <w:t>Data source:</w:t>
      </w:r>
      <w:r w:rsidRPr="00B11A6B">
        <w:rPr>
          <w:b/>
          <w:i/>
        </w:rPr>
        <w:t xml:space="preserve"> </w:t>
      </w:r>
      <w:r w:rsidRPr="00B11A6B">
        <w:t>The HIV prevalence data is derived from Demographic Health Survey in Rwanda in year</w:t>
      </w:r>
      <w:r w:rsidR="00927F20">
        <w:t>s</w:t>
      </w:r>
      <w:r w:rsidRPr="00B11A6B">
        <w:t xml:space="preserve"> 2005, 2010, and 2015 by linking DHS HIV diagnosis data with individual level characteristics estimating the proportion of those diagnosed with HIV by age group, sex and urbanicity</w:t>
      </w:r>
      <w:r>
        <w:t>.</w:t>
      </w:r>
      <w:r>
        <w:fldChar w:fldCharType="begin" w:fldLock="1"/>
      </w:r>
      <w:r w:rsidR="007527CC">
        <w:instrText>ADDIN CSL_CITATION {"citationItems":[{"id":"ITEM-1","itemData":{"author":[{"dropping-particle":"","family":"National Institute of Statistics of Rwanda (NISR) [Rwanda] Ministry of Health (MOH) [Rwanda] and ICF International.","given":"","non-dropping-particle":"","parse-names":false,"suffix":""}],"container-title":"Rwanda Mininstry of Health","id":"ITEM-1","issued":{"date-parts":[["2005"]]},"title":"Demographic and Health Survey, 2005","type":"webpage"},"uris":["http://www.mendeley.com/documents/?uuid=6f21bb5a-4b85-490b-a1b4-bfcffbde8423"]},{"id":"ITEM-2","itemData":{"author":[{"dropping-particle":"","family":"National Institute of Statistics of Rwanda (NISR) [Rwanda] Ministry of Health (MOH) [Rwanda] and ICF International.","given":"","non-dropping-particle":"","parse-names":false,"suffix":""}],"container-title":"Rwanda Mininstry of Health","id":"ITEM-2","issued":{"date-parts":[["2010"]]},"title":"Demographic and Health Survey, 2010","type":"webpage"},"uris":["http://www.mendeley.com/documents/?uuid=ad9040c2-d770-4441-b0a2-11a1c9d3664f"]},{"id":"ITEM-3","itemData":{"author":[{"dropping-particle":"","family":"National Institute of Statistics of Rwanda (NISR) [Rwanda] Ministry of Health (MOH) [Rwanda] and ICF International.","given":"","non-dropping-particle":"","parse-names":false,"suffix":""}],"container-title":"Rwanda Mininstry of Health","id":"ITEM-3","issued":{"date-parts":[["2015"]]},"title":"Demographic and Health Survey, 2015","type":"webpage"},"uris":["http://www.mendeley.com/documents/?uuid=a01ee458-5ceb-42cb-9802-8a0c4cfbc426"]}],"mendeley":{"formattedCitation":"&lt;sup&gt;22,29,43&lt;/sup&gt;","plainTextFormattedCitation":"22,29,43","previouslyFormattedCitation":"&lt;sup&gt;23,30,43&lt;/sup&gt;"},"properties":{"noteIndex":0},"schema":"https://github.com/citation-style-language/schema/raw/master/csl-citation.json"}</w:instrText>
      </w:r>
      <w:r>
        <w:fldChar w:fldCharType="separate"/>
      </w:r>
      <w:r w:rsidR="007527CC" w:rsidRPr="007527CC">
        <w:rPr>
          <w:noProof/>
          <w:vertAlign w:val="superscript"/>
        </w:rPr>
        <w:t>22,29,43</w:t>
      </w:r>
      <w:r>
        <w:fldChar w:fldCharType="end"/>
      </w:r>
      <w:r>
        <w:t xml:space="preserve"> I</w:t>
      </w:r>
      <w:r w:rsidRPr="00B11A6B">
        <w:t>n year 2019, the HIV prevalence data for the overall population is derived from Rwanda Population-based HIV Impact Assessment.</w:t>
      </w:r>
      <w:r>
        <w:fldChar w:fldCharType="begin" w:fldLock="1"/>
      </w:r>
      <w:r w:rsidR="007527CC">
        <w:instrText>ADDIN CSL_CITATION {"citationItems":[{"id":"ITEM-1","itemData":{"author":[{"dropping-particle":"","family":"Population-based HIV Impact Assessment","given":"","non-dropping-particle":"","parse-names":false,"suffix":""}],"id":"ITEM-1","issue":"February 2020","issued":{"date-parts":[["0"]]},"page":"2-8","title":"Rwanda population-based HIV impact assessment, RPHIA 2018–2019","type":"article-journal"},"uris":["http://www.mendeley.com/documents/?uuid=6b46812d-c48f-4505-afe2-1fda15927ac2"]}],"mendeley":{"formattedCitation":"&lt;sup&gt;19&lt;/sup&gt;","plainTextFormattedCitation":"19","previouslyFormattedCitation":"&lt;sup&gt;20&lt;/sup&gt;"},"properties":{"noteIndex":0},"schema":"https://github.com/citation-style-language/schema/raw/master/csl-citation.json"}</w:instrText>
      </w:r>
      <w:r>
        <w:fldChar w:fldCharType="separate"/>
      </w:r>
      <w:r w:rsidR="007527CC" w:rsidRPr="007527CC">
        <w:rPr>
          <w:noProof/>
          <w:vertAlign w:val="superscript"/>
        </w:rPr>
        <w:t>19</w:t>
      </w:r>
      <w:r>
        <w:fldChar w:fldCharType="end"/>
      </w:r>
      <w:r w:rsidRPr="00B11A6B">
        <w:t xml:space="preserve"> </w:t>
      </w:r>
      <w:r>
        <w:t>For female sex worker, the HIV prevalence data comes from the Behavioral Surveillance Survey in year 2010, 2015.</w:t>
      </w:r>
      <w:r>
        <w:fldChar w:fldCharType="begin" w:fldLock="1"/>
      </w:r>
      <w:r w:rsidR="007527CC">
        <w:instrText>ADDIN CSL_CITATION {"citationItems":[{"id":"ITEM-1","itemData":{"DOI":"10.1177/0956462416688137","ISBN":"1758-1052\r0956-4624","ISSN":"0956-4624","PMID":"28081683","abstract":"Human immunodeficiency virus (HIV) prevalence is often high among female sex workers (FSWs) in sub-Saharan Africa. Understanding the dynamics of HIV infection in this key population is critical to developing appropriate prevention strategies. We aimed to describe the prevalence and associated risk factors among a sample of FSWs in Rwanda from a survey conducted in 2010. A cross-sectional biological and behavioral survey was conducted among FSWs in Rwanda. Time–location sampling was used for participant recruitment from 4 to 18 February 2010. HIV testing was done using HIV rapid diagnostic tests (RDT) as per Rwandan national guidelines at the time of the survey. Elisa tests were simul-taneously done on all samples tested HIV-positive on RDT. Proportions were used for sample description; multivariable logistic regression model was performed to analyze factors associated with HIV infection. Of 1338 women included in the study, 1112 consented to HIV testing, and the overall HIV prevalence was 51.0%. Sixty percent had been engaged in sex work for less than five years and 80% were street based. In multivariable logistic regression, HIV prevalence was higher in FSWs 25 years or older (adjusted odds ratio [aOR] ¼ 1.83, 95% [confidence interval (CI): 1.42–2.37]), FSWs with consistent condom use in the last 30 days (aOR ¼ 1.39, [95% CI: 1.05–1.82]), and FSWs experiencing at least one STI symptom in the last 12 months (aOR ¼ 1.74 [95% CI: 1.34–2.26]). There was an inverse relationship between HIV prevalence and comprehensive HIV knowledge (aOR ¼ 0.65, [95% CI: 0.48–0.88]). HIV prevalence was high among a sample of FSWs in Rwanda, and successful prevention strategies should focus on HIV education, treatment of sexually transmitted infections, and proper and consistent condom use using an outreach approach.","author":[{"dropping-particle":"","family":"Mutagoma","given":"Mwumvaneza","non-dropping-particle":"","parse-names":false,"suffix":""},{"dropping-particle":"","family":"Samuel","given":"Malamba S","non-dropping-particle":"","parse-names":false,"suffix":""},{"dropping-particle":"","family":"Kayitesi","given":"Catherine","non-dropping-particle":"","parse-names":false,"suffix":""},{"dropping-particle":"","family":"Gasasira","given":"Antoine R","non-dropping-particle":"","parse-names":false,"suffix":""},{"dropping-particle":"","family":"Chitou","given":"Bassirou","non-dropping-particle":"","parse-names":false,"suffix":""},{"dropping-particle":"","family":"Boer","given":"Kimberly","non-dropping-particle":"","parse-names":false,"suffix":""},{"dropping-particle":"","family":"Hedt-Gauthier","given":"Bethany","non-dropping-particle":"","parse-names":false,"suffix":""},{"dropping-particle":"","family":"Gupta","given":"Neil","non-dropping-particle":"","parse-names":false,"suffix":""},{"dropping-particle":"","family":"Ntaganira","given":"Joseph","non-dropping-particle":"","parse-names":false,"suffix":""},{"dropping-particle":"","family":"Nsanzimana","given":"Sabin","non-dropping-particle":"","parse-names":false,"suffix":""}],"container-title":"International Journal of STD &amp; AIDS","id":"ITEM-1","issue":"11","issued":{"date-parts":[["2017"]]},"page":"095646241668813","title":"High HIV prevalence and associated risk factors among female sex workers in Rwanda","type":"article-journal","volume":"28"},"uris":["http://www.mendeley.com/documents/?uuid=4715172e-c40c-464b-a372-2f304b0a43d8"]},{"id":"ITEM-2","itemData":{"DOI":"10.1016/B978-0-12-420118-7.00008-1.Dopamine","ISBN":"9780124201187","ISSN":"0036-8075","PMID":"25792328","author":[{"dropping-particle":"","family":"Rwanda Ministry of Health","given":"","non-dropping-particle":"","parse-names":false,"suffix":""}],"container-title":"Center for Treatment and Research on AIDS, Malaria, Tuberculosis and Other Epidemics","id":"ITEM-2","issue":"December","issued":{"date-parts":[["2010"]]},"title":"Behavioral and Biological Surveillance Survey among Female Sex Workers, Rwanda – 2010","type":"report"},"uris":["http://www.mendeley.com/documents/?uuid=c3b9fbfb-d893-4cee-aa49-4ba2d2fc2bf1"]}],"mendeley":{"formattedCitation":"&lt;sup&gt;26,44&lt;/sup&gt;","plainTextFormattedCitation":"26,44","previouslyFormattedCitation":"&lt;sup&gt;27,44&lt;/sup&gt;"},"properties":{"noteIndex":0},"schema":"https://github.com/citation-style-language/schema/raw/master/csl-citation.json"}</w:instrText>
      </w:r>
      <w:r>
        <w:fldChar w:fldCharType="separate"/>
      </w:r>
      <w:r w:rsidR="007527CC" w:rsidRPr="007527CC">
        <w:rPr>
          <w:noProof/>
          <w:vertAlign w:val="superscript"/>
        </w:rPr>
        <w:t>26,44</w:t>
      </w:r>
      <w:r>
        <w:fldChar w:fldCharType="end"/>
      </w:r>
      <w:r w:rsidRPr="00DE0CC1">
        <w:rPr>
          <w:i/>
          <w:iCs/>
          <w:noProof/>
        </w:rPr>
        <w:t xml:space="preserve"> </w:t>
      </w:r>
      <w:r>
        <w:rPr>
          <w:b/>
          <w:bCs/>
          <w:noProof/>
        </w:rPr>
        <w:t>(</w:t>
      </w:r>
      <w:r w:rsidR="008774AA">
        <w:rPr>
          <w:b/>
          <w:bCs/>
          <w:noProof/>
        </w:rPr>
        <w:fldChar w:fldCharType="begin"/>
      </w:r>
      <w:r w:rsidR="008774AA">
        <w:rPr>
          <w:b/>
          <w:bCs/>
          <w:noProof/>
        </w:rPr>
        <w:instrText xml:space="preserve"> REF _Ref82440366 \h </w:instrText>
      </w:r>
      <w:r w:rsidR="008774AA">
        <w:rPr>
          <w:b/>
          <w:bCs/>
          <w:noProof/>
        </w:rPr>
      </w:r>
      <w:r w:rsidR="008774AA">
        <w:rPr>
          <w:b/>
          <w:bCs/>
          <w:noProof/>
        </w:rPr>
        <w:fldChar w:fldCharType="separate"/>
      </w:r>
      <w:r w:rsidR="001E49BE" w:rsidRPr="00B11A6B">
        <w:rPr>
          <w:b/>
        </w:rPr>
        <w:t xml:space="preserve">Table </w:t>
      </w:r>
      <w:r w:rsidR="001E49BE">
        <w:rPr>
          <w:b/>
          <w:noProof/>
        </w:rPr>
        <w:t>17</w:t>
      </w:r>
      <w:r w:rsidR="008774AA">
        <w:rPr>
          <w:b/>
          <w:bCs/>
          <w:noProof/>
        </w:rPr>
        <w:fldChar w:fldCharType="end"/>
      </w:r>
      <w:r>
        <w:rPr>
          <w:b/>
          <w:bCs/>
          <w:noProof/>
        </w:rPr>
        <w:t>)</w:t>
      </w:r>
    </w:p>
    <w:p w14:paraId="730A6F73" w14:textId="77777777" w:rsidR="00D75179" w:rsidRPr="00B11A6B" w:rsidRDefault="00D75179" w:rsidP="00D75179"/>
    <w:p w14:paraId="72628E3A" w14:textId="77777777" w:rsidR="00D75179" w:rsidRPr="00D645D5" w:rsidRDefault="00D75179" w:rsidP="00D75179">
      <w:pPr>
        <w:rPr>
          <w:b/>
          <w:i/>
          <w:iCs/>
        </w:rPr>
      </w:pPr>
      <w:r w:rsidRPr="00D645D5">
        <w:rPr>
          <w:b/>
          <w:i/>
          <w:iCs/>
        </w:rPr>
        <w:t>HIV incidence</w:t>
      </w:r>
    </w:p>
    <w:p w14:paraId="49F74639" w14:textId="500414F6" w:rsidR="00D75179" w:rsidRPr="008A07C3" w:rsidRDefault="00D75179" w:rsidP="00D75179">
      <w:pPr>
        <w:rPr>
          <w:b/>
          <w:bCs/>
        </w:rPr>
      </w:pPr>
      <w:r w:rsidRPr="00D645D5">
        <w:rPr>
          <w:bCs/>
          <w:i/>
        </w:rPr>
        <w:t>Data source:</w:t>
      </w:r>
      <w:r w:rsidRPr="00B11A6B">
        <w:t xml:space="preserve"> The HIV incidence data is derived from Rwanda AIDS Indicator and HIV Incidence Survey (2013) and Rwanda Population-based HIV Impact Assessment in year 2019 for the overall population.</w:t>
      </w:r>
      <w:r>
        <w:fldChar w:fldCharType="begin" w:fldLock="1"/>
      </w:r>
      <w:r w:rsidR="007527CC">
        <w:instrText>ADDIN CSL_CITATION {"citationItems":[{"id":"ITEM-1","itemData":{"author":[{"dropping-particle":"","family":"Rwanda Biomedical Center","given":"","non-dropping-particle":"","parse-names":false,"suffix":""}],"id":"ITEM-1","issued":{"date-parts":[["2015"]]},"number-of-pages":"1-72","title":"National HIV Annual Report 2014-2015","type":"report"},"uris":["http://www.mendeley.com/documents/?uuid=fbea8466-dfbf-4507-b99f-07c4ab2fcf0a"]},{"id":"ITEM-2","itemData":{"author":[{"dropping-particle":"","family":"Population-based HIV Impact Assessment","given":"","non-dropping-particle":"","parse-names":false,"suffix":""}],"id":"ITEM-2","issue":"February 2020","issued":{"date-parts":[["0"]]},"page":"2-8","title":"Rwanda population-based HIV impact assessment, RPHIA 2018–2019","type":"article-journal"},"uris":["http://www.mendeley.com/documents/?uuid=6b46812d-c48f-4505-afe2-1fda15927ac2"]}],"mendeley":{"formattedCitation":"&lt;sup&gt;19,70&lt;/sup&gt;","plainTextFormattedCitation":"19,70","previouslyFormattedCitation":"&lt;sup&gt;20,70&lt;/sup&gt;"},"properties":{"noteIndex":0},"schema":"https://github.com/citation-style-language/schema/raw/master/csl-citation.json"}</w:instrText>
      </w:r>
      <w:r>
        <w:fldChar w:fldCharType="separate"/>
      </w:r>
      <w:r w:rsidR="007527CC" w:rsidRPr="007527CC">
        <w:rPr>
          <w:noProof/>
          <w:vertAlign w:val="superscript"/>
        </w:rPr>
        <w:t>19,70</w:t>
      </w:r>
      <w:r>
        <w:fldChar w:fldCharType="end"/>
      </w:r>
      <w:r w:rsidRPr="00B11A6B">
        <w:t xml:space="preserve"> HIV incidence by sub-groups (i.e. sex-disaggregated HIV incidence) will not be used as a calibration target since the survey is not powered to generate such estimates. </w:t>
      </w:r>
      <w:r>
        <w:rPr>
          <w:b/>
          <w:bCs/>
        </w:rPr>
        <w:t>(</w:t>
      </w:r>
      <w:r w:rsidR="008774AA">
        <w:rPr>
          <w:b/>
          <w:bCs/>
        </w:rPr>
        <w:fldChar w:fldCharType="begin"/>
      </w:r>
      <w:r w:rsidR="008774AA">
        <w:rPr>
          <w:b/>
          <w:bCs/>
        </w:rPr>
        <w:instrText xml:space="preserve"> REF _Ref82440367 \h </w:instrText>
      </w:r>
      <w:r w:rsidR="008774AA">
        <w:rPr>
          <w:b/>
          <w:bCs/>
        </w:rPr>
      </w:r>
      <w:r w:rsidR="008774AA">
        <w:rPr>
          <w:b/>
          <w:bCs/>
        </w:rPr>
        <w:fldChar w:fldCharType="separate"/>
      </w:r>
      <w:r w:rsidR="001E49BE" w:rsidRPr="00796CD2">
        <w:rPr>
          <w:b/>
          <w:bCs/>
          <w:lang w:eastAsia="ja-JP"/>
        </w:rPr>
        <w:t xml:space="preserve">Table </w:t>
      </w:r>
      <w:r w:rsidR="001E49BE">
        <w:rPr>
          <w:b/>
          <w:bCs/>
          <w:noProof/>
          <w:lang w:eastAsia="ja-JP"/>
        </w:rPr>
        <w:t>18</w:t>
      </w:r>
      <w:r w:rsidR="008774AA">
        <w:rPr>
          <w:b/>
          <w:bCs/>
        </w:rPr>
        <w:fldChar w:fldCharType="end"/>
      </w:r>
      <w:r>
        <w:rPr>
          <w:b/>
          <w:bCs/>
        </w:rPr>
        <w:t>)</w:t>
      </w:r>
    </w:p>
    <w:p w14:paraId="2E4DDBFD" w14:textId="77777777" w:rsidR="00D75179" w:rsidRDefault="00D75179" w:rsidP="00D75179"/>
    <w:p w14:paraId="7BFD463C" w14:textId="77777777" w:rsidR="00D75179" w:rsidRPr="00DE0CC1" w:rsidRDefault="00D75179" w:rsidP="00D75179">
      <w:pPr>
        <w:rPr>
          <w:b/>
          <w:i/>
          <w:iCs/>
        </w:rPr>
      </w:pPr>
      <w:r w:rsidRPr="00DE0CC1">
        <w:rPr>
          <w:b/>
          <w:i/>
          <w:iCs/>
        </w:rPr>
        <w:t>Number of individuals on</w:t>
      </w:r>
      <w:r w:rsidRPr="00DE0CC1">
        <w:rPr>
          <w:rFonts w:hint="eastAsia"/>
          <w:b/>
          <w:i/>
          <w:iCs/>
        </w:rPr>
        <w:t xml:space="preserve"> </w:t>
      </w:r>
      <w:r w:rsidRPr="00DE0CC1">
        <w:rPr>
          <w:b/>
          <w:i/>
          <w:iCs/>
        </w:rPr>
        <w:t>ART</w:t>
      </w:r>
    </w:p>
    <w:p w14:paraId="3E7C5705" w14:textId="47A500FA" w:rsidR="00D75179" w:rsidRPr="008A07C3" w:rsidRDefault="00D75179" w:rsidP="00D75179">
      <w:pPr>
        <w:rPr>
          <w:b/>
          <w:bCs/>
        </w:rPr>
      </w:pPr>
      <w:r w:rsidRPr="00DE0CC1">
        <w:rPr>
          <w:bCs/>
          <w:i/>
        </w:rPr>
        <w:t>Data source:</w:t>
      </w:r>
      <w:r w:rsidRPr="00B11A6B">
        <w:t xml:space="preserve"> </w:t>
      </w:r>
      <w:r>
        <w:t xml:space="preserve">The number of individuals on antiretroviral therapy is collected by </w:t>
      </w:r>
      <w:proofErr w:type="spellStart"/>
      <w:r>
        <w:t>TRACnet</w:t>
      </w:r>
      <w:proofErr w:type="spellEnd"/>
      <w:r>
        <w:t xml:space="preserve"> or Rwanda Health Management Information System.</w:t>
      </w:r>
      <w:r>
        <w:fldChar w:fldCharType="begin" w:fldLock="1"/>
      </w:r>
      <w:r w:rsidR="007527CC">
        <w:instrText>ADDIN CSL_CITATION {"citationItems":[{"id":"ITEM-1","itemData":{"ISBN":"1701-5367","PMID":"13369446","author":[{"dropping-particle":"","family":"Ministry of Health (MOH) [Rwanda].","given":"","non-dropping-particle":"","parse-names":false,"suffix":""}],"id":"ITEM-1","issued":{"date-parts":[["2014"]]},"title":"National HIV Annual Report 2013-2014","type":"article-journal"},"uris":["http://www.mendeley.com/documents/?uuid=47bef3a2-5a0c-4266-bdd7-e52d16fd743e","http://www.mendeley.com/documents/?uuid=4517a4af-8fd2-427f-8c49-9421280f1624"]},{"id":"ITEM-2","itemData":{"author":[{"dropping-particle":"","family":"PEPFAR","given":"","non-dropping-particle":"","parse-names":false,"suffix":""}],"id":"ITEM-2","issued":{"date-parts":[["2018"]]},"title":"Rwanda Country Operational Plan (COP/ROP) 2018 Strategic Direction Summary","type":"report"},"uris":["http://www.mendeley.com/documents/?uuid=51ffbc46-2adf-40c3-b128-a88662bd6bd2"]}],"mendeley":{"formattedCitation":"&lt;sup&gt;28,71&lt;/sup&gt;","plainTextFormattedCitation":"28,71","previouslyFormattedCitation":"&lt;sup&gt;29,71&lt;/sup&gt;"},"properties":{"noteIndex":0},"schema":"https://github.com/citation-style-language/schema/raw/master/csl-citation.json"}</w:instrText>
      </w:r>
      <w:r>
        <w:fldChar w:fldCharType="separate"/>
      </w:r>
      <w:r w:rsidR="007527CC" w:rsidRPr="007527CC">
        <w:rPr>
          <w:noProof/>
          <w:vertAlign w:val="superscript"/>
        </w:rPr>
        <w:t>28,71</w:t>
      </w:r>
      <w:r>
        <w:fldChar w:fldCharType="end"/>
      </w:r>
      <w:r>
        <w:t xml:space="preserve"> The calibration target is critical at population-level.</w:t>
      </w:r>
      <w:r>
        <w:rPr>
          <w:b/>
          <w:bCs/>
        </w:rPr>
        <w:t xml:space="preserve"> (</w:t>
      </w:r>
      <w:r w:rsidR="008774AA">
        <w:rPr>
          <w:b/>
          <w:bCs/>
        </w:rPr>
        <w:fldChar w:fldCharType="begin"/>
      </w:r>
      <w:r w:rsidR="008774AA">
        <w:rPr>
          <w:b/>
          <w:bCs/>
        </w:rPr>
        <w:instrText xml:space="preserve"> REF _Ref82440368 \h </w:instrText>
      </w:r>
      <w:r w:rsidR="008774AA">
        <w:rPr>
          <w:b/>
          <w:bCs/>
        </w:rPr>
      </w:r>
      <w:r w:rsidR="008774AA">
        <w:rPr>
          <w:b/>
          <w:bCs/>
        </w:rPr>
        <w:fldChar w:fldCharType="separate"/>
      </w:r>
      <w:r w:rsidR="001E49BE" w:rsidRPr="004F6186">
        <w:rPr>
          <w:b/>
          <w:bCs/>
          <w:color w:val="000000" w:themeColor="text1"/>
        </w:rPr>
        <w:t xml:space="preserve">Table </w:t>
      </w:r>
      <w:r w:rsidR="001E49BE">
        <w:rPr>
          <w:b/>
          <w:bCs/>
          <w:noProof/>
          <w:color w:val="000000" w:themeColor="text1"/>
        </w:rPr>
        <w:t>19</w:t>
      </w:r>
      <w:r w:rsidR="008774AA">
        <w:rPr>
          <w:b/>
          <w:bCs/>
        </w:rPr>
        <w:fldChar w:fldCharType="end"/>
      </w:r>
      <w:r>
        <w:rPr>
          <w:b/>
          <w:bCs/>
        </w:rPr>
        <w:t>)</w:t>
      </w:r>
    </w:p>
    <w:p w14:paraId="432331F5" w14:textId="77777777" w:rsidR="00D75179" w:rsidRPr="00B11A6B" w:rsidRDefault="00D75179" w:rsidP="00D75179"/>
    <w:p w14:paraId="3840675C" w14:textId="77777777" w:rsidR="00D75179" w:rsidRPr="00DE0CC1" w:rsidRDefault="00D75179" w:rsidP="00D75179">
      <w:pPr>
        <w:rPr>
          <w:b/>
          <w:i/>
          <w:iCs/>
        </w:rPr>
      </w:pPr>
      <w:r w:rsidRPr="00DE0CC1">
        <w:rPr>
          <w:b/>
          <w:i/>
          <w:iCs/>
        </w:rPr>
        <w:t>Percent of individuals on</w:t>
      </w:r>
      <w:r w:rsidRPr="00DE0CC1">
        <w:rPr>
          <w:rFonts w:hint="eastAsia"/>
          <w:b/>
          <w:i/>
          <w:iCs/>
        </w:rPr>
        <w:t xml:space="preserve"> </w:t>
      </w:r>
      <w:r w:rsidRPr="00DE0CC1">
        <w:rPr>
          <w:b/>
          <w:i/>
          <w:iCs/>
        </w:rPr>
        <w:t>antiretroviral therapy (ART)</w:t>
      </w:r>
    </w:p>
    <w:p w14:paraId="19CA08B8" w14:textId="202347F8" w:rsidR="00D75179" w:rsidRPr="008A07C3" w:rsidRDefault="00D75179" w:rsidP="00D75179">
      <w:pPr>
        <w:rPr>
          <w:b/>
          <w:bCs/>
        </w:rPr>
      </w:pPr>
      <w:r w:rsidRPr="00DE0CC1">
        <w:rPr>
          <w:bCs/>
          <w:i/>
        </w:rPr>
        <w:t>Data source:</w:t>
      </w:r>
      <w:r w:rsidRPr="00B11A6B">
        <w:t xml:space="preserve"> The percent on treatment is defined as the proportion of population diagnosed with HIV who is on </w:t>
      </w:r>
      <w:r>
        <w:t>ART</w:t>
      </w:r>
      <w:r w:rsidRPr="00B11A6B">
        <w:t>, which is derived from Rwanda Population-based HIV Impact Assessment in year 2019 for the overall population.</w:t>
      </w:r>
      <w:r>
        <w:fldChar w:fldCharType="begin" w:fldLock="1"/>
      </w:r>
      <w:r w:rsidR="007527CC">
        <w:instrText>ADDIN CSL_CITATION {"citationItems":[{"id":"ITEM-1","itemData":{"author":[{"dropping-particle":"","family":"Population-based HIV Impact Assessment","given":"","non-dropping-particle":"","parse-names":false,"suffix":""}],"id":"ITEM-1","issue":"February 2020","issued":{"date-parts":[["0"]]},"page":"2-8","title":"Rwanda population-based HIV impact assessment, RPHIA 2018–2019","type":"article-journal"},"uris":["http://www.mendeley.com/documents/?uuid=6b46812d-c48f-4505-afe2-1fda15927ac2"]}],"mendeley":{"formattedCitation":"&lt;sup&gt;19&lt;/sup&gt;","plainTextFormattedCitation":"19","previouslyFormattedCitation":"&lt;sup&gt;20&lt;/sup&gt;"},"properties":{"noteIndex":0},"schema":"https://github.com/citation-style-language/schema/raw/master/csl-citation.json"}</w:instrText>
      </w:r>
      <w:r>
        <w:fldChar w:fldCharType="separate"/>
      </w:r>
      <w:r w:rsidR="007527CC" w:rsidRPr="007527CC">
        <w:rPr>
          <w:noProof/>
          <w:vertAlign w:val="superscript"/>
        </w:rPr>
        <w:t>19</w:t>
      </w:r>
      <w:r>
        <w:fldChar w:fldCharType="end"/>
      </w:r>
      <w:r w:rsidRPr="00B11A6B">
        <w:t xml:space="preserve"> </w:t>
      </w:r>
      <w:r>
        <w:t xml:space="preserve">The percent of population on ART among those diagnosed with HIV is one of the major indicators for HIV care continuum. </w:t>
      </w:r>
      <w:r>
        <w:rPr>
          <w:b/>
          <w:bCs/>
        </w:rPr>
        <w:t>(</w:t>
      </w:r>
      <w:r w:rsidR="008774AA">
        <w:rPr>
          <w:b/>
          <w:bCs/>
        </w:rPr>
        <w:fldChar w:fldCharType="begin"/>
      </w:r>
      <w:r w:rsidR="008774AA">
        <w:rPr>
          <w:b/>
          <w:bCs/>
        </w:rPr>
        <w:instrText xml:space="preserve"> REF _Ref82440369 \h </w:instrText>
      </w:r>
      <w:r w:rsidR="008774AA">
        <w:rPr>
          <w:b/>
          <w:bCs/>
        </w:rPr>
      </w:r>
      <w:r w:rsidR="008774AA">
        <w:rPr>
          <w:b/>
          <w:bCs/>
        </w:rPr>
        <w:fldChar w:fldCharType="separate"/>
      </w:r>
      <w:r w:rsidR="001E49BE" w:rsidRPr="00510203">
        <w:rPr>
          <w:b/>
          <w:bCs/>
        </w:rPr>
        <w:t xml:space="preserve">Table </w:t>
      </w:r>
      <w:r w:rsidR="001E49BE">
        <w:rPr>
          <w:b/>
          <w:bCs/>
          <w:noProof/>
        </w:rPr>
        <w:t>20</w:t>
      </w:r>
      <w:r w:rsidR="008774AA">
        <w:rPr>
          <w:b/>
          <w:bCs/>
        </w:rPr>
        <w:fldChar w:fldCharType="end"/>
      </w:r>
      <w:r>
        <w:rPr>
          <w:b/>
          <w:bCs/>
        </w:rPr>
        <w:t>)</w:t>
      </w:r>
    </w:p>
    <w:p w14:paraId="54A39A92" w14:textId="77777777" w:rsidR="00D75179" w:rsidRPr="00DE0CC1" w:rsidRDefault="00D75179" w:rsidP="00D75179">
      <w:pPr>
        <w:rPr>
          <w:b/>
          <w:i/>
          <w:iCs/>
        </w:rPr>
      </w:pPr>
      <w:r w:rsidRPr="00DE0CC1">
        <w:rPr>
          <w:b/>
          <w:i/>
          <w:iCs/>
        </w:rPr>
        <w:t>Percent viral suppression (conditional or not conditional on ART)</w:t>
      </w:r>
    </w:p>
    <w:p w14:paraId="236DABFB" w14:textId="048CC412" w:rsidR="00D75179" w:rsidRPr="008A07C3" w:rsidRDefault="00D75179" w:rsidP="00D75179">
      <w:pPr>
        <w:rPr>
          <w:b/>
          <w:bCs/>
        </w:rPr>
      </w:pPr>
      <w:r w:rsidRPr="00DE0CC1">
        <w:rPr>
          <w:bCs/>
          <w:i/>
        </w:rPr>
        <w:t>Data source:</w:t>
      </w:r>
      <w:r w:rsidRPr="00B11A6B">
        <w:t xml:space="preserve"> The percent viral suppression is defined in two ways: 1) the proportion of population living with HIV that are virally suppressed regardless of HIV status diagnosis and treatment status; and 2) the proportion of population who are on antiretroviral therapy that are virally suppressed. Both indicators were extracted from Rwanda Population-based HIV Impact Assessment in year 2019.</w:t>
      </w:r>
      <w:r>
        <w:fldChar w:fldCharType="begin" w:fldLock="1"/>
      </w:r>
      <w:r w:rsidR="007527CC">
        <w:instrText>ADDIN CSL_CITATION {"citationItems":[{"id":"ITEM-1","itemData":{"author":[{"dropping-particle":"","family":"Population-based HIV Impact Assessment","given":"","non-dropping-particle":"","parse-names":false,"suffix":""}],"id":"ITEM-1","issue":"February 2020","issued":{"date-parts":[["0"]]},"page":"2-8","title":"Rwanda population-based HIV impact assessment, RPHIA 2018–2019","type":"article-journal"},"uris":["http://www.mendeley.com/documents/?uuid=6b46812d-c48f-4505-afe2-1fda15927ac2"]}],"mendeley":{"formattedCitation":"&lt;sup&gt;19&lt;/sup&gt;","plainTextFormattedCitation":"19","previouslyFormattedCitation":"&lt;sup&gt;20&lt;/sup&gt;"},"properties":{"noteIndex":0},"schema":"https://github.com/citation-style-language/schema/raw/master/csl-citation.json"}</w:instrText>
      </w:r>
      <w:r>
        <w:fldChar w:fldCharType="separate"/>
      </w:r>
      <w:r w:rsidR="007527CC" w:rsidRPr="007527CC">
        <w:rPr>
          <w:noProof/>
          <w:vertAlign w:val="superscript"/>
        </w:rPr>
        <w:t>19</w:t>
      </w:r>
      <w:r>
        <w:fldChar w:fldCharType="end"/>
      </w:r>
      <w:r w:rsidRPr="00B11A6B">
        <w:t xml:space="preserve"> </w:t>
      </w:r>
      <w:r>
        <w:t xml:space="preserve"> The viral suppression status is both one of the major indicators of HIV care continuum and the one of the goals of providing HIV treatment. When viral suppressed, population living with HIV have much lower risk of HIV transmission and improved health outcomes such as life-expectancy.  </w:t>
      </w:r>
      <w:r>
        <w:rPr>
          <w:b/>
          <w:bCs/>
        </w:rPr>
        <w:t>(</w:t>
      </w:r>
      <w:r w:rsidR="008774AA">
        <w:rPr>
          <w:b/>
          <w:bCs/>
        </w:rPr>
        <w:fldChar w:fldCharType="begin"/>
      </w:r>
      <w:r w:rsidR="008774AA">
        <w:rPr>
          <w:b/>
          <w:bCs/>
        </w:rPr>
        <w:instrText xml:space="preserve"> REF _Ref82440369 \h </w:instrText>
      </w:r>
      <w:r w:rsidR="008774AA">
        <w:rPr>
          <w:b/>
          <w:bCs/>
        </w:rPr>
      </w:r>
      <w:r w:rsidR="008774AA">
        <w:rPr>
          <w:b/>
          <w:bCs/>
        </w:rPr>
        <w:fldChar w:fldCharType="separate"/>
      </w:r>
      <w:r w:rsidR="001E49BE" w:rsidRPr="00510203">
        <w:rPr>
          <w:b/>
          <w:bCs/>
        </w:rPr>
        <w:t xml:space="preserve">Table </w:t>
      </w:r>
      <w:r w:rsidR="001E49BE">
        <w:rPr>
          <w:b/>
          <w:bCs/>
          <w:noProof/>
        </w:rPr>
        <w:t>20</w:t>
      </w:r>
      <w:r w:rsidR="008774AA">
        <w:rPr>
          <w:b/>
          <w:bCs/>
        </w:rPr>
        <w:fldChar w:fldCharType="end"/>
      </w:r>
      <w:r>
        <w:rPr>
          <w:b/>
          <w:bCs/>
        </w:rPr>
        <w:t>)</w:t>
      </w:r>
    </w:p>
    <w:p w14:paraId="416B86F6" w14:textId="77777777" w:rsidR="00D75179" w:rsidRPr="008A07C3" w:rsidRDefault="00D75179" w:rsidP="00D75179">
      <w:pPr>
        <w:rPr>
          <w:b/>
          <w:bCs/>
        </w:rPr>
        <w:sectPr w:rsidR="00D75179" w:rsidRPr="008A07C3" w:rsidSect="00881A23">
          <w:headerReference w:type="even" r:id="rId76"/>
          <w:headerReference w:type="default" r:id="rId77"/>
          <w:headerReference w:type="first" r:id="rId78"/>
          <w:pgSz w:w="12240" w:h="15840"/>
          <w:pgMar w:top="1440" w:right="1440" w:bottom="1440" w:left="1440" w:header="720" w:footer="720" w:gutter="0"/>
          <w:cols w:space="720"/>
          <w:docGrid w:linePitch="360"/>
        </w:sectPr>
      </w:pPr>
    </w:p>
    <w:p w14:paraId="55256FD8" w14:textId="535B90DE" w:rsidR="00D75179" w:rsidRPr="00796CD2" w:rsidRDefault="00D75179" w:rsidP="00D75179">
      <w:pPr>
        <w:rPr>
          <w:b/>
        </w:rPr>
      </w:pPr>
      <w:bookmarkStart w:id="322" w:name="_Ref82440366"/>
      <w:bookmarkStart w:id="323" w:name="_Toc82448080"/>
      <w:bookmarkStart w:id="324" w:name="_Toc82592511"/>
      <w:bookmarkStart w:id="325" w:name="_Toc82599276"/>
      <w:r w:rsidRPr="00B11A6B">
        <w:rPr>
          <w:b/>
        </w:rPr>
        <w:lastRenderedPageBreak/>
        <w:t xml:space="preserve">Table </w:t>
      </w:r>
      <w:r w:rsidRPr="00B11A6B">
        <w:rPr>
          <w:b/>
        </w:rPr>
        <w:fldChar w:fldCharType="begin"/>
      </w:r>
      <w:r w:rsidRPr="00B11A6B">
        <w:rPr>
          <w:b/>
        </w:rPr>
        <w:instrText xml:space="preserve"> SEQ Table \* ARABIC </w:instrText>
      </w:r>
      <w:r w:rsidRPr="00B11A6B">
        <w:rPr>
          <w:b/>
        </w:rPr>
        <w:fldChar w:fldCharType="separate"/>
      </w:r>
      <w:r w:rsidR="001E49BE">
        <w:rPr>
          <w:b/>
          <w:noProof/>
        </w:rPr>
        <w:t>17</w:t>
      </w:r>
      <w:r w:rsidRPr="00B11A6B">
        <w:rPr>
          <w:b/>
        </w:rPr>
        <w:fldChar w:fldCharType="end"/>
      </w:r>
      <w:bookmarkEnd w:id="322"/>
      <w:r w:rsidR="00927F20">
        <w:rPr>
          <w:b/>
        </w:rPr>
        <w:t>.</w:t>
      </w:r>
      <w:r w:rsidRPr="00B11A6B">
        <w:rPr>
          <w:b/>
        </w:rPr>
        <w:t xml:space="preserve"> </w:t>
      </w:r>
      <w:bookmarkStart w:id="326" w:name="_Hlk74742000"/>
      <w:r w:rsidR="00927F20">
        <w:rPr>
          <w:b/>
        </w:rPr>
        <w:t xml:space="preserve">Calibration targets: </w:t>
      </w:r>
      <w:r w:rsidR="0089750E">
        <w:rPr>
          <w:b/>
        </w:rPr>
        <w:t xml:space="preserve">Sub-population </w:t>
      </w:r>
      <w:r w:rsidRPr="00B11A6B">
        <w:rPr>
          <w:b/>
        </w:rPr>
        <w:t>HIV prevalence</w:t>
      </w:r>
      <w:r w:rsidR="00C569A0">
        <w:rPr>
          <w:b/>
        </w:rPr>
        <w:t xml:space="preserve"> over time</w:t>
      </w:r>
      <w:bookmarkEnd w:id="323"/>
      <w:bookmarkEnd w:id="324"/>
      <w:bookmarkEnd w:id="325"/>
      <w:bookmarkEnd w:id="326"/>
    </w:p>
    <w:tbl>
      <w:tblPr>
        <w:tblW w:w="14503"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900"/>
        <w:gridCol w:w="900"/>
        <w:gridCol w:w="2160"/>
        <w:gridCol w:w="6"/>
        <w:gridCol w:w="894"/>
        <w:gridCol w:w="2250"/>
        <w:gridCol w:w="6"/>
        <w:gridCol w:w="894"/>
        <w:gridCol w:w="2160"/>
        <w:gridCol w:w="12"/>
        <w:gridCol w:w="978"/>
        <w:gridCol w:w="2070"/>
        <w:gridCol w:w="12"/>
        <w:gridCol w:w="6"/>
      </w:tblGrid>
      <w:tr w:rsidR="008741B0" w:rsidRPr="00927F20" w14:paraId="58DFBD44" w14:textId="77777777" w:rsidTr="008741B0">
        <w:trPr>
          <w:gridAfter w:val="1"/>
          <w:wAfter w:w="6" w:type="dxa"/>
          <w:trHeight w:val="340"/>
        </w:trPr>
        <w:tc>
          <w:tcPr>
            <w:tcW w:w="1255" w:type="dxa"/>
            <w:vMerge w:val="restart"/>
            <w:hideMark/>
          </w:tcPr>
          <w:p w14:paraId="02EB90F0" w14:textId="77777777" w:rsidR="008741B0" w:rsidRPr="00927F20" w:rsidRDefault="008741B0" w:rsidP="00303804">
            <w:pPr>
              <w:rPr>
                <w:b/>
                <w:bCs/>
                <w:color w:val="000000"/>
                <w:sz w:val="20"/>
                <w:szCs w:val="20"/>
              </w:rPr>
            </w:pPr>
            <w:r w:rsidRPr="00927F20">
              <w:rPr>
                <w:b/>
                <w:bCs/>
                <w:color w:val="000000"/>
                <w:sz w:val="20"/>
                <w:szCs w:val="20"/>
              </w:rPr>
              <w:t> </w:t>
            </w:r>
          </w:p>
          <w:p w14:paraId="1840A190" w14:textId="22240A7A" w:rsidR="008741B0" w:rsidRPr="00927F20" w:rsidRDefault="008741B0" w:rsidP="00303804">
            <w:pPr>
              <w:rPr>
                <w:b/>
                <w:bCs/>
                <w:color w:val="000000"/>
                <w:sz w:val="20"/>
                <w:szCs w:val="20"/>
              </w:rPr>
            </w:pPr>
            <w:r w:rsidRPr="00927F20">
              <w:rPr>
                <w:b/>
                <w:bCs/>
                <w:color w:val="000000"/>
                <w:sz w:val="20"/>
                <w:szCs w:val="20"/>
              </w:rPr>
              <w:t>Sub-</w:t>
            </w:r>
            <w:r>
              <w:rPr>
                <w:b/>
                <w:bCs/>
                <w:color w:val="000000"/>
                <w:sz w:val="20"/>
                <w:szCs w:val="20"/>
              </w:rPr>
              <w:t>population</w:t>
            </w:r>
          </w:p>
        </w:tc>
        <w:tc>
          <w:tcPr>
            <w:tcW w:w="900" w:type="dxa"/>
            <w:vMerge w:val="restart"/>
            <w:noWrap/>
            <w:vAlign w:val="center"/>
            <w:hideMark/>
          </w:tcPr>
          <w:p w14:paraId="0282E0F7" w14:textId="77777777" w:rsidR="008741B0" w:rsidRPr="00927F20" w:rsidRDefault="008741B0" w:rsidP="008741B0">
            <w:pPr>
              <w:rPr>
                <w:b/>
                <w:bCs/>
                <w:color w:val="000000"/>
                <w:sz w:val="20"/>
                <w:szCs w:val="20"/>
              </w:rPr>
            </w:pPr>
            <w:r w:rsidRPr="00927F20">
              <w:rPr>
                <w:b/>
                <w:bCs/>
                <w:color w:val="000000"/>
                <w:sz w:val="20"/>
                <w:szCs w:val="20"/>
              </w:rPr>
              <w:t>Age Group</w:t>
            </w:r>
          </w:p>
        </w:tc>
        <w:tc>
          <w:tcPr>
            <w:tcW w:w="3066" w:type="dxa"/>
            <w:gridSpan w:val="3"/>
            <w:hideMark/>
          </w:tcPr>
          <w:p w14:paraId="71FD1A6D" w14:textId="21388900" w:rsidR="008741B0" w:rsidRPr="00927F20" w:rsidRDefault="008741B0" w:rsidP="00303804">
            <w:pPr>
              <w:jc w:val="center"/>
              <w:rPr>
                <w:b/>
                <w:bCs/>
                <w:color w:val="000000"/>
                <w:sz w:val="20"/>
                <w:szCs w:val="20"/>
                <w:vertAlign w:val="superscript"/>
              </w:rPr>
            </w:pPr>
            <w:r w:rsidRPr="00927F20">
              <w:rPr>
                <w:b/>
                <w:bCs/>
                <w:color w:val="000000"/>
                <w:sz w:val="20"/>
                <w:szCs w:val="20"/>
              </w:rPr>
              <w:t>2005</w:t>
            </w:r>
            <w:r w:rsidRPr="00927F20">
              <w:rPr>
                <w:b/>
                <w:bCs/>
                <w:color w:val="000000"/>
                <w:sz w:val="20"/>
                <w:szCs w:val="20"/>
                <w:vertAlign w:val="superscript"/>
              </w:rPr>
              <w:t>a</w:t>
            </w:r>
          </w:p>
        </w:tc>
        <w:tc>
          <w:tcPr>
            <w:tcW w:w="3150" w:type="dxa"/>
            <w:gridSpan w:val="3"/>
            <w:hideMark/>
          </w:tcPr>
          <w:p w14:paraId="15EBB85F" w14:textId="62A772F5" w:rsidR="008741B0" w:rsidRPr="00927F20" w:rsidRDefault="008741B0" w:rsidP="00303804">
            <w:pPr>
              <w:jc w:val="center"/>
              <w:rPr>
                <w:b/>
                <w:bCs/>
                <w:color w:val="000000"/>
                <w:sz w:val="20"/>
                <w:szCs w:val="20"/>
                <w:vertAlign w:val="superscript"/>
              </w:rPr>
            </w:pPr>
            <w:r w:rsidRPr="00927F20">
              <w:rPr>
                <w:b/>
                <w:bCs/>
                <w:color w:val="000000"/>
                <w:sz w:val="20"/>
                <w:szCs w:val="20"/>
              </w:rPr>
              <w:t>2010</w:t>
            </w:r>
            <w:r w:rsidRPr="00927F20">
              <w:rPr>
                <w:b/>
                <w:bCs/>
                <w:color w:val="000000"/>
                <w:sz w:val="20"/>
                <w:szCs w:val="20"/>
                <w:vertAlign w:val="superscript"/>
              </w:rPr>
              <w:t>a</w:t>
            </w:r>
          </w:p>
        </w:tc>
        <w:tc>
          <w:tcPr>
            <w:tcW w:w="3066" w:type="dxa"/>
            <w:gridSpan w:val="3"/>
            <w:hideMark/>
          </w:tcPr>
          <w:p w14:paraId="0F0CC6CB" w14:textId="24722B8E" w:rsidR="008741B0" w:rsidRPr="00927F20" w:rsidRDefault="008741B0" w:rsidP="00303804">
            <w:pPr>
              <w:jc w:val="center"/>
              <w:rPr>
                <w:b/>
                <w:bCs/>
                <w:color w:val="000000"/>
                <w:sz w:val="20"/>
                <w:szCs w:val="20"/>
                <w:vertAlign w:val="superscript"/>
              </w:rPr>
            </w:pPr>
            <w:r w:rsidRPr="00927F20">
              <w:rPr>
                <w:b/>
                <w:bCs/>
                <w:color w:val="000000"/>
                <w:sz w:val="20"/>
                <w:szCs w:val="20"/>
              </w:rPr>
              <w:t>2015</w:t>
            </w:r>
            <w:r w:rsidRPr="00927F20">
              <w:rPr>
                <w:b/>
                <w:bCs/>
                <w:color w:val="000000"/>
                <w:sz w:val="20"/>
                <w:szCs w:val="20"/>
                <w:vertAlign w:val="superscript"/>
              </w:rPr>
              <w:t>a</w:t>
            </w:r>
          </w:p>
        </w:tc>
        <w:tc>
          <w:tcPr>
            <w:tcW w:w="3060" w:type="dxa"/>
            <w:gridSpan w:val="3"/>
            <w:hideMark/>
          </w:tcPr>
          <w:p w14:paraId="783308A6" w14:textId="5EDB845B" w:rsidR="008741B0" w:rsidRPr="00927F20" w:rsidRDefault="008741B0" w:rsidP="00303804">
            <w:pPr>
              <w:jc w:val="center"/>
              <w:rPr>
                <w:b/>
                <w:bCs/>
                <w:color w:val="000000"/>
                <w:sz w:val="20"/>
                <w:szCs w:val="20"/>
                <w:vertAlign w:val="superscript"/>
              </w:rPr>
            </w:pPr>
            <w:r w:rsidRPr="00927F20">
              <w:rPr>
                <w:b/>
                <w:bCs/>
                <w:color w:val="000000"/>
                <w:sz w:val="20"/>
                <w:szCs w:val="20"/>
              </w:rPr>
              <w:t>2019</w:t>
            </w:r>
            <w:r w:rsidRPr="00927F20">
              <w:rPr>
                <w:b/>
                <w:bCs/>
                <w:color w:val="000000"/>
                <w:sz w:val="20"/>
                <w:szCs w:val="20"/>
                <w:vertAlign w:val="superscript"/>
              </w:rPr>
              <w:t>b</w:t>
            </w:r>
          </w:p>
        </w:tc>
      </w:tr>
      <w:tr w:rsidR="008741B0" w:rsidRPr="00927F20" w14:paraId="6AF0878E" w14:textId="77777777" w:rsidTr="00927F20">
        <w:trPr>
          <w:gridAfter w:val="2"/>
          <w:wAfter w:w="18" w:type="dxa"/>
          <w:trHeight w:val="521"/>
        </w:trPr>
        <w:tc>
          <w:tcPr>
            <w:tcW w:w="1255" w:type="dxa"/>
            <w:vMerge/>
            <w:hideMark/>
          </w:tcPr>
          <w:p w14:paraId="1A6CC860" w14:textId="54BA1CB1" w:rsidR="008741B0" w:rsidRPr="00927F20" w:rsidRDefault="008741B0" w:rsidP="00303804">
            <w:pPr>
              <w:rPr>
                <w:b/>
                <w:bCs/>
                <w:color w:val="000000"/>
                <w:sz w:val="20"/>
                <w:szCs w:val="20"/>
              </w:rPr>
            </w:pPr>
          </w:p>
        </w:tc>
        <w:tc>
          <w:tcPr>
            <w:tcW w:w="900" w:type="dxa"/>
            <w:vMerge/>
            <w:hideMark/>
          </w:tcPr>
          <w:p w14:paraId="5A4FC937" w14:textId="77777777" w:rsidR="008741B0" w:rsidRPr="00927F20" w:rsidRDefault="008741B0" w:rsidP="00303804">
            <w:pPr>
              <w:rPr>
                <w:b/>
                <w:bCs/>
                <w:color w:val="000000"/>
                <w:sz w:val="20"/>
                <w:szCs w:val="20"/>
              </w:rPr>
            </w:pPr>
          </w:p>
        </w:tc>
        <w:tc>
          <w:tcPr>
            <w:tcW w:w="900" w:type="dxa"/>
            <w:hideMark/>
          </w:tcPr>
          <w:p w14:paraId="41E7219D" w14:textId="77777777" w:rsidR="008741B0" w:rsidRPr="00927F20" w:rsidRDefault="008741B0" w:rsidP="00303804">
            <w:pPr>
              <w:rPr>
                <w:b/>
                <w:bCs/>
                <w:color w:val="000000"/>
                <w:sz w:val="20"/>
                <w:szCs w:val="20"/>
              </w:rPr>
            </w:pPr>
            <w:r w:rsidRPr="00927F20">
              <w:rPr>
                <w:b/>
                <w:bCs/>
                <w:color w:val="000000"/>
                <w:sz w:val="20"/>
                <w:szCs w:val="20"/>
              </w:rPr>
              <w:t>Sample size</w:t>
            </w:r>
          </w:p>
        </w:tc>
        <w:tc>
          <w:tcPr>
            <w:tcW w:w="2160" w:type="dxa"/>
            <w:noWrap/>
            <w:hideMark/>
          </w:tcPr>
          <w:p w14:paraId="5B016DAF" w14:textId="77777777" w:rsidR="008741B0" w:rsidRPr="00927F20" w:rsidRDefault="008741B0" w:rsidP="00303804">
            <w:pPr>
              <w:rPr>
                <w:b/>
                <w:bCs/>
                <w:color w:val="000000"/>
                <w:sz w:val="20"/>
                <w:szCs w:val="20"/>
              </w:rPr>
            </w:pPr>
            <w:r w:rsidRPr="00927F20">
              <w:rPr>
                <w:b/>
                <w:bCs/>
                <w:color w:val="000000"/>
                <w:sz w:val="20"/>
                <w:szCs w:val="20"/>
              </w:rPr>
              <w:t>Prevalence (95% CI)</w:t>
            </w:r>
          </w:p>
        </w:tc>
        <w:tc>
          <w:tcPr>
            <w:tcW w:w="900" w:type="dxa"/>
            <w:gridSpan w:val="2"/>
            <w:hideMark/>
          </w:tcPr>
          <w:p w14:paraId="60D9B0C2" w14:textId="77777777" w:rsidR="008741B0" w:rsidRPr="00927F20" w:rsidRDefault="008741B0" w:rsidP="00303804">
            <w:pPr>
              <w:rPr>
                <w:b/>
                <w:bCs/>
                <w:color w:val="000000"/>
                <w:sz w:val="20"/>
                <w:szCs w:val="20"/>
              </w:rPr>
            </w:pPr>
            <w:r w:rsidRPr="00927F20">
              <w:rPr>
                <w:b/>
                <w:bCs/>
                <w:color w:val="000000"/>
                <w:sz w:val="20"/>
                <w:szCs w:val="20"/>
              </w:rPr>
              <w:t>Sample size</w:t>
            </w:r>
          </w:p>
        </w:tc>
        <w:tc>
          <w:tcPr>
            <w:tcW w:w="2250" w:type="dxa"/>
            <w:hideMark/>
          </w:tcPr>
          <w:p w14:paraId="1A5EE8AE" w14:textId="77777777" w:rsidR="008741B0" w:rsidRPr="00927F20" w:rsidRDefault="008741B0" w:rsidP="00303804">
            <w:pPr>
              <w:rPr>
                <w:b/>
                <w:bCs/>
                <w:color w:val="000000"/>
                <w:sz w:val="20"/>
                <w:szCs w:val="20"/>
              </w:rPr>
            </w:pPr>
            <w:r w:rsidRPr="00927F20">
              <w:rPr>
                <w:b/>
                <w:bCs/>
                <w:color w:val="000000"/>
                <w:sz w:val="20"/>
                <w:szCs w:val="20"/>
              </w:rPr>
              <w:t>Prevalence (95% CI)</w:t>
            </w:r>
          </w:p>
        </w:tc>
        <w:tc>
          <w:tcPr>
            <w:tcW w:w="900" w:type="dxa"/>
            <w:gridSpan w:val="2"/>
            <w:hideMark/>
          </w:tcPr>
          <w:p w14:paraId="46112BC2" w14:textId="77777777" w:rsidR="008741B0" w:rsidRPr="00927F20" w:rsidRDefault="008741B0" w:rsidP="00303804">
            <w:pPr>
              <w:rPr>
                <w:b/>
                <w:bCs/>
                <w:color w:val="000000"/>
                <w:sz w:val="20"/>
                <w:szCs w:val="20"/>
              </w:rPr>
            </w:pPr>
            <w:r w:rsidRPr="00927F20">
              <w:rPr>
                <w:b/>
                <w:bCs/>
                <w:color w:val="000000"/>
                <w:sz w:val="20"/>
                <w:szCs w:val="20"/>
              </w:rPr>
              <w:t>Sample size</w:t>
            </w:r>
          </w:p>
        </w:tc>
        <w:tc>
          <w:tcPr>
            <w:tcW w:w="2160" w:type="dxa"/>
            <w:noWrap/>
            <w:hideMark/>
          </w:tcPr>
          <w:p w14:paraId="1BC8956F" w14:textId="77777777" w:rsidR="008741B0" w:rsidRPr="00927F20" w:rsidRDefault="008741B0" w:rsidP="00303804">
            <w:pPr>
              <w:rPr>
                <w:b/>
                <w:bCs/>
                <w:color w:val="000000"/>
                <w:sz w:val="20"/>
                <w:szCs w:val="20"/>
              </w:rPr>
            </w:pPr>
            <w:r w:rsidRPr="00927F20">
              <w:rPr>
                <w:b/>
                <w:bCs/>
                <w:color w:val="000000"/>
                <w:sz w:val="20"/>
                <w:szCs w:val="20"/>
              </w:rPr>
              <w:t>Prevalence (95% CI)</w:t>
            </w:r>
          </w:p>
        </w:tc>
        <w:tc>
          <w:tcPr>
            <w:tcW w:w="990" w:type="dxa"/>
            <w:gridSpan w:val="2"/>
            <w:hideMark/>
          </w:tcPr>
          <w:p w14:paraId="791982A3" w14:textId="77777777" w:rsidR="008741B0" w:rsidRPr="00927F20" w:rsidRDefault="008741B0" w:rsidP="00303804">
            <w:pPr>
              <w:rPr>
                <w:b/>
                <w:bCs/>
                <w:color w:val="000000"/>
                <w:sz w:val="20"/>
                <w:szCs w:val="20"/>
              </w:rPr>
            </w:pPr>
            <w:r w:rsidRPr="00927F20">
              <w:rPr>
                <w:b/>
                <w:bCs/>
                <w:color w:val="000000"/>
                <w:sz w:val="20"/>
                <w:szCs w:val="20"/>
              </w:rPr>
              <w:t>Sample size</w:t>
            </w:r>
          </w:p>
        </w:tc>
        <w:tc>
          <w:tcPr>
            <w:tcW w:w="2070" w:type="dxa"/>
            <w:noWrap/>
            <w:hideMark/>
          </w:tcPr>
          <w:p w14:paraId="62B593B6" w14:textId="77777777" w:rsidR="008741B0" w:rsidRPr="00927F20" w:rsidRDefault="008741B0" w:rsidP="00303804">
            <w:pPr>
              <w:rPr>
                <w:b/>
                <w:bCs/>
                <w:color w:val="000000"/>
                <w:sz w:val="20"/>
                <w:szCs w:val="20"/>
              </w:rPr>
            </w:pPr>
            <w:r w:rsidRPr="00927F20">
              <w:rPr>
                <w:b/>
                <w:bCs/>
                <w:color w:val="000000"/>
                <w:sz w:val="20"/>
                <w:szCs w:val="20"/>
              </w:rPr>
              <w:t>Prevalence (95% CI)</w:t>
            </w:r>
          </w:p>
        </w:tc>
      </w:tr>
      <w:tr w:rsidR="00D75179" w:rsidRPr="00927F20" w14:paraId="571AA116" w14:textId="77777777" w:rsidTr="00927F20">
        <w:trPr>
          <w:gridAfter w:val="2"/>
          <w:wAfter w:w="18" w:type="dxa"/>
          <w:trHeight w:val="360"/>
        </w:trPr>
        <w:tc>
          <w:tcPr>
            <w:tcW w:w="1255" w:type="dxa"/>
            <w:vMerge w:val="restart"/>
            <w:hideMark/>
          </w:tcPr>
          <w:p w14:paraId="288D35A5" w14:textId="77777777" w:rsidR="00D75179" w:rsidRPr="00927F20" w:rsidRDefault="00D75179" w:rsidP="00927F20">
            <w:pPr>
              <w:rPr>
                <w:color w:val="000000"/>
                <w:sz w:val="20"/>
                <w:szCs w:val="20"/>
              </w:rPr>
            </w:pPr>
            <w:r w:rsidRPr="00927F20">
              <w:rPr>
                <w:color w:val="000000"/>
                <w:sz w:val="20"/>
                <w:szCs w:val="20"/>
              </w:rPr>
              <w:t>Urban men</w:t>
            </w:r>
          </w:p>
        </w:tc>
        <w:tc>
          <w:tcPr>
            <w:tcW w:w="900" w:type="dxa"/>
            <w:noWrap/>
            <w:hideMark/>
          </w:tcPr>
          <w:p w14:paraId="4C4FB383" w14:textId="77777777" w:rsidR="00D75179" w:rsidRPr="00927F20" w:rsidRDefault="00D75179" w:rsidP="00927F20">
            <w:pPr>
              <w:rPr>
                <w:color w:val="000000"/>
                <w:sz w:val="20"/>
                <w:szCs w:val="20"/>
              </w:rPr>
            </w:pPr>
            <w:r w:rsidRPr="00927F20">
              <w:rPr>
                <w:color w:val="000000"/>
                <w:sz w:val="20"/>
                <w:szCs w:val="20"/>
              </w:rPr>
              <w:t>15-24</w:t>
            </w:r>
          </w:p>
        </w:tc>
        <w:tc>
          <w:tcPr>
            <w:tcW w:w="900" w:type="dxa"/>
            <w:hideMark/>
          </w:tcPr>
          <w:p w14:paraId="28A687C0" w14:textId="77777777" w:rsidR="00D75179" w:rsidRPr="00927F20" w:rsidRDefault="00D75179" w:rsidP="00303804">
            <w:pPr>
              <w:jc w:val="center"/>
              <w:rPr>
                <w:color w:val="000000"/>
                <w:sz w:val="20"/>
                <w:szCs w:val="20"/>
              </w:rPr>
            </w:pPr>
            <w:r w:rsidRPr="00927F20">
              <w:rPr>
                <w:color w:val="000000"/>
                <w:sz w:val="20"/>
                <w:szCs w:val="20"/>
              </w:rPr>
              <w:t>340</w:t>
            </w:r>
          </w:p>
        </w:tc>
        <w:tc>
          <w:tcPr>
            <w:tcW w:w="2160" w:type="dxa"/>
            <w:noWrap/>
            <w:hideMark/>
          </w:tcPr>
          <w:p w14:paraId="17B29E74" w14:textId="77777777" w:rsidR="00D75179" w:rsidRPr="00927F20" w:rsidRDefault="00D75179" w:rsidP="00303804">
            <w:pPr>
              <w:jc w:val="center"/>
              <w:rPr>
                <w:color w:val="000000"/>
                <w:sz w:val="20"/>
                <w:szCs w:val="20"/>
              </w:rPr>
            </w:pPr>
            <w:r w:rsidRPr="00927F20">
              <w:rPr>
                <w:color w:val="000000"/>
                <w:sz w:val="20"/>
                <w:szCs w:val="20"/>
              </w:rPr>
              <w:t>1.10 (0.39 – 3.01)</w:t>
            </w:r>
          </w:p>
        </w:tc>
        <w:tc>
          <w:tcPr>
            <w:tcW w:w="900" w:type="dxa"/>
            <w:gridSpan w:val="2"/>
            <w:hideMark/>
          </w:tcPr>
          <w:p w14:paraId="3A75897B" w14:textId="77777777" w:rsidR="00D75179" w:rsidRPr="00927F20" w:rsidRDefault="00D75179" w:rsidP="00303804">
            <w:pPr>
              <w:jc w:val="center"/>
              <w:rPr>
                <w:color w:val="000000"/>
                <w:sz w:val="20"/>
                <w:szCs w:val="20"/>
              </w:rPr>
            </w:pPr>
            <w:r w:rsidRPr="00927F20">
              <w:rPr>
                <w:color w:val="000000"/>
                <w:sz w:val="20"/>
                <w:szCs w:val="20"/>
              </w:rPr>
              <w:t>387</w:t>
            </w:r>
          </w:p>
        </w:tc>
        <w:tc>
          <w:tcPr>
            <w:tcW w:w="2250" w:type="dxa"/>
            <w:hideMark/>
          </w:tcPr>
          <w:p w14:paraId="4A27F625" w14:textId="77777777" w:rsidR="00D75179" w:rsidRPr="00927F20" w:rsidRDefault="00D75179" w:rsidP="00303804">
            <w:pPr>
              <w:jc w:val="center"/>
              <w:rPr>
                <w:color w:val="000000"/>
                <w:sz w:val="20"/>
                <w:szCs w:val="20"/>
              </w:rPr>
            </w:pPr>
            <w:r w:rsidRPr="00927F20">
              <w:rPr>
                <w:color w:val="000000"/>
                <w:sz w:val="20"/>
                <w:szCs w:val="20"/>
              </w:rPr>
              <w:t>1.57 (0.70 – 3.44)</w:t>
            </w:r>
          </w:p>
        </w:tc>
        <w:tc>
          <w:tcPr>
            <w:tcW w:w="900" w:type="dxa"/>
            <w:gridSpan w:val="2"/>
            <w:hideMark/>
          </w:tcPr>
          <w:p w14:paraId="7A1AC7B3" w14:textId="77777777" w:rsidR="00D75179" w:rsidRPr="00927F20" w:rsidRDefault="00D75179" w:rsidP="00303804">
            <w:pPr>
              <w:jc w:val="center"/>
              <w:rPr>
                <w:color w:val="000000"/>
                <w:sz w:val="20"/>
                <w:szCs w:val="20"/>
              </w:rPr>
            </w:pPr>
            <w:r w:rsidRPr="00927F20">
              <w:rPr>
                <w:color w:val="000000"/>
                <w:sz w:val="20"/>
                <w:szCs w:val="20"/>
              </w:rPr>
              <w:t>454</w:t>
            </w:r>
          </w:p>
        </w:tc>
        <w:tc>
          <w:tcPr>
            <w:tcW w:w="2160" w:type="dxa"/>
            <w:noWrap/>
            <w:hideMark/>
          </w:tcPr>
          <w:p w14:paraId="706C0B32" w14:textId="77777777" w:rsidR="00D75179" w:rsidRPr="00927F20" w:rsidRDefault="00D75179" w:rsidP="00303804">
            <w:pPr>
              <w:jc w:val="center"/>
              <w:rPr>
                <w:color w:val="000000"/>
                <w:sz w:val="20"/>
                <w:szCs w:val="20"/>
              </w:rPr>
            </w:pPr>
            <w:r w:rsidRPr="00927F20">
              <w:rPr>
                <w:color w:val="000000"/>
                <w:sz w:val="20"/>
                <w:szCs w:val="20"/>
              </w:rPr>
              <w:t>1.79 (0.90 – 3.53)</w:t>
            </w:r>
          </w:p>
        </w:tc>
        <w:tc>
          <w:tcPr>
            <w:tcW w:w="990" w:type="dxa"/>
            <w:gridSpan w:val="2"/>
            <w:hideMark/>
          </w:tcPr>
          <w:p w14:paraId="7BF67007"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3834A7EB"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7C59843E" w14:textId="77777777" w:rsidTr="00927F20">
        <w:trPr>
          <w:gridAfter w:val="2"/>
          <w:wAfter w:w="18" w:type="dxa"/>
          <w:trHeight w:val="360"/>
        </w:trPr>
        <w:tc>
          <w:tcPr>
            <w:tcW w:w="1255" w:type="dxa"/>
            <w:vMerge/>
            <w:hideMark/>
          </w:tcPr>
          <w:p w14:paraId="33A2A41B" w14:textId="77777777" w:rsidR="00D75179" w:rsidRPr="00927F20" w:rsidRDefault="00D75179" w:rsidP="00927F20">
            <w:pPr>
              <w:rPr>
                <w:color w:val="000000"/>
                <w:sz w:val="20"/>
                <w:szCs w:val="20"/>
              </w:rPr>
            </w:pPr>
          </w:p>
        </w:tc>
        <w:tc>
          <w:tcPr>
            <w:tcW w:w="900" w:type="dxa"/>
            <w:noWrap/>
            <w:hideMark/>
          </w:tcPr>
          <w:p w14:paraId="017E74DB" w14:textId="77777777" w:rsidR="00D75179" w:rsidRPr="00927F20" w:rsidRDefault="00D75179" w:rsidP="00927F20">
            <w:pPr>
              <w:rPr>
                <w:color w:val="000000"/>
                <w:sz w:val="20"/>
                <w:szCs w:val="20"/>
              </w:rPr>
            </w:pPr>
            <w:r w:rsidRPr="00927F20">
              <w:rPr>
                <w:color w:val="000000"/>
                <w:sz w:val="20"/>
                <w:szCs w:val="20"/>
              </w:rPr>
              <w:t>25-34</w:t>
            </w:r>
          </w:p>
        </w:tc>
        <w:tc>
          <w:tcPr>
            <w:tcW w:w="900" w:type="dxa"/>
            <w:hideMark/>
          </w:tcPr>
          <w:p w14:paraId="6B55AF40" w14:textId="77777777" w:rsidR="00D75179" w:rsidRPr="00927F20" w:rsidRDefault="00D75179" w:rsidP="00303804">
            <w:pPr>
              <w:jc w:val="center"/>
              <w:rPr>
                <w:color w:val="000000"/>
                <w:sz w:val="20"/>
                <w:szCs w:val="20"/>
              </w:rPr>
            </w:pPr>
            <w:r w:rsidRPr="00927F20">
              <w:rPr>
                <w:color w:val="000000"/>
                <w:sz w:val="20"/>
                <w:szCs w:val="20"/>
              </w:rPr>
              <w:t>217</w:t>
            </w:r>
          </w:p>
        </w:tc>
        <w:tc>
          <w:tcPr>
            <w:tcW w:w="2160" w:type="dxa"/>
            <w:noWrap/>
            <w:hideMark/>
          </w:tcPr>
          <w:p w14:paraId="51312535" w14:textId="77777777" w:rsidR="00D75179" w:rsidRPr="00927F20" w:rsidRDefault="00D75179" w:rsidP="00303804">
            <w:pPr>
              <w:jc w:val="center"/>
              <w:rPr>
                <w:color w:val="000000"/>
                <w:sz w:val="20"/>
                <w:szCs w:val="20"/>
              </w:rPr>
            </w:pPr>
            <w:r w:rsidRPr="00927F20">
              <w:rPr>
                <w:color w:val="000000"/>
                <w:sz w:val="20"/>
                <w:szCs w:val="20"/>
              </w:rPr>
              <w:t>7.33 (4.52 – 11.69)</w:t>
            </w:r>
          </w:p>
        </w:tc>
        <w:tc>
          <w:tcPr>
            <w:tcW w:w="900" w:type="dxa"/>
            <w:gridSpan w:val="2"/>
            <w:hideMark/>
          </w:tcPr>
          <w:p w14:paraId="656D4A7A" w14:textId="77777777" w:rsidR="00D75179" w:rsidRPr="00927F20" w:rsidRDefault="00D75179" w:rsidP="00303804">
            <w:pPr>
              <w:jc w:val="center"/>
              <w:rPr>
                <w:color w:val="000000"/>
                <w:sz w:val="20"/>
                <w:szCs w:val="20"/>
              </w:rPr>
            </w:pPr>
            <w:r w:rsidRPr="00927F20">
              <w:rPr>
                <w:color w:val="000000"/>
                <w:sz w:val="20"/>
                <w:szCs w:val="20"/>
              </w:rPr>
              <w:t>352</w:t>
            </w:r>
          </w:p>
        </w:tc>
        <w:tc>
          <w:tcPr>
            <w:tcW w:w="2250" w:type="dxa"/>
            <w:hideMark/>
          </w:tcPr>
          <w:p w14:paraId="2CCF1D90" w14:textId="77777777" w:rsidR="00D75179" w:rsidRPr="00927F20" w:rsidRDefault="00D75179" w:rsidP="00303804">
            <w:pPr>
              <w:jc w:val="center"/>
              <w:rPr>
                <w:color w:val="000000"/>
                <w:sz w:val="20"/>
                <w:szCs w:val="20"/>
              </w:rPr>
            </w:pPr>
            <w:r w:rsidRPr="00927F20">
              <w:rPr>
                <w:color w:val="000000"/>
                <w:sz w:val="20"/>
                <w:szCs w:val="20"/>
              </w:rPr>
              <w:t>4.72 (2.93 – 7.51)</w:t>
            </w:r>
          </w:p>
        </w:tc>
        <w:tc>
          <w:tcPr>
            <w:tcW w:w="900" w:type="dxa"/>
            <w:gridSpan w:val="2"/>
            <w:hideMark/>
          </w:tcPr>
          <w:p w14:paraId="20ADDEBA" w14:textId="77777777" w:rsidR="00D75179" w:rsidRPr="00927F20" w:rsidRDefault="00D75179" w:rsidP="00303804">
            <w:pPr>
              <w:jc w:val="center"/>
              <w:rPr>
                <w:color w:val="000000"/>
                <w:sz w:val="20"/>
                <w:szCs w:val="20"/>
              </w:rPr>
            </w:pPr>
            <w:r w:rsidRPr="00927F20">
              <w:rPr>
                <w:color w:val="000000"/>
                <w:sz w:val="20"/>
                <w:szCs w:val="20"/>
              </w:rPr>
              <w:t>434</w:t>
            </w:r>
          </w:p>
        </w:tc>
        <w:tc>
          <w:tcPr>
            <w:tcW w:w="2160" w:type="dxa"/>
            <w:noWrap/>
            <w:hideMark/>
          </w:tcPr>
          <w:p w14:paraId="49464F00" w14:textId="77777777" w:rsidR="00D75179" w:rsidRPr="00927F20" w:rsidRDefault="00D75179" w:rsidP="00303804">
            <w:pPr>
              <w:jc w:val="center"/>
              <w:rPr>
                <w:color w:val="000000"/>
                <w:sz w:val="20"/>
                <w:szCs w:val="20"/>
              </w:rPr>
            </w:pPr>
            <w:r w:rsidRPr="00927F20">
              <w:rPr>
                <w:color w:val="000000"/>
                <w:sz w:val="20"/>
                <w:szCs w:val="20"/>
              </w:rPr>
              <w:t>3.49 (2.12 – 5.70)</w:t>
            </w:r>
          </w:p>
        </w:tc>
        <w:tc>
          <w:tcPr>
            <w:tcW w:w="990" w:type="dxa"/>
            <w:gridSpan w:val="2"/>
            <w:hideMark/>
          </w:tcPr>
          <w:p w14:paraId="29518D24"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38A06543"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3950BC50" w14:textId="77777777" w:rsidTr="00927F20">
        <w:trPr>
          <w:gridAfter w:val="2"/>
          <w:wAfter w:w="18" w:type="dxa"/>
          <w:trHeight w:val="360"/>
        </w:trPr>
        <w:tc>
          <w:tcPr>
            <w:tcW w:w="1255" w:type="dxa"/>
            <w:vMerge/>
            <w:hideMark/>
          </w:tcPr>
          <w:p w14:paraId="1133349D" w14:textId="77777777" w:rsidR="00D75179" w:rsidRPr="00927F20" w:rsidRDefault="00D75179" w:rsidP="00927F20">
            <w:pPr>
              <w:rPr>
                <w:color w:val="000000"/>
                <w:sz w:val="20"/>
                <w:szCs w:val="20"/>
              </w:rPr>
            </w:pPr>
          </w:p>
        </w:tc>
        <w:tc>
          <w:tcPr>
            <w:tcW w:w="900" w:type="dxa"/>
            <w:noWrap/>
            <w:hideMark/>
          </w:tcPr>
          <w:p w14:paraId="747628B3" w14:textId="77777777" w:rsidR="00D75179" w:rsidRPr="00927F20" w:rsidRDefault="00D75179" w:rsidP="00927F20">
            <w:pPr>
              <w:rPr>
                <w:color w:val="000000"/>
                <w:sz w:val="20"/>
                <w:szCs w:val="20"/>
              </w:rPr>
            </w:pPr>
            <w:r w:rsidRPr="00927F20">
              <w:rPr>
                <w:color w:val="000000"/>
                <w:sz w:val="20"/>
                <w:szCs w:val="20"/>
              </w:rPr>
              <w:t>35-44</w:t>
            </w:r>
          </w:p>
        </w:tc>
        <w:tc>
          <w:tcPr>
            <w:tcW w:w="900" w:type="dxa"/>
            <w:hideMark/>
          </w:tcPr>
          <w:p w14:paraId="740447AC" w14:textId="77777777" w:rsidR="00D75179" w:rsidRPr="00927F20" w:rsidRDefault="00D75179" w:rsidP="00303804">
            <w:pPr>
              <w:jc w:val="center"/>
              <w:rPr>
                <w:color w:val="000000"/>
                <w:sz w:val="20"/>
                <w:szCs w:val="20"/>
              </w:rPr>
            </w:pPr>
            <w:r w:rsidRPr="00927F20">
              <w:rPr>
                <w:color w:val="000000"/>
                <w:sz w:val="20"/>
                <w:szCs w:val="20"/>
              </w:rPr>
              <w:t>138</w:t>
            </w:r>
          </w:p>
        </w:tc>
        <w:tc>
          <w:tcPr>
            <w:tcW w:w="2160" w:type="dxa"/>
            <w:noWrap/>
            <w:hideMark/>
          </w:tcPr>
          <w:p w14:paraId="633E7A02" w14:textId="77777777" w:rsidR="00D75179" w:rsidRPr="00927F20" w:rsidRDefault="00D75179" w:rsidP="00303804">
            <w:pPr>
              <w:jc w:val="center"/>
              <w:rPr>
                <w:color w:val="000000"/>
                <w:sz w:val="20"/>
                <w:szCs w:val="20"/>
              </w:rPr>
            </w:pPr>
            <w:r w:rsidRPr="00927F20">
              <w:rPr>
                <w:color w:val="000000"/>
                <w:sz w:val="20"/>
                <w:szCs w:val="20"/>
              </w:rPr>
              <w:t>12.35 (7.77 – 19.07)</w:t>
            </w:r>
          </w:p>
        </w:tc>
        <w:tc>
          <w:tcPr>
            <w:tcW w:w="900" w:type="dxa"/>
            <w:gridSpan w:val="2"/>
            <w:hideMark/>
          </w:tcPr>
          <w:p w14:paraId="6EDB878C" w14:textId="77777777" w:rsidR="00D75179" w:rsidRPr="00927F20" w:rsidRDefault="00D75179" w:rsidP="00303804">
            <w:pPr>
              <w:jc w:val="center"/>
              <w:rPr>
                <w:color w:val="000000"/>
                <w:sz w:val="20"/>
                <w:szCs w:val="20"/>
              </w:rPr>
            </w:pPr>
            <w:r w:rsidRPr="00927F20">
              <w:rPr>
                <w:color w:val="000000"/>
                <w:sz w:val="20"/>
                <w:szCs w:val="20"/>
              </w:rPr>
              <w:t>127</w:t>
            </w:r>
          </w:p>
        </w:tc>
        <w:tc>
          <w:tcPr>
            <w:tcW w:w="2250" w:type="dxa"/>
            <w:hideMark/>
          </w:tcPr>
          <w:p w14:paraId="76EC0A7B" w14:textId="77777777" w:rsidR="00D75179" w:rsidRPr="00927F20" w:rsidRDefault="00D75179" w:rsidP="00303804">
            <w:pPr>
              <w:jc w:val="center"/>
              <w:rPr>
                <w:color w:val="000000"/>
                <w:sz w:val="20"/>
                <w:szCs w:val="20"/>
              </w:rPr>
            </w:pPr>
            <w:r w:rsidRPr="00927F20">
              <w:rPr>
                <w:color w:val="000000"/>
                <w:sz w:val="20"/>
                <w:szCs w:val="20"/>
              </w:rPr>
              <w:t>12.98 (8.11 – 20.11)</w:t>
            </w:r>
          </w:p>
        </w:tc>
        <w:tc>
          <w:tcPr>
            <w:tcW w:w="900" w:type="dxa"/>
            <w:gridSpan w:val="2"/>
            <w:hideMark/>
          </w:tcPr>
          <w:p w14:paraId="585AFE01" w14:textId="77777777" w:rsidR="00D75179" w:rsidRPr="00927F20" w:rsidRDefault="00D75179" w:rsidP="00303804">
            <w:pPr>
              <w:jc w:val="center"/>
              <w:rPr>
                <w:color w:val="000000"/>
                <w:sz w:val="20"/>
                <w:szCs w:val="20"/>
              </w:rPr>
            </w:pPr>
            <w:r w:rsidRPr="00927F20">
              <w:rPr>
                <w:color w:val="000000"/>
                <w:sz w:val="20"/>
                <w:szCs w:val="20"/>
              </w:rPr>
              <w:t>212</w:t>
            </w:r>
          </w:p>
        </w:tc>
        <w:tc>
          <w:tcPr>
            <w:tcW w:w="2160" w:type="dxa"/>
            <w:noWrap/>
            <w:hideMark/>
          </w:tcPr>
          <w:p w14:paraId="35CF46CD" w14:textId="77777777" w:rsidR="00D75179" w:rsidRPr="00927F20" w:rsidRDefault="00D75179" w:rsidP="00303804">
            <w:pPr>
              <w:jc w:val="center"/>
              <w:rPr>
                <w:color w:val="000000"/>
                <w:sz w:val="20"/>
                <w:szCs w:val="20"/>
              </w:rPr>
            </w:pPr>
            <w:r w:rsidRPr="00927F20">
              <w:rPr>
                <w:color w:val="000000"/>
                <w:sz w:val="20"/>
                <w:szCs w:val="20"/>
              </w:rPr>
              <w:t>8.36 (5.29 – 12.97)</w:t>
            </w:r>
          </w:p>
        </w:tc>
        <w:tc>
          <w:tcPr>
            <w:tcW w:w="990" w:type="dxa"/>
            <w:gridSpan w:val="2"/>
            <w:hideMark/>
          </w:tcPr>
          <w:p w14:paraId="6BDC0987"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73665ED3"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54986D29" w14:textId="77777777" w:rsidTr="00927F20">
        <w:trPr>
          <w:gridAfter w:val="2"/>
          <w:wAfter w:w="18" w:type="dxa"/>
          <w:trHeight w:val="360"/>
        </w:trPr>
        <w:tc>
          <w:tcPr>
            <w:tcW w:w="1255" w:type="dxa"/>
            <w:vMerge/>
            <w:hideMark/>
          </w:tcPr>
          <w:p w14:paraId="6955260C" w14:textId="77777777" w:rsidR="00D75179" w:rsidRPr="00927F20" w:rsidRDefault="00D75179" w:rsidP="00927F20">
            <w:pPr>
              <w:rPr>
                <w:color w:val="000000"/>
                <w:sz w:val="20"/>
                <w:szCs w:val="20"/>
              </w:rPr>
            </w:pPr>
          </w:p>
        </w:tc>
        <w:tc>
          <w:tcPr>
            <w:tcW w:w="900" w:type="dxa"/>
            <w:noWrap/>
            <w:hideMark/>
          </w:tcPr>
          <w:p w14:paraId="02A1842A" w14:textId="77777777" w:rsidR="00D75179" w:rsidRPr="00927F20" w:rsidRDefault="00D75179" w:rsidP="00927F20">
            <w:pPr>
              <w:rPr>
                <w:color w:val="000000"/>
                <w:sz w:val="20"/>
                <w:szCs w:val="20"/>
              </w:rPr>
            </w:pPr>
            <w:r w:rsidRPr="00927F20">
              <w:rPr>
                <w:color w:val="000000"/>
                <w:sz w:val="20"/>
                <w:szCs w:val="20"/>
              </w:rPr>
              <w:t>45-54</w:t>
            </w:r>
          </w:p>
        </w:tc>
        <w:tc>
          <w:tcPr>
            <w:tcW w:w="900" w:type="dxa"/>
            <w:hideMark/>
          </w:tcPr>
          <w:p w14:paraId="0957DEA8" w14:textId="77777777" w:rsidR="00D75179" w:rsidRPr="00927F20" w:rsidRDefault="00D75179" w:rsidP="00303804">
            <w:pPr>
              <w:jc w:val="center"/>
              <w:rPr>
                <w:color w:val="000000"/>
                <w:sz w:val="20"/>
                <w:szCs w:val="20"/>
              </w:rPr>
            </w:pPr>
            <w:r w:rsidRPr="00927F20">
              <w:rPr>
                <w:color w:val="000000"/>
                <w:sz w:val="20"/>
                <w:szCs w:val="20"/>
              </w:rPr>
              <w:t>86</w:t>
            </w:r>
          </w:p>
        </w:tc>
        <w:tc>
          <w:tcPr>
            <w:tcW w:w="2160" w:type="dxa"/>
            <w:noWrap/>
            <w:hideMark/>
          </w:tcPr>
          <w:p w14:paraId="0B058AA2" w14:textId="77777777" w:rsidR="00D75179" w:rsidRPr="00927F20" w:rsidRDefault="00D75179" w:rsidP="00303804">
            <w:pPr>
              <w:jc w:val="center"/>
              <w:rPr>
                <w:color w:val="000000"/>
                <w:sz w:val="20"/>
                <w:szCs w:val="20"/>
              </w:rPr>
            </w:pPr>
            <w:r w:rsidRPr="00927F20">
              <w:rPr>
                <w:color w:val="000000"/>
                <w:sz w:val="20"/>
                <w:szCs w:val="20"/>
              </w:rPr>
              <w:t>7.98 (3.77 – 16.09)</w:t>
            </w:r>
          </w:p>
        </w:tc>
        <w:tc>
          <w:tcPr>
            <w:tcW w:w="900" w:type="dxa"/>
            <w:gridSpan w:val="2"/>
            <w:hideMark/>
          </w:tcPr>
          <w:p w14:paraId="6EA42AC7" w14:textId="77777777" w:rsidR="00D75179" w:rsidRPr="00927F20" w:rsidRDefault="00D75179" w:rsidP="00303804">
            <w:pPr>
              <w:jc w:val="center"/>
              <w:rPr>
                <w:color w:val="000000"/>
                <w:sz w:val="20"/>
                <w:szCs w:val="20"/>
              </w:rPr>
            </w:pPr>
            <w:r w:rsidRPr="00927F20">
              <w:rPr>
                <w:color w:val="000000"/>
                <w:sz w:val="20"/>
                <w:szCs w:val="20"/>
              </w:rPr>
              <w:t>96</w:t>
            </w:r>
          </w:p>
        </w:tc>
        <w:tc>
          <w:tcPr>
            <w:tcW w:w="2250" w:type="dxa"/>
            <w:hideMark/>
          </w:tcPr>
          <w:p w14:paraId="2B09FF3F" w14:textId="77777777" w:rsidR="00D75179" w:rsidRPr="00927F20" w:rsidRDefault="00D75179" w:rsidP="00303804">
            <w:pPr>
              <w:jc w:val="center"/>
              <w:rPr>
                <w:color w:val="000000"/>
                <w:sz w:val="20"/>
                <w:szCs w:val="20"/>
              </w:rPr>
            </w:pPr>
            <w:r w:rsidRPr="00927F20">
              <w:rPr>
                <w:color w:val="000000"/>
                <w:sz w:val="20"/>
                <w:szCs w:val="20"/>
              </w:rPr>
              <w:t>13.79 (8.15 – 22.40)</w:t>
            </w:r>
          </w:p>
        </w:tc>
        <w:tc>
          <w:tcPr>
            <w:tcW w:w="900" w:type="dxa"/>
            <w:gridSpan w:val="2"/>
            <w:hideMark/>
          </w:tcPr>
          <w:p w14:paraId="3991D680" w14:textId="77777777" w:rsidR="00D75179" w:rsidRPr="00927F20" w:rsidRDefault="00D75179" w:rsidP="00303804">
            <w:pPr>
              <w:jc w:val="center"/>
              <w:rPr>
                <w:color w:val="000000"/>
                <w:sz w:val="20"/>
                <w:szCs w:val="20"/>
              </w:rPr>
            </w:pPr>
            <w:r w:rsidRPr="00927F20">
              <w:rPr>
                <w:color w:val="000000"/>
                <w:sz w:val="20"/>
                <w:szCs w:val="20"/>
              </w:rPr>
              <w:t>105</w:t>
            </w:r>
          </w:p>
        </w:tc>
        <w:tc>
          <w:tcPr>
            <w:tcW w:w="2160" w:type="dxa"/>
            <w:noWrap/>
            <w:hideMark/>
          </w:tcPr>
          <w:p w14:paraId="2ADEB256" w14:textId="77777777" w:rsidR="00D75179" w:rsidRPr="00927F20" w:rsidRDefault="00D75179" w:rsidP="00303804">
            <w:pPr>
              <w:jc w:val="center"/>
              <w:rPr>
                <w:color w:val="000000"/>
                <w:sz w:val="20"/>
                <w:szCs w:val="20"/>
              </w:rPr>
            </w:pPr>
            <w:r w:rsidRPr="00927F20">
              <w:rPr>
                <w:color w:val="000000"/>
                <w:sz w:val="20"/>
                <w:szCs w:val="20"/>
              </w:rPr>
              <w:t>18.60 (12.18 – 27.35)</w:t>
            </w:r>
          </w:p>
        </w:tc>
        <w:tc>
          <w:tcPr>
            <w:tcW w:w="990" w:type="dxa"/>
            <w:gridSpan w:val="2"/>
            <w:hideMark/>
          </w:tcPr>
          <w:p w14:paraId="3C6C4BCF"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21A51161"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00485177" w14:textId="77777777" w:rsidTr="00927F20">
        <w:trPr>
          <w:gridAfter w:val="2"/>
          <w:wAfter w:w="18" w:type="dxa"/>
          <w:trHeight w:val="360"/>
        </w:trPr>
        <w:tc>
          <w:tcPr>
            <w:tcW w:w="1255" w:type="dxa"/>
            <w:vMerge/>
            <w:hideMark/>
          </w:tcPr>
          <w:p w14:paraId="76A09D33" w14:textId="77777777" w:rsidR="00D75179" w:rsidRPr="00927F20" w:rsidRDefault="00D75179" w:rsidP="00927F20">
            <w:pPr>
              <w:rPr>
                <w:color w:val="000000"/>
                <w:sz w:val="20"/>
                <w:szCs w:val="20"/>
              </w:rPr>
            </w:pPr>
          </w:p>
        </w:tc>
        <w:tc>
          <w:tcPr>
            <w:tcW w:w="900" w:type="dxa"/>
            <w:noWrap/>
            <w:hideMark/>
          </w:tcPr>
          <w:p w14:paraId="0ABBAF88" w14:textId="77777777" w:rsidR="00D75179" w:rsidRPr="00927F20" w:rsidRDefault="00D75179" w:rsidP="00927F20">
            <w:pPr>
              <w:rPr>
                <w:color w:val="000000"/>
                <w:sz w:val="20"/>
                <w:szCs w:val="20"/>
              </w:rPr>
            </w:pPr>
            <w:r w:rsidRPr="00927F20">
              <w:rPr>
                <w:color w:val="000000"/>
                <w:sz w:val="20"/>
                <w:szCs w:val="20"/>
              </w:rPr>
              <w:t>55+</w:t>
            </w:r>
          </w:p>
        </w:tc>
        <w:tc>
          <w:tcPr>
            <w:tcW w:w="900" w:type="dxa"/>
            <w:hideMark/>
          </w:tcPr>
          <w:p w14:paraId="5D49AD93" w14:textId="77777777" w:rsidR="00D75179" w:rsidRPr="00927F20" w:rsidRDefault="00D75179" w:rsidP="00303804">
            <w:pPr>
              <w:jc w:val="center"/>
              <w:rPr>
                <w:color w:val="000000"/>
                <w:sz w:val="20"/>
                <w:szCs w:val="20"/>
              </w:rPr>
            </w:pPr>
            <w:r w:rsidRPr="00927F20">
              <w:rPr>
                <w:color w:val="000000"/>
                <w:sz w:val="20"/>
                <w:szCs w:val="20"/>
              </w:rPr>
              <w:t>11</w:t>
            </w:r>
          </w:p>
        </w:tc>
        <w:tc>
          <w:tcPr>
            <w:tcW w:w="2160" w:type="dxa"/>
            <w:noWrap/>
            <w:hideMark/>
          </w:tcPr>
          <w:p w14:paraId="6E94D0F1" w14:textId="77777777" w:rsidR="00D75179" w:rsidRPr="00927F20" w:rsidRDefault="00D75179" w:rsidP="00303804">
            <w:pPr>
              <w:jc w:val="center"/>
              <w:rPr>
                <w:color w:val="000000"/>
                <w:sz w:val="20"/>
                <w:szCs w:val="20"/>
              </w:rPr>
            </w:pPr>
            <w:r w:rsidRPr="00927F20">
              <w:rPr>
                <w:color w:val="000000"/>
                <w:sz w:val="20"/>
                <w:szCs w:val="20"/>
              </w:rPr>
              <w:t>0.00 (0.00 – 0.00)</w:t>
            </w:r>
          </w:p>
        </w:tc>
        <w:tc>
          <w:tcPr>
            <w:tcW w:w="900" w:type="dxa"/>
            <w:gridSpan w:val="2"/>
            <w:hideMark/>
          </w:tcPr>
          <w:p w14:paraId="5E20A702" w14:textId="77777777" w:rsidR="00D75179" w:rsidRPr="00927F20" w:rsidRDefault="00D75179" w:rsidP="00303804">
            <w:pPr>
              <w:jc w:val="center"/>
              <w:rPr>
                <w:color w:val="000000"/>
                <w:sz w:val="20"/>
                <w:szCs w:val="20"/>
              </w:rPr>
            </w:pPr>
            <w:r w:rsidRPr="00927F20">
              <w:rPr>
                <w:color w:val="000000"/>
                <w:sz w:val="20"/>
                <w:szCs w:val="20"/>
              </w:rPr>
              <w:t>25</w:t>
            </w:r>
          </w:p>
        </w:tc>
        <w:tc>
          <w:tcPr>
            <w:tcW w:w="2250" w:type="dxa"/>
            <w:hideMark/>
          </w:tcPr>
          <w:p w14:paraId="25B3E280" w14:textId="77777777" w:rsidR="00D75179" w:rsidRPr="00927F20" w:rsidRDefault="00D75179" w:rsidP="00303804">
            <w:pPr>
              <w:jc w:val="center"/>
              <w:rPr>
                <w:color w:val="000000"/>
                <w:sz w:val="20"/>
                <w:szCs w:val="20"/>
              </w:rPr>
            </w:pPr>
            <w:r w:rsidRPr="00927F20">
              <w:rPr>
                <w:color w:val="000000"/>
                <w:sz w:val="20"/>
                <w:szCs w:val="20"/>
              </w:rPr>
              <w:t>0.00 (0.00 – 0.00)</w:t>
            </w:r>
          </w:p>
        </w:tc>
        <w:tc>
          <w:tcPr>
            <w:tcW w:w="900" w:type="dxa"/>
            <w:gridSpan w:val="2"/>
            <w:hideMark/>
          </w:tcPr>
          <w:p w14:paraId="01051C20" w14:textId="77777777" w:rsidR="00D75179" w:rsidRPr="00927F20" w:rsidRDefault="00D75179" w:rsidP="00303804">
            <w:pPr>
              <w:jc w:val="center"/>
              <w:rPr>
                <w:color w:val="000000"/>
                <w:sz w:val="20"/>
                <w:szCs w:val="20"/>
              </w:rPr>
            </w:pPr>
            <w:r w:rsidRPr="00927F20">
              <w:rPr>
                <w:color w:val="000000"/>
                <w:sz w:val="20"/>
                <w:szCs w:val="20"/>
              </w:rPr>
              <w:t>23</w:t>
            </w:r>
          </w:p>
        </w:tc>
        <w:tc>
          <w:tcPr>
            <w:tcW w:w="2160" w:type="dxa"/>
            <w:noWrap/>
            <w:hideMark/>
          </w:tcPr>
          <w:p w14:paraId="3C14A003" w14:textId="77777777" w:rsidR="00D75179" w:rsidRPr="00927F20" w:rsidRDefault="00D75179" w:rsidP="00303804">
            <w:pPr>
              <w:jc w:val="center"/>
              <w:rPr>
                <w:color w:val="000000"/>
                <w:sz w:val="20"/>
                <w:szCs w:val="20"/>
              </w:rPr>
            </w:pPr>
            <w:r w:rsidRPr="00927F20">
              <w:rPr>
                <w:color w:val="000000"/>
                <w:sz w:val="20"/>
                <w:szCs w:val="20"/>
              </w:rPr>
              <w:t>11.67 (3.26 – 34.13)</w:t>
            </w:r>
          </w:p>
        </w:tc>
        <w:tc>
          <w:tcPr>
            <w:tcW w:w="990" w:type="dxa"/>
            <w:gridSpan w:val="2"/>
            <w:hideMark/>
          </w:tcPr>
          <w:p w14:paraId="7E4B6941"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2E11E9EF"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2321E242" w14:textId="77777777" w:rsidTr="00927F20">
        <w:trPr>
          <w:gridAfter w:val="2"/>
          <w:wAfter w:w="18" w:type="dxa"/>
          <w:trHeight w:val="360"/>
        </w:trPr>
        <w:tc>
          <w:tcPr>
            <w:tcW w:w="1255" w:type="dxa"/>
            <w:vMerge/>
            <w:hideMark/>
          </w:tcPr>
          <w:p w14:paraId="7169FB53" w14:textId="77777777" w:rsidR="00D75179" w:rsidRPr="00927F20" w:rsidRDefault="00D75179" w:rsidP="00927F20">
            <w:pPr>
              <w:rPr>
                <w:color w:val="000000"/>
                <w:sz w:val="20"/>
                <w:szCs w:val="20"/>
              </w:rPr>
            </w:pPr>
          </w:p>
        </w:tc>
        <w:tc>
          <w:tcPr>
            <w:tcW w:w="900" w:type="dxa"/>
            <w:noWrap/>
            <w:hideMark/>
          </w:tcPr>
          <w:p w14:paraId="09DB88BB" w14:textId="77777777" w:rsidR="00D75179" w:rsidRPr="00927F20" w:rsidRDefault="00D75179" w:rsidP="00927F20">
            <w:pPr>
              <w:rPr>
                <w:color w:val="000000"/>
                <w:sz w:val="20"/>
                <w:szCs w:val="20"/>
              </w:rPr>
            </w:pPr>
            <w:r w:rsidRPr="00927F20">
              <w:rPr>
                <w:color w:val="000000"/>
                <w:sz w:val="20"/>
                <w:szCs w:val="20"/>
              </w:rPr>
              <w:t>15 – 59</w:t>
            </w:r>
          </w:p>
        </w:tc>
        <w:tc>
          <w:tcPr>
            <w:tcW w:w="900" w:type="dxa"/>
            <w:hideMark/>
          </w:tcPr>
          <w:p w14:paraId="46192D3F" w14:textId="77777777" w:rsidR="00D75179" w:rsidRPr="00927F20" w:rsidRDefault="00D75179" w:rsidP="00303804">
            <w:pPr>
              <w:jc w:val="center"/>
              <w:rPr>
                <w:color w:val="000000"/>
                <w:sz w:val="20"/>
                <w:szCs w:val="20"/>
              </w:rPr>
            </w:pPr>
            <w:r w:rsidRPr="00927F20">
              <w:rPr>
                <w:color w:val="000000"/>
                <w:sz w:val="20"/>
                <w:szCs w:val="20"/>
              </w:rPr>
              <w:t>793</w:t>
            </w:r>
          </w:p>
        </w:tc>
        <w:tc>
          <w:tcPr>
            <w:tcW w:w="2160" w:type="dxa"/>
            <w:noWrap/>
            <w:hideMark/>
          </w:tcPr>
          <w:p w14:paraId="4EE9B662" w14:textId="77777777" w:rsidR="00D75179" w:rsidRPr="00927F20" w:rsidRDefault="00D75179" w:rsidP="00303804">
            <w:pPr>
              <w:jc w:val="center"/>
              <w:rPr>
                <w:color w:val="000000"/>
                <w:sz w:val="20"/>
                <w:szCs w:val="20"/>
              </w:rPr>
            </w:pPr>
            <w:r w:rsidRPr="00927F20">
              <w:rPr>
                <w:color w:val="000000"/>
                <w:sz w:val="20"/>
                <w:szCs w:val="20"/>
              </w:rPr>
              <w:t>5.49 (4.11 – 7.32)</w:t>
            </w:r>
          </w:p>
        </w:tc>
        <w:tc>
          <w:tcPr>
            <w:tcW w:w="900" w:type="dxa"/>
            <w:gridSpan w:val="2"/>
            <w:hideMark/>
          </w:tcPr>
          <w:p w14:paraId="7706A809" w14:textId="77777777" w:rsidR="00D75179" w:rsidRPr="00927F20" w:rsidRDefault="00D75179" w:rsidP="00303804">
            <w:pPr>
              <w:jc w:val="center"/>
              <w:rPr>
                <w:color w:val="000000"/>
                <w:sz w:val="20"/>
                <w:szCs w:val="20"/>
              </w:rPr>
            </w:pPr>
            <w:r w:rsidRPr="00927F20">
              <w:rPr>
                <w:color w:val="000000"/>
                <w:sz w:val="20"/>
                <w:szCs w:val="20"/>
              </w:rPr>
              <w:t>987</w:t>
            </w:r>
          </w:p>
        </w:tc>
        <w:tc>
          <w:tcPr>
            <w:tcW w:w="2250" w:type="dxa"/>
            <w:hideMark/>
          </w:tcPr>
          <w:p w14:paraId="55696AB0" w14:textId="77777777" w:rsidR="00D75179" w:rsidRPr="00927F20" w:rsidRDefault="00D75179" w:rsidP="00303804">
            <w:pPr>
              <w:jc w:val="center"/>
              <w:rPr>
                <w:color w:val="000000"/>
                <w:sz w:val="20"/>
                <w:szCs w:val="20"/>
              </w:rPr>
            </w:pPr>
            <w:r w:rsidRPr="00927F20">
              <w:rPr>
                <w:color w:val="000000"/>
                <w:sz w:val="20"/>
                <w:szCs w:val="20"/>
              </w:rPr>
              <w:t>5.31 (4.07 – 6.90)</w:t>
            </w:r>
          </w:p>
        </w:tc>
        <w:tc>
          <w:tcPr>
            <w:tcW w:w="900" w:type="dxa"/>
            <w:gridSpan w:val="2"/>
            <w:hideMark/>
          </w:tcPr>
          <w:p w14:paraId="482EC0DF" w14:textId="77777777" w:rsidR="00D75179" w:rsidRPr="00927F20" w:rsidRDefault="00D75179" w:rsidP="00303804">
            <w:pPr>
              <w:jc w:val="center"/>
              <w:rPr>
                <w:color w:val="000000"/>
                <w:sz w:val="20"/>
                <w:szCs w:val="20"/>
              </w:rPr>
            </w:pPr>
            <w:r w:rsidRPr="00927F20">
              <w:rPr>
                <w:color w:val="000000"/>
                <w:sz w:val="20"/>
                <w:szCs w:val="20"/>
              </w:rPr>
              <w:t>1,229</w:t>
            </w:r>
          </w:p>
        </w:tc>
        <w:tc>
          <w:tcPr>
            <w:tcW w:w="2160" w:type="dxa"/>
            <w:noWrap/>
            <w:hideMark/>
          </w:tcPr>
          <w:p w14:paraId="44AA0A2C" w14:textId="77777777" w:rsidR="00D75179" w:rsidRPr="00927F20" w:rsidRDefault="00D75179" w:rsidP="00303804">
            <w:pPr>
              <w:jc w:val="center"/>
              <w:rPr>
                <w:color w:val="000000"/>
                <w:sz w:val="20"/>
                <w:szCs w:val="20"/>
              </w:rPr>
            </w:pPr>
            <w:r w:rsidRPr="00927F20">
              <w:rPr>
                <w:color w:val="000000"/>
                <w:sz w:val="20"/>
                <w:szCs w:val="20"/>
              </w:rPr>
              <w:t>5.15 (4.04 – 6.53)</w:t>
            </w:r>
          </w:p>
        </w:tc>
        <w:tc>
          <w:tcPr>
            <w:tcW w:w="990" w:type="dxa"/>
            <w:gridSpan w:val="2"/>
            <w:hideMark/>
          </w:tcPr>
          <w:p w14:paraId="4A5507AF"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3B14AC47"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58321CAB" w14:textId="77777777" w:rsidTr="00927F20">
        <w:trPr>
          <w:gridAfter w:val="2"/>
          <w:wAfter w:w="18" w:type="dxa"/>
          <w:trHeight w:val="360"/>
        </w:trPr>
        <w:tc>
          <w:tcPr>
            <w:tcW w:w="1255" w:type="dxa"/>
            <w:vMerge w:val="restart"/>
            <w:hideMark/>
          </w:tcPr>
          <w:p w14:paraId="65F1B5DF" w14:textId="77777777" w:rsidR="00D75179" w:rsidRPr="00927F20" w:rsidRDefault="00D75179" w:rsidP="00927F20">
            <w:pPr>
              <w:rPr>
                <w:color w:val="000000"/>
                <w:sz w:val="20"/>
                <w:szCs w:val="20"/>
              </w:rPr>
            </w:pPr>
            <w:r w:rsidRPr="00927F20">
              <w:rPr>
                <w:color w:val="000000"/>
                <w:sz w:val="20"/>
                <w:szCs w:val="20"/>
              </w:rPr>
              <w:t>Rural men</w:t>
            </w:r>
          </w:p>
        </w:tc>
        <w:tc>
          <w:tcPr>
            <w:tcW w:w="900" w:type="dxa"/>
            <w:noWrap/>
            <w:hideMark/>
          </w:tcPr>
          <w:p w14:paraId="04DB1930" w14:textId="77777777" w:rsidR="00D75179" w:rsidRPr="00927F20" w:rsidRDefault="00D75179" w:rsidP="00927F20">
            <w:pPr>
              <w:rPr>
                <w:color w:val="000000"/>
                <w:sz w:val="20"/>
                <w:szCs w:val="20"/>
              </w:rPr>
            </w:pPr>
            <w:r w:rsidRPr="00927F20">
              <w:rPr>
                <w:color w:val="000000"/>
                <w:sz w:val="20"/>
                <w:szCs w:val="20"/>
              </w:rPr>
              <w:t>15-24</w:t>
            </w:r>
          </w:p>
        </w:tc>
        <w:tc>
          <w:tcPr>
            <w:tcW w:w="900" w:type="dxa"/>
            <w:hideMark/>
          </w:tcPr>
          <w:p w14:paraId="6461EC80" w14:textId="77777777" w:rsidR="00D75179" w:rsidRPr="00927F20" w:rsidRDefault="00D75179" w:rsidP="00303804">
            <w:pPr>
              <w:jc w:val="center"/>
              <w:rPr>
                <w:color w:val="000000"/>
                <w:sz w:val="20"/>
                <w:szCs w:val="20"/>
              </w:rPr>
            </w:pPr>
            <w:r w:rsidRPr="00927F20">
              <w:rPr>
                <w:color w:val="000000"/>
                <w:sz w:val="20"/>
                <w:szCs w:val="20"/>
              </w:rPr>
              <w:t>1,721</w:t>
            </w:r>
          </w:p>
        </w:tc>
        <w:tc>
          <w:tcPr>
            <w:tcW w:w="2160" w:type="dxa"/>
            <w:noWrap/>
            <w:hideMark/>
          </w:tcPr>
          <w:p w14:paraId="1BBACED5" w14:textId="77777777" w:rsidR="00D75179" w:rsidRPr="00927F20" w:rsidRDefault="00D75179" w:rsidP="00303804">
            <w:pPr>
              <w:jc w:val="center"/>
              <w:rPr>
                <w:color w:val="000000"/>
                <w:sz w:val="20"/>
                <w:szCs w:val="20"/>
              </w:rPr>
            </w:pPr>
            <w:r w:rsidRPr="00927F20">
              <w:rPr>
                <w:color w:val="000000"/>
                <w:sz w:val="20"/>
                <w:szCs w:val="20"/>
              </w:rPr>
              <w:t>0.27 (0.11 – 0.67)</w:t>
            </w:r>
          </w:p>
        </w:tc>
        <w:tc>
          <w:tcPr>
            <w:tcW w:w="900" w:type="dxa"/>
            <w:gridSpan w:val="2"/>
            <w:hideMark/>
          </w:tcPr>
          <w:p w14:paraId="689D7D2B" w14:textId="77777777" w:rsidR="00D75179" w:rsidRPr="00927F20" w:rsidRDefault="00D75179" w:rsidP="00303804">
            <w:pPr>
              <w:jc w:val="center"/>
              <w:rPr>
                <w:color w:val="000000"/>
                <w:sz w:val="20"/>
                <w:szCs w:val="20"/>
              </w:rPr>
            </w:pPr>
            <w:r w:rsidRPr="00927F20">
              <w:rPr>
                <w:color w:val="000000"/>
                <w:sz w:val="20"/>
                <w:szCs w:val="20"/>
              </w:rPr>
              <w:t>2,261</w:t>
            </w:r>
          </w:p>
        </w:tc>
        <w:tc>
          <w:tcPr>
            <w:tcW w:w="2250" w:type="dxa"/>
            <w:hideMark/>
          </w:tcPr>
          <w:p w14:paraId="7CD7D8DF" w14:textId="77777777" w:rsidR="00D75179" w:rsidRPr="00927F20" w:rsidRDefault="00D75179" w:rsidP="00303804">
            <w:pPr>
              <w:jc w:val="center"/>
              <w:rPr>
                <w:color w:val="000000"/>
                <w:sz w:val="20"/>
                <w:szCs w:val="20"/>
              </w:rPr>
            </w:pPr>
            <w:r w:rsidRPr="00927F20">
              <w:rPr>
                <w:color w:val="000000"/>
                <w:sz w:val="20"/>
                <w:szCs w:val="20"/>
              </w:rPr>
              <w:t>0.24 (0.11 – 0.56)</w:t>
            </w:r>
          </w:p>
        </w:tc>
        <w:tc>
          <w:tcPr>
            <w:tcW w:w="900" w:type="dxa"/>
            <w:gridSpan w:val="2"/>
            <w:hideMark/>
          </w:tcPr>
          <w:p w14:paraId="7FA7E5AF" w14:textId="77777777" w:rsidR="00D75179" w:rsidRPr="00927F20" w:rsidRDefault="00D75179" w:rsidP="00303804">
            <w:pPr>
              <w:jc w:val="center"/>
              <w:rPr>
                <w:color w:val="000000"/>
                <w:sz w:val="20"/>
                <w:szCs w:val="20"/>
              </w:rPr>
            </w:pPr>
            <w:r w:rsidRPr="00927F20">
              <w:rPr>
                <w:color w:val="000000"/>
                <w:sz w:val="20"/>
                <w:szCs w:val="20"/>
              </w:rPr>
              <w:t>1,880</w:t>
            </w:r>
          </w:p>
        </w:tc>
        <w:tc>
          <w:tcPr>
            <w:tcW w:w="2160" w:type="dxa"/>
            <w:noWrap/>
            <w:hideMark/>
          </w:tcPr>
          <w:p w14:paraId="67236262" w14:textId="77777777" w:rsidR="00D75179" w:rsidRPr="00927F20" w:rsidRDefault="00D75179" w:rsidP="00303804">
            <w:pPr>
              <w:jc w:val="center"/>
              <w:rPr>
                <w:color w:val="000000"/>
                <w:sz w:val="20"/>
                <w:szCs w:val="20"/>
              </w:rPr>
            </w:pPr>
            <w:r w:rsidRPr="00927F20">
              <w:rPr>
                <w:color w:val="000000"/>
                <w:sz w:val="20"/>
                <w:szCs w:val="20"/>
              </w:rPr>
              <w:t>0.57 (0.31 – 1.03)</w:t>
            </w:r>
          </w:p>
        </w:tc>
        <w:tc>
          <w:tcPr>
            <w:tcW w:w="990" w:type="dxa"/>
            <w:gridSpan w:val="2"/>
            <w:hideMark/>
          </w:tcPr>
          <w:p w14:paraId="53823486"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4525DA3D"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623445DD" w14:textId="77777777" w:rsidTr="00927F20">
        <w:trPr>
          <w:gridAfter w:val="2"/>
          <w:wAfter w:w="18" w:type="dxa"/>
          <w:trHeight w:val="360"/>
        </w:trPr>
        <w:tc>
          <w:tcPr>
            <w:tcW w:w="1255" w:type="dxa"/>
            <w:vMerge/>
            <w:hideMark/>
          </w:tcPr>
          <w:p w14:paraId="1582A30A" w14:textId="77777777" w:rsidR="00D75179" w:rsidRPr="00927F20" w:rsidRDefault="00D75179" w:rsidP="00927F20">
            <w:pPr>
              <w:rPr>
                <w:color w:val="000000"/>
                <w:sz w:val="20"/>
                <w:szCs w:val="20"/>
              </w:rPr>
            </w:pPr>
          </w:p>
        </w:tc>
        <w:tc>
          <w:tcPr>
            <w:tcW w:w="900" w:type="dxa"/>
            <w:noWrap/>
            <w:hideMark/>
          </w:tcPr>
          <w:p w14:paraId="4FB58515" w14:textId="77777777" w:rsidR="00D75179" w:rsidRPr="00927F20" w:rsidRDefault="00D75179" w:rsidP="00927F20">
            <w:pPr>
              <w:rPr>
                <w:color w:val="000000"/>
                <w:sz w:val="20"/>
                <w:szCs w:val="20"/>
              </w:rPr>
            </w:pPr>
            <w:r w:rsidRPr="00927F20">
              <w:rPr>
                <w:color w:val="000000"/>
                <w:sz w:val="20"/>
                <w:szCs w:val="20"/>
              </w:rPr>
              <w:t>25-34</w:t>
            </w:r>
          </w:p>
        </w:tc>
        <w:tc>
          <w:tcPr>
            <w:tcW w:w="900" w:type="dxa"/>
            <w:hideMark/>
          </w:tcPr>
          <w:p w14:paraId="01BF574A" w14:textId="77777777" w:rsidR="00D75179" w:rsidRPr="00927F20" w:rsidRDefault="00D75179" w:rsidP="00303804">
            <w:pPr>
              <w:jc w:val="center"/>
              <w:rPr>
                <w:color w:val="000000"/>
                <w:sz w:val="20"/>
                <w:szCs w:val="20"/>
              </w:rPr>
            </w:pPr>
            <w:r w:rsidRPr="00927F20">
              <w:rPr>
                <w:color w:val="000000"/>
                <w:sz w:val="20"/>
                <w:szCs w:val="20"/>
              </w:rPr>
              <w:t>893</w:t>
            </w:r>
          </w:p>
        </w:tc>
        <w:tc>
          <w:tcPr>
            <w:tcW w:w="2160" w:type="dxa"/>
            <w:noWrap/>
            <w:hideMark/>
          </w:tcPr>
          <w:p w14:paraId="24847180" w14:textId="77777777" w:rsidR="00D75179" w:rsidRPr="00927F20" w:rsidRDefault="00D75179" w:rsidP="00303804">
            <w:pPr>
              <w:jc w:val="center"/>
              <w:rPr>
                <w:color w:val="000000"/>
                <w:sz w:val="20"/>
                <w:szCs w:val="20"/>
              </w:rPr>
            </w:pPr>
            <w:r w:rsidRPr="00927F20">
              <w:rPr>
                <w:color w:val="000000"/>
                <w:sz w:val="20"/>
                <w:szCs w:val="20"/>
              </w:rPr>
              <w:t>1.62 (0.97 – 2.69)</w:t>
            </w:r>
          </w:p>
        </w:tc>
        <w:tc>
          <w:tcPr>
            <w:tcW w:w="900" w:type="dxa"/>
            <w:gridSpan w:val="2"/>
            <w:hideMark/>
          </w:tcPr>
          <w:p w14:paraId="0802F726" w14:textId="77777777" w:rsidR="00D75179" w:rsidRPr="00927F20" w:rsidRDefault="00D75179" w:rsidP="00303804">
            <w:pPr>
              <w:jc w:val="center"/>
              <w:rPr>
                <w:color w:val="000000"/>
                <w:sz w:val="20"/>
                <w:szCs w:val="20"/>
              </w:rPr>
            </w:pPr>
            <w:r w:rsidRPr="00927F20">
              <w:rPr>
                <w:color w:val="000000"/>
                <w:sz w:val="20"/>
                <w:szCs w:val="20"/>
              </w:rPr>
              <w:t>1,385</w:t>
            </w:r>
          </w:p>
        </w:tc>
        <w:tc>
          <w:tcPr>
            <w:tcW w:w="2250" w:type="dxa"/>
            <w:hideMark/>
          </w:tcPr>
          <w:p w14:paraId="74D02765" w14:textId="77777777" w:rsidR="00D75179" w:rsidRPr="00927F20" w:rsidRDefault="00D75179" w:rsidP="00303804">
            <w:pPr>
              <w:jc w:val="center"/>
              <w:rPr>
                <w:color w:val="000000"/>
                <w:sz w:val="20"/>
                <w:szCs w:val="20"/>
              </w:rPr>
            </w:pPr>
            <w:r w:rsidRPr="00927F20">
              <w:rPr>
                <w:color w:val="000000"/>
                <w:sz w:val="20"/>
                <w:szCs w:val="20"/>
              </w:rPr>
              <w:t>1.88 (1.23 – 2.75)</w:t>
            </w:r>
          </w:p>
        </w:tc>
        <w:tc>
          <w:tcPr>
            <w:tcW w:w="900" w:type="dxa"/>
            <w:gridSpan w:val="2"/>
            <w:hideMark/>
          </w:tcPr>
          <w:p w14:paraId="70844F8A" w14:textId="77777777" w:rsidR="00D75179" w:rsidRPr="00927F20" w:rsidRDefault="00D75179" w:rsidP="00303804">
            <w:pPr>
              <w:jc w:val="center"/>
              <w:rPr>
                <w:color w:val="000000"/>
                <w:sz w:val="20"/>
                <w:szCs w:val="20"/>
              </w:rPr>
            </w:pPr>
            <w:r w:rsidRPr="00927F20">
              <w:rPr>
                <w:color w:val="000000"/>
                <w:sz w:val="20"/>
                <w:szCs w:val="20"/>
              </w:rPr>
              <w:t>1,427</w:t>
            </w:r>
          </w:p>
        </w:tc>
        <w:tc>
          <w:tcPr>
            <w:tcW w:w="2160" w:type="dxa"/>
            <w:noWrap/>
            <w:hideMark/>
          </w:tcPr>
          <w:p w14:paraId="1EEC5918" w14:textId="77777777" w:rsidR="00D75179" w:rsidRPr="00927F20" w:rsidRDefault="00D75179" w:rsidP="00303804">
            <w:pPr>
              <w:jc w:val="center"/>
              <w:rPr>
                <w:color w:val="000000"/>
                <w:sz w:val="20"/>
                <w:szCs w:val="20"/>
              </w:rPr>
            </w:pPr>
            <w:r w:rsidRPr="00927F20">
              <w:rPr>
                <w:color w:val="000000"/>
                <w:sz w:val="20"/>
                <w:szCs w:val="20"/>
              </w:rPr>
              <w:t>1.43 (0.93 – 2.20)</w:t>
            </w:r>
          </w:p>
        </w:tc>
        <w:tc>
          <w:tcPr>
            <w:tcW w:w="990" w:type="dxa"/>
            <w:gridSpan w:val="2"/>
            <w:hideMark/>
          </w:tcPr>
          <w:p w14:paraId="6C22C036"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0C34D74C"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1F89C59E" w14:textId="77777777" w:rsidTr="00927F20">
        <w:trPr>
          <w:gridAfter w:val="2"/>
          <w:wAfter w:w="18" w:type="dxa"/>
          <w:trHeight w:val="360"/>
        </w:trPr>
        <w:tc>
          <w:tcPr>
            <w:tcW w:w="1255" w:type="dxa"/>
            <w:vMerge/>
            <w:hideMark/>
          </w:tcPr>
          <w:p w14:paraId="0A692587" w14:textId="77777777" w:rsidR="00D75179" w:rsidRPr="00927F20" w:rsidRDefault="00D75179" w:rsidP="00927F20">
            <w:pPr>
              <w:rPr>
                <w:color w:val="000000"/>
                <w:sz w:val="20"/>
                <w:szCs w:val="20"/>
              </w:rPr>
            </w:pPr>
          </w:p>
        </w:tc>
        <w:tc>
          <w:tcPr>
            <w:tcW w:w="900" w:type="dxa"/>
            <w:noWrap/>
            <w:hideMark/>
          </w:tcPr>
          <w:p w14:paraId="7ED15147" w14:textId="77777777" w:rsidR="00D75179" w:rsidRPr="00927F20" w:rsidRDefault="00D75179" w:rsidP="00927F20">
            <w:pPr>
              <w:rPr>
                <w:color w:val="000000"/>
                <w:sz w:val="20"/>
                <w:szCs w:val="20"/>
              </w:rPr>
            </w:pPr>
            <w:r w:rsidRPr="00927F20">
              <w:rPr>
                <w:color w:val="000000"/>
                <w:sz w:val="20"/>
                <w:szCs w:val="20"/>
              </w:rPr>
              <w:t>35-44</w:t>
            </w:r>
          </w:p>
        </w:tc>
        <w:tc>
          <w:tcPr>
            <w:tcW w:w="900" w:type="dxa"/>
            <w:hideMark/>
          </w:tcPr>
          <w:p w14:paraId="3F281B8F" w14:textId="77777777" w:rsidR="00D75179" w:rsidRPr="00927F20" w:rsidRDefault="00D75179" w:rsidP="00303804">
            <w:pPr>
              <w:jc w:val="center"/>
              <w:rPr>
                <w:color w:val="000000"/>
                <w:sz w:val="20"/>
                <w:szCs w:val="20"/>
              </w:rPr>
            </w:pPr>
            <w:r w:rsidRPr="00927F20">
              <w:rPr>
                <w:color w:val="000000"/>
                <w:sz w:val="20"/>
                <w:szCs w:val="20"/>
              </w:rPr>
              <w:t>696</w:t>
            </w:r>
          </w:p>
        </w:tc>
        <w:tc>
          <w:tcPr>
            <w:tcW w:w="2160" w:type="dxa"/>
            <w:noWrap/>
            <w:hideMark/>
          </w:tcPr>
          <w:p w14:paraId="00B62614" w14:textId="77777777" w:rsidR="00D75179" w:rsidRPr="00927F20" w:rsidRDefault="00D75179" w:rsidP="00303804">
            <w:pPr>
              <w:jc w:val="center"/>
              <w:rPr>
                <w:color w:val="000000"/>
                <w:sz w:val="20"/>
                <w:szCs w:val="20"/>
              </w:rPr>
            </w:pPr>
            <w:r w:rsidRPr="00927F20">
              <w:rPr>
                <w:color w:val="000000"/>
                <w:sz w:val="20"/>
                <w:szCs w:val="20"/>
              </w:rPr>
              <w:t>3.61 (2.45 – 5.29)</w:t>
            </w:r>
          </w:p>
        </w:tc>
        <w:tc>
          <w:tcPr>
            <w:tcW w:w="900" w:type="dxa"/>
            <w:gridSpan w:val="2"/>
            <w:hideMark/>
          </w:tcPr>
          <w:p w14:paraId="66DF7AAC" w14:textId="77777777" w:rsidR="00D75179" w:rsidRPr="00927F20" w:rsidRDefault="00D75179" w:rsidP="00303804">
            <w:pPr>
              <w:jc w:val="center"/>
              <w:rPr>
                <w:color w:val="000000"/>
                <w:sz w:val="20"/>
                <w:szCs w:val="20"/>
              </w:rPr>
            </w:pPr>
            <w:r w:rsidRPr="00927F20">
              <w:rPr>
                <w:color w:val="000000"/>
                <w:sz w:val="20"/>
                <w:szCs w:val="20"/>
              </w:rPr>
              <w:t>791</w:t>
            </w:r>
          </w:p>
        </w:tc>
        <w:tc>
          <w:tcPr>
            <w:tcW w:w="2250" w:type="dxa"/>
            <w:hideMark/>
          </w:tcPr>
          <w:p w14:paraId="2671F52C" w14:textId="77777777" w:rsidR="00D75179" w:rsidRPr="00927F20" w:rsidRDefault="00D75179" w:rsidP="00303804">
            <w:pPr>
              <w:jc w:val="center"/>
              <w:rPr>
                <w:color w:val="000000"/>
                <w:sz w:val="20"/>
                <w:szCs w:val="20"/>
              </w:rPr>
            </w:pPr>
            <w:r w:rsidRPr="00927F20">
              <w:rPr>
                <w:color w:val="000000"/>
                <w:sz w:val="20"/>
                <w:szCs w:val="20"/>
              </w:rPr>
              <w:t>4.31 (3.09 – 5.97)</w:t>
            </w:r>
          </w:p>
        </w:tc>
        <w:tc>
          <w:tcPr>
            <w:tcW w:w="900" w:type="dxa"/>
            <w:gridSpan w:val="2"/>
            <w:hideMark/>
          </w:tcPr>
          <w:p w14:paraId="7CD7725F" w14:textId="77777777" w:rsidR="00D75179" w:rsidRPr="00927F20" w:rsidRDefault="00D75179" w:rsidP="00303804">
            <w:pPr>
              <w:jc w:val="center"/>
              <w:rPr>
                <w:color w:val="000000"/>
                <w:sz w:val="20"/>
                <w:szCs w:val="20"/>
              </w:rPr>
            </w:pPr>
            <w:r w:rsidRPr="00927F20">
              <w:rPr>
                <w:color w:val="000000"/>
                <w:sz w:val="20"/>
                <w:szCs w:val="20"/>
              </w:rPr>
              <w:t>825</w:t>
            </w:r>
          </w:p>
        </w:tc>
        <w:tc>
          <w:tcPr>
            <w:tcW w:w="2160" w:type="dxa"/>
            <w:noWrap/>
            <w:hideMark/>
          </w:tcPr>
          <w:p w14:paraId="704B9B19" w14:textId="77777777" w:rsidR="00D75179" w:rsidRPr="00927F20" w:rsidRDefault="00D75179" w:rsidP="00303804">
            <w:pPr>
              <w:jc w:val="center"/>
              <w:rPr>
                <w:color w:val="000000"/>
                <w:sz w:val="20"/>
                <w:szCs w:val="20"/>
              </w:rPr>
            </w:pPr>
            <w:r w:rsidRPr="00927F20">
              <w:rPr>
                <w:color w:val="000000"/>
                <w:sz w:val="20"/>
                <w:szCs w:val="20"/>
              </w:rPr>
              <w:t>2.22 (1.39 – 3.47)</w:t>
            </w:r>
          </w:p>
        </w:tc>
        <w:tc>
          <w:tcPr>
            <w:tcW w:w="990" w:type="dxa"/>
            <w:gridSpan w:val="2"/>
            <w:hideMark/>
          </w:tcPr>
          <w:p w14:paraId="1F8A0033"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0C367095"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7074A448" w14:textId="77777777" w:rsidTr="00927F20">
        <w:trPr>
          <w:gridAfter w:val="2"/>
          <w:wAfter w:w="18" w:type="dxa"/>
          <w:trHeight w:val="360"/>
        </w:trPr>
        <w:tc>
          <w:tcPr>
            <w:tcW w:w="1255" w:type="dxa"/>
            <w:vMerge/>
            <w:hideMark/>
          </w:tcPr>
          <w:p w14:paraId="036F0ECD" w14:textId="77777777" w:rsidR="00D75179" w:rsidRPr="00927F20" w:rsidRDefault="00D75179" w:rsidP="00927F20">
            <w:pPr>
              <w:rPr>
                <w:color w:val="000000"/>
                <w:sz w:val="20"/>
                <w:szCs w:val="20"/>
              </w:rPr>
            </w:pPr>
          </w:p>
        </w:tc>
        <w:tc>
          <w:tcPr>
            <w:tcW w:w="900" w:type="dxa"/>
            <w:noWrap/>
            <w:hideMark/>
          </w:tcPr>
          <w:p w14:paraId="56977E20" w14:textId="77777777" w:rsidR="00D75179" w:rsidRPr="00927F20" w:rsidRDefault="00D75179" w:rsidP="00927F20">
            <w:pPr>
              <w:rPr>
                <w:color w:val="000000"/>
                <w:sz w:val="20"/>
                <w:szCs w:val="20"/>
              </w:rPr>
            </w:pPr>
            <w:r w:rsidRPr="00927F20">
              <w:rPr>
                <w:color w:val="000000"/>
                <w:sz w:val="20"/>
                <w:szCs w:val="20"/>
              </w:rPr>
              <w:t>45-54</w:t>
            </w:r>
          </w:p>
        </w:tc>
        <w:tc>
          <w:tcPr>
            <w:tcW w:w="900" w:type="dxa"/>
            <w:hideMark/>
          </w:tcPr>
          <w:p w14:paraId="0CCE7F8C" w14:textId="77777777" w:rsidR="00D75179" w:rsidRPr="00927F20" w:rsidRDefault="00D75179" w:rsidP="00303804">
            <w:pPr>
              <w:jc w:val="center"/>
              <w:rPr>
                <w:color w:val="000000"/>
                <w:sz w:val="20"/>
                <w:szCs w:val="20"/>
              </w:rPr>
            </w:pPr>
            <w:r w:rsidRPr="00927F20">
              <w:rPr>
                <w:color w:val="000000"/>
                <w:sz w:val="20"/>
                <w:szCs w:val="20"/>
              </w:rPr>
              <w:t>547</w:t>
            </w:r>
          </w:p>
        </w:tc>
        <w:tc>
          <w:tcPr>
            <w:tcW w:w="2160" w:type="dxa"/>
            <w:noWrap/>
            <w:hideMark/>
          </w:tcPr>
          <w:p w14:paraId="68FFE33E" w14:textId="77777777" w:rsidR="00D75179" w:rsidRPr="00927F20" w:rsidRDefault="00D75179" w:rsidP="00303804">
            <w:pPr>
              <w:jc w:val="center"/>
              <w:rPr>
                <w:color w:val="000000"/>
                <w:sz w:val="20"/>
                <w:szCs w:val="20"/>
              </w:rPr>
            </w:pPr>
            <w:r w:rsidRPr="00927F20">
              <w:rPr>
                <w:color w:val="000000"/>
                <w:sz w:val="20"/>
                <w:szCs w:val="20"/>
              </w:rPr>
              <w:t>2.79 (1.69 – 4.57)</w:t>
            </w:r>
          </w:p>
        </w:tc>
        <w:tc>
          <w:tcPr>
            <w:tcW w:w="900" w:type="dxa"/>
            <w:gridSpan w:val="2"/>
            <w:hideMark/>
          </w:tcPr>
          <w:p w14:paraId="3BBDA301" w14:textId="77777777" w:rsidR="00D75179" w:rsidRPr="00927F20" w:rsidRDefault="00D75179" w:rsidP="00303804">
            <w:pPr>
              <w:jc w:val="center"/>
              <w:rPr>
                <w:color w:val="000000"/>
                <w:sz w:val="20"/>
                <w:szCs w:val="20"/>
              </w:rPr>
            </w:pPr>
            <w:r w:rsidRPr="00927F20">
              <w:rPr>
                <w:color w:val="000000"/>
                <w:sz w:val="20"/>
                <w:szCs w:val="20"/>
              </w:rPr>
              <w:t>696</w:t>
            </w:r>
          </w:p>
        </w:tc>
        <w:tc>
          <w:tcPr>
            <w:tcW w:w="2250" w:type="dxa"/>
            <w:hideMark/>
          </w:tcPr>
          <w:p w14:paraId="75234343" w14:textId="77777777" w:rsidR="00D75179" w:rsidRPr="00927F20" w:rsidRDefault="00D75179" w:rsidP="00303804">
            <w:pPr>
              <w:jc w:val="center"/>
              <w:rPr>
                <w:color w:val="000000"/>
                <w:sz w:val="20"/>
                <w:szCs w:val="20"/>
              </w:rPr>
            </w:pPr>
            <w:r w:rsidRPr="00927F20">
              <w:rPr>
                <w:color w:val="000000"/>
                <w:sz w:val="20"/>
                <w:szCs w:val="20"/>
              </w:rPr>
              <w:t>4.31 (3.03 – 6.10)</w:t>
            </w:r>
          </w:p>
        </w:tc>
        <w:tc>
          <w:tcPr>
            <w:tcW w:w="900" w:type="dxa"/>
            <w:gridSpan w:val="2"/>
            <w:hideMark/>
          </w:tcPr>
          <w:p w14:paraId="64D862BD" w14:textId="77777777" w:rsidR="00D75179" w:rsidRPr="00927F20" w:rsidRDefault="00D75179" w:rsidP="00303804">
            <w:pPr>
              <w:jc w:val="center"/>
              <w:rPr>
                <w:color w:val="000000"/>
                <w:sz w:val="20"/>
                <w:szCs w:val="20"/>
              </w:rPr>
            </w:pPr>
            <w:r w:rsidRPr="00927F20">
              <w:rPr>
                <w:color w:val="000000"/>
                <w:sz w:val="20"/>
                <w:szCs w:val="20"/>
              </w:rPr>
              <w:t>628</w:t>
            </w:r>
          </w:p>
        </w:tc>
        <w:tc>
          <w:tcPr>
            <w:tcW w:w="2160" w:type="dxa"/>
            <w:noWrap/>
            <w:hideMark/>
          </w:tcPr>
          <w:p w14:paraId="5C50E12C" w14:textId="77777777" w:rsidR="00D75179" w:rsidRPr="00927F20" w:rsidRDefault="00D75179" w:rsidP="00303804">
            <w:pPr>
              <w:jc w:val="center"/>
              <w:rPr>
                <w:color w:val="000000"/>
                <w:sz w:val="20"/>
                <w:szCs w:val="20"/>
              </w:rPr>
            </w:pPr>
            <w:r w:rsidRPr="00927F20">
              <w:rPr>
                <w:color w:val="000000"/>
                <w:sz w:val="20"/>
                <w:szCs w:val="20"/>
              </w:rPr>
              <w:t>5.65 (4.09 – 7.75)</w:t>
            </w:r>
          </w:p>
        </w:tc>
        <w:tc>
          <w:tcPr>
            <w:tcW w:w="990" w:type="dxa"/>
            <w:gridSpan w:val="2"/>
            <w:hideMark/>
          </w:tcPr>
          <w:p w14:paraId="25DB4022"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67382873"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5561A334" w14:textId="77777777" w:rsidTr="00927F20">
        <w:trPr>
          <w:gridAfter w:val="2"/>
          <w:wAfter w:w="18" w:type="dxa"/>
          <w:trHeight w:val="360"/>
        </w:trPr>
        <w:tc>
          <w:tcPr>
            <w:tcW w:w="1255" w:type="dxa"/>
            <w:vMerge/>
            <w:hideMark/>
          </w:tcPr>
          <w:p w14:paraId="45CF5C8F" w14:textId="77777777" w:rsidR="00D75179" w:rsidRPr="00927F20" w:rsidRDefault="00D75179" w:rsidP="00927F20">
            <w:pPr>
              <w:rPr>
                <w:color w:val="000000"/>
                <w:sz w:val="20"/>
                <w:szCs w:val="20"/>
              </w:rPr>
            </w:pPr>
          </w:p>
        </w:tc>
        <w:tc>
          <w:tcPr>
            <w:tcW w:w="900" w:type="dxa"/>
            <w:noWrap/>
            <w:hideMark/>
          </w:tcPr>
          <w:p w14:paraId="3F1EC446" w14:textId="77777777" w:rsidR="00D75179" w:rsidRPr="00927F20" w:rsidRDefault="00D75179" w:rsidP="00927F20">
            <w:pPr>
              <w:rPr>
                <w:color w:val="000000"/>
                <w:sz w:val="20"/>
                <w:szCs w:val="20"/>
              </w:rPr>
            </w:pPr>
            <w:r w:rsidRPr="00927F20">
              <w:rPr>
                <w:color w:val="000000"/>
                <w:sz w:val="20"/>
                <w:szCs w:val="20"/>
              </w:rPr>
              <w:t>55+</w:t>
            </w:r>
          </w:p>
        </w:tc>
        <w:tc>
          <w:tcPr>
            <w:tcW w:w="900" w:type="dxa"/>
            <w:hideMark/>
          </w:tcPr>
          <w:p w14:paraId="1A5C819B" w14:textId="77777777" w:rsidR="00D75179" w:rsidRPr="00927F20" w:rsidRDefault="00D75179" w:rsidP="00303804">
            <w:pPr>
              <w:jc w:val="center"/>
              <w:rPr>
                <w:color w:val="000000"/>
                <w:sz w:val="20"/>
                <w:szCs w:val="20"/>
              </w:rPr>
            </w:pPr>
            <w:r w:rsidRPr="00927F20">
              <w:rPr>
                <w:color w:val="000000"/>
                <w:sz w:val="20"/>
                <w:szCs w:val="20"/>
              </w:rPr>
              <w:t>86</w:t>
            </w:r>
          </w:p>
        </w:tc>
        <w:tc>
          <w:tcPr>
            <w:tcW w:w="2160" w:type="dxa"/>
            <w:noWrap/>
            <w:hideMark/>
          </w:tcPr>
          <w:p w14:paraId="69E4D86B" w14:textId="77777777" w:rsidR="00D75179" w:rsidRPr="00927F20" w:rsidRDefault="00D75179" w:rsidP="00303804">
            <w:pPr>
              <w:jc w:val="center"/>
              <w:rPr>
                <w:color w:val="000000"/>
                <w:sz w:val="20"/>
                <w:szCs w:val="20"/>
              </w:rPr>
            </w:pPr>
            <w:r w:rsidRPr="00927F20">
              <w:rPr>
                <w:color w:val="000000"/>
                <w:sz w:val="20"/>
                <w:szCs w:val="20"/>
              </w:rPr>
              <w:t>0.00 (0.00 – 0.00)</w:t>
            </w:r>
          </w:p>
        </w:tc>
        <w:tc>
          <w:tcPr>
            <w:tcW w:w="900" w:type="dxa"/>
            <w:gridSpan w:val="2"/>
            <w:hideMark/>
          </w:tcPr>
          <w:p w14:paraId="0B4F7B28" w14:textId="77777777" w:rsidR="00D75179" w:rsidRPr="00927F20" w:rsidRDefault="00D75179" w:rsidP="00303804">
            <w:pPr>
              <w:jc w:val="center"/>
              <w:rPr>
                <w:color w:val="000000"/>
                <w:sz w:val="20"/>
                <w:szCs w:val="20"/>
              </w:rPr>
            </w:pPr>
            <w:r w:rsidRPr="00927F20">
              <w:rPr>
                <w:color w:val="000000"/>
                <w:sz w:val="20"/>
                <w:szCs w:val="20"/>
              </w:rPr>
              <w:t>183</w:t>
            </w:r>
          </w:p>
        </w:tc>
        <w:tc>
          <w:tcPr>
            <w:tcW w:w="2250" w:type="dxa"/>
            <w:hideMark/>
          </w:tcPr>
          <w:p w14:paraId="033471CC" w14:textId="77777777" w:rsidR="00D75179" w:rsidRPr="00927F20" w:rsidRDefault="00D75179" w:rsidP="00303804">
            <w:pPr>
              <w:jc w:val="center"/>
              <w:rPr>
                <w:color w:val="000000"/>
                <w:sz w:val="20"/>
                <w:szCs w:val="20"/>
              </w:rPr>
            </w:pPr>
            <w:r w:rsidRPr="00927F20">
              <w:rPr>
                <w:color w:val="000000"/>
                <w:sz w:val="20"/>
                <w:szCs w:val="20"/>
              </w:rPr>
              <w:t>1.72 (0.56 – 5.12)</w:t>
            </w:r>
          </w:p>
        </w:tc>
        <w:tc>
          <w:tcPr>
            <w:tcW w:w="900" w:type="dxa"/>
            <w:gridSpan w:val="2"/>
            <w:hideMark/>
          </w:tcPr>
          <w:p w14:paraId="0DFE3E6F" w14:textId="77777777" w:rsidR="00D75179" w:rsidRPr="00927F20" w:rsidRDefault="00D75179" w:rsidP="00303804">
            <w:pPr>
              <w:jc w:val="center"/>
              <w:rPr>
                <w:color w:val="000000"/>
                <w:sz w:val="20"/>
                <w:szCs w:val="20"/>
              </w:rPr>
            </w:pPr>
            <w:r w:rsidRPr="00927F20">
              <w:rPr>
                <w:color w:val="000000"/>
                <w:sz w:val="20"/>
                <w:szCs w:val="20"/>
              </w:rPr>
              <w:t>203</w:t>
            </w:r>
          </w:p>
        </w:tc>
        <w:tc>
          <w:tcPr>
            <w:tcW w:w="2160" w:type="dxa"/>
            <w:noWrap/>
            <w:hideMark/>
          </w:tcPr>
          <w:p w14:paraId="6DADD8F4" w14:textId="77777777" w:rsidR="00D75179" w:rsidRPr="00927F20" w:rsidRDefault="00D75179" w:rsidP="00303804">
            <w:pPr>
              <w:jc w:val="center"/>
              <w:rPr>
                <w:color w:val="000000"/>
                <w:sz w:val="20"/>
                <w:szCs w:val="20"/>
              </w:rPr>
            </w:pPr>
            <w:r w:rsidRPr="00927F20">
              <w:rPr>
                <w:color w:val="000000"/>
                <w:sz w:val="20"/>
                <w:szCs w:val="20"/>
              </w:rPr>
              <w:t>2.22 (0.88 – 5.51)</w:t>
            </w:r>
          </w:p>
        </w:tc>
        <w:tc>
          <w:tcPr>
            <w:tcW w:w="990" w:type="dxa"/>
            <w:gridSpan w:val="2"/>
            <w:hideMark/>
          </w:tcPr>
          <w:p w14:paraId="4168F510"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728E3A5B"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4E79D0BE" w14:textId="77777777" w:rsidTr="00927F20">
        <w:trPr>
          <w:gridAfter w:val="2"/>
          <w:wAfter w:w="18" w:type="dxa"/>
          <w:trHeight w:val="360"/>
        </w:trPr>
        <w:tc>
          <w:tcPr>
            <w:tcW w:w="1255" w:type="dxa"/>
            <w:vMerge/>
            <w:hideMark/>
          </w:tcPr>
          <w:p w14:paraId="1DBEDC55" w14:textId="77777777" w:rsidR="00D75179" w:rsidRPr="00927F20" w:rsidRDefault="00D75179" w:rsidP="00927F20">
            <w:pPr>
              <w:rPr>
                <w:color w:val="000000"/>
                <w:sz w:val="20"/>
                <w:szCs w:val="20"/>
              </w:rPr>
            </w:pPr>
          </w:p>
        </w:tc>
        <w:tc>
          <w:tcPr>
            <w:tcW w:w="900" w:type="dxa"/>
            <w:noWrap/>
            <w:hideMark/>
          </w:tcPr>
          <w:p w14:paraId="3E176592" w14:textId="77777777" w:rsidR="00D75179" w:rsidRPr="00927F20" w:rsidRDefault="00D75179" w:rsidP="00927F20">
            <w:pPr>
              <w:rPr>
                <w:color w:val="000000"/>
                <w:sz w:val="20"/>
                <w:szCs w:val="20"/>
              </w:rPr>
            </w:pPr>
            <w:r w:rsidRPr="00927F20">
              <w:rPr>
                <w:color w:val="000000"/>
                <w:sz w:val="20"/>
                <w:szCs w:val="20"/>
              </w:rPr>
              <w:t>15 – 59</w:t>
            </w:r>
          </w:p>
        </w:tc>
        <w:tc>
          <w:tcPr>
            <w:tcW w:w="900" w:type="dxa"/>
            <w:hideMark/>
          </w:tcPr>
          <w:p w14:paraId="22A070D3" w14:textId="77777777" w:rsidR="00D75179" w:rsidRPr="00927F20" w:rsidRDefault="00D75179" w:rsidP="00303804">
            <w:pPr>
              <w:jc w:val="center"/>
              <w:rPr>
                <w:color w:val="000000"/>
                <w:sz w:val="20"/>
                <w:szCs w:val="20"/>
              </w:rPr>
            </w:pPr>
            <w:r w:rsidRPr="00927F20">
              <w:rPr>
                <w:color w:val="000000"/>
                <w:sz w:val="20"/>
                <w:szCs w:val="20"/>
              </w:rPr>
              <w:t>3,942</w:t>
            </w:r>
          </w:p>
        </w:tc>
        <w:tc>
          <w:tcPr>
            <w:tcW w:w="2160" w:type="dxa"/>
            <w:noWrap/>
            <w:hideMark/>
          </w:tcPr>
          <w:p w14:paraId="00151FE1" w14:textId="77777777" w:rsidR="00D75179" w:rsidRPr="00927F20" w:rsidRDefault="00D75179" w:rsidP="00303804">
            <w:pPr>
              <w:jc w:val="center"/>
              <w:rPr>
                <w:color w:val="000000"/>
                <w:sz w:val="20"/>
                <w:szCs w:val="20"/>
              </w:rPr>
            </w:pPr>
            <w:r w:rsidRPr="00927F20">
              <w:rPr>
                <w:color w:val="000000"/>
                <w:sz w:val="20"/>
                <w:szCs w:val="20"/>
              </w:rPr>
              <w:t>1.51 (1.17 – 1.94)</w:t>
            </w:r>
          </w:p>
        </w:tc>
        <w:tc>
          <w:tcPr>
            <w:tcW w:w="900" w:type="dxa"/>
            <w:gridSpan w:val="2"/>
            <w:hideMark/>
          </w:tcPr>
          <w:p w14:paraId="4574AA51" w14:textId="77777777" w:rsidR="00D75179" w:rsidRPr="00927F20" w:rsidRDefault="00D75179" w:rsidP="00303804">
            <w:pPr>
              <w:jc w:val="center"/>
              <w:rPr>
                <w:color w:val="000000"/>
                <w:sz w:val="20"/>
                <w:szCs w:val="20"/>
              </w:rPr>
            </w:pPr>
            <w:r w:rsidRPr="00927F20">
              <w:rPr>
                <w:color w:val="000000"/>
                <w:sz w:val="20"/>
                <w:szCs w:val="20"/>
              </w:rPr>
              <w:t>5,315</w:t>
            </w:r>
          </w:p>
        </w:tc>
        <w:tc>
          <w:tcPr>
            <w:tcW w:w="2250" w:type="dxa"/>
            <w:hideMark/>
          </w:tcPr>
          <w:p w14:paraId="27B6CC61" w14:textId="77777777" w:rsidR="00D75179" w:rsidRPr="00927F20" w:rsidRDefault="00D75179" w:rsidP="00303804">
            <w:pPr>
              <w:jc w:val="center"/>
              <w:rPr>
                <w:color w:val="000000"/>
                <w:sz w:val="20"/>
                <w:szCs w:val="20"/>
              </w:rPr>
            </w:pPr>
            <w:r w:rsidRPr="00927F20">
              <w:rPr>
                <w:color w:val="000000"/>
                <w:sz w:val="20"/>
                <w:szCs w:val="20"/>
              </w:rPr>
              <w:t>1.86 (1.53 – 2.26)</w:t>
            </w:r>
          </w:p>
        </w:tc>
        <w:tc>
          <w:tcPr>
            <w:tcW w:w="900" w:type="dxa"/>
            <w:gridSpan w:val="2"/>
            <w:hideMark/>
          </w:tcPr>
          <w:p w14:paraId="2ACB7C62" w14:textId="77777777" w:rsidR="00D75179" w:rsidRPr="00927F20" w:rsidRDefault="00D75179" w:rsidP="00303804">
            <w:pPr>
              <w:jc w:val="center"/>
              <w:rPr>
                <w:color w:val="000000"/>
                <w:sz w:val="20"/>
                <w:szCs w:val="20"/>
              </w:rPr>
            </w:pPr>
            <w:r w:rsidRPr="00927F20">
              <w:rPr>
                <w:color w:val="000000"/>
                <w:sz w:val="20"/>
                <w:szCs w:val="20"/>
              </w:rPr>
              <w:t>4,963</w:t>
            </w:r>
          </w:p>
        </w:tc>
        <w:tc>
          <w:tcPr>
            <w:tcW w:w="2160" w:type="dxa"/>
            <w:noWrap/>
            <w:hideMark/>
          </w:tcPr>
          <w:p w14:paraId="5B6F7898" w14:textId="77777777" w:rsidR="00D75179" w:rsidRPr="00927F20" w:rsidRDefault="00D75179" w:rsidP="00303804">
            <w:pPr>
              <w:jc w:val="center"/>
              <w:rPr>
                <w:color w:val="000000"/>
                <w:sz w:val="20"/>
                <w:szCs w:val="20"/>
              </w:rPr>
            </w:pPr>
            <w:r w:rsidRPr="00927F20">
              <w:rPr>
                <w:color w:val="000000"/>
                <w:sz w:val="20"/>
                <w:szCs w:val="20"/>
              </w:rPr>
              <w:t>1.79 (1.46 – 2.21)</w:t>
            </w:r>
          </w:p>
        </w:tc>
        <w:tc>
          <w:tcPr>
            <w:tcW w:w="990" w:type="dxa"/>
            <w:gridSpan w:val="2"/>
            <w:hideMark/>
          </w:tcPr>
          <w:p w14:paraId="5E723383"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5E2F0FB1"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4FE59967" w14:textId="77777777" w:rsidTr="00927F20">
        <w:trPr>
          <w:gridAfter w:val="2"/>
          <w:wAfter w:w="18" w:type="dxa"/>
          <w:trHeight w:val="360"/>
        </w:trPr>
        <w:tc>
          <w:tcPr>
            <w:tcW w:w="1255" w:type="dxa"/>
            <w:vMerge w:val="restart"/>
            <w:noWrap/>
            <w:hideMark/>
          </w:tcPr>
          <w:p w14:paraId="3249E1E4" w14:textId="77777777" w:rsidR="00D75179" w:rsidRPr="00927F20" w:rsidRDefault="00D75179" w:rsidP="00927F20">
            <w:pPr>
              <w:rPr>
                <w:color w:val="000000"/>
                <w:sz w:val="20"/>
                <w:szCs w:val="20"/>
              </w:rPr>
            </w:pPr>
            <w:r w:rsidRPr="00927F20">
              <w:rPr>
                <w:color w:val="000000"/>
                <w:sz w:val="20"/>
                <w:szCs w:val="20"/>
              </w:rPr>
              <w:t>Men</w:t>
            </w:r>
          </w:p>
        </w:tc>
        <w:tc>
          <w:tcPr>
            <w:tcW w:w="900" w:type="dxa"/>
            <w:noWrap/>
            <w:hideMark/>
          </w:tcPr>
          <w:p w14:paraId="576BABA3" w14:textId="77777777" w:rsidR="00D75179" w:rsidRPr="00927F20" w:rsidRDefault="00D75179" w:rsidP="00927F20">
            <w:pPr>
              <w:rPr>
                <w:color w:val="000000"/>
                <w:sz w:val="20"/>
                <w:szCs w:val="20"/>
              </w:rPr>
            </w:pPr>
            <w:r w:rsidRPr="00927F20">
              <w:rPr>
                <w:color w:val="000000"/>
                <w:sz w:val="20"/>
                <w:szCs w:val="20"/>
              </w:rPr>
              <w:t>15 – 49</w:t>
            </w:r>
          </w:p>
        </w:tc>
        <w:tc>
          <w:tcPr>
            <w:tcW w:w="900" w:type="dxa"/>
            <w:hideMark/>
          </w:tcPr>
          <w:p w14:paraId="58A474D0"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38223F48"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hideMark/>
          </w:tcPr>
          <w:p w14:paraId="14E28054" w14:textId="77777777" w:rsidR="00D75179" w:rsidRPr="00927F20" w:rsidRDefault="00D75179" w:rsidP="00303804">
            <w:pPr>
              <w:jc w:val="center"/>
              <w:rPr>
                <w:color w:val="000000"/>
                <w:sz w:val="20"/>
                <w:szCs w:val="20"/>
              </w:rPr>
            </w:pPr>
            <w:r w:rsidRPr="00927F20">
              <w:rPr>
                <w:color w:val="000000"/>
                <w:sz w:val="20"/>
                <w:szCs w:val="20"/>
              </w:rPr>
              <w:t>—</w:t>
            </w:r>
          </w:p>
        </w:tc>
        <w:tc>
          <w:tcPr>
            <w:tcW w:w="2250" w:type="dxa"/>
            <w:hideMark/>
          </w:tcPr>
          <w:p w14:paraId="5061E1D1"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hideMark/>
          </w:tcPr>
          <w:p w14:paraId="5620FDD2"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4AB63489" w14:textId="77777777" w:rsidR="00D75179" w:rsidRPr="00927F20" w:rsidRDefault="00D75179" w:rsidP="00303804">
            <w:pPr>
              <w:jc w:val="center"/>
              <w:rPr>
                <w:color w:val="000000"/>
                <w:sz w:val="20"/>
                <w:szCs w:val="20"/>
              </w:rPr>
            </w:pPr>
            <w:r w:rsidRPr="00927F20">
              <w:rPr>
                <w:color w:val="000000"/>
                <w:sz w:val="20"/>
                <w:szCs w:val="20"/>
              </w:rPr>
              <w:t>—</w:t>
            </w:r>
          </w:p>
        </w:tc>
        <w:tc>
          <w:tcPr>
            <w:tcW w:w="990" w:type="dxa"/>
            <w:gridSpan w:val="2"/>
            <w:hideMark/>
          </w:tcPr>
          <w:p w14:paraId="4B0A3E0A" w14:textId="4F3806B4" w:rsidR="00D75179" w:rsidRPr="00927F20" w:rsidRDefault="008774AA" w:rsidP="00303804">
            <w:pPr>
              <w:jc w:val="center"/>
              <w:rPr>
                <w:color w:val="000000"/>
                <w:sz w:val="20"/>
                <w:szCs w:val="20"/>
              </w:rPr>
            </w:pPr>
            <w:r>
              <w:rPr>
                <w:color w:val="000000"/>
                <w:sz w:val="20"/>
                <w:szCs w:val="20"/>
              </w:rPr>
              <w:t>12,167</w:t>
            </w:r>
          </w:p>
        </w:tc>
        <w:tc>
          <w:tcPr>
            <w:tcW w:w="2070" w:type="dxa"/>
            <w:noWrap/>
            <w:hideMark/>
          </w:tcPr>
          <w:p w14:paraId="62FAF067" w14:textId="77777777" w:rsidR="00D75179" w:rsidRPr="00927F20" w:rsidRDefault="00D75179" w:rsidP="00303804">
            <w:pPr>
              <w:jc w:val="center"/>
              <w:rPr>
                <w:color w:val="000000"/>
                <w:sz w:val="20"/>
                <w:szCs w:val="20"/>
              </w:rPr>
            </w:pPr>
            <w:r w:rsidRPr="00927F20">
              <w:rPr>
                <w:color w:val="000000"/>
                <w:sz w:val="20"/>
                <w:szCs w:val="20"/>
              </w:rPr>
              <w:t>1.8 (1.5 – 2.1)</w:t>
            </w:r>
          </w:p>
        </w:tc>
      </w:tr>
      <w:tr w:rsidR="00D75179" w:rsidRPr="00927F20" w14:paraId="7741A4FF" w14:textId="77777777" w:rsidTr="00927F20">
        <w:trPr>
          <w:gridAfter w:val="2"/>
          <w:wAfter w:w="18" w:type="dxa"/>
          <w:trHeight w:val="360"/>
        </w:trPr>
        <w:tc>
          <w:tcPr>
            <w:tcW w:w="1255" w:type="dxa"/>
            <w:vMerge/>
            <w:hideMark/>
          </w:tcPr>
          <w:p w14:paraId="363AD32B" w14:textId="77777777" w:rsidR="00D75179" w:rsidRPr="00927F20" w:rsidRDefault="00D75179" w:rsidP="00927F20">
            <w:pPr>
              <w:rPr>
                <w:color w:val="000000"/>
                <w:sz w:val="20"/>
                <w:szCs w:val="20"/>
              </w:rPr>
            </w:pPr>
          </w:p>
        </w:tc>
        <w:tc>
          <w:tcPr>
            <w:tcW w:w="900" w:type="dxa"/>
            <w:noWrap/>
            <w:hideMark/>
          </w:tcPr>
          <w:p w14:paraId="09C3EECB" w14:textId="77777777" w:rsidR="00D75179" w:rsidRPr="00927F20" w:rsidRDefault="00D75179" w:rsidP="00927F20">
            <w:pPr>
              <w:rPr>
                <w:color w:val="000000"/>
                <w:sz w:val="20"/>
                <w:szCs w:val="20"/>
              </w:rPr>
            </w:pPr>
            <w:r w:rsidRPr="00927F20">
              <w:rPr>
                <w:color w:val="000000"/>
                <w:sz w:val="20"/>
                <w:szCs w:val="20"/>
              </w:rPr>
              <w:t>15 – 64</w:t>
            </w:r>
          </w:p>
        </w:tc>
        <w:tc>
          <w:tcPr>
            <w:tcW w:w="900" w:type="dxa"/>
            <w:hideMark/>
          </w:tcPr>
          <w:p w14:paraId="3CAC90E0"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433EC4E1"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hideMark/>
          </w:tcPr>
          <w:p w14:paraId="5A13CDF8" w14:textId="77777777" w:rsidR="00D75179" w:rsidRPr="00927F20" w:rsidRDefault="00D75179" w:rsidP="00303804">
            <w:pPr>
              <w:jc w:val="center"/>
              <w:rPr>
                <w:color w:val="000000"/>
                <w:sz w:val="20"/>
                <w:szCs w:val="20"/>
              </w:rPr>
            </w:pPr>
            <w:r w:rsidRPr="00927F20">
              <w:rPr>
                <w:color w:val="000000"/>
                <w:sz w:val="20"/>
                <w:szCs w:val="20"/>
              </w:rPr>
              <w:t>—</w:t>
            </w:r>
          </w:p>
        </w:tc>
        <w:tc>
          <w:tcPr>
            <w:tcW w:w="2250" w:type="dxa"/>
            <w:hideMark/>
          </w:tcPr>
          <w:p w14:paraId="44D181F4"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hideMark/>
          </w:tcPr>
          <w:p w14:paraId="347345D5"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454ACE33" w14:textId="77777777" w:rsidR="00D75179" w:rsidRPr="00927F20" w:rsidRDefault="00D75179" w:rsidP="00303804">
            <w:pPr>
              <w:jc w:val="center"/>
              <w:rPr>
                <w:color w:val="000000"/>
                <w:sz w:val="20"/>
                <w:szCs w:val="20"/>
              </w:rPr>
            </w:pPr>
            <w:r w:rsidRPr="00927F20">
              <w:rPr>
                <w:color w:val="000000"/>
                <w:sz w:val="20"/>
                <w:szCs w:val="20"/>
              </w:rPr>
              <w:t>—</w:t>
            </w:r>
          </w:p>
        </w:tc>
        <w:tc>
          <w:tcPr>
            <w:tcW w:w="990" w:type="dxa"/>
            <w:gridSpan w:val="2"/>
            <w:hideMark/>
          </w:tcPr>
          <w:p w14:paraId="61D561DA" w14:textId="6B4A061A" w:rsidR="00D75179" w:rsidRPr="00927F20" w:rsidRDefault="008774AA" w:rsidP="00303804">
            <w:pPr>
              <w:jc w:val="center"/>
              <w:rPr>
                <w:color w:val="000000"/>
                <w:sz w:val="20"/>
                <w:szCs w:val="20"/>
              </w:rPr>
            </w:pPr>
            <w:r>
              <w:rPr>
                <w:color w:val="000000"/>
                <w:sz w:val="20"/>
                <w:szCs w:val="20"/>
              </w:rPr>
              <w:t>13,780</w:t>
            </w:r>
          </w:p>
        </w:tc>
        <w:tc>
          <w:tcPr>
            <w:tcW w:w="2070" w:type="dxa"/>
            <w:noWrap/>
            <w:hideMark/>
          </w:tcPr>
          <w:p w14:paraId="5217D48A" w14:textId="77777777" w:rsidR="00D75179" w:rsidRPr="00927F20" w:rsidRDefault="00D75179" w:rsidP="00303804">
            <w:pPr>
              <w:jc w:val="center"/>
              <w:rPr>
                <w:color w:val="000000"/>
                <w:sz w:val="20"/>
                <w:szCs w:val="20"/>
              </w:rPr>
            </w:pPr>
            <w:r w:rsidRPr="00927F20">
              <w:rPr>
                <w:color w:val="000000"/>
                <w:sz w:val="20"/>
                <w:szCs w:val="20"/>
              </w:rPr>
              <w:t>2.2 (1.9 – 2.6)</w:t>
            </w:r>
          </w:p>
        </w:tc>
      </w:tr>
      <w:tr w:rsidR="00D75179" w:rsidRPr="00927F20" w14:paraId="32CD914F" w14:textId="77777777" w:rsidTr="00927F20">
        <w:trPr>
          <w:gridAfter w:val="2"/>
          <w:wAfter w:w="18" w:type="dxa"/>
          <w:trHeight w:val="360"/>
        </w:trPr>
        <w:tc>
          <w:tcPr>
            <w:tcW w:w="1255" w:type="dxa"/>
            <w:vMerge w:val="restart"/>
            <w:hideMark/>
          </w:tcPr>
          <w:p w14:paraId="2C63B5F0" w14:textId="77777777" w:rsidR="00D75179" w:rsidRPr="00927F20" w:rsidRDefault="00D75179" w:rsidP="00927F20">
            <w:pPr>
              <w:rPr>
                <w:color w:val="000000"/>
                <w:sz w:val="20"/>
                <w:szCs w:val="20"/>
              </w:rPr>
            </w:pPr>
            <w:r w:rsidRPr="00927F20">
              <w:rPr>
                <w:color w:val="000000"/>
                <w:sz w:val="20"/>
                <w:szCs w:val="20"/>
              </w:rPr>
              <w:t>Low-risk urban women</w:t>
            </w:r>
          </w:p>
        </w:tc>
        <w:tc>
          <w:tcPr>
            <w:tcW w:w="900" w:type="dxa"/>
            <w:noWrap/>
            <w:hideMark/>
          </w:tcPr>
          <w:p w14:paraId="08476FDD" w14:textId="77777777" w:rsidR="00D75179" w:rsidRPr="00927F20" w:rsidRDefault="00D75179" w:rsidP="00927F20">
            <w:pPr>
              <w:rPr>
                <w:color w:val="000000"/>
                <w:sz w:val="20"/>
                <w:szCs w:val="20"/>
              </w:rPr>
            </w:pPr>
            <w:r w:rsidRPr="00927F20">
              <w:rPr>
                <w:color w:val="000000"/>
                <w:sz w:val="20"/>
                <w:szCs w:val="20"/>
              </w:rPr>
              <w:t>15-24</w:t>
            </w:r>
          </w:p>
        </w:tc>
        <w:tc>
          <w:tcPr>
            <w:tcW w:w="900" w:type="dxa"/>
            <w:hideMark/>
          </w:tcPr>
          <w:p w14:paraId="379B2330" w14:textId="77777777" w:rsidR="00D75179" w:rsidRPr="00927F20" w:rsidRDefault="00D75179" w:rsidP="00303804">
            <w:pPr>
              <w:jc w:val="center"/>
              <w:rPr>
                <w:color w:val="000000"/>
                <w:sz w:val="20"/>
                <w:szCs w:val="20"/>
              </w:rPr>
            </w:pPr>
            <w:r w:rsidRPr="00927F20">
              <w:rPr>
                <w:color w:val="000000"/>
                <w:sz w:val="20"/>
                <w:szCs w:val="20"/>
              </w:rPr>
              <w:t>435</w:t>
            </w:r>
          </w:p>
        </w:tc>
        <w:tc>
          <w:tcPr>
            <w:tcW w:w="2160" w:type="dxa"/>
            <w:noWrap/>
            <w:hideMark/>
          </w:tcPr>
          <w:p w14:paraId="55A1C13A" w14:textId="77777777" w:rsidR="00D75179" w:rsidRPr="00927F20" w:rsidRDefault="00D75179" w:rsidP="00303804">
            <w:pPr>
              <w:jc w:val="center"/>
              <w:rPr>
                <w:color w:val="000000"/>
                <w:sz w:val="20"/>
                <w:szCs w:val="20"/>
              </w:rPr>
            </w:pPr>
            <w:r w:rsidRPr="00927F20">
              <w:rPr>
                <w:color w:val="000000"/>
                <w:sz w:val="20"/>
                <w:szCs w:val="20"/>
              </w:rPr>
              <w:t>4.04 (2.54 – 6.37)</w:t>
            </w:r>
          </w:p>
        </w:tc>
        <w:tc>
          <w:tcPr>
            <w:tcW w:w="900" w:type="dxa"/>
            <w:gridSpan w:val="2"/>
            <w:hideMark/>
          </w:tcPr>
          <w:p w14:paraId="397EB147" w14:textId="77777777" w:rsidR="00D75179" w:rsidRPr="00927F20" w:rsidRDefault="00D75179" w:rsidP="00303804">
            <w:pPr>
              <w:jc w:val="center"/>
              <w:rPr>
                <w:color w:val="000000"/>
                <w:sz w:val="20"/>
                <w:szCs w:val="20"/>
              </w:rPr>
            </w:pPr>
            <w:r w:rsidRPr="00927F20">
              <w:rPr>
                <w:color w:val="000000"/>
                <w:sz w:val="20"/>
                <w:szCs w:val="20"/>
              </w:rPr>
              <w:t>472</w:t>
            </w:r>
          </w:p>
        </w:tc>
        <w:tc>
          <w:tcPr>
            <w:tcW w:w="2250" w:type="dxa"/>
            <w:hideMark/>
          </w:tcPr>
          <w:p w14:paraId="4C63B726" w14:textId="77777777" w:rsidR="00D75179" w:rsidRPr="00927F20" w:rsidRDefault="00D75179" w:rsidP="00303804">
            <w:pPr>
              <w:jc w:val="center"/>
              <w:rPr>
                <w:color w:val="000000"/>
                <w:sz w:val="20"/>
                <w:szCs w:val="20"/>
              </w:rPr>
            </w:pPr>
            <w:r w:rsidRPr="00927F20">
              <w:rPr>
                <w:color w:val="000000"/>
                <w:sz w:val="20"/>
                <w:szCs w:val="20"/>
              </w:rPr>
              <w:t>3.70 (2.32 – 5.85)</w:t>
            </w:r>
          </w:p>
        </w:tc>
        <w:tc>
          <w:tcPr>
            <w:tcW w:w="900" w:type="dxa"/>
            <w:gridSpan w:val="2"/>
            <w:hideMark/>
          </w:tcPr>
          <w:p w14:paraId="28761C26" w14:textId="77777777" w:rsidR="00D75179" w:rsidRPr="00927F20" w:rsidRDefault="00D75179" w:rsidP="00303804">
            <w:pPr>
              <w:jc w:val="center"/>
              <w:rPr>
                <w:color w:val="000000"/>
                <w:sz w:val="20"/>
                <w:szCs w:val="20"/>
              </w:rPr>
            </w:pPr>
            <w:r w:rsidRPr="00927F20">
              <w:rPr>
                <w:color w:val="000000"/>
                <w:sz w:val="20"/>
                <w:szCs w:val="20"/>
              </w:rPr>
              <w:t>520</w:t>
            </w:r>
          </w:p>
        </w:tc>
        <w:tc>
          <w:tcPr>
            <w:tcW w:w="2160" w:type="dxa"/>
            <w:noWrap/>
            <w:hideMark/>
          </w:tcPr>
          <w:p w14:paraId="5622B47F" w14:textId="77777777" w:rsidR="00D75179" w:rsidRPr="00927F20" w:rsidRDefault="00D75179" w:rsidP="00303804">
            <w:pPr>
              <w:jc w:val="center"/>
              <w:rPr>
                <w:color w:val="000000"/>
                <w:sz w:val="20"/>
                <w:szCs w:val="20"/>
              </w:rPr>
            </w:pPr>
            <w:r w:rsidRPr="00927F20">
              <w:rPr>
                <w:color w:val="000000"/>
                <w:sz w:val="20"/>
                <w:szCs w:val="20"/>
              </w:rPr>
              <w:t>2.74 (1.64 – 4.57)</w:t>
            </w:r>
          </w:p>
        </w:tc>
        <w:tc>
          <w:tcPr>
            <w:tcW w:w="990" w:type="dxa"/>
            <w:gridSpan w:val="2"/>
            <w:hideMark/>
          </w:tcPr>
          <w:p w14:paraId="0C734C0C"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3E392F04"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1B46FBE9" w14:textId="77777777" w:rsidTr="00927F20">
        <w:trPr>
          <w:gridAfter w:val="2"/>
          <w:wAfter w:w="18" w:type="dxa"/>
          <w:trHeight w:val="360"/>
        </w:trPr>
        <w:tc>
          <w:tcPr>
            <w:tcW w:w="1255" w:type="dxa"/>
            <w:vMerge/>
            <w:hideMark/>
          </w:tcPr>
          <w:p w14:paraId="134C49E9" w14:textId="77777777" w:rsidR="00D75179" w:rsidRPr="00927F20" w:rsidRDefault="00D75179" w:rsidP="00927F20">
            <w:pPr>
              <w:rPr>
                <w:color w:val="000000"/>
                <w:sz w:val="20"/>
                <w:szCs w:val="20"/>
              </w:rPr>
            </w:pPr>
          </w:p>
        </w:tc>
        <w:tc>
          <w:tcPr>
            <w:tcW w:w="900" w:type="dxa"/>
            <w:noWrap/>
            <w:hideMark/>
          </w:tcPr>
          <w:p w14:paraId="70BC2AAF" w14:textId="77777777" w:rsidR="00D75179" w:rsidRPr="00927F20" w:rsidRDefault="00D75179" w:rsidP="00927F20">
            <w:pPr>
              <w:rPr>
                <w:color w:val="000000"/>
                <w:sz w:val="20"/>
                <w:szCs w:val="20"/>
              </w:rPr>
            </w:pPr>
            <w:r w:rsidRPr="00927F20">
              <w:rPr>
                <w:color w:val="000000"/>
                <w:sz w:val="20"/>
                <w:szCs w:val="20"/>
              </w:rPr>
              <w:t>25-34</w:t>
            </w:r>
          </w:p>
        </w:tc>
        <w:tc>
          <w:tcPr>
            <w:tcW w:w="900" w:type="dxa"/>
            <w:hideMark/>
          </w:tcPr>
          <w:p w14:paraId="7DBE80DE" w14:textId="77777777" w:rsidR="00D75179" w:rsidRPr="00927F20" w:rsidRDefault="00D75179" w:rsidP="00303804">
            <w:pPr>
              <w:jc w:val="center"/>
              <w:rPr>
                <w:color w:val="000000"/>
                <w:sz w:val="20"/>
                <w:szCs w:val="20"/>
              </w:rPr>
            </w:pPr>
            <w:r w:rsidRPr="00927F20">
              <w:rPr>
                <w:color w:val="000000"/>
                <w:sz w:val="20"/>
                <w:szCs w:val="20"/>
              </w:rPr>
              <w:t>300</w:t>
            </w:r>
          </w:p>
        </w:tc>
        <w:tc>
          <w:tcPr>
            <w:tcW w:w="2160" w:type="dxa"/>
            <w:noWrap/>
            <w:hideMark/>
          </w:tcPr>
          <w:p w14:paraId="1062CA40" w14:textId="77777777" w:rsidR="00D75179" w:rsidRPr="00927F20" w:rsidRDefault="00D75179" w:rsidP="00303804">
            <w:pPr>
              <w:jc w:val="center"/>
              <w:rPr>
                <w:color w:val="000000"/>
                <w:sz w:val="20"/>
                <w:szCs w:val="20"/>
              </w:rPr>
            </w:pPr>
            <w:r w:rsidRPr="00927F20">
              <w:rPr>
                <w:color w:val="000000"/>
                <w:sz w:val="20"/>
                <w:szCs w:val="20"/>
              </w:rPr>
              <w:t>9.43 (6.59 – 13.32)</w:t>
            </w:r>
          </w:p>
        </w:tc>
        <w:tc>
          <w:tcPr>
            <w:tcW w:w="900" w:type="dxa"/>
            <w:gridSpan w:val="2"/>
            <w:hideMark/>
          </w:tcPr>
          <w:p w14:paraId="38F5A7A2" w14:textId="77777777" w:rsidR="00D75179" w:rsidRPr="00927F20" w:rsidRDefault="00D75179" w:rsidP="00303804">
            <w:pPr>
              <w:jc w:val="center"/>
              <w:rPr>
                <w:color w:val="000000"/>
                <w:sz w:val="20"/>
                <w:szCs w:val="20"/>
              </w:rPr>
            </w:pPr>
            <w:r w:rsidRPr="00927F20">
              <w:rPr>
                <w:color w:val="000000"/>
                <w:sz w:val="20"/>
                <w:szCs w:val="20"/>
              </w:rPr>
              <w:t>335</w:t>
            </w:r>
          </w:p>
        </w:tc>
        <w:tc>
          <w:tcPr>
            <w:tcW w:w="2250" w:type="dxa"/>
            <w:hideMark/>
          </w:tcPr>
          <w:p w14:paraId="432CB609" w14:textId="77777777" w:rsidR="00D75179" w:rsidRPr="00927F20" w:rsidRDefault="00D75179" w:rsidP="00303804">
            <w:pPr>
              <w:jc w:val="center"/>
              <w:rPr>
                <w:color w:val="000000"/>
                <w:sz w:val="20"/>
                <w:szCs w:val="20"/>
              </w:rPr>
            </w:pPr>
            <w:r w:rsidRPr="00927F20">
              <w:rPr>
                <w:color w:val="000000"/>
                <w:sz w:val="20"/>
                <w:szCs w:val="20"/>
              </w:rPr>
              <w:t>7.45 (5.07 – 10.81)</w:t>
            </w:r>
          </w:p>
        </w:tc>
        <w:tc>
          <w:tcPr>
            <w:tcW w:w="900" w:type="dxa"/>
            <w:gridSpan w:val="2"/>
            <w:hideMark/>
          </w:tcPr>
          <w:p w14:paraId="25505C5A" w14:textId="77777777" w:rsidR="00D75179" w:rsidRPr="00927F20" w:rsidRDefault="00D75179" w:rsidP="00303804">
            <w:pPr>
              <w:jc w:val="center"/>
              <w:rPr>
                <w:color w:val="000000"/>
                <w:sz w:val="20"/>
                <w:szCs w:val="20"/>
              </w:rPr>
            </w:pPr>
            <w:r w:rsidRPr="00927F20">
              <w:rPr>
                <w:color w:val="000000"/>
                <w:sz w:val="20"/>
                <w:szCs w:val="20"/>
              </w:rPr>
              <w:t>466</w:t>
            </w:r>
          </w:p>
        </w:tc>
        <w:tc>
          <w:tcPr>
            <w:tcW w:w="2160" w:type="dxa"/>
            <w:noWrap/>
            <w:hideMark/>
          </w:tcPr>
          <w:p w14:paraId="16F39D73" w14:textId="77777777" w:rsidR="00D75179" w:rsidRPr="00927F20" w:rsidRDefault="00D75179" w:rsidP="00303804">
            <w:pPr>
              <w:jc w:val="center"/>
              <w:rPr>
                <w:color w:val="000000"/>
                <w:sz w:val="20"/>
                <w:szCs w:val="20"/>
              </w:rPr>
            </w:pPr>
            <w:r w:rsidRPr="00927F20">
              <w:rPr>
                <w:color w:val="000000"/>
                <w:sz w:val="20"/>
                <w:szCs w:val="20"/>
              </w:rPr>
              <w:t>9.59 (7.22 – 12.63)</w:t>
            </w:r>
          </w:p>
        </w:tc>
        <w:tc>
          <w:tcPr>
            <w:tcW w:w="990" w:type="dxa"/>
            <w:gridSpan w:val="2"/>
            <w:hideMark/>
          </w:tcPr>
          <w:p w14:paraId="1AEBF376"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68E7AF8F"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3849B6DB" w14:textId="77777777" w:rsidTr="00927F20">
        <w:trPr>
          <w:gridAfter w:val="2"/>
          <w:wAfter w:w="18" w:type="dxa"/>
          <w:trHeight w:val="360"/>
        </w:trPr>
        <w:tc>
          <w:tcPr>
            <w:tcW w:w="1255" w:type="dxa"/>
            <w:vMerge/>
            <w:hideMark/>
          </w:tcPr>
          <w:p w14:paraId="0D3ACFE5" w14:textId="77777777" w:rsidR="00D75179" w:rsidRPr="00927F20" w:rsidRDefault="00D75179" w:rsidP="00927F20">
            <w:pPr>
              <w:rPr>
                <w:color w:val="000000"/>
                <w:sz w:val="20"/>
                <w:szCs w:val="20"/>
              </w:rPr>
            </w:pPr>
          </w:p>
        </w:tc>
        <w:tc>
          <w:tcPr>
            <w:tcW w:w="900" w:type="dxa"/>
            <w:noWrap/>
            <w:hideMark/>
          </w:tcPr>
          <w:p w14:paraId="24464B27" w14:textId="77777777" w:rsidR="00D75179" w:rsidRPr="00927F20" w:rsidRDefault="00D75179" w:rsidP="00927F20">
            <w:pPr>
              <w:rPr>
                <w:color w:val="000000"/>
                <w:sz w:val="20"/>
                <w:szCs w:val="20"/>
              </w:rPr>
            </w:pPr>
            <w:r w:rsidRPr="00927F20">
              <w:rPr>
                <w:color w:val="000000"/>
                <w:sz w:val="20"/>
                <w:szCs w:val="20"/>
              </w:rPr>
              <w:t>35-44</w:t>
            </w:r>
          </w:p>
        </w:tc>
        <w:tc>
          <w:tcPr>
            <w:tcW w:w="900" w:type="dxa"/>
            <w:hideMark/>
          </w:tcPr>
          <w:p w14:paraId="37BDCB2B" w14:textId="77777777" w:rsidR="00D75179" w:rsidRPr="00927F20" w:rsidRDefault="00D75179" w:rsidP="00303804">
            <w:pPr>
              <w:jc w:val="center"/>
              <w:rPr>
                <w:color w:val="000000"/>
                <w:sz w:val="20"/>
                <w:szCs w:val="20"/>
              </w:rPr>
            </w:pPr>
            <w:r w:rsidRPr="00927F20">
              <w:rPr>
                <w:color w:val="000000"/>
                <w:sz w:val="20"/>
                <w:szCs w:val="20"/>
              </w:rPr>
              <w:t>164</w:t>
            </w:r>
          </w:p>
        </w:tc>
        <w:tc>
          <w:tcPr>
            <w:tcW w:w="2160" w:type="dxa"/>
            <w:noWrap/>
            <w:hideMark/>
          </w:tcPr>
          <w:p w14:paraId="07280CB6" w14:textId="77777777" w:rsidR="00D75179" w:rsidRPr="00927F20" w:rsidRDefault="00D75179" w:rsidP="00303804">
            <w:pPr>
              <w:jc w:val="center"/>
              <w:rPr>
                <w:color w:val="000000"/>
                <w:sz w:val="20"/>
                <w:szCs w:val="20"/>
              </w:rPr>
            </w:pPr>
            <w:r w:rsidRPr="00927F20">
              <w:rPr>
                <w:color w:val="000000"/>
                <w:sz w:val="20"/>
                <w:szCs w:val="20"/>
              </w:rPr>
              <w:t>19.13 (13.78 – 25.95)</w:t>
            </w:r>
          </w:p>
        </w:tc>
        <w:tc>
          <w:tcPr>
            <w:tcW w:w="900" w:type="dxa"/>
            <w:gridSpan w:val="2"/>
            <w:hideMark/>
          </w:tcPr>
          <w:p w14:paraId="267C5EA9" w14:textId="77777777" w:rsidR="00D75179" w:rsidRPr="00927F20" w:rsidRDefault="00D75179" w:rsidP="00303804">
            <w:pPr>
              <w:jc w:val="center"/>
              <w:rPr>
                <w:color w:val="000000"/>
                <w:sz w:val="20"/>
                <w:szCs w:val="20"/>
              </w:rPr>
            </w:pPr>
            <w:r w:rsidRPr="00927F20">
              <w:rPr>
                <w:color w:val="000000"/>
                <w:sz w:val="20"/>
                <w:szCs w:val="20"/>
              </w:rPr>
              <w:t>178</w:t>
            </w:r>
          </w:p>
        </w:tc>
        <w:tc>
          <w:tcPr>
            <w:tcW w:w="2250" w:type="dxa"/>
            <w:hideMark/>
          </w:tcPr>
          <w:p w14:paraId="0C484A3F" w14:textId="77777777" w:rsidR="00D75179" w:rsidRPr="00927F20" w:rsidRDefault="00D75179" w:rsidP="00303804">
            <w:pPr>
              <w:jc w:val="center"/>
              <w:rPr>
                <w:color w:val="000000"/>
                <w:sz w:val="20"/>
                <w:szCs w:val="20"/>
              </w:rPr>
            </w:pPr>
            <w:r w:rsidRPr="00927F20">
              <w:rPr>
                <w:color w:val="000000"/>
                <w:sz w:val="20"/>
                <w:szCs w:val="20"/>
              </w:rPr>
              <w:t>20.75 (15.38 – 27.39)</w:t>
            </w:r>
          </w:p>
        </w:tc>
        <w:tc>
          <w:tcPr>
            <w:tcW w:w="900" w:type="dxa"/>
            <w:gridSpan w:val="2"/>
            <w:hideMark/>
          </w:tcPr>
          <w:p w14:paraId="4C5505FD" w14:textId="77777777" w:rsidR="00D75179" w:rsidRPr="00927F20" w:rsidRDefault="00D75179" w:rsidP="00303804">
            <w:pPr>
              <w:jc w:val="center"/>
              <w:rPr>
                <w:color w:val="000000"/>
                <w:sz w:val="20"/>
                <w:szCs w:val="20"/>
              </w:rPr>
            </w:pPr>
            <w:r w:rsidRPr="00927F20">
              <w:rPr>
                <w:color w:val="000000"/>
                <w:sz w:val="20"/>
                <w:szCs w:val="20"/>
              </w:rPr>
              <w:t>222</w:t>
            </w:r>
          </w:p>
        </w:tc>
        <w:tc>
          <w:tcPr>
            <w:tcW w:w="2160" w:type="dxa"/>
            <w:noWrap/>
            <w:hideMark/>
          </w:tcPr>
          <w:p w14:paraId="74D3901A" w14:textId="77777777" w:rsidR="00D75179" w:rsidRPr="00927F20" w:rsidRDefault="00D75179" w:rsidP="00303804">
            <w:pPr>
              <w:jc w:val="center"/>
              <w:rPr>
                <w:color w:val="000000"/>
                <w:sz w:val="20"/>
                <w:szCs w:val="20"/>
              </w:rPr>
            </w:pPr>
            <w:r w:rsidRPr="00927F20">
              <w:rPr>
                <w:color w:val="000000"/>
                <w:sz w:val="20"/>
                <w:szCs w:val="20"/>
              </w:rPr>
              <w:t>13.88 (9.89 – 19.12)</w:t>
            </w:r>
          </w:p>
        </w:tc>
        <w:tc>
          <w:tcPr>
            <w:tcW w:w="990" w:type="dxa"/>
            <w:gridSpan w:val="2"/>
            <w:hideMark/>
          </w:tcPr>
          <w:p w14:paraId="734C2370"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4AF87267"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747A1F49" w14:textId="77777777" w:rsidTr="00927F20">
        <w:trPr>
          <w:gridAfter w:val="2"/>
          <w:wAfter w:w="18" w:type="dxa"/>
          <w:trHeight w:val="360"/>
        </w:trPr>
        <w:tc>
          <w:tcPr>
            <w:tcW w:w="1255" w:type="dxa"/>
            <w:vMerge/>
            <w:hideMark/>
          </w:tcPr>
          <w:p w14:paraId="7EF8B670" w14:textId="77777777" w:rsidR="00D75179" w:rsidRPr="00927F20" w:rsidRDefault="00D75179" w:rsidP="00927F20">
            <w:pPr>
              <w:rPr>
                <w:color w:val="000000"/>
                <w:sz w:val="20"/>
                <w:szCs w:val="20"/>
              </w:rPr>
            </w:pPr>
          </w:p>
        </w:tc>
        <w:tc>
          <w:tcPr>
            <w:tcW w:w="900" w:type="dxa"/>
            <w:noWrap/>
            <w:hideMark/>
          </w:tcPr>
          <w:p w14:paraId="267BE073" w14:textId="77777777" w:rsidR="00D75179" w:rsidRPr="00927F20" w:rsidRDefault="00D75179" w:rsidP="00927F20">
            <w:pPr>
              <w:rPr>
                <w:color w:val="000000"/>
                <w:sz w:val="20"/>
                <w:szCs w:val="20"/>
              </w:rPr>
            </w:pPr>
            <w:r w:rsidRPr="00927F20">
              <w:rPr>
                <w:color w:val="000000"/>
                <w:sz w:val="20"/>
                <w:szCs w:val="20"/>
              </w:rPr>
              <w:t>45-54</w:t>
            </w:r>
          </w:p>
        </w:tc>
        <w:tc>
          <w:tcPr>
            <w:tcW w:w="900" w:type="dxa"/>
            <w:hideMark/>
          </w:tcPr>
          <w:p w14:paraId="795E55B2" w14:textId="77777777" w:rsidR="00D75179" w:rsidRPr="00927F20" w:rsidRDefault="00D75179" w:rsidP="00303804">
            <w:pPr>
              <w:jc w:val="center"/>
              <w:rPr>
                <w:color w:val="000000"/>
                <w:sz w:val="20"/>
                <w:szCs w:val="20"/>
              </w:rPr>
            </w:pPr>
            <w:r w:rsidRPr="00927F20">
              <w:rPr>
                <w:color w:val="000000"/>
                <w:sz w:val="20"/>
                <w:szCs w:val="20"/>
              </w:rPr>
              <w:t>43</w:t>
            </w:r>
          </w:p>
        </w:tc>
        <w:tc>
          <w:tcPr>
            <w:tcW w:w="2160" w:type="dxa"/>
            <w:noWrap/>
            <w:hideMark/>
          </w:tcPr>
          <w:p w14:paraId="330A772A" w14:textId="77777777" w:rsidR="00D75179" w:rsidRPr="00927F20" w:rsidRDefault="00D75179" w:rsidP="00303804">
            <w:pPr>
              <w:jc w:val="center"/>
              <w:rPr>
                <w:color w:val="000000"/>
                <w:sz w:val="20"/>
                <w:szCs w:val="20"/>
              </w:rPr>
            </w:pPr>
            <w:r w:rsidRPr="00927F20">
              <w:rPr>
                <w:color w:val="000000"/>
                <w:sz w:val="20"/>
                <w:szCs w:val="20"/>
              </w:rPr>
              <w:t>7.57 (2.46 – 21.02)</w:t>
            </w:r>
          </w:p>
        </w:tc>
        <w:tc>
          <w:tcPr>
            <w:tcW w:w="900" w:type="dxa"/>
            <w:gridSpan w:val="2"/>
            <w:hideMark/>
          </w:tcPr>
          <w:p w14:paraId="338A5682" w14:textId="77777777" w:rsidR="00D75179" w:rsidRPr="00927F20" w:rsidRDefault="00D75179" w:rsidP="00303804">
            <w:pPr>
              <w:jc w:val="center"/>
              <w:rPr>
                <w:color w:val="000000"/>
                <w:sz w:val="20"/>
                <w:szCs w:val="20"/>
              </w:rPr>
            </w:pPr>
            <w:r w:rsidRPr="00927F20">
              <w:rPr>
                <w:color w:val="000000"/>
                <w:sz w:val="20"/>
                <w:szCs w:val="20"/>
              </w:rPr>
              <w:t>63</w:t>
            </w:r>
          </w:p>
        </w:tc>
        <w:tc>
          <w:tcPr>
            <w:tcW w:w="2250" w:type="dxa"/>
            <w:hideMark/>
          </w:tcPr>
          <w:p w14:paraId="5D25814E" w14:textId="77777777" w:rsidR="00D75179" w:rsidRPr="00927F20" w:rsidRDefault="00D75179" w:rsidP="00303804">
            <w:pPr>
              <w:jc w:val="center"/>
              <w:rPr>
                <w:color w:val="000000"/>
                <w:sz w:val="20"/>
                <w:szCs w:val="20"/>
              </w:rPr>
            </w:pPr>
            <w:r w:rsidRPr="00927F20">
              <w:rPr>
                <w:color w:val="000000"/>
                <w:sz w:val="20"/>
                <w:szCs w:val="20"/>
              </w:rPr>
              <w:t>17.75 (10.02 – 29.49)</w:t>
            </w:r>
          </w:p>
        </w:tc>
        <w:tc>
          <w:tcPr>
            <w:tcW w:w="900" w:type="dxa"/>
            <w:gridSpan w:val="2"/>
            <w:hideMark/>
          </w:tcPr>
          <w:p w14:paraId="02DE8380" w14:textId="77777777" w:rsidR="00D75179" w:rsidRPr="00927F20" w:rsidRDefault="00D75179" w:rsidP="00303804">
            <w:pPr>
              <w:jc w:val="center"/>
              <w:rPr>
                <w:color w:val="000000"/>
                <w:sz w:val="20"/>
                <w:szCs w:val="20"/>
              </w:rPr>
            </w:pPr>
            <w:r w:rsidRPr="00927F20">
              <w:rPr>
                <w:color w:val="000000"/>
                <w:sz w:val="20"/>
                <w:szCs w:val="20"/>
              </w:rPr>
              <w:t>66</w:t>
            </w:r>
          </w:p>
        </w:tc>
        <w:tc>
          <w:tcPr>
            <w:tcW w:w="2160" w:type="dxa"/>
            <w:noWrap/>
            <w:hideMark/>
          </w:tcPr>
          <w:p w14:paraId="2D678A23" w14:textId="77777777" w:rsidR="00D75179" w:rsidRPr="00927F20" w:rsidRDefault="00D75179" w:rsidP="00303804">
            <w:pPr>
              <w:jc w:val="center"/>
              <w:rPr>
                <w:color w:val="000000"/>
                <w:sz w:val="20"/>
                <w:szCs w:val="20"/>
              </w:rPr>
            </w:pPr>
            <w:r w:rsidRPr="00927F20">
              <w:rPr>
                <w:color w:val="000000"/>
                <w:sz w:val="20"/>
                <w:szCs w:val="20"/>
              </w:rPr>
              <w:t>13.87 (7.28 – 24.82)</w:t>
            </w:r>
          </w:p>
        </w:tc>
        <w:tc>
          <w:tcPr>
            <w:tcW w:w="990" w:type="dxa"/>
            <w:gridSpan w:val="2"/>
            <w:hideMark/>
          </w:tcPr>
          <w:p w14:paraId="782B22E0"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29E5EB21"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2C5AB58A" w14:textId="77777777" w:rsidTr="00927F20">
        <w:trPr>
          <w:gridAfter w:val="2"/>
          <w:wAfter w:w="18" w:type="dxa"/>
          <w:trHeight w:val="360"/>
        </w:trPr>
        <w:tc>
          <w:tcPr>
            <w:tcW w:w="1255" w:type="dxa"/>
            <w:vMerge/>
            <w:hideMark/>
          </w:tcPr>
          <w:p w14:paraId="0C0F2C9B" w14:textId="77777777" w:rsidR="00D75179" w:rsidRPr="00927F20" w:rsidRDefault="00D75179" w:rsidP="00927F20">
            <w:pPr>
              <w:rPr>
                <w:color w:val="000000"/>
                <w:sz w:val="20"/>
                <w:szCs w:val="20"/>
              </w:rPr>
            </w:pPr>
          </w:p>
        </w:tc>
        <w:tc>
          <w:tcPr>
            <w:tcW w:w="900" w:type="dxa"/>
            <w:noWrap/>
            <w:hideMark/>
          </w:tcPr>
          <w:p w14:paraId="3D2EFE2A" w14:textId="77777777" w:rsidR="00D75179" w:rsidRPr="00927F20" w:rsidRDefault="00D75179" w:rsidP="00927F20">
            <w:pPr>
              <w:rPr>
                <w:color w:val="000000"/>
                <w:sz w:val="20"/>
                <w:szCs w:val="20"/>
              </w:rPr>
            </w:pPr>
            <w:r w:rsidRPr="00927F20">
              <w:rPr>
                <w:color w:val="000000"/>
                <w:sz w:val="20"/>
                <w:szCs w:val="20"/>
              </w:rPr>
              <w:t>55+</w:t>
            </w:r>
          </w:p>
        </w:tc>
        <w:tc>
          <w:tcPr>
            <w:tcW w:w="900" w:type="dxa"/>
            <w:hideMark/>
          </w:tcPr>
          <w:p w14:paraId="4ED97284"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noWrap/>
            <w:hideMark/>
          </w:tcPr>
          <w:p w14:paraId="070B02F4"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hideMark/>
          </w:tcPr>
          <w:p w14:paraId="4C7D0BAE" w14:textId="77777777" w:rsidR="00D75179" w:rsidRPr="00927F20" w:rsidRDefault="00D75179" w:rsidP="00303804">
            <w:pPr>
              <w:jc w:val="center"/>
              <w:rPr>
                <w:color w:val="000000"/>
                <w:sz w:val="20"/>
                <w:szCs w:val="20"/>
              </w:rPr>
            </w:pPr>
            <w:r w:rsidRPr="00927F20">
              <w:rPr>
                <w:color w:val="000000"/>
                <w:sz w:val="20"/>
                <w:szCs w:val="20"/>
              </w:rPr>
              <w:t>—</w:t>
            </w:r>
          </w:p>
        </w:tc>
        <w:tc>
          <w:tcPr>
            <w:tcW w:w="2250" w:type="dxa"/>
            <w:hideMark/>
          </w:tcPr>
          <w:p w14:paraId="7435DF29"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hideMark/>
          </w:tcPr>
          <w:p w14:paraId="51BF16A3"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noWrap/>
            <w:hideMark/>
          </w:tcPr>
          <w:p w14:paraId="2AD4570A" w14:textId="77777777" w:rsidR="00D75179" w:rsidRPr="00927F20" w:rsidRDefault="00D75179" w:rsidP="00303804">
            <w:pPr>
              <w:jc w:val="center"/>
              <w:rPr>
                <w:color w:val="000000"/>
                <w:sz w:val="20"/>
                <w:szCs w:val="20"/>
              </w:rPr>
            </w:pPr>
            <w:r w:rsidRPr="00927F20">
              <w:rPr>
                <w:color w:val="000000"/>
                <w:sz w:val="20"/>
                <w:szCs w:val="20"/>
              </w:rPr>
              <w:t>—</w:t>
            </w:r>
          </w:p>
        </w:tc>
        <w:tc>
          <w:tcPr>
            <w:tcW w:w="990" w:type="dxa"/>
            <w:gridSpan w:val="2"/>
            <w:hideMark/>
          </w:tcPr>
          <w:p w14:paraId="2F1BDCB9"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5AEF60A0"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2C77907F" w14:textId="77777777" w:rsidTr="00927F20">
        <w:trPr>
          <w:gridAfter w:val="2"/>
          <w:wAfter w:w="18" w:type="dxa"/>
          <w:trHeight w:val="360"/>
        </w:trPr>
        <w:tc>
          <w:tcPr>
            <w:tcW w:w="1255" w:type="dxa"/>
            <w:vMerge/>
            <w:hideMark/>
          </w:tcPr>
          <w:p w14:paraId="2EF339B0" w14:textId="77777777" w:rsidR="00D75179" w:rsidRPr="00927F20" w:rsidRDefault="00D75179" w:rsidP="00927F20">
            <w:pPr>
              <w:rPr>
                <w:color w:val="000000"/>
                <w:sz w:val="20"/>
                <w:szCs w:val="20"/>
              </w:rPr>
            </w:pPr>
          </w:p>
        </w:tc>
        <w:tc>
          <w:tcPr>
            <w:tcW w:w="900" w:type="dxa"/>
            <w:noWrap/>
            <w:hideMark/>
          </w:tcPr>
          <w:p w14:paraId="43F8E483" w14:textId="77777777" w:rsidR="00D75179" w:rsidRPr="00927F20" w:rsidRDefault="00D75179" w:rsidP="00927F20">
            <w:pPr>
              <w:rPr>
                <w:color w:val="000000"/>
                <w:sz w:val="20"/>
                <w:szCs w:val="20"/>
              </w:rPr>
            </w:pPr>
            <w:r w:rsidRPr="00927F20">
              <w:rPr>
                <w:color w:val="000000"/>
                <w:sz w:val="20"/>
                <w:szCs w:val="20"/>
              </w:rPr>
              <w:t>15 – 49</w:t>
            </w:r>
          </w:p>
        </w:tc>
        <w:tc>
          <w:tcPr>
            <w:tcW w:w="900" w:type="dxa"/>
            <w:hideMark/>
          </w:tcPr>
          <w:p w14:paraId="3E634BAF" w14:textId="77777777" w:rsidR="00D75179" w:rsidRPr="00927F20" w:rsidRDefault="00D75179" w:rsidP="00303804">
            <w:pPr>
              <w:jc w:val="center"/>
              <w:rPr>
                <w:color w:val="000000"/>
                <w:sz w:val="20"/>
                <w:szCs w:val="20"/>
              </w:rPr>
            </w:pPr>
            <w:r w:rsidRPr="00927F20">
              <w:rPr>
                <w:color w:val="000000"/>
                <w:sz w:val="20"/>
                <w:szCs w:val="20"/>
              </w:rPr>
              <w:t>942</w:t>
            </w:r>
          </w:p>
        </w:tc>
        <w:tc>
          <w:tcPr>
            <w:tcW w:w="2160" w:type="dxa"/>
            <w:noWrap/>
            <w:hideMark/>
          </w:tcPr>
          <w:p w14:paraId="025B471A" w14:textId="77777777" w:rsidR="00D75179" w:rsidRPr="00927F20" w:rsidRDefault="00D75179" w:rsidP="00303804">
            <w:pPr>
              <w:jc w:val="center"/>
              <w:rPr>
                <w:color w:val="000000"/>
                <w:sz w:val="20"/>
                <w:szCs w:val="20"/>
              </w:rPr>
            </w:pPr>
            <w:r w:rsidRPr="00927F20">
              <w:rPr>
                <w:color w:val="000000"/>
                <w:sz w:val="20"/>
                <w:szCs w:val="20"/>
              </w:rPr>
              <w:t>8.55 (6.92 – 10.52)</w:t>
            </w:r>
          </w:p>
        </w:tc>
        <w:tc>
          <w:tcPr>
            <w:tcW w:w="900" w:type="dxa"/>
            <w:gridSpan w:val="2"/>
            <w:hideMark/>
          </w:tcPr>
          <w:p w14:paraId="02C371B6" w14:textId="77777777" w:rsidR="00D75179" w:rsidRPr="00927F20" w:rsidRDefault="00D75179" w:rsidP="00303804">
            <w:pPr>
              <w:jc w:val="center"/>
              <w:rPr>
                <w:color w:val="000000"/>
                <w:sz w:val="20"/>
                <w:szCs w:val="20"/>
              </w:rPr>
            </w:pPr>
            <w:r w:rsidRPr="00927F20">
              <w:rPr>
                <w:color w:val="000000"/>
                <w:sz w:val="20"/>
                <w:szCs w:val="20"/>
              </w:rPr>
              <w:t>1,049</w:t>
            </w:r>
          </w:p>
        </w:tc>
        <w:tc>
          <w:tcPr>
            <w:tcW w:w="2250" w:type="dxa"/>
            <w:hideMark/>
          </w:tcPr>
          <w:p w14:paraId="1EEE0E9D" w14:textId="77777777" w:rsidR="00D75179" w:rsidRPr="00927F20" w:rsidRDefault="00D75179" w:rsidP="00303804">
            <w:pPr>
              <w:jc w:val="center"/>
              <w:rPr>
                <w:color w:val="000000"/>
                <w:sz w:val="20"/>
                <w:szCs w:val="20"/>
              </w:rPr>
            </w:pPr>
            <w:r w:rsidRPr="00927F20">
              <w:rPr>
                <w:color w:val="000000"/>
                <w:sz w:val="20"/>
                <w:szCs w:val="20"/>
              </w:rPr>
              <w:t>8.65 (7.09 – 10.51)</w:t>
            </w:r>
          </w:p>
        </w:tc>
        <w:tc>
          <w:tcPr>
            <w:tcW w:w="900" w:type="dxa"/>
            <w:gridSpan w:val="2"/>
            <w:hideMark/>
          </w:tcPr>
          <w:p w14:paraId="2DB3700D" w14:textId="77777777" w:rsidR="00D75179" w:rsidRPr="00927F20" w:rsidRDefault="00D75179" w:rsidP="00303804">
            <w:pPr>
              <w:jc w:val="center"/>
              <w:rPr>
                <w:color w:val="000000"/>
                <w:sz w:val="20"/>
                <w:szCs w:val="20"/>
              </w:rPr>
            </w:pPr>
            <w:r w:rsidRPr="00927F20">
              <w:rPr>
                <w:color w:val="000000"/>
                <w:sz w:val="20"/>
                <w:szCs w:val="20"/>
              </w:rPr>
              <w:t>1,273</w:t>
            </w:r>
          </w:p>
        </w:tc>
        <w:tc>
          <w:tcPr>
            <w:tcW w:w="2160" w:type="dxa"/>
            <w:noWrap/>
            <w:hideMark/>
          </w:tcPr>
          <w:p w14:paraId="57DE7ECF" w14:textId="77777777" w:rsidR="00D75179" w:rsidRPr="00927F20" w:rsidRDefault="00D75179" w:rsidP="00303804">
            <w:pPr>
              <w:jc w:val="center"/>
              <w:rPr>
                <w:color w:val="000000"/>
                <w:sz w:val="20"/>
                <w:szCs w:val="20"/>
              </w:rPr>
            </w:pPr>
            <w:r w:rsidRPr="00927F20">
              <w:rPr>
                <w:color w:val="000000"/>
                <w:sz w:val="20"/>
                <w:szCs w:val="20"/>
              </w:rPr>
              <w:t>7.77 (6.42 – 9.37)</w:t>
            </w:r>
          </w:p>
        </w:tc>
        <w:tc>
          <w:tcPr>
            <w:tcW w:w="990" w:type="dxa"/>
            <w:gridSpan w:val="2"/>
            <w:hideMark/>
          </w:tcPr>
          <w:p w14:paraId="0DB3AE1C"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412B12A8"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229489CC" w14:textId="77777777" w:rsidTr="00927F20">
        <w:trPr>
          <w:gridAfter w:val="2"/>
          <w:wAfter w:w="18" w:type="dxa"/>
          <w:trHeight w:val="360"/>
        </w:trPr>
        <w:tc>
          <w:tcPr>
            <w:tcW w:w="1255" w:type="dxa"/>
            <w:vMerge w:val="restart"/>
            <w:hideMark/>
          </w:tcPr>
          <w:p w14:paraId="01EF2D56" w14:textId="77777777" w:rsidR="00D75179" w:rsidRPr="00927F20" w:rsidRDefault="00D75179" w:rsidP="00927F20">
            <w:pPr>
              <w:rPr>
                <w:color w:val="000000"/>
                <w:sz w:val="20"/>
                <w:szCs w:val="20"/>
              </w:rPr>
            </w:pPr>
            <w:r w:rsidRPr="00927F20">
              <w:rPr>
                <w:color w:val="000000"/>
                <w:sz w:val="20"/>
                <w:szCs w:val="20"/>
              </w:rPr>
              <w:t>Low-risk rural women</w:t>
            </w:r>
          </w:p>
        </w:tc>
        <w:tc>
          <w:tcPr>
            <w:tcW w:w="900" w:type="dxa"/>
            <w:noWrap/>
            <w:hideMark/>
          </w:tcPr>
          <w:p w14:paraId="4FAADD82" w14:textId="77777777" w:rsidR="00D75179" w:rsidRPr="00927F20" w:rsidRDefault="00D75179" w:rsidP="00927F20">
            <w:pPr>
              <w:rPr>
                <w:color w:val="000000"/>
                <w:sz w:val="20"/>
                <w:szCs w:val="20"/>
              </w:rPr>
            </w:pPr>
            <w:r w:rsidRPr="00927F20">
              <w:rPr>
                <w:color w:val="000000"/>
                <w:sz w:val="20"/>
                <w:szCs w:val="20"/>
              </w:rPr>
              <w:t>15-24</w:t>
            </w:r>
          </w:p>
        </w:tc>
        <w:tc>
          <w:tcPr>
            <w:tcW w:w="900" w:type="dxa"/>
            <w:hideMark/>
          </w:tcPr>
          <w:p w14:paraId="6900B6F1" w14:textId="77777777" w:rsidR="00D75179" w:rsidRPr="00927F20" w:rsidRDefault="00D75179" w:rsidP="00303804">
            <w:pPr>
              <w:jc w:val="center"/>
              <w:rPr>
                <w:color w:val="000000"/>
                <w:sz w:val="20"/>
                <w:szCs w:val="20"/>
              </w:rPr>
            </w:pPr>
            <w:r w:rsidRPr="00927F20">
              <w:rPr>
                <w:color w:val="000000"/>
                <w:sz w:val="20"/>
                <w:szCs w:val="20"/>
              </w:rPr>
              <w:t>2, 037</w:t>
            </w:r>
          </w:p>
        </w:tc>
        <w:tc>
          <w:tcPr>
            <w:tcW w:w="2160" w:type="dxa"/>
            <w:noWrap/>
            <w:hideMark/>
          </w:tcPr>
          <w:p w14:paraId="5B772FEA" w14:textId="77777777" w:rsidR="00D75179" w:rsidRPr="00927F20" w:rsidRDefault="00D75179" w:rsidP="00303804">
            <w:pPr>
              <w:jc w:val="center"/>
              <w:rPr>
                <w:color w:val="000000"/>
                <w:sz w:val="20"/>
                <w:szCs w:val="20"/>
              </w:rPr>
            </w:pPr>
            <w:r w:rsidRPr="00927F20">
              <w:rPr>
                <w:color w:val="000000"/>
                <w:sz w:val="20"/>
                <w:szCs w:val="20"/>
              </w:rPr>
              <w:t>0.99 (0.64 – 1.53)</w:t>
            </w:r>
          </w:p>
        </w:tc>
        <w:tc>
          <w:tcPr>
            <w:tcW w:w="900" w:type="dxa"/>
            <w:gridSpan w:val="2"/>
            <w:hideMark/>
          </w:tcPr>
          <w:p w14:paraId="06760139" w14:textId="77777777" w:rsidR="00D75179" w:rsidRPr="00927F20" w:rsidRDefault="00D75179" w:rsidP="00303804">
            <w:pPr>
              <w:jc w:val="center"/>
              <w:rPr>
                <w:color w:val="000000"/>
                <w:sz w:val="20"/>
                <w:szCs w:val="20"/>
              </w:rPr>
            </w:pPr>
            <w:r w:rsidRPr="00927F20">
              <w:rPr>
                <w:color w:val="000000"/>
                <w:sz w:val="20"/>
                <w:szCs w:val="20"/>
              </w:rPr>
              <w:t>2,446</w:t>
            </w:r>
          </w:p>
        </w:tc>
        <w:tc>
          <w:tcPr>
            <w:tcW w:w="2250" w:type="dxa"/>
            <w:hideMark/>
          </w:tcPr>
          <w:p w14:paraId="781999AE" w14:textId="77777777" w:rsidR="00D75179" w:rsidRPr="00927F20" w:rsidRDefault="00D75179" w:rsidP="00303804">
            <w:pPr>
              <w:jc w:val="center"/>
              <w:rPr>
                <w:color w:val="000000"/>
                <w:sz w:val="20"/>
                <w:szCs w:val="20"/>
              </w:rPr>
            </w:pPr>
            <w:r w:rsidRPr="00927F20">
              <w:rPr>
                <w:color w:val="000000"/>
                <w:sz w:val="20"/>
                <w:szCs w:val="20"/>
              </w:rPr>
              <w:t>1.11 (0.77 – 1.62)</w:t>
            </w:r>
          </w:p>
        </w:tc>
        <w:tc>
          <w:tcPr>
            <w:tcW w:w="900" w:type="dxa"/>
            <w:gridSpan w:val="2"/>
            <w:hideMark/>
          </w:tcPr>
          <w:p w14:paraId="0929AE56" w14:textId="77777777" w:rsidR="00D75179" w:rsidRPr="00927F20" w:rsidRDefault="00D75179" w:rsidP="00303804">
            <w:pPr>
              <w:jc w:val="center"/>
              <w:rPr>
                <w:color w:val="000000"/>
                <w:sz w:val="20"/>
                <w:szCs w:val="20"/>
              </w:rPr>
            </w:pPr>
            <w:r w:rsidRPr="00927F20">
              <w:rPr>
                <w:color w:val="000000"/>
                <w:sz w:val="20"/>
                <w:szCs w:val="20"/>
              </w:rPr>
              <w:t>2,068</w:t>
            </w:r>
          </w:p>
        </w:tc>
        <w:tc>
          <w:tcPr>
            <w:tcW w:w="2160" w:type="dxa"/>
            <w:noWrap/>
            <w:hideMark/>
          </w:tcPr>
          <w:p w14:paraId="1F11D21D" w14:textId="77777777" w:rsidR="00D75179" w:rsidRPr="00927F20" w:rsidRDefault="00D75179" w:rsidP="00303804">
            <w:pPr>
              <w:jc w:val="center"/>
              <w:rPr>
                <w:color w:val="000000"/>
                <w:sz w:val="20"/>
                <w:szCs w:val="20"/>
              </w:rPr>
            </w:pPr>
            <w:r w:rsidRPr="00927F20">
              <w:rPr>
                <w:color w:val="000000"/>
                <w:sz w:val="20"/>
                <w:szCs w:val="20"/>
              </w:rPr>
              <w:t>0.98 (0.64 – 1.51)</w:t>
            </w:r>
          </w:p>
        </w:tc>
        <w:tc>
          <w:tcPr>
            <w:tcW w:w="990" w:type="dxa"/>
            <w:gridSpan w:val="2"/>
            <w:hideMark/>
          </w:tcPr>
          <w:p w14:paraId="09B67735"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3807E979"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400ADD5B" w14:textId="77777777" w:rsidTr="00927F20">
        <w:trPr>
          <w:gridAfter w:val="2"/>
          <w:wAfter w:w="18" w:type="dxa"/>
          <w:trHeight w:val="360"/>
        </w:trPr>
        <w:tc>
          <w:tcPr>
            <w:tcW w:w="1255" w:type="dxa"/>
            <w:vMerge/>
            <w:hideMark/>
          </w:tcPr>
          <w:p w14:paraId="37770B7C" w14:textId="77777777" w:rsidR="00D75179" w:rsidRPr="00927F20" w:rsidRDefault="00D75179" w:rsidP="00927F20">
            <w:pPr>
              <w:rPr>
                <w:color w:val="000000"/>
                <w:sz w:val="20"/>
                <w:szCs w:val="20"/>
              </w:rPr>
            </w:pPr>
          </w:p>
        </w:tc>
        <w:tc>
          <w:tcPr>
            <w:tcW w:w="900" w:type="dxa"/>
            <w:noWrap/>
            <w:hideMark/>
          </w:tcPr>
          <w:p w14:paraId="6D006C9C" w14:textId="77777777" w:rsidR="00D75179" w:rsidRPr="00927F20" w:rsidRDefault="00D75179" w:rsidP="00927F20">
            <w:pPr>
              <w:rPr>
                <w:color w:val="000000"/>
                <w:sz w:val="20"/>
                <w:szCs w:val="20"/>
              </w:rPr>
            </w:pPr>
            <w:r w:rsidRPr="00927F20">
              <w:rPr>
                <w:color w:val="000000"/>
                <w:sz w:val="20"/>
                <w:szCs w:val="20"/>
              </w:rPr>
              <w:t>25-34</w:t>
            </w:r>
          </w:p>
        </w:tc>
        <w:tc>
          <w:tcPr>
            <w:tcW w:w="900" w:type="dxa"/>
            <w:hideMark/>
          </w:tcPr>
          <w:p w14:paraId="44539156" w14:textId="77777777" w:rsidR="00D75179" w:rsidRPr="00927F20" w:rsidRDefault="00D75179" w:rsidP="00303804">
            <w:pPr>
              <w:jc w:val="center"/>
              <w:rPr>
                <w:color w:val="000000"/>
                <w:sz w:val="20"/>
                <w:szCs w:val="20"/>
              </w:rPr>
            </w:pPr>
            <w:r w:rsidRPr="00927F20">
              <w:rPr>
                <w:color w:val="000000"/>
                <w:sz w:val="20"/>
                <w:szCs w:val="20"/>
              </w:rPr>
              <w:t>1,345</w:t>
            </w:r>
          </w:p>
        </w:tc>
        <w:tc>
          <w:tcPr>
            <w:tcW w:w="2160" w:type="dxa"/>
            <w:noWrap/>
            <w:hideMark/>
          </w:tcPr>
          <w:p w14:paraId="54FB6309" w14:textId="77777777" w:rsidR="00D75179" w:rsidRPr="00927F20" w:rsidRDefault="00D75179" w:rsidP="00303804">
            <w:pPr>
              <w:jc w:val="center"/>
              <w:rPr>
                <w:color w:val="000000"/>
                <w:sz w:val="20"/>
                <w:szCs w:val="20"/>
              </w:rPr>
            </w:pPr>
            <w:r w:rsidRPr="00927F20">
              <w:rPr>
                <w:color w:val="000000"/>
                <w:sz w:val="20"/>
                <w:szCs w:val="20"/>
              </w:rPr>
              <w:t>3.49 (2.63 – 4.62)</w:t>
            </w:r>
          </w:p>
        </w:tc>
        <w:tc>
          <w:tcPr>
            <w:tcW w:w="900" w:type="dxa"/>
            <w:gridSpan w:val="2"/>
            <w:hideMark/>
          </w:tcPr>
          <w:p w14:paraId="4B134575" w14:textId="77777777" w:rsidR="00D75179" w:rsidRPr="00927F20" w:rsidRDefault="00D75179" w:rsidP="00303804">
            <w:pPr>
              <w:jc w:val="center"/>
              <w:rPr>
                <w:color w:val="000000"/>
                <w:sz w:val="20"/>
                <w:szCs w:val="20"/>
              </w:rPr>
            </w:pPr>
            <w:r w:rsidRPr="00927F20">
              <w:rPr>
                <w:color w:val="000000"/>
                <w:sz w:val="20"/>
                <w:szCs w:val="20"/>
              </w:rPr>
              <w:t>1,825</w:t>
            </w:r>
          </w:p>
        </w:tc>
        <w:tc>
          <w:tcPr>
            <w:tcW w:w="2250" w:type="dxa"/>
            <w:hideMark/>
          </w:tcPr>
          <w:p w14:paraId="3D5C76A4" w14:textId="77777777" w:rsidR="00D75179" w:rsidRPr="00927F20" w:rsidRDefault="00D75179" w:rsidP="00303804">
            <w:pPr>
              <w:jc w:val="center"/>
              <w:rPr>
                <w:color w:val="000000"/>
                <w:sz w:val="20"/>
                <w:szCs w:val="20"/>
              </w:rPr>
            </w:pPr>
            <w:r w:rsidRPr="00927F20">
              <w:rPr>
                <w:color w:val="000000"/>
                <w:sz w:val="20"/>
                <w:szCs w:val="20"/>
              </w:rPr>
              <w:t>3.41 (2.66 – 4.34)</w:t>
            </w:r>
          </w:p>
        </w:tc>
        <w:tc>
          <w:tcPr>
            <w:tcW w:w="900" w:type="dxa"/>
            <w:gridSpan w:val="2"/>
            <w:hideMark/>
          </w:tcPr>
          <w:p w14:paraId="1F4042F4" w14:textId="77777777" w:rsidR="00D75179" w:rsidRPr="00927F20" w:rsidRDefault="00D75179" w:rsidP="00303804">
            <w:pPr>
              <w:jc w:val="center"/>
              <w:rPr>
                <w:color w:val="000000"/>
                <w:sz w:val="20"/>
                <w:szCs w:val="20"/>
              </w:rPr>
            </w:pPr>
            <w:r w:rsidRPr="00927F20">
              <w:rPr>
                <w:color w:val="000000"/>
                <w:sz w:val="20"/>
                <w:szCs w:val="20"/>
              </w:rPr>
              <w:t>1,795</w:t>
            </w:r>
          </w:p>
        </w:tc>
        <w:tc>
          <w:tcPr>
            <w:tcW w:w="2160" w:type="dxa"/>
            <w:noWrap/>
            <w:hideMark/>
          </w:tcPr>
          <w:p w14:paraId="7F554827" w14:textId="77777777" w:rsidR="00D75179" w:rsidRPr="00927F20" w:rsidRDefault="00D75179" w:rsidP="00303804">
            <w:pPr>
              <w:jc w:val="center"/>
              <w:rPr>
                <w:color w:val="000000"/>
                <w:sz w:val="20"/>
                <w:szCs w:val="20"/>
              </w:rPr>
            </w:pPr>
            <w:r w:rsidRPr="00927F20">
              <w:rPr>
                <w:color w:val="000000"/>
                <w:sz w:val="20"/>
                <w:szCs w:val="20"/>
              </w:rPr>
              <w:t>2.77 (2.10 – 3.64)</w:t>
            </w:r>
          </w:p>
        </w:tc>
        <w:tc>
          <w:tcPr>
            <w:tcW w:w="990" w:type="dxa"/>
            <w:gridSpan w:val="2"/>
            <w:hideMark/>
          </w:tcPr>
          <w:p w14:paraId="05BE053F"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65DBE5C7"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3C0A6387" w14:textId="77777777" w:rsidTr="00927F20">
        <w:trPr>
          <w:gridAfter w:val="2"/>
          <w:wAfter w:w="18" w:type="dxa"/>
          <w:trHeight w:val="360"/>
        </w:trPr>
        <w:tc>
          <w:tcPr>
            <w:tcW w:w="1255" w:type="dxa"/>
            <w:vMerge/>
            <w:hideMark/>
          </w:tcPr>
          <w:p w14:paraId="7BDAD2A2" w14:textId="77777777" w:rsidR="00D75179" w:rsidRPr="00927F20" w:rsidRDefault="00D75179" w:rsidP="00927F20">
            <w:pPr>
              <w:rPr>
                <w:color w:val="000000"/>
                <w:sz w:val="20"/>
                <w:szCs w:val="20"/>
              </w:rPr>
            </w:pPr>
          </w:p>
        </w:tc>
        <w:tc>
          <w:tcPr>
            <w:tcW w:w="900" w:type="dxa"/>
            <w:noWrap/>
            <w:hideMark/>
          </w:tcPr>
          <w:p w14:paraId="14CF843E" w14:textId="77777777" w:rsidR="00D75179" w:rsidRPr="00927F20" w:rsidRDefault="00D75179" w:rsidP="00927F20">
            <w:pPr>
              <w:rPr>
                <w:color w:val="000000"/>
                <w:sz w:val="20"/>
                <w:szCs w:val="20"/>
              </w:rPr>
            </w:pPr>
            <w:r w:rsidRPr="00927F20">
              <w:rPr>
                <w:color w:val="000000"/>
                <w:sz w:val="20"/>
                <w:szCs w:val="20"/>
              </w:rPr>
              <w:t>35-44</w:t>
            </w:r>
          </w:p>
        </w:tc>
        <w:tc>
          <w:tcPr>
            <w:tcW w:w="900" w:type="dxa"/>
            <w:hideMark/>
          </w:tcPr>
          <w:p w14:paraId="78110DDF" w14:textId="77777777" w:rsidR="00D75179" w:rsidRPr="00927F20" w:rsidRDefault="00D75179" w:rsidP="00303804">
            <w:pPr>
              <w:jc w:val="center"/>
              <w:rPr>
                <w:color w:val="000000"/>
                <w:sz w:val="20"/>
                <w:szCs w:val="20"/>
              </w:rPr>
            </w:pPr>
            <w:r w:rsidRPr="00927F20">
              <w:rPr>
                <w:color w:val="000000"/>
                <w:sz w:val="20"/>
                <w:szCs w:val="20"/>
              </w:rPr>
              <w:t>931</w:t>
            </w:r>
          </w:p>
        </w:tc>
        <w:tc>
          <w:tcPr>
            <w:tcW w:w="2160" w:type="dxa"/>
            <w:noWrap/>
            <w:hideMark/>
          </w:tcPr>
          <w:p w14:paraId="414E0B90" w14:textId="77777777" w:rsidR="00D75179" w:rsidRPr="00927F20" w:rsidRDefault="00D75179" w:rsidP="00303804">
            <w:pPr>
              <w:jc w:val="center"/>
              <w:rPr>
                <w:color w:val="000000"/>
                <w:sz w:val="20"/>
                <w:szCs w:val="20"/>
              </w:rPr>
            </w:pPr>
            <w:r w:rsidRPr="00927F20">
              <w:rPr>
                <w:color w:val="000000"/>
                <w:sz w:val="20"/>
                <w:szCs w:val="20"/>
              </w:rPr>
              <w:t>4.46 (3.30 – 5.99)</w:t>
            </w:r>
          </w:p>
        </w:tc>
        <w:tc>
          <w:tcPr>
            <w:tcW w:w="900" w:type="dxa"/>
            <w:gridSpan w:val="2"/>
            <w:hideMark/>
          </w:tcPr>
          <w:p w14:paraId="6A1E6E59" w14:textId="77777777" w:rsidR="00D75179" w:rsidRPr="00927F20" w:rsidRDefault="00D75179" w:rsidP="00303804">
            <w:pPr>
              <w:jc w:val="center"/>
              <w:rPr>
                <w:color w:val="000000"/>
                <w:sz w:val="20"/>
                <w:szCs w:val="20"/>
              </w:rPr>
            </w:pPr>
            <w:r w:rsidRPr="00927F20">
              <w:rPr>
                <w:color w:val="000000"/>
                <w:sz w:val="20"/>
                <w:szCs w:val="20"/>
              </w:rPr>
              <w:t>1,156</w:t>
            </w:r>
          </w:p>
        </w:tc>
        <w:tc>
          <w:tcPr>
            <w:tcW w:w="2250" w:type="dxa"/>
            <w:hideMark/>
          </w:tcPr>
          <w:p w14:paraId="2C7C40C6" w14:textId="77777777" w:rsidR="00D75179" w:rsidRPr="00927F20" w:rsidRDefault="00D75179" w:rsidP="00303804">
            <w:pPr>
              <w:jc w:val="center"/>
              <w:rPr>
                <w:color w:val="000000"/>
                <w:sz w:val="20"/>
                <w:szCs w:val="20"/>
              </w:rPr>
            </w:pPr>
            <w:r w:rsidRPr="00927F20">
              <w:rPr>
                <w:color w:val="000000"/>
                <w:sz w:val="20"/>
                <w:szCs w:val="20"/>
              </w:rPr>
              <w:t>4.97 (3.85 – 6.38)</w:t>
            </w:r>
          </w:p>
        </w:tc>
        <w:tc>
          <w:tcPr>
            <w:tcW w:w="900" w:type="dxa"/>
            <w:gridSpan w:val="2"/>
            <w:hideMark/>
          </w:tcPr>
          <w:p w14:paraId="35CDA9BF" w14:textId="77777777" w:rsidR="00D75179" w:rsidRPr="00927F20" w:rsidRDefault="00D75179" w:rsidP="00303804">
            <w:pPr>
              <w:jc w:val="center"/>
              <w:rPr>
                <w:color w:val="000000"/>
                <w:sz w:val="20"/>
                <w:szCs w:val="20"/>
              </w:rPr>
            </w:pPr>
            <w:r w:rsidRPr="00927F20">
              <w:rPr>
                <w:color w:val="000000"/>
                <w:sz w:val="20"/>
                <w:szCs w:val="20"/>
              </w:rPr>
              <w:t>1,197</w:t>
            </w:r>
          </w:p>
        </w:tc>
        <w:tc>
          <w:tcPr>
            <w:tcW w:w="2160" w:type="dxa"/>
            <w:noWrap/>
            <w:hideMark/>
          </w:tcPr>
          <w:p w14:paraId="2DF5D89C" w14:textId="77777777" w:rsidR="00D75179" w:rsidRPr="00927F20" w:rsidRDefault="00D75179" w:rsidP="00303804">
            <w:pPr>
              <w:jc w:val="center"/>
              <w:rPr>
                <w:color w:val="000000"/>
                <w:sz w:val="20"/>
                <w:szCs w:val="20"/>
              </w:rPr>
            </w:pPr>
            <w:r w:rsidRPr="00927F20">
              <w:rPr>
                <w:color w:val="000000"/>
                <w:sz w:val="20"/>
                <w:szCs w:val="20"/>
              </w:rPr>
              <w:t>4.83 (3.75 – 6.20)</w:t>
            </w:r>
          </w:p>
        </w:tc>
        <w:tc>
          <w:tcPr>
            <w:tcW w:w="990" w:type="dxa"/>
            <w:gridSpan w:val="2"/>
            <w:hideMark/>
          </w:tcPr>
          <w:p w14:paraId="4B839271"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1195D49E"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40B2B5D0" w14:textId="77777777" w:rsidTr="00927F20">
        <w:trPr>
          <w:gridAfter w:val="2"/>
          <w:wAfter w:w="18" w:type="dxa"/>
          <w:trHeight w:val="360"/>
        </w:trPr>
        <w:tc>
          <w:tcPr>
            <w:tcW w:w="1255" w:type="dxa"/>
            <w:vMerge/>
            <w:hideMark/>
          </w:tcPr>
          <w:p w14:paraId="7598F95F" w14:textId="77777777" w:rsidR="00D75179" w:rsidRPr="00927F20" w:rsidRDefault="00D75179" w:rsidP="00927F20">
            <w:pPr>
              <w:rPr>
                <w:color w:val="000000"/>
                <w:sz w:val="20"/>
                <w:szCs w:val="20"/>
              </w:rPr>
            </w:pPr>
          </w:p>
        </w:tc>
        <w:tc>
          <w:tcPr>
            <w:tcW w:w="900" w:type="dxa"/>
            <w:noWrap/>
            <w:hideMark/>
          </w:tcPr>
          <w:p w14:paraId="08A3AEB8" w14:textId="77777777" w:rsidR="00D75179" w:rsidRPr="00927F20" w:rsidRDefault="00D75179" w:rsidP="00927F20">
            <w:pPr>
              <w:rPr>
                <w:color w:val="000000"/>
                <w:sz w:val="20"/>
                <w:szCs w:val="20"/>
              </w:rPr>
            </w:pPr>
            <w:r w:rsidRPr="00927F20">
              <w:rPr>
                <w:color w:val="000000"/>
                <w:sz w:val="20"/>
                <w:szCs w:val="20"/>
              </w:rPr>
              <w:t>45-54</w:t>
            </w:r>
          </w:p>
        </w:tc>
        <w:tc>
          <w:tcPr>
            <w:tcW w:w="900" w:type="dxa"/>
            <w:hideMark/>
          </w:tcPr>
          <w:p w14:paraId="0A729067" w14:textId="77777777" w:rsidR="00D75179" w:rsidRPr="00927F20" w:rsidRDefault="00D75179" w:rsidP="00303804">
            <w:pPr>
              <w:jc w:val="center"/>
              <w:rPr>
                <w:color w:val="000000"/>
                <w:sz w:val="20"/>
                <w:szCs w:val="20"/>
              </w:rPr>
            </w:pPr>
            <w:r w:rsidRPr="00927F20">
              <w:rPr>
                <w:color w:val="000000"/>
                <w:sz w:val="20"/>
                <w:szCs w:val="20"/>
              </w:rPr>
              <w:t>426</w:t>
            </w:r>
          </w:p>
        </w:tc>
        <w:tc>
          <w:tcPr>
            <w:tcW w:w="2160" w:type="dxa"/>
            <w:noWrap/>
            <w:hideMark/>
          </w:tcPr>
          <w:p w14:paraId="681A84CD" w14:textId="77777777" w:rsidR="00D75179" w:rsidRPr="00927F20" w:rsidRDefault="00D75179" w:rsidP="00303804">
            <w:pPr>
              <w:jc w:val="center"/>
              <w:rPr>
                <w:color w:val="000000"/>
                <w:sz w:val="20"/>
                <w:szCs w:val="20"/>
              </w:rPr>
            </w:pPr>
            <w:r w:rsidRPr="00927F20">
              <w:rPr>
                <w:color w:val="000000"/>
                <w:sz w:val="20"/>
                <w:szCs w:val="20"/>
              </w:rPr>
              <w:t>3.58 (2.17 – 5.84)</w:t>
            </w:r>
          </w:p>
        </w:tc>
        <w:tc>
          <w:tcPr>
            <w:tcW w:w="900" w:type="dxa"/>
            <w:gridSpan w:val="2"/>
            <w:hideMark/>
          </w:tcPr>
          <w:p w14:paraId="5C658DF4" w14:textId="77777777" w:rsidR="00D75179" w:rsidRPr="00927F20" w:rsidRDefault="00D75179" w:rsidP="00303804">
            <w:pPr>
              <w:jc w:val="center"/>
              <w:rPr>
                <w:color w:val="000000"/>
                <w:sz w:val="20"/>
                <w:szCs w:val="20"/>
              </w:rPr>
            </w:pPr>
            <w:r w:rsidRPr="00927F20">
              <w:rPr>
                <w:color w:val="000000"/>
                <w:sz w:val="20"/>
                <w:szCs w:val="20"/>
              </w:rPr>
              <w:t>473</w:t>
            </w:r>
          </w:p>
        </w:tc>
        <w:tc>
          <w:tcPr>
            <w:tcW w:w="2250" w:type="dxa"/>
            <w:hideMark/>
          </w:tcPr>
          <w:p w14:paraId="3F03AF8B" w14:textId="77777777" w:rsidR="00D75179" w:rsidRPr="00927F20" w:rsidRDefault="00D75179" w:rsidP="00303804">
            <w:pPr>
              <w:jc w:val="center"/>
              <w:rPr>
                <w:color w:val="000000"/>
                <w:sz w:val="20"/>
                <w:szCs w:val="20"/>
              </w:rPr>
            </w:pPr>
            <w:r w:rsidRPr="00927F20">
              <w:rPr>
                <w:color w:val="000000"/>
                <w:sz w:val="20"/>
                <w:szCs w:val="20"/>
              </w:rPr>
              <w:t>4.21 (2.73 – 6.45)</w:t>
            </w:r>
          </w:p>
        </w:tc>
        <w:tc>
          <w:tcPr>
            <w:tcW w:w="900" w:type="dxa"/>
            <w:gridSpan w:val="2"/>
            <w:hideMark/>
          </w:tcPr>
          <w:p w14:paraId="0B72428A" w14:textId="77777777" w:rsidR="00D75179" w:rsidRPr="00927F20" w:rsidRDefault="00D75179" w:rsidP="00303804">
            <w:pPr>
              <w:jc w:val="center"/>
              <w:rPr>
                <w:color w:val="000000"/>
                <w:sz w:val="20"/>
                <w:szCs w:val="20"/>
              </w:rPr>
            </w:pPr>
            <w:r w:rsidRPr="00927F20">
              <w:rPr>
                <w:color w:val="000000"/>
                <w:sz w:val="20"/>
                <w:szCs w:val="20"/>
              </w:rPr>
              <w:t>429</w:t>
            </w:r>
          </w:p>
        </w:tc>
        <w:tc>
          <w:tcPr>
            <w:tcW w:w="2160" w:type="dxa"/>
            <w:noWrap/>
            <w:hideMark/>
          </w:tcPr>
          <w:p w14:paraId="396F4FD8" w14:textId="77777777" w:rsidR="00D75179" w:rsidRPr="00927F20" w:rsidRDefault="00D75179" w:rsidP="00303804">
            <w:pPr>
              <w:jc w:val="center"/>
              <w:rPr>
                <w:color w:val="000000"/>
                <w:sz w:val="20"/>
                <w:szCs w:val="20"/>
              </w:rPr>
            </w:pPr>
            <w:r w:rsidRPr="00927F20">
              <w:rPr>
                <w:color w:val="000000"/>
                <w:sz w:val="20"/>
                <w:szCs w:val="20"/>
              </w:rPr>
              <w:t>4.15 (2.62 – 6.52)</w:t>
            </w:r>
          </w:p>
        </w:tc>
        <w:tc>
          <w:tcPr>
            <w:tcW w:w="990" w:type="dxa"/>
            <w:gridSpan w:val="2"/>
            <w:hideMark/>
          </w:tcPr>
          <w:p w14:paraId="7E56F5A5"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691AB586"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60D0E4A7" w14:textId="77777777" w:rsidTr="00927F20">
        <w:trPr>
          <w:gridAfter w:val="2"/>
          <w:wAfter w:w="18" w:type="dxa"/>
          <w:trHeight w:val="360"/>
        </w:trPr>
        <w:tc>
          <w:tcPr>
            <w:tcW w:w="1255" w:type="dxa"/>
            <w:vMerge/>
            <w:hideMark/>
          </w:tcPr>
          <w:p w14:paraId="22F5C821" w14:textId="77777777" w:rsidR="00D75179" w:rsidRPr="00927F20" w:rsidRDefault="00D75179" w:rsidP="00927F20">
            <w:pPr>
              <w:rPr>
                <w:color w:val="000000"/>
                <w:sz w:val="20"/>
                <w:szCs w:val="20"/>
              </w:rPr>
            </w:pPr>
          </w:p>
        </w:tc>
        <w:tc>
          <w:tcPr>
            <w:tcW w:w="900" w:type="dxa"/>
            <w:noWrap/>
            <w:hideMark/>
          </w:tcPr>
          <w:p w14:paraId="4A0B4C1D" w14:textId="77777777" w:rsidR="00D75179" w:rsidRPr="00927F20" w:rsidRDefault="00D75179" w:rsidP="00927F20">
            <w:pPr>
              <w:rPr>
                <w:color w:val="000000"/>
                <w:sz w:val="20"/>
                <w:szCs w:val="20"/>
              </w:rPr>
            </w:pPr>
            <w:r w:rsidRPr="00927F20">
              <w:rPr>
                <w:color w:val="000000"/>
                <w:sz w:val="20"/>
                <w:szCs w:val="20"/>
              </w:rPr>
              <w:t>55+</w:t>
            </w:r>
          </w:p>
        </w:tc>
        <w:tc>
          <w:tcPr>
            <w:tcW w:w="900" w:type="dxa"/>
            <w:hideMark/>
          </w:tcPr>
          <w:p w14:paraId="2E73E23B"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noWrap/>
            <w:hideMark/>
          </w:tcPr>
          <w:p w14:paraId="2EBAC847"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hideMark/>
          </w:tcPr>
          <w:p w14:paraId="4EA21346" w14:textId="77777777" w:rsidR="00D75179" w:rsidRPr="00927F20" w:rsidRDefault="00D75179" w:rsidP="00303804">
            <w:pPr>
              <w:jc w:val="center"/>
              <w:rPr>
                <w:color w:val="000000"/>
                <w:sz w:val="20"/>
                <w:szCs w:val="20"/>
              </w:rPr>
            </w:pPr>
            <w:r w:rsidRPr="00927F20">
              <w:rPr>
                <w:color w:val="000000"/>
                <w:sz w:val="20"/>
                <w:szCs w:val="20"/>
              </w:rPr>
              <w:t>—</w:t>
            </w:r>
          </w:p>
        </w:tc>
        <w:tc>
          <w:tcPr>
            <w:tcW w:w="2250" w:type="dxa"/>
            <w:hideMark/>
          </w:tcPr>
          <w:p w14:paraId="3ACA4935"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hideMark/>
          </w:tcPr>
          <w:p w14:paraId="7D675BDA"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noWrap/>
            <w:hideMark/>
          </w:tcPr>
          <w:p w14:paraId="013BC617" w14:textId="77777777" w:rsidR="00D75179" w:rsidRPr="00927F20" w:rsidRDefault="00D75179" w:rsidP="00303804">
            <w:pPr>
              <w:jc w:val="center"/>
              <w:rPr>
                <w:color w:val="000000"/>
                <w:sz w:val="20"/>
                <w:szCs w:val="20"/>
              </w:rPr>
            </w:pPr>
            <w:r w:rsidRPr="00927F20">
              <w:rPr>
                <w:color w:val="000000"/>
                <w:sz w:val="20"/>
                <w:szCs w:val="20"/>
              </w:rPr>
              <w:t>—</w:t>
            </w:r>
          </w:p>
        </w:tc>
        <w:tc>
          <w:tcPr>
            <w:tcW w:w="990" w:type="dxa"/>
            <w:gridSpan w:val="2"/>
            <w:hideMark/>
          </w:tcPr>
          <w:p w14:paraId="6D2B18A0"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295C9BC7"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4D3F1174" w14:textId="77777777" w:rsidTr="00927F20">
        <w:trPr>
          <w:gridAfter w:val="2"/>
          <w:wAfter w:w="18" w:type="dxa"/>
          <w:trHeight w:val="360"/>
        </w:trPr>
        <w:tc>
          <w:tcPr>
            <w:tcW w:w="1255" w:type="dxa"/>
            <w:vMerge/>
            <w:hideMark/>
          </w:tcPr>
          <w:p w14:paraId="48E0BFD2" w14:textId="77777777" w:rsidR="00D75179" w:rsidRPr="00927F20" w:rsidRDefault="00D75179" w:rsidP="00303804">
            <w:pPr>
              <w:rPr>
                <w:color w:val="000000"/>
                <w:sz w:val="20"/>
                <w:szCs w:val="20"/>
              </w:rPr>
            </w:pPr>
          </w:p>
        </w:tc>
        <w:tc>
          <w:tcPr>
            <w:tcW w:w="900" w:type="dxa"/>
            <w:noWrap/>
            <w:hideMark/>
          </w:tcPr>
          <w:p w14:paraId="712BBD5E" w14:textId="77777777" w:rsidR="00D75179" w:rsidRPr="00927F20" w:rsidRDefault="00D75179" w:rsidP="00303804">
            <w:pPr>
              <w:jc w:val="center"/>
              <w:rPr>
                <w:color w:val="000000"/>
                <w:sz w:val="20"/>
                <w:szCs w:val="20"/>
              </w:rPr>
            </w:pPr>
            <w:r w:rsidRPr="00927F20">
              <w:rPr>
                <w:color w:val="000000"/>
                <w:sz w:val="20"/>
                <w:szCs w:val="20"/>
              </w:rPr>
              <w:t>15 – 49</w:t>
            </w:r>
          </w:p>
        </w:tc>
        <w:tc>
          <w:tcPr>
            <w:tcW w:w="900" w:type="dxa"/>
            <w:hideMark/>
          </w:tcPr>
          <w:p w14:paraId="360CB66F" w14:textId="77777777" w:rsidR="00D75179" w:rsidRPr="00927F20" w:rsidRDefault="00D75179" w:rsidP="00303804">
            <w:pPr>
              <w:jc w:val="center"/>
              <w:rPr>
                <w:color w:val="000000"/>
                <w:sz w:val="20"/>
                <w:szCs w:val="20"/>
              </w:rPr>
            </w:pPr>
            <w:r w:rsidRPr="00927F20">
              <w:rPr>
                <w:color w:val="000000"/>
                <w:sz w:val="20"/>
                <w:szCs w:val="20"/>
              </w:rPr>
              <w:t>4,739</w:t>
            </w:r>
          </w:p>
        </w:tc>
        <w:tc>
          <w:tcPr>
            <w:tcW w:w="2160" w:type="dxa"/>
            <w:noWrap/>
            <w:hideMark/>
          </w:tcPr>
          <w:p w14:paraId="20BFA0C2" w14:textId="77777777" w:rsidR="00D75179" w:rsidRPr="00927F20" w:rsidRDefault="00D75179" w:rsidP="00303804">
            <w:pPr>
              <w:jc w:val="center"/>
              <w:rPr>
                <w:color w:val="000000"/>
                <w:sz w:val="20"/>
                <w:szCs w:val="20"/>
              </w:rPr>
            </w:pPr>
            <w:r w:rsidRPr="00927F20">
              <w:rPr>
                <w:color w:val="000000"/>
                <w:sz w:val="20"/>
                <w:szCs w:val="20"/>
              </w:rPr>
              <w:t>2.61 (2.19 – 3.12)</w:t>
            </w:r>
          </w:p>
        </w:tc>
        <w:tc>
          <w:tcPr>
            <w:tcW w:w="900" w:type="dxa"/>
            <w:gridSpan w:val="2"/>
            <w:hideMark/>
          </w:tcPr>
          <w:p w14:paraId="7287038C" w14:textId="77777777" w:rsidR="00D75179" w:rsidRPr="00927F20" w:rsidRDefault="00D75179" w:rsidP="00303804">
            <w:pPr>
              <w:jc w:val="center"/>
              <w:rPr>
                <w:color w:val="000000"/>
                <w:sz w:val="20"/>
                <w:szCs w:val="20"/>
              </w:rPr>
            </w:pPr>
            <w:r w:rsidRPr="00927F20">
              <w:rPr>
                <w:color w:val="000000"/>
                <w:sz w:val="20"/>
                <w:szCs w:val="20"/>
              </w:rPr>
              <w:t>5,900</w:t>
            </w:r>
          </w:p>
        </w:tc>
        <w:tc>
          <w:tcPr>
            <w:tcW w:w="2250" w:type="dxa"/>
            <w:hideMark/>
          </w:tcPr>
          <w:p w14:paraId="40A0003B" w14:textId="77777777" w:rsidR="00D75179" w:rsidRPr="00927F20" w:rsidRDefault="00D75179" w:rsidP="00303804">
            <w:pPr>
              <w:jc w:val="center"/>
              <w:rPr>
                <w:color w:val="000000"/>
                <w:sz w:val="20"/>
                <w:szCs w:val="20"/>
              </w:rPr>
            </w:pPr>
            <w:r w:rsidRPr="00927F20">
              <w:rPr>
                <w:color w:val="000000"/>
                <w:sz w:val="20"/>
                <w:szCs w:val="20"/>
              </w:rPr>
              <w:t>2.83 (2.43 – 3.28)</w:t>
            </w:r>
          </w:p>
        </w:tc>
        <w:tc>
          <w:tcPr>
            <w:tcW w:w="900" w:type="dxa"/>
            <w:gridSpan w:val="2"/>
            <w:hideMark/>
          </w:tcPr>
          <w:p w14:paraId="5535A056" w14:textId="77777777" w:rsidR="00D75179" w:rsidRPr="00927F20" w:rsidRDefault="00D75179" w:rsidP="00303804">
            <w:pPr>
              <w:jc w:val="center"/>
              <w:rPr>
                <w:color w:val="000000"/>
                <w:sz w:val="20"/>
                <w:szCs w:val="20"/>
              </w:rPr>
            </w:pPr>
            <w:r w:rsidRPr="00927F20">
              <w:rPr>
                <w:color w:val="000000"/>
                <w:sz w:val="20"/>
                <w:szCs w:val="20"/>
              </w:rPr>
              <w:t>5,489</w:t>
            </w:r>
          </w:p>
        </w:tc>
        <w:tc>
          <w:tcPr>
            <w:tcW w:w="2160" w:type="dxa"/>
            <w:noWrap/>
            <w:hideMark/>
          </w:tcPr>
          <w:p w14:paraId="0554F955" w14:textId="77777777" w:rsidR="00D75179" w:rsidRPr="00927F20" w:rsidRDefault="00D75179" w:rsidP="00303804">
            <w:pPr>
              <w:jc w:val="center"/>
              <w:rPr>
                <w:color w:val="000000"/>
                <w:sz w:val="20"/>
                <w:szCs w:val="20"/>
              </w:rPr>
            </w:pPr>
            <w:r w:rsidRPr="00927F20">
              <w:rPr>
                <w:color w:val="000000"/>
                <w:sz w:val="20"/>
                <w:szCs w:val="20"/>
              </w:rPr>
              <w:t>2.65 (2.26 – 3.11)</w:t>
            </w:r>
          </w:p>
        </w:tc>
        <w:tc>
          <w:tcPr>
            <w:tcW w:w="990" w:type="dxa"/>
            <w:gridSpan w:val="2"/>
            <w:hideMark/>
          </w:tcPr>
          <w:p w14:paraId="27EDEF8C"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6E0B9424"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43F6A5FA" w14:textId="77777777" w:rsidTr="00927F20">
        <w:trPr>
          <w:gridAfter w:val="2"/>
          <w:wAfter w:w="18" w:type="dxa"/>
          <w:trHeight w:val="360"/>
        </w:trPr>
        <w:tc>
          <w:tcPr>
            <w:tcW w:w="1255" w:type="dxa"/>
            <w:vMerge w:val="restart"/>
            <w:hideMark/>
          </w:tcPr>
          <w:p w14:paraId="078D6A08" w14:textId="3B2C027E" w:rsidR="00D75179" w:rsidRPr="00927F20" w:rsidRDefault="00D75179" w:rsidP="00927F20">
            <w:pPr>
              <w:rPr>
                <w:color w:val="000000"/>
                <w:sz w:val="20"/>
                <w:szCs w:val="20"/>
                <w:vertAlign w:val="superscript"/>
              </w:rPr>
            </w:pPr>
            <w:r w:rsidRPr="00927F20">
              <w:rPr>
                <w:color w:val="000000"/>
                <w:sz w:val="20"/>
                <w:szCs w:val="20"/>
              </w:rPr>
              <w:t xml:space="preserve">High-risk </w:t>
            </w:r>
            <w:proofErr w:type="spellStart"/>
            <w:r w:rsidRPr="00927F20">
              <w:rPr>
                <w:color w:val="000000"/>
                <w:sz w:val="20"/>
                <w:szCs w:val="20"/>
              </w:rPr>
              <w:t>women</w:t>
            </w:r>
            <w:r w:rsidR="0018213B" w:rsidRPr="00927F20">
              <w:rPr>
                <w:color w:val="000000"/>
                <w:sz w:val="20"/>
                <w:szCs w:val="20"/>
                <w:vertAlign w:val="superscript"/>
              </w:rPr>
              <w:t>c</w:t>
            </w:r>
            <w:proofErr w:type="spellEnd"/>
          </w:p>
        </w:tc>
        <w:tc>
          <w:tcPr>
            <w:tcW w:w="900" w:type="dxa"/>
            <w:noWrap/>
            <w:hideMark/>
          </w:tcPr>
          <w:p w14:paraId="5729750B" w14:textId="77777777" w:rsidR="00D75179" w:rsidRPr="00927F20" w:rsidRDefault="00D75179" w:rsidP="00303804">
            <w:pPr>
              <w:jc w:val="center"/>
              <w:rPr>
                <w:color w:val="000000"/>
                <w:sz w:val="20"/>
                <w:szCs w:val="20"/>
              </w:rPr>
            </w:pPr>
            <w:r w:rsidRPr="00927F20">
              <w:rPr>
                <w:color w:val="000000"/>
                <w:sz w:val="20"/>
                <w:szCs w:val="20"/>
              </w:rPr>
              <w:t>15-24</w:t>
            </w:r>
          </w:p>
        </w:tc>
        <w:tc>
          <w:tcPr>
            <w:tcW w:w="900" w:type="dxa"/>
            <w:hideMark/>
          </w:tcPr>
          <w:p w14:paraId="6C7C136A"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6F01C357"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noWrap/>
            <w:hideMark/>
          </w:tcPr>
          <w:p w14:paraId="31AFC7EF" w14:textId="77777777" w:rsidR="00D75179" w:rsidRPr="00927F20" w:rsidRDefault="00D75179" w:rsidP="00303804">
            <w:pPr>
              <w:jc w:val="center"/>
              <w:rPr>
                <w:color w:val="000000"/>
                <w:sz w:val="20"/>
                <w:szCs w:val="20"/>
              </w:rPr>
            </w:pPr>
            <w:r w:rsidRPr="00927F20">
              <w:rPr>
                <w:color w:val="000000"/>
                <w:sz w:val="20"/>
                <w:szCs w:val="20"/>
              </w:rPr>
              <w:t> </w:t>
            </w:r>
          </w:p>
        </w:tc>
        <w:tc>
          <w:tcPr>
            <w:tcW w:w="2250" w:type="dxa"/>
            <w:noWrap/>
            <w:hideMark/>
          </w:tcPr>
          <w:p w14:paraId="3F95E1E2" w14:textId="77777777" w:rsidR="00D75179" w:rsidRPr="00927F20" w:rsidRDefault="00D75179" w:rsidP="00303804">
            <w:pPr>
              <w:jc w:val="center"/>
              <w:rPr>
                <w:color w:val="000000"/>
                <w:sz w:val="20"/>
                <w:szCs w:val="20"/>
              </w:rPr>
            </w:pPr>
            <w:r w:rsidRPr="00927F20">
              <w:rPr>
                <w:color w:val="000000"/>
                <w:sz w:val="20"/>
                <w:szCs w:val="20"/>
              </w:rPr>
              <w:t>42.1</w:t>
            </w:r>
          </w:p>
        </w:tc>
        <w:tc>
          <w:tcPr>
            <w:tcW w:w="900" w:type="dxa"/>
            <w:gridSpan w:val="2"/>
            <w:hideMark/>
          </w:tcPr>
          <w:p w14:paraId="74076E92"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5C29BE37" w14:textId="77777777" w:rsidR="00D75179" w:rsidRPr="00927F20" w:rsidRDefault="00D75179" w:rsidP="00303804">
            <w:pPr>
              <w:jc w:val="center"/>
              <w:rPr>
                <w:color w:val="000000"/>
                <w:sz w:val="20"/>
                <w:szCs w:val="20"/>
              </w:rPr>
            </w:pPr>
            <w:r w:rsidRPr="00927F20">
              <w:rPr>
                <w:color w:val="000000"/>
                <w:sz w:val="20"/>
                <w:szCs w:val="20"/>
              </w:rPr>
              <w:t>—</w:t>
            </w:r>
          </w:p>
        </w:tc>
        <w:tc>
          <w:tcPr>
            <w:tcW w:w="990" w:type="dxa"/>
            <w:gridSpan w:val="2"/>
            <w:hideMark/>
          </w:tcPr>
          <w:p w14:paraId="48732277"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03FE0AF2"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25ED77CF" w14:textId="77777777" w:rsidTr="00927F20">
        <w:trPr>
          <w:gridAfter w:val="2"/>
          <w:wAfter w:w="18" w:type="dxa"/>
          <w:trHeight w:val="360"/>
        </w:trPr>
        <w:tc>
          <w:tcPr>
            <w:tcW w:w="1255" w:type="dxa"/>
            <w:vMerge/>
            <w:hideMark/>
          </w:tcPr>
          <w:p w14:paraId="684A4D45" w14:textId="77777777" w:rsidR="00D75179" w:rsidRPr="00927F20" w:rsidRDefault="00D75179" w:rsidP="00927F20">
            <w:pPr>
              <w:rPr>
                <w:color w:val="000000"/>
                <w:sz w:val="20"/>
                <w:szCs w:val="20"/>
              </w:rPr>
            </w:pPr>
          </w:p>
        </w:tc>
        <w:tc>
          <w:tcPr>
            <w:tcW w:w="900" w:type="dxa"/>
            <w:noWrap/>
            <w:hideMark/>
          </w:tcPr>
          <w:p w14:paraId="05834E06" w14:textId="77777777" w:rsidR="00D75179" w:rsidRPr="00927F20" w:rsidRDefault="00D75179" w:rsidP="00303804">
            <w:pPr>
              <w:jc w:val="center"/>
              <w:rPr>
                <w:color w:val="000000"/>
                <w:sz w:val="20"/>
                <w:szCs w:val="20"/>
              </w:rPr>
            </w:pPr>
            <w:r w:rsidRPr="00927F20">
              <w:rPr>
                <w:color w:val="000000"/>
                <w:sz w:val="20"/>
                <w:szCs w:val="20"/>
              </w:rPr>
              <w:t>25-34</w:t>
            </w:r>
          </w:p>
        </w:tc>
        <w:tc>
          <w:tcPr>
            <w:tcW w:w="900" w:type="dxa"/>
            <w:hideMark/>
          </w:tcPr>
          <w:p w14:paraId="1954FC9F"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6C6C1B54"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noWrap/>
            <w:hideMark/>
          </w:tcPr>
          <w:p w14:paraId="0A614EDE" w14:textId="77777777" w:rsidR="00D75179" w:rsidRPr="00927F20" w:rsidRDefault="00D75179" w:rsidP="00303804">
            <w:pPr>
              <w:jc w:val="center"/>
              <w:rPr>
                <w:color w:val="000000"/>
                <w:sz w:val="20"/>
                <w:szCs w:val="20"/>
              </w:rPr>
            </w:pPr>
            <w:r w:rsidRPr="00927F20">
              <w:rPr>
                <w:color w:val="000000"/>
                <w:sz w:val="20"/>
                <w:szCs w:val="20"/>
              </w:rPr>
              <w:t> </w:t>
            </w:r>
          </w:p>
        </w:tc>
        <w:tc>
          <w:tcPr>
            <w:tcW w:w="2250" w:type="dxa"/>
            <w:noWrap/>
            <w:hideMark/>
          </w:tcPr>
          <w:p w14:paraId="521B5D1C" w14:textId="77777777" w:rsidR="00D75179" w:rsidRPr="00927F20" w:rsidRDefault="00D75179" w:rsidP="00303804">
            <w:pPr>
              <w:jc w:val="center"/>
              <w:rPr>
                <w:color w:val="000000"/>
                <w:sz w:val="20"/>
                <w:szCs w:val="20"/>
              </w:rPr>
            </w:pPr>
            <w:r w:rsidRPr="00927F20">
              <w:rPr>
                <w:color w:val="000000"/>
                <w:sz w:val="20"/>
                <w:szCs w:val="20"/>
              </w:rPr>
              <w:t>55.6</w:t>
            </w:r>
          </w:p>
        </w:tc>
        <w:tc>
          <w:tcPr>
            <w:tcW w:w="900" w:type="dxa"/>
            <w:gridSpan w:val="2"/>
            <w:hideMark/>
          </w:tcPr>
          <w:p w14:paraId="7ECFD96E"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06D53E23" w14:textId="77777777" w:rsidR="00D75179" w:rsidRPr="00927F20" w:rsidRDefault="00D75179" w:rsidP="00303804">
            <w:pPr>
              <w:jc w:val="center"/>
              <w:rPr>
                <w:color w:val="000000"/>
                <w:sz w:val="20"/>
                <w:szCs w:val="20"/>
              </w:rPr>
            </w:pPr>
            <w:r w:rsidRPr="00927F20">
              <w:rPr>
                <w:color w:val="000000"/>
                <w:sz w:val="20"/>
                <w:szCs w:val="20"/>
              </w:rPr>
              <w:t>—</w:t>
            </w:r>
          </w:p>
        </w:tc>
        <w:tc>
          <w:tcPr>
            <w:tcW w:w="990" w:type="dxa"/>
            <w:gridSpan w:val="2"/>
            <w:hideMark/>
          </w:tcPr>
          <w:p w14:paraId="3DBD6ADB"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26B9187F"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7FDDE9F6" w14:textId="77777777" w:rsidTr="00927F20">
        <w:trPr>
          <w:gridAfter w:val="2"/>
          <w:wAfter w:w="18" w:type="dxa"/>
          <w:trHeight w:val="360"/>
        </w:trPr>
        <w:tc>
          <w:tcPr>
            <w:tcW w:w="1255" w:type="dxa"/>
            <w:vMerge/>
            <w:hideMark/>
          </w:tcPr>
          <w:p w14:paraId="221A1878" w14:textId="77777777" w:rsidR="00D75179" w:rsidRPr="00927F20" w:rsidRDefault="00D75179" w:rsidP="00927F20">
            <w:pPr>
              <w:rPr>
                <w:color w:val="000000"/>
                <w:sz w:val="20"/>
                <w:szCs w:val="20"/>
              </w:rPr>
            </w:pPr>
          </w:p>
        </w:tc>
        <w:tc>
          <w:tcPr>
            <w:tcW w:w="900" w:type="dxa"/>
            <w:noWrap/>
            <w:hideMark/>
          </w:tcPr>
          <w:p w14:paraId="5E296605" w14:textId="77777777" w:rsidR="00D75179" w:rsidRPr="00927F20" w:rsidRDefault="00D75179" w:rsidP="00303804">
            <w:pPr>
              <w:jc w:val="center"/>
              <w:rPr>
                <w:color w:val="000000"/>
                <w:sz w:val="20"/>
                <w:szCs w:val="20"/>
              </w:rPr>
            </w:pPr>
            <w:r w:rsidRPr="00927F20">
              <w:rPr>
                <w:color w:val="000000"/>
                <w:sz w:val="20"/>
                <w:szCs w:val="20"/>
              </w:rPr>
              <w:t>35-44</w:t>
            </w:r>
          </w:p>
        </w:tc>
        <w:tc>
          <w:tcPr>
            <w:tcW w:w="900" w:type="dxa"/>
            <w:hideMark/>
          </w:tcPr>
          <w:p w14:paraId="753BB105"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0E02F98A"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noWrap/>
            <w:hideMark/>
          </w:tcPr>
          <w:p w14:paraId="232BEC31" w14:textId="77777777" w:rsidR="00D75179" w:rsidRPr="00927F20" w:rsidRDefault="00D75179" w:rsidP="00303804">
            <w:pPr>
              <w:jc w:val="center"/>
              <w:rPr>
                <w:color w:val="000000"/>
                <w:sz w:val="20"/>
                <w:szCs w:val="20"/>
              </w:rPr>
            </w:pPr>
            <w:r w:rsidRPr="00927F20">
              <w:rPr>
                <w:color w:val="000000"/>
                <w:sz w:val="20"/>
                <w:szCs w:val="20"/>
              </w:rPr>
              <w:t> </w:t>
            </w:r>
          </w:p>
        </w:tc>
        <w:tc>
          <w:tcPr>
            <w:tcW w:w="2250" w:type="dxa"/>
            <w:noWrap/>
            <w:hideMark/>
          </w:tcPr>
          <w:p w14:paraId="6710CB19" w14:textId="77777777" w:rsidR="00D75179" w:rsidRPr="00927F20" w:rsidRDefault="00D75179" w:rsidP="00303804">
            <w:pPr>
              <w:jc w:val="center"/>
              <w:rPr>
                <w:color w:val="000000"/>
                <w:sz w:val="20"/>
                <w:szCs w:val="20"/>
              </w:rPr>
            </w:pPr>
            <w:r w:rsidRPr="00927F20">
              <w:rPr>
                <w:color w:val="000000"/>
                <w:sz w:val="20"/>
                <w:szCs w:val="20"/>
              </w:rPr>
              <w:t>63</w:t>
            </w:r>
          </w:p>
        </w:tc>
        <w:tc>
          <w:tcPr>
            <w:tcW w:w="900" w:type="dxa"/>
            <w:gridSpan w:val="2"/>
            <w:hideMark/>
          </w:tcPr>
          <w:p w14:paraId="0A4C59DF"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2E20870C" w14:textId="77777777" w:rsidR="00D75179" w:rsidRPr="00927F20" w:rsidRDefault="00D75179" w:rsidP="00303804">
            <w:pPr>
              <w:jc w:val="center"/>
              <w:rPr>
                <w:color w:val="000000"/>
                <w:sz w:val="20"/>
                <w:szCs w:val="20"/>
              </w:rPr>
            </w:pPr>
            <w:r w:rsidRPr="00927F20">
              <w:rPr>
                <w:color w:val="000000"/>
                <w:sz w:val="20"/>
                <w:szCs w:val="20"/>
              </w:rPr>
              <w:t>—</w:t>
            </w:r>
          </w:p>
        </w:tc>
        <w:tc>
          <w:tcPr>
            <w:tcW w:w="990" w:type="dxa"/>
            <w:gridSpan w:val="2"/>
            <w:hideMark/>
          </w:tcPr>
          <w:p w14:paraId="30E99254"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0B9F787C"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3EA0773A" w14:textId="77777777" w:rsidTr="00927F20">
        <w:trPr>
          <w:gridAfter w:val="2"/>
          <w:wAfter w:w="18" w:type="dxa"/>
          <w:trHeight w:val="360"/>
        </w:trPr>
        <w:tc>
          <w:tcPr>
            <w:tcW w:w="1255" w:type="dxa"/>
            <w:vMerge/>
            <w:hideMark/>
          </w:tcPr>
          <w:p w14:paraId="7F65760E" w14:textId="77777777" w:rsidR="00D75179" w:rsidRPr="00927F20" w:rsidRDefault="00D75179" w:rsidP="00927F20">
            <w:pPr>
              <w:rPr>
                <w:color w:val="000000"/>
                <w:sz w:val="20"/>
                <w:szCs w:val="20"/>
              </w:rPr>
            </w:pPr>
          </w:p>
        </w:tc>
        <w:tc>
          <w:tcPr>
            <w:tcW w:w="900" w:type="dxa"/>
            <w:noWrap/>
            <w:hideMark/>
          </w:tcPr>
          <w:p w14:paraId="726EE24E" w14:textId="77777777" w:rsidR="00D75179" w:rsidRPr="00927F20" w:rsidRDefault="00D75179" w:rsidP="00303804">
            <w:pPr>
              <w:jc w:val="center"/>
              <w:rPr>
                <w:color w:val="000000"/>
                <w:sz w:val="20"/>
                <w:szCs w:val="20"/>
              </w:rPr>
            </w:pPr>
            <w:r w:rsidRPr="00927F20">
              <w:rPr>
                <w:color w:val="000000"/>
                <w:sz w:val="20"/>
                <w:szCs w:val="20"/>
              </w:rPr>
              <w:t>45-54</w:t>
            </w:r>
          </w:p>
        </w:tc>
        <w:tc>
          <w:tcPr>
            <w:tcW w:w="900" w:type="dxa"/>
            <w:hideMark/>
          </w:tcPr>
          <w:p w14:paraId="22ECC7D8"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70BB6688"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noWrap/>
            <w:hideMark/>
          </w:tcPr>
          <w:p w14:paraId="60597108" w14:textId="77777777" w:rsidR="00D75179" w:rsidRPr="00927F20" w:rsidRDefault="00D75179" w:rsidP="00303804">
            <w:pPr>
              <w:jc w:val="center"/>
              <w:rPr>
                <w:color w:val="000000"/>
                <w:sz w:val="20"/>
                <w:szCs w:val="20"/>
              </w:rPr>
            </w:pPr>
            <w:r w:rsidRPr="00927F20">
              <w:rPr>
                <w:color w:val="000000"/>
                <w:sz w:val="20"/>
                <w:szCs w:val="20"/>
              </w:rPr>
              <w:t> </w:t>
            </w:r>
          </w:p>
        </w:tc>
        <w:tc>
          <w:tcPr>
            <w:tcW w:w="2250" w:type="dxa"/>
            <w:noWrap/>
            <w:hideMark/>
          </w:tcPr>
          <w:p w14:paraId="62522309" w14:textId="77777777" w:rsidR="00D75179" w:rsidRPr="00927F20" w:rsidRDefault="00D75179" w:rsidP="00303804">
            <w:pPr>
              <w:jc w:val="center"/>
              <w:rPr>
                <w:color w:val="000000"/>
                <w:sz w:val="20"/>
                <w:szCs w:val="20"/>
              </w:rPr>
            </w:pPr>
            <w:r w:rsidRPr="00927F20">
              <w:rPr>
                <w:color w:val="000000"/>
                <w:sz w:val="20"/>
                <w:szCs w:val="20"/>
              </w:rPr>
              <w:t>(63)</w:t>
            </w:r>
          </w:p>
        </w:tc>
        <w:tc>
          <w:tcPr>
            <w:tcW w:w="900" w:type="dxa"/>
            <w:gridSpan w:val="2"/>
            <w:hideMark/>
          </w:tcPr>
          <w:p w14:paraId="0416F607"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7FE91147" w14:textId="77777777" w:rsidR="00D75179" w:rsidRPr="00927F20" w:rsidRDefault="00D75179" w:rsidP="00303804">
            <w:pPr>
              <w:jc w:val="center"/>
              <w:rPr>
                <w:color w:val="000000"/>
                <w:sz w:val="20"/>
                <w:szCs w:val="20"/>
              </w:rPr>
            </w:pPr>
            <w:r w:rsidRPr="00927F20">
              <w:rPr>
                <w:color w:val="000000"/>
                <w:sz w:val="20"/>
                <w:szCs w:val="20"/>
              </w:rPr>
              <w:t>—</w:t>
            </w:r>
          </w:p>
        </w:tc>
        <w:tc>
          <w:tcPr>
            <w:tcW w:w="990" w:type="dxa"/>
            <w:gridSpan w:val="2"/>
            <w:hideMark/>
          </w:tcPr>
          <w:p w14:paraId="2B48CD7A"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22FF7E64"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53291C12" w14:textId="77777777" w:rsidTr="00927F20">
        <w:trPr>
          <w:gridAfter w:val="2"/>
          <w:wAfter w:w="18" w:type="dxa"/>
          <w:trHeight w:val="360"/>
        </w:trPr>
        <w:tc>
          <w:tcPr>
            <w:tcW w:w="1255" w:type="dxa"/>
            <w:vMerge/>
            <w:hideMark/>
          </w:tcPr>
          <w:p w14:paraId="2D0ACF0D" w14:textId="77777777" w:rsidR="00D75179" w:rsidRPr="00927F20" w:rsidRDefault="00D75179" w:rsidP="00927F20">
            <w:pPr>
              <w:rPr>
                <w:color w:val="000000"/>
                <w:sz w:val="20"/>
                <w:szCs w:val="20"/>
              </w:rPr>
            </w:pPr>
          </w:p>
        </w:tc>
        <w:tc>
          <w:tcPr>
            <w:tcW w:w="900" w:type="dxa"/>
            <w:noWrap/>
            <w:hideMark/>
          </w:tcPr>
          <w:p w14:paraId="12B5FD8B" w14:textId="77777777" w:rsidR="00D75179" w:rsidRPr="00927F20" w:rsidRDefault="00D75179" w:rsidP="00303804">
            <w:pPr>
              <w:jc w:val="center"/>
              <w:rPr>
                <w:color w:val="000000"/>
                <w:sz w:val="20"/>
                <w:szCs w:val="20"/>
              </w:rPr>
            </w:pPr>
            <w:r w:rsidRPr="00927F20">
              <w:rPr>
                <w:color w:val="000000"/>
                <w:sz w:val="20"/>
                <w:szCs w:val="20"/>
              </w:rPr>
              <w:t>55+</w:t>
            </w:r>
          </w:p>
        </w:tc>
        <w:tc>
          <w:tcPr>
            <w:tcW w:w="900" w:type="dxa"/>
            <w:hideMark/>
          </w:tcPr>
          <w:p w14:paraId="6ACC6C79"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3F6A59E4"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noWrap/>
            <w:hideMark/>
          </w:tcPr>
          <w:p w14:paraId="6E074416" w14:textId="77777777" w:rsidR="00D75179" w:rsidRPr="00927F20" w:rsidRDefault="00D75179" w:rsidP="00303804">
            <w:pPr>
              <w:jc w:val="center"/>
              <w:rPr>
                <w:color w:val="000000"/>
                <w:sz w:val="20"/>
                <w:szCs w:val="20"/>
              </w:rPr>
            </w:pPr>
            <w:r w:rsidRPr="00927F20">
              <w:rPr>
                <w:color w:val="000000"/>
                <w:sz w:val="20"/>
                <w:szCs w:val="20"/>
              </w:rPr>
              <w:t> </w:t>
            </w:r>
          </w:p>
        </w:tc>
        <w:tc>
          <w:tcPr>
            <w:tcW w:w="2250" w:type="dxa"/>
            <w:noWrap/>
            <w:hideMark/>
          </w:tcPr>
          <w:p w14:paraId="27CBEC0A" w14:textId="77777777" w:rsidR="00D75179" w:rsidRPr="00927F20" w:rsidRDefault="00D75179" w:rsidP="00303804">
            <w:pPr>
              <w:jc w:val="center"/>
              <w:rPr>
                <w:color w:val="000000"/>
                <w:sz w:val="20"/>
                <w:szCs w:val="20"/>
              </w:rPr>
            </w:pPr>
            <w:r w:rsidRPr="00927F20">
              <w:rPr>
                <w:color w:val="000000"/>
                <w:sz w:val="20"/>
                <w:szCs w:val="20"/>
              </w:rPr>
              <w:t>(63)</w:t>
            </w:r>
          </w:p>
        </w:tc>
        <w:tc>
          <w:tcPr>
            <w:tcW w:w="900" w:type="dxa"/>
            <w:gridSpan w:val="2"/>
            <w:hideMark/>
          </w:tcPr>
          <w:p w14:paraId="552B12C6"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707C1948" w14:textId="77777777" w:rsidR="00D75179" w:rsidRPr="00927F20" w:rsidRDefault="00D75179" w:rsidP="00303804">
            <w:pPr>
              <w:jc w:val="center"/>
              <w:rPr>
                <w:color w:val="000000"/>
                <w:sz w:val="20"/>
                <w:szCs w:val="20"/>
              </w:rPr>
            </w:pPr>
            <w:r w:rsidRPr="00927F20">
              <w:rPr>
                <w:color w:val="000000"/>
                <w:sz w:val="20"/>
                <w:szCs w:val="20"/>
              </w:rPr>
              <w:t>—</w:t>
            </w:r>
          </w:p>
        </w:tc>
        <w:tc>
          <w:tcPr>
            <w:tcW w:w="990" w:type="dxa"/>
            <w:gridSpan w:val="2"/>
            <w:hideMark/>
          </w:tcPr>
          <w:p w14:paraId="63E2D9D0"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10CAE7BE"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283A04AC" w14:textId="77777777" w:rsidTr="00927F20">
        <w:trPr>
          <w:gridAfter w:val="2"/>
          <w:wAfter w:w="18" w:type="dxa"/>
          <w:trHeight w:val="360"/>
        </w:trPr>
        <w:tc>
          <w:tcPr>
            <w:tcW w:w="1255" w:type="dxa"/>
            <w:vMerge/>
            <w:hideMark/>
          </w:tcPr>
          <w:p w14:paraId="6B26B348" w14:textId="77777777" w:rsidR="00D75179" w:rsidRPr="00927F20" w:rsidRDefault="00D75179" w:rsidP="00927F20">
            <w:pPr>
              <w:rPr>
                <w:color w:val="000000"/>
                <w:sz w:val="20"/>
                <w:szCs w:val="20"/>
              </w:rPr>
            </w:pPr>
          </w:p>
        </w:tc>
        <w:tc>
          <w:tcPr>
            <w:tcW w:w="900" w:type="dxa"/>
            <w:noWrap/>
            <w:hideMark/>
          </w:tcPr>
          <w:p w14:paraId="46B8BBB4" w14:textId="77777777" w:rsidR="00D75179" w:rsidRPr="00927F20" w:rsidRDefault="00D75179" w:rsidP="00303804">
            <w:pPr>
              <w:jc w:val="center"/>
              <w:rPr>
                <w:color w:val="000000"/>
                <w:sz w:val="20"/>
                <w:szCs w:val="20"/>
              </w:rPr>
            </w:pPr>
            <w:r w:rsidRPr="00927F20">
              <w:rPr>
                <w:color w:val="000000"/>
                <w:sz w:val="20"/>
                <w:szCs w:val="20"/>
              </w:rPr>
              <w:t>15 +</w:t>
            </w:r>
          </w:p>
        </w:tc>
        <w:tc>
          <w:tcPr>
            <w:tcW w:w="900" w:type="dxa"/>
            <w:hideMark/>
          </w:tcPr>
          <w:p w14:paraId="3805CD9F"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51AE0F72"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noWrap/>
            <w:hideMark/>
          </w:tcPr>
          <w:p w14:paraId="1D937B95" w14:textId="77777777" w:rsidR="00D75179" w:rsidRPr="00927F20" w:rsidRDefault="00D75179" w:rsidP="00303804">
            <w:pPr>
              <w:jc w:val="center"/>
              <w:rPr>
                <w:color w:val="000000"/>
                <w:sz w:val="20"/>
                <w:szCs w:val="20"/>
              </w:rPr>
            </w:pPr>
            <w:r w:rsidRPr="00927F20">
              <w:rPr>
                <w:color w:val="000000"/>
                <w:sz w:val="20"/>
                <w:szCs w:val="20"/>
              </w:rPr>
              <w:t>1112</w:t>
            </w:r>
          </w:p>
        </w:tc>
        <w:tc>
          <w:tcPr>
            <w:tcW w:w="2250" w:type="dxa"/>
            <w:noWrap/>
            <w:hideMark/>
          </w:tcPr>
          <w:p w14:paraId="3DF8BD93" w14:textId="77777777" w:rsidR="00D75179" w:rsidRPr="00927F20" w:rsidRDefault="00D75179" w:rsidP="00303804">
            <w:pPr>
              <w:jc w:val="center"/>
              <w:rPr>
                <w:color w:val="000000"/>
                <w:sz w:val="20"/>
                <w:szCs w:val="20"/>
              </w:rPr>
            </w:pPr>
            <w:r w:rsidRPr="00927F20">
              <w:rPr>
                <w:color w:val="000000"/>
                <w:sz w:val="20"/>
                <w:szCs w:val="20"/>
              </w:rPr>
              <w:t>51</w:t>
            </w:r>
          </w:p>
        </w:tc>
        <w:tc>
          <w:tcPr>
            <w:tcW w:w="900" w:type="dxa"/>
            <w:gridSpan w:val="2"/>
            <w:hideMark/>
          </w:tcPr>
          <w:p w14:paraId="0A8D7DF5" w14:textId="77777777" w:rsidR="00D75179" w:rsidRPr="00927F20" w:rsidRDefault="00D75179" w:rsidP="00303804">
            <w:pPr>
              <w:jc w:val="center"/>
              <w:rPr>
                <w:color w:val="000000"/>
                <w:sz w:val="20"/>
                <w:szCs w:val="20"/>
              </w:rPr>
            </w:pPr>
            <w:r w:rsidRPr="00927F20">
              <w:rPr>
                <w:color w:val="000000"/>
                <w:sz w:val="20"/>
                <w:szCs w:val="20"/>
              </w:rPr>
              <w:t>1967</w:t>
            </w:r>
          </w:p>
        </w:tc>
        <w:tc>
          <w:tcPr>
            <w:tcW w:w="2160" w:type="dxa"/>
            <w:hideMark/>
          </w:tcPr>
          <w:p w14:paraId="7125D367" w14:textId="77777777" w:rsidR="00D75179" w:rsidRPr="00927F20" w:rsidRDefault="00D75179" w:rsidP="00303804">
            <w:pPr>
              <w:jc w:val="center"/>
              <w:rPr>
                <w:color w:val="000000"/>
                <w:sz w:val="20"/>
                <w:szCs w:val="20"/>
              </w:rPr>
            </w:pPr>
            <w:r w:rsidRPr="00927F20">
              <w:rPr>
                <w:color w:val="000000"/>
                <w:sz w:val="20"/>
                <w:szCs w:val="20"/>
              </w:rPr>
              <w:t>45.8</w:t>
            </w:r>
          </w:p>
        </w:tc>
        <w:tc>
          <w:tcPr>
            <w:tcW w:w="990" w:type="dxa"/>
            <w:gridSpan w:val="2"/>
            <w:hideMark/>
          </w:tcPr>
          <w:p w14:paraId="532C077C" w14:textId="77777777" w:rsidR="00D75179" w:rsidRPr="00927F20" w:rsidRDefault="00D75179" w:rsidP="00303804">
            <w:pPr>
              <w:jc w:val="center"/>
              <w:rPr>
                <w:color w:val="000000"/>
                <w:sz w:val="20"/>
                <w:szCs w:val="20"/>
              </w:rPr>
            </w:pPr>
            <w:r w:rsidRPr="00927F20">
              <w:rPr>
                <w:color w:val="000000"/>
                <w:sz w:val="20"/>
                <w:szCs w:val="20"/>
              </w:rPr>
              <w:t>—</w:t>
            </w:r>
          </w:p>
        </w:tc>
        <w:tc>
          <w:tcPr>
            <w:tcW w:w="2070" w:type="dxa"/>
            <w:hideMark/>
          </w:tcPr>
          <w:p w14:paraId="5B27FDA2"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731044D3" w14:textId="77777777" w:rsidTr="00927F20">
        <w:trPr>
          <w:gridAfter w:val="2"/>
          <w:wAfter w:w="18" w:type="dxa"/>
          <w:trHeight w:val="360"/>
        </w:trPr>
        <w:tc>
          <w:tcPr>
            <w:tcW w:w="1255" w:type="dxa"/>
            <w:vMerge w:val="restart"/>
            <w:noWrap/>
            <w:hideMark/>
          </w:tcPr>
          <w:p w14:paraId="54D205A3" w14:textId="77777777" w:rsidR="00D75179" w:rsidRPr="00927F20" w:rsidRDefault="00D75179" w:rsidP="00927F20">
            <w:pPr>
              <w:rPr>
                <w:color w:val="000000"/>
                <w:sz w:val="20"/>
                <w:szCs w:val="20"/>
              </w:rPr>
            </w:pPr>
            <w:r w:rsidRPr="00927F20">
              <w:rPr>
                <w:color w:val="000000"/>
                <w:sz w:val="20"/>
                <w:szCs w:val="20"/>
              </w:rPr>
              <w:t>Women</w:t>
            </w:r>
          </w:p>
        </w:tc>
        <w:tc>
          <w:tcPr>
            <w:tcW w:w="900" w:type="dxa"/>
            <w:noWrap/>
            <w:hideMark/>
          </w:tcPr>
          <w:p w14:paraId="182F1F2D" w14:textId="77777777" w:rsidR="00D75179" w:rsidRPr="00927F20" w:rsidRDefault="00D75179" w:rsidP="00303804">
            <w:pPr>
              <w:jc w:val="center"/>
              <w:rPr>
                <w:color w:val="000000"/>
                <w:sz w:val="20"/>
                <w:szCs w:val="20"/>
              </w:rPr>
            </w:pPr>
            <w:r w:rsidRPr="00927F20">
              <w:rPr>
                <w:color w:val="000000"/>
                <w:sz w:val="20"/>
                <w:szCs w:val="20"/>
              </w:rPr>
              <w:t>15 – 49</w:t>
            </w:r>
          </w:p>
        </w:tc>
        <w:tc>
          <w:tcPr>
            <w:tcW w:w="900" w:type="dxa"/>
            <w:hideMark/>
          </w:tcPr>
          <w:p w14:paraId="62CBB678"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3C24117B"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hideMark/>
          </w:tcPr>
          <w:p w14:paraId="4EBF6723" w14:textId="77777777" w:rsidR="00D75179" w:rsidRPr="00927F20" w:rsidRDefault="00D75179" w:rsidP="00303804">
            <w:pPr>
              <w:jc w:val="center"/>
              <w:rPr>
                <w:color w:val="000000"/>
                <w:sz w:val="20"/>
                <w:szCs w:val="20"/>
              </w:rPr>
            </w:pPr>
            <w:r w:rsidRPr="00927F20">
              <w:rPr>
                <w:color w:val="000000"/>
                <w:sz w:val="20"/>
                <w:szCs w:val="20"/>
              </w:rPr>
              <w:t>—</w:t>
            </w:r>
          </w:p>
        </w:tc>
        <w:tc>
          <w:tcPr>
            <w:tcW w:w="2250" w:type="dxa"/>
            <w:hideMark/>
          </w:tcPr>
          <w:p w14:paraId="1FE4802F"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hideMark/>
          </w:tcPr>
          <w:p w14:paraId="1C165614"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1FF1104A" w14:textId="77777777" w:rsidR="00D75179" w:rsidRPr="00927F20" w:rsidRDefault="00D75179" w:rsidP="00303804">
            <w:pPr>
              <w:jc w:val="center"/>
              <w:rPr>
                <w:color w:val="000000"/>
                <w:sz w:val="20"/>
                <w:szCs w:val="20"/>
              </w:rPr>
            </w:pPr>
            <w:r w:rsidRPr="00927F20">
              <w:rPr>
                <w:color w:val="000000"/>
                <w:sz w:val="20"/>
                <w:szCs w:val="20"/>
              </w:rPr>
              <w:t>—</w:t>
            </w:r>
          </w:p>
        </w:tc>
        <w:tc>
          <w:tcPr>
            <w:tcW w:w="990" w:type="dxa"/>
            <w:gridSpan w:val="2"/>
            <w:hideMark/>
          </w:tcPr>
          <w:p w14:paraId="7E0AA43F" w14:textId="11D91334" w:rsidR="00D75179" w:rsidRPr="00927F20" w:rsidRDefault="008774AA" w:rsidP="00303804">
            <w:pPr>
              <w:jc w:val="center"/>
              <w:rPr>
                <w:color w:val="000000"/>
                <w:sz w:val="20"/>
                <w:szCs w:val="20"/>
              </w:rPr>
            </w:pPr>
            <w:r>
              <w:rPr>
                <w:color w:val="000000"/>
                <w:sz w:val="20"/>
                <w:szCs w:val="20"/>
              </w:rPr>
              <w:t>14,659</w:t>
            </w:r>
          </w:p>
        </w:tc>
        <w:tc>
          <w:tcPr>
            <w:tcW w:w="2070" w:type="dxa"/>
            <w:noWrap/>
            <w:hideMark/>
          </w:tcPr>
          <w:p w14:paraId="794BFC05" w14:textId="77777777" w:rsidR="00D75179" w:rsidRPr="00927F20" w:rsidRDefault="00D75179" w:rsidP="00303804">
            <w:pPr>
              <w:jc w:val="center"/>
              <w:rPr>
                <w:color w:val="000000"/>
                <w:sz w:val="20"/>
                <w:szCs w:val="20"/>
              </w:rPr>
            </w:pPr>
            <w:r w:rsidRPr="00927F20">
              <w:rPr>
                <w:color w:val="000000"/>
                <w:sz w:val="20"/>
                <w:szCs w:val="20"/>
              </w:rPr>
              <w:t>3.3 (2.9 – 3.8)</w:t>
            </w:r>
          </w:p>
        </w:tc>
      </w:tr>
      <w:tr w:rsidR="00D75179" w:rsidRPr="00927F20" w14:paraId="232C8619" w14:textId="77777777" w:rsidTr="00927F20">
        <w:trPr>
          <w:gridAfter w:val="2"/>
          <w:wAfter w:w="18" w:type="dxa"/>
          <w:trHeight w:val="360"/>
        </w:trPr>
        <w:tc>
          <w:tcPr>
            <w:tcW w:w="1255" w:type="dxa"/>
            <w:vMerge/>
            <w:hideMark/>
          </w:tcPr>
          <w:p w14:paraId="522D39FA" w14:textId="77777777" w:rsidR="00D75179" w:rsidRPr="00927F20" w:rsidRDefault="00D75179" w:rsidP="00927F20">
            <w:pPr>
              <w:rPr>
                <w:color w:val="000000"/>
                <w:sz w:val="20"/>
                <w:szCs w:val="20"/>
              </w:rPr>
            </w:pPr>
          </w:p>
        </w:tc>
        <w:tc>
          <w:tcPr>
            <w:tcW w:w="900" w:type="dxa"/>
            <w:noWrap/>
            <w:hideMark/>
          </w:tcPr>
          <w:p w14:paraId="2C16183E" w14:textId="77777777" w:rsidR="00D75179" w:rsidRPr="00927F20" w:rsidRDefault="00D75179" w:rsidP="00303804">
            <w:pPr>
              <w:jc w:val="center"/>
              <w:rPr>
                <w:color w:val="000000"/>
                <w:sz w:val="20"/>
                <w:szCs w:val="20"/>
              </w:rPr>
            </w:pPr>
            <w:r w:rsidRPr="00927F20">
              <w:rPr>
                <w:color w:val="000000"/>
                <w:sz w:val="20"/>
                <w:szCs w:val="20"/>
              </w:rPr>
              <w:t>15 – 64</w:t>
            </w:r>
          </w:p>
        </w:tc>
        <w:tc>
          <w:tcPr>
            <w:tcW w:w="900" w:type="dxa"/>
            <w:hideMark/>
          </w:tcPr>
          <w:p w14:paraId="66ACD5FE"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0F9A5874"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hideMark/>
          </w:tcPr>
          <w:p w14:paraId="2F401230" w14:textId="77777777" w:rsidR="00D75179" w:rsidRPr="00927F20" w:rsidRDefault="00D75179" w:rsidP="00303804">
            <w:pPr>
              <w:jc w:val="center"/>
              <w:rPr>
                <w:color w:val="000000"/>
                <w:sz w:val="20"/>
                <w:szCs w:val="20"/>
              </w:rPr>
            </w:pPr>
            <w:r w:rsidRPr="00927F20">
              <w:rPr>
                <w:color w:val="000000"/>
                <w:sz w:val="20"/>
                <w:szCs w:val="20"/>
              </w:rPr>
              <w:t>—</w:t>
            </w:r>
          </w:p>
        </w:tc>
        <w:tc>
          <w:tcPr>
            <w:tcW w:w="2250" w:type="dxa"/>
            <w:hideMark/>
          </w:tcPr>
          <w:p w14:paraId="4806902E"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hideMark/>
          </w:tcPr>
          <w:p w14:paraId="3ED61F42"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hideMark/>
          </w:tcPr>
          <w:p w14:paraId="377A0C0E" w14:textId="77777777" w:rsidR="00D75179" w:rsidRPr="00927F20" w:rsidRDefault="00D75179" w:rsidP="00303804">
            <w:pPr>
              <w:jc w:val="center"/>
              <w:rPr>
                <w:color w:val="000000"/>
                <w:sz w:val="20"/>
                <w:szCs w:val="20"/>
              </w:rPr>
            </w:pPr>
            <w:r w:rsidRPr="00927F20">
              <w:rPr>
                <w:color w:val="000000"/>
                <w:sz w:val="20"/>
                <w:szCs w:val="20"/>
              </w:rPr>
              <w:t>—</w:t>
            </w:r>
          </w:p>
        </w:tc>
        <w:tc>
          <w:tcPr>
            <w:tcW w:w="990" w:type="dxa"/>
            <w:gridSpan w:val="2"/>
            <w:hideMark/>
          </w:tcPr>
          <w:p w14:paraId="602D5032" w14:textId="4FC259D4" w:rsidR="00D75179" w:rsidRPr="00927F20" w:rsidRDefault="008774AA" w:rsidP="00303804">
            <w:pPr>
              <w:jc w:val="center"/>
              <w:rPr>
                <w:color w:val="000000"/>
                <w:sz w:val="20"/>
                <w:szCs w:val="20"/>
              </w:rPr>
            </w:pPr>
            <w:r>
              <w:rPr>
                <w:color w:val="000000"/>
                <w:sz w:val="20"/>
                <w:szCs w:val="20"/>
              </w:rPr>
              <w:t>16, 857</w:t>
            </w:r>
          </w:p>
        </w:tc>
        <w:tc>
          <w:tcPr>
            <w:tcW w:w="2070" w:type="dxa"/>
            <w:noWrap/>
            <w:hideMark/>
          </w:tcPr>
          <w:p w14:paraId="456A8992" w14:textId="77777777" w:rsidR="00D75179" w:rsidRPr="00927F20" w:rsidRDefault="00D75179" w:rsidP="00303804">
            <w:pPr>
              <w:jc w:val="center"/>
              <w:rPr>
                <w:color w:val="000000"/>
                <w:sz w:val="20"/>
                <w:szCs w:val="20"/>
              </w:rPr>
            </w:pPr>
            <w:r w:rsidRPr="00927F20">
              <w:rPr>
                <w:color w:val="000000"/>
                <w:sz w:val="20"/>
                <w:szCs w:val="20"/>
              </w:rPr>
              <w:t>3.7 (3.3 – 4.1)</w:t>
            </w:r>
          </w:p>
        </w:tc>
      </w:tr>
      <w:tr w:rsidR="00D75179" w:rsidRPr="00927F20" w14:paraId="46B10F34" w14:textId="77777777" w:rsidTr="00927F20">
        <w:trPr>
          <w:gridAfter w:val="2"/>
          <w:wAfter w:w="18" w:type="dxa"/>
          <w:trHeight w:val="360"/>
        </w:trPr>
        <w:tc>
          <w:tcPr>
            <w:tcW w:w="1255" w:type="dxa"/>
            <w:vMerge w:val="restart"/>
            <w:hideMark/>
          </w:tcPr>
          <w:p w14:paraId="7E2141AC" w14:textId="77777777" w:rsidR="00D75179" w:rsidRPr="00927F20" w:rsidRDefault="00D75179" w:rsidP="00927F20">
            <w:pPr>
              <w:rPr>
                <w:color w:val="000000"/>
                <w:sz w:val="20"/>
                <w:szCs w:val="20"/>
              </w:rPr>
            </w:pPr>
            <w:r w:rsidRPr="00927F20">
              <w:rPr>
                <w:color w:val="000000"/>
                <w:sz w:val="20"/>
                <w:szCs w:val="20"/>
              </w:rPr>
              <w:t>Overall</w:t>
            </w:r>
          </w:p>
        </w:tc>
        <w:tc>
          <w:tcPr>
            <w:tcW w:w="900" w:type="dxa"/>
            <w:noWrap/>
            <w:hideMark/>
          </w:tcPr>
          <w:p w14:paraId="5CE16675" w14:textId="77777777" w:rsidR="00D75179" w:rsidRPr="00927F20" w:rsidRDefault="00D75179" w:rsidP="00303804">
            <w:pPr>
              <w:jc w:val="center"/>
              <w:rPr>
                <w:color w:val="000000"/>
                <w:sz w:val="20"/>
                <w:szCs w:val="20"/>
              </w:rPr>
            </w:pPr>
            <w:r w:rsidRPr="00927F20">
              <w:rPr>
                <w:color w:val="000000"/>
                <w:sz w:val="20"/>
                <w:szCs w:val="20"/>
              </w:rPr>
              <w:t>15 – 49</w:t>
            </w:r>
          </w:p>
        </w:tc>
        <w:tc>
          <w:tcPr>
            <w:tcW w:w="900" w:type="dxa"/>
            <w:hideMark/>
          </w:tcPr>
          <w:p w14:paraId="4E2483D3" w14:textId="77777777" w:rsidR="00D75179" w:rsidRPr="00927F20" w:rsidRDefault="00D75179" w:rsidP="00303804">
            <w:pPr>
              <w:jc w:val="center"/>
              <w:rPr>
                <w:color w:val="000000"/>
                <w:sz w:val="20"/>
                <w:szCs w:val="20"/>
              </w:rPr>
            </w:pPr>
            <w:r w:rsidRPr="00927F20">
              <w:rPr>
                <w:color w:val="000000"/>
                <w:sz w:val="20"/>
                <w:szCs w:val="20"/>
              </w:rPr>
              <w:t>10,416</w:t>
            </w:r>
          </w:p>
        </w:tc>
        <w:tc>
          <w:tcPr>
            <w:tcW w:w="2160" w:type="dxa"/>
            <w:noWrap/>
            <w:hideMark/>
          </w:tcPr>
          <w:p w14:paraId="69E21003" w14:textId="77777777" w:rsidR="00D75179" w:rsidRPr="00927F20" w:rsidRDefault="00D75179" w:rsidP="00303804">
            <w:pPr>
              <w:jc w:val="center"/>
              <w:rPr>
                <w:color w:val="000000"/>
                <w:sz w:val="20"/>
                <w:szCs w:val="20"/>
              </w:rPr>
            </w:pPr>
            <w:r w:rsidRPr="00927F20">
              <w:rPr>
                <w:color w:val="000000"/>
                <w:sz w:val="20"/>
                <w:szCs w:val="20"/>
              </w:rPr>
              <w:t>2.95 (2.64 – 3.29)</w:t>
            </w:r>
          </w:p>
        </w:tc>
        <w:tc>
          <w:tcPr>
            <w:tcW w:w="900" w:type="dxa"/>
            <w:gridSpan w:val="2"/>
            <w:hideMark/>
          </w:tcPr>
          <w:p w14:paraId="208D458B" w14:textId="77777777" w:rsidR="00D75179" w:rsidRPr="00927F20" w:rsidRDefault="00D75179" w:rsidP="00303804">
            <w:pPr>
              <w:jc w:val="center"/>
              <w:rPr>
                <w:color w:val="000000"/>
                <w:sz w:val="20"/>
                <w:szCs w:val="20"/>
              </w:rPr>
            </w:pPr>
            <w:r w:rsidRPr="00927F20">
              <w:rPr>
                <w:color w:val="000000"/>
                <w:sz w:val="20"/>
                <w:szCs w:val="20"/>
              </w:rPr>
              <w:t>13,251</w:t>
            </w:r>
          </w:p>
        </w:tc>
        <w:tc>
          <w:tcPr>
            <w:tcW w:w="2250" w:type="dxa"/>
            <w:hideMark/>
          </w:tcPr>
          <w:p w14:paraId="66B1A209" w14:textId="77777777" w:rsidR="00D75179" w:rsidRPr="00927F20" w:rsidRDefault="00D75179" w:rsidP="00303804">
            <w:pPr>
              <w:jc w:val="center"/>
              <w:rPr>
                <w:color w:val="000000"/>
                <w:sz w:val="20"/>
                <w:szCs w:val="20"/>
              </w:rPr>
            </w:pPr>
            <w:r w:rsidRPr="00927F20">
              <w:rPr>
                <w:color w:val="000000"/>
                <w:sz w:val="20"/>
                <w:szCs w:val="20"/>
              </w:rPr>
              <w:t>3.08 (2.80 – 3.39)</w:t>
            </w:r>
          </w:p>
        </w:tc>
        <w:tc>
          <w:tcPr>
            <w:tcW w:w="900" w:type="dxa"/>
            <w:gridSpan w:val="2"/>
            <w:hideMark/>
          </w:tcPr>
          <w:p w14:paraId="47A22A7B" w14:textId="77777777" w:rsidR="00D75179" w:rsidRPr="00927F20" w:rsidRDefault="00D75179" w:rsidP="00303804">
            <w:pPr>
              <w:jc w:val="center"/>
              <w:rPr>
                <w:color w:val="000000"/>
                <w:sz w:val="20"/>
                <w:szCs w:val="20"/>
              </w:rPr>
            </w:pPr>
            <w:r w:rsidRPr="00927F20">
              <w:rPr>
                <w:color w:val="000000"/>
                <w:sz w:val="20"/>
                <w:szCs w:val="20"/>
              </w:rPr>
              <w:t>12,955</w:t>
            </w:r>
          </w:p>
        </w:tc>
        <w:tc>
          <w:tcPr>
            <w:tcW w:w="2160" w:type="dxa"/>
            <w:noWrap/>
            <w:hideMark/>
          </w:tcPr>
          <w:p w14:paraId="33448A26" w14:textId="77777777" w:rsidR="00D75179" w:rsidRPr="00927F20" w:rsidRDefault="00D75179" w:rsidP="00303804">
            <w:pPr>
              <w:jc w:val="center"/>
              <w:rPr>
                <w:color w:val="000000"/>
                <w:sz w:val="20"/>
                <w:szCs w:val="20"/>
              </w:rPr>
            </w:pPr>
            <w:r w:rsidRPr="00927F20">
              <w:rPr>
                <w:color w:val="000000"/>
                <w:sz w:val="20"/>
                <w:szCs w:val="20"/>
              </w:rPr>
              <w:t xml:space="preserve">   3.07 (2.78 – 3.38)</w:t>
            </w:r>
          </w:p>
        </w:tc>
        <w:tc>
          <w:tcPr>
            <w:tcW w:w="990" w:type="dxa"/>
            <w:gridSpan w:val="2"/>
            <w:hideMark/>
          </w:tcPr>
          <w:p w14:paraId="6774A8FF" w14:textId="6DFCECBC" w:rsidR="00D75179" w:rsidRPr="00927F20" w:rsidRDefault="008774AA" w:rsidP="00303804">
            <w:pPr>
              <w:jc w:val="center"/>
              <w:rPr>
                <w:color w:val="000000"/>
                <w:sz w:val="20"/>
                <w:szCs w:val="20"/>
              </w:rPr>
            </w:pPr>
            <w:r>
              <w:rPr>
                <w:color w:val="000000"/>
                <w:sz w:val="20"/>
                <w:szCs w:val="20"/>
              </w:rPr>
              <w:t>26,826</w:t>
            </w:r>
          </w:p>
        </w:tc>
        <w:tc>
          <w:tcPr>
            <w:tcW w:w="2070" w:type="dxa"/>
            <w:noWrap/>
            <w:hideMark/>
          </w:tcPr>
          <w:p w14:paraId="01842CA3" w14:textId="77777777" w:rsidR="00D75179" w:rsidRPr="00927F20" w:rsidRDefault="00D75179" w:rsidP="00303804">
            <w:pPr>
              <w:jc w:val="center"/>
              <w:rPr>
                <w:color w:val="000000"/>
                <w:sz w:val="20"/>
                <w:szCs w:val="20"/>
              </w:rPr>
            </w:pPr>
            <w:r w:rsidRPr="00927F20">
              <w:rPr>
                <w:color w:val="000000"/>
                <w:sz w:val="20"/>
                <w:szCs w:val="20"/>
              </w:rPr>
              <w:t>2.6 (2.3 - 2.9)</w:t>
            </w:r>
          </w:p>
        </w:tc>
      </w:tr>
      <w:tr w:rsidR="00D75179" w:rsidRPr="00927F20" w14:paraId="32D7FCBF" w14:textId="77777777" w:rsidTr="00927F20">
        <w:trPr>
          <w:gridAfter w:val="2"/>
          <w:wAfter w:w="18" w:type="dxa"/>
          <w:trHeight w:val="360"/>
        </w:trPr>
        <w:tc>
          <w:tcPr>
            <w:tcW w:w="1255" w:type="dxa"/>
            <w:vMerge/>
            <w:tcBorders>
              <w:bottom w:val="single" w:sz="4" w:space="0" w:color="auto"/>
            </w:tcBorders>
            <w:hideMark/>
          </w:tcPr>
          <w:p w14:paraId="11A11B41" w14:textId="77777777" w:rsidR="00D75179" w:rsidRPr="00927F20" w:rsidRDefault="00D75179" w:rsidP="00303804">
            <w:pPr>
              <w:rPr>
                <w:b/>
                <w:bCs/>
                <w:color w:val="000000"/>
                <w:sz w:val="20"/>
                <w:szCs w:val="20"/>
              </w:rPr>
            </w:pPr>
          </w:p>
        </w:tc>
        <w:tc>
          <w:tcPr>
            <w:tcW w:w="900" w:type="dxa"/>
            <w:tcBorders>
              <w:bottom w:val="single" w:sz="4" w:space="0" w:color="auto"/>
            </w:tcBorders>
            <w:noWrap/>
            <w:hideMark/>
          </w:tcPr>
          <w:p w14:paraId="6C9F57FD" w14:textId="77777777" w:rsidR="00D75179" w:rsidRPr="00927F20" w:rsidRDefault="00D75179" w:rsidP="00303804">
            <w:pPr>
              <w:jc w:val="center"/>
              <w:rPr>
                <w:color w:val="000000"/>
                <w:sz w:val="20"/>
                <w:szCs w:val="20"/>
              </w:rPr>
            </w:pPr>
            <w:r w:rsidRPr="00927F20">
              <w:rPr>
                <w:color w:val="000000"/>
                <w:sz w:val="20"/>
                <w:szCs w:val="20"/>
              </w:rPr>
              <w:t>15 – 64</w:t>
            </w:r>
          </w:p>
        </w:tc>
        <w:tc>
          <w:tcPr>
            <w:tcW w:w="900" w:type="dxa"/>
            <w:tcBorders>
              <w:bottom w:val="single" w:sz="4" w:space="0" w:color="auto"/>
            </w:tcBorders>
            <w:hideMark/>
          </w:tcPr>
          <w:p w14:paraId="37FF7AC6"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tcBorders>
              <w:bottom w:val="single" w:sz="4" w:space="0" w:color="auto"/>
            </w:tcBorders>
            <w:hideMark/>
          </w:tcPr>
          <w:p w14:paraId="5F15CD21"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tcBorders>
              <w:bottom w:val="single" w:sz="4" w:space="0" w:color="auto"/>
            </w:tcBorders>
            <w:hideMark/>
          </w:tcPr>
          <w:p w14:paraId="626B449A" w14:textId="77777777" w:rsidR="00D75179" w:rsidRPr="00927F20" w:rsidRDefault="00D75179" w:rsidP="00303804">
            <w:pPr>
              <w:jc w:val="center"/>
              <w:rPr>
                <w:color w:val="000000"/>
                <w:sz w:val="20"/>
                <w:szCs w:val="20"/>
              </w:rPr>
            </w:pPr>
            <w:r w:rsidRPr="00927F20">
              <w:rPr>
                <w:color w:val="000000"/>
                <w:sz w:val="20"/>
                <w:szCs w:val="20"/>
              </w:rPr>
              <w:t>—</w:t>
            </w:r>
          </w:p>
        </w:tc>
        <w:tc>
          <w:tcPr>
            <w:tcW w:w="2250" w:type="dxa"/>
            <w:tcBorders>
              <w:bottom w:val="single" w:sz="4" w:space="0" w:color="auto"/>
            </w:tcBorders>
            <w:hideMark/>
          </w:tcPr>
          <w:p w14:paraId="4833AB13" w14:textId="77777777" w:rsidR="00D75179" w:rsidRPr="00927F20" w:rsidRDefault="00D75179" w:rsidP="00303804">
            <w:pPr>
              <w:jc w:val="center"/>
              <w:rPr>
                <w:color w:val="000000"/>
                <w:sz w:val="20"/>
                <w:szCs w:val="20"/>
              </w:rPr>
            </w:pPr>
            <w:r w:rsidRPr="00927F20">
              <w:rPr>
                <w:color w:val="000000"/>
                <w:sz w:val="20"/>
                <w:szCs w:val="20"/>
              </w:rPr>
              <w:t>—</w:t>
            </w:r>
          </w:p>
        </w:tc>
        <w:tc>
          <w:tcPr>
            <w:tcW w:w="900" w:type="dxa"/>
            <w:gridSpan w:val="2"/>
            <w:tcBorders>
              <w:bottom w:val="single" w:sz="4" w:space="0" w:color="auto"/>
            </w:tcBorders>
            <w:hideMark/>
          </w:tcPr>
          <w:p w14:paraId="0136DDA9" w14:textId="77777777" w:rsidR="00D75179" w:rsidRPr="00927F20" w:rsidRDefault="00D75179" w:rsidP="00303804">
            <w:pPr>
              <w:jc w:val="center"/>
              <w:rPr>
                <w:color w:val="000000"/>
                <w:sz w:val="20"/>
                <w:szCs w:val="20"/>
              </w:rPr>
            </w:pPr>
            <w:r w:rsidRPr="00927F20">
              <w:rPr>
                <w:color w:val="000000"/>
                <w:sz w:val="20"/>
                <w:szCs w:val="20"/>
              </w:rPr>
              <w:t>—</w:t>
            </w:r>
          </w:p>
        </w:tc>
        <w:tc>
          <w:tcPr>
            <w:tcW w:w="2160" w:type="dxa"/>
            <w:tcBorders>
              <w:bottom w:val="single" w:sz="4" w:space="0" w:color="auto"/>
            </w:tcBorders>
            <w:hideMark/>
          </w:tcPr>
          <w:p w14:paraId="30E24322" w14:textId="77777777" w:rsidR="00D75179" w:rsidRPr="00927F20" w:rsidRDefault="00D75179" w:rsidP="00303804">
            <w:pPr>
              <w:jc w:val="center"/>
              <w:rPr>
                <w:color w:val="000000"/>
                <w:sz w:val="20"/>
                <w:szCs w:val="20"/>
              </w:rPr>
            </w:pPr>
            <w:r w:rsidRPr="00927F20">
              <w:rPr>
                <w:color w:val="000000"/>
                <w:sz w:val="20"/>
                <w:szCs w:val="20"/>
              </w:rPr>
              <w:t>—</w:t>
            </w:r>
          </w:p>
        </w:tc>
        <w:tc>
          <w:tcPr>
            <w:tcW w:w="990" w:type="dxa"/>
            <w:gridSpan w:val="2"/>
            <w:tcBorders>
              <w:bottom w:val="single" w:sz="4" w:space="0" w:color="auto"/>
            </w:tcBorders>
            <w:hideMark/>
          </w:tcPr>
          <w:p w14:paraId="733645AB" w14:textId="1B12D685" w:rsidR="00D75179" w:rsidRPr="00927F20" w:rsidRDefault="008774AA" w:rsidP="00303804">
            <w:pPr>
              <w:jc w:val="center"/>
              <w:rPr>
                <w:color w:val="000000"/>
                <w:sz w:val="20"/>
                <w:szCs w:val="20"/>
              </w:rPr>
            </w:pPr>
            <w:r>
              <w:rPr>
                <w:color w:val="000000"/>
                <w:sz w:val="20"/>
                <w:szCs w:val="20"/>
              </w:rPr>
              <w:t>30,637</w:t>
            </w:r>
          </w:p>
        </w:tc>
        <w:tc>
          <w:tcPr>
            <w:tcW w:w="2070" w:type="dxa"/>
            <w:tcBorders>
              <w:bottom w:val="single" w:sz="4" w:space="0" w:color="auto"/>
            </w:tcBorders>
            <w:hideMark/>
          </w:tcPr>
          <w:p w14:paraId="041BA00E" w14:textId="77777777" w:rsidR="00D75179" w:rsidRPr="00927F20" w:rsidRDefault="00D75179" w:rsidP="00303804">
            <w:pPr>
              <w:jc w:val="center"/>
              <w:rPr>
                <w:color w:val="000000"/>
                <w:sz w:val="20"/>
                <w:szCs w:val="20"/>
              </w:rPr>
            </w:pPr>
            <w:r w:rsidRPr="00927F20">
              <w:rPr>
                <w:color w:val="000000"/>
                <w:sz w:val="20"/>
                <w:szCs w:val="20"/>
              </w:rPr>
              <w:t>3.0 (2.7 - 3.3)</w:t>
            </w:r>
          </w:p>
        </w:tc>
      </w:tr>
      <w:tr w:rsidR="00D75179" w:rsidRPr="00927F20" w14:paraId="05DCF253" w14:textId="77777777" w:rsidTr="00927F20">
        <w:trPr>
          <w:trHeight w:val="320"/>
        </w:trPr>
        <w:tc>
          <w:tcPr>
            <w:tcW w:w="14503" w:type="dxa"/>
            <w:gridSpan w:val="15"/>
            <w:tcBorders>
              <w:left w:val="nil"/>
              <w:bottom w:val="nil"/>
              <w:right w:val="nil"/>
            </w:tcBorders>
            <w:noWrap/>
            <w:hideMark/>
          </w:tcPr>
          <w:p w14:paraId="2308060D" w14:textId="5726E47E" w:rsidR="00D75179" w:rsidRPr="00927F20" w:rsidRDefault="00927F20" w:rsidP="00927F20">
            <w:pPr>
              <w:rPr>
                <w:sz w:val="20"/>
                <w:szCs w:val="20"/>
              </w:rPr>
            </w:pPr>
            <w:r w:rsidRPr="00927F20">
              <w:rPr>
                <w:color w:val="000000"/>
                <w:sz w:val="20"/>
                <w:szCs w:val="20"/>
                <w:vertAlign w:val="superscript"/>
              </w:rPr>
              <w:t>a</w:t>
            </w:r>
            <w:r>
              <w:rPr>
                <w:color w:val="000000"/>
                <w:sz w:val="20"/>
                <w:szCs w:val="20"/>
              </w:rPr>
              <w:t xml:space="preserve"> </w:t>
            </w:r>
            <w:r w:rsidR="00D75179" w:rsidRPr="00927F20">
              <w:rPr>
                <w:color w:val="000000"/>
                <w:sz w:val="20"/>
                <w:szCs w:val="20"/>
              </w:rPr>
              <w:t>Data source: Demographic Health Survey, 2005, 2010, and 2015</w:t>
            </w:r>
            <w:r w:rsidR="00D75179" w:rsidRPr="00927F20">
              <w:rPr>
                <w:color w:val="000000"/>
                <w:sz w:val="20"/>
                <w:szCs w:val="20"/>
              </w:rPr>
              <w:fldChar w:fldCharType="begin" w:fldLock="1"/>
            </w:r>
            <w:r w:rsidR="007527CC">
              <w:rPr>
                <w:color w:val="000000"/>
                <w:sz w:val="20"/>
                <w:szCs w:val="20"/>
              </w:rPr>
              <w:instrText>ADDIN CSL_CITATION {"citationItems":[{"id":"ITEM-1","itemData":{"DOI":"10.1017/S0266673100000246","ISSN":"0266-6731","PMID":"21825043","author":[{"dropping-particle":"","family":"National Institute of Statistics of Rwanda","given":"","non-dropping-particle":"","parse-names":false,"suffix":""}],"container-title":"Rwanda Mininstry of Health","id":"ITEM-1","issued":{"date-parts":[["2010"]]},"number-of-pages":"107-110","title":"Demographic and Health Survey report 2010","type":"report","volume":"2003"},"uris":["http://www.mendeley.com/documents/?uuid=58559d52-29dd-4d4e-abdf-fe4404b8ef71"]},{"id":"ITEM-2","itemData":{"author":[{"dropping-particle":"","family":"National Institute of Statistics of Rwanda (NISR) [Rwanda] Ministry of Health (MOH) [Rwanda] and ICF International.","given":"","non-dropping-particle":"","parse-names":false,"suffix":""}],"container-title":"Rwanda Mininstry of Health","id":"ITEM-2","issued":{"date-parts":[["2005"]]},"title":"Demographic and Health Survey, 2005","type":"webpage"},"uris":["http://www.mendeley.com/documents/?uuid=6f21bb5a-4b85-490b-a1b4-bfcffbde8423"]},{"id":"ITEM-3","itemData":{"DOI":"March, 2016","ISBN":"9789997743091","author":[{"dropping-particle":"","family":"National Institute of Statistics of Rwanda (NISR) [Rwanda] Ministry of Health (MOH) [Rwanda] and ICF International.","given":"","non-dropping-particle":"","parse-names":false,"suffix":""}],"container-title":"Rwanda Mininstry of Health","id":"ITEM-3","issued":{"date-parts":[["2015"]]},"number-of-pages":"640","publisher-place":"Rockville, Maryland, USA: NISR, MOH, and ICF International.","title":"Rwanda Demographic and Health Survey 2014-15","type":"report"},"uris":["http://www.mendeley.com/documents/?uuid=1cd2afa0-8858-4818-a7e0-ec39e8a650ac"]}],"mendeley":{"formattedCitation":"&lt;sup&gt;18,20,22&lt;/sup&gt;","plainTextFormattedCitation":"18,20,22","previouslyFormattedCitation":"&lt;sup&gt;19,21,23&lt;/sup&gt;"},"properties":{"noteIndex":0},"schema":"https://github.com/citation-style-language/schema/raw/master/csl-citation.json"}</w:instrText>
            </w:r>
            <w:r w:rsidR="00D75179" w:rsidRPr="00927F20">
              <w:rPr>
                <w:color w:val="000000"/>
                <w:sz w:val="20"/>
                <w:szCs w:val="20"/>
              </w:rPr>
              <w:fldChar w:fldCharType="separate"/>
            </w:r>
            <w:r w:rsidR="007527CC" w:rsidRPr="007527CC">
              <w:rPr>
                <w:noProof/>
                <w:color w:val="000000"/>
                <w:sz w:val="20"/>
                <w:szCs w:val="20"/>
                <w:vertAlign w:val="superscript"/>
              </w:rPr>
              <w:t>18,20,22</w:t>
            </w:r>
            <w:r w:rsidR="00D75179" w:rsidRPr="00927F20">
              <w:rPr>
                <w:color w:val="000000"/>
                <w:sz w:val="20"/>
                <w:szCs w:val="20"/>
              </w:rPr>
              <w:fldChar w:fldCharType="end"/>
            </w:r>
          </w:p>
        </w:tc>
      </w:tr>
      <w:tr w:rsidR="00D75179" w:rsidRPr="00927F20" w14:paraId="748017F6" w14:textId="77777777" w:rsidTr="00927F20">
        <w:trPr>
          <w:trHeight w:val="320"/>
        </w:trPr>
        <w:tc>
          <w:tcPr>
            <w:tcW w:w="14503" w:type="dxa"/>
            <w:gridSpan w:val="15"/>
            <w:tcBorders>
              <w:top w:val="nil"/>
              <w:left w:val="nil"/>
              <w:bottom w:val="nil"/>
              <w:right w:val="nil"/>
            </w:tcBorders>
            <w:noWrap/>
            <w:hideMark/>
          </w:tcPr>
          <w:p w14:paraId="08490637" w14:textId="0B2E3456" w:rsidR="00D75179" w:rsidRPr="00927F20" w:rsidRDefault="00927F20" w:rsidP="00927F20">
            <w:pPr>
              <w:rPr>
                <w:sz w:val="20"/>
                <w:szCs w:val="20"/>
              </w:rPr>
            </w:pPr>
            <w:r w:rsidRPr="00927F20">
              <w:rPr>
                <w:color w:val="000000"/>
                <w:sz w:val="20"/>
                <w:szCs w:val="20"/>
                <w:vertAlign w:val="superscript"/>
              </w:rPr>
              <w:t>b</w:t>
            </w:r>
            <w:r>
              <w:rPr>
                <w:color w:val="000000"/>
                <w:sz w:val="20"/>
                <w:szCs w:val="20"/>
              </w:rPr>
              <w:t xml:space="preserve"> </w:t>
            </w:r>
            <w:r w:rsidR="00D75179" w:rsidRPr="00927F20">
              <w:rPr>
                <w:color w:val="000000"/>
                <w:sz w:val="20"/>
                <w:szCs w:val="20"/>
              </w:rPr>
              <w:t>Data source: Population-based HIV Impact Assessment Survey, 2019</w:t>
            </w:r>
            <w:r w:rsidR="00D75179" w:rsidRPr="00927F20">
              <w:rPr>
                <w:color w:val="000000"/>
                <w:sz w:val="20"/>
                <w:szCs w:val="20"/>
              </w:rPr>
              <w:fldChar w:fldCharType="begin" w:fldLock="1"/>
            </w:r>
            <w:r w:rsidR="007527CC">
              <w:rPr>
                <w:color w:val="000000"/>
                <w:sz w:val="20"/>
                <w:szCs w:val="20"/>
              </w:rPr>
              <w:instrText>ADDIN CSL_CITATION {"citationItems":[{"id":"ITEM-1","itemData":{"author":[{"dropping-particle":"","family":"Population-based HIV Impact Assessment","given":"","non-dropping-particle":"","parse-names":false,"suffix":""}],"id":"ITEM-1","issue":"February 2020","issued":{"date-parts":[["0"]]},"page":"2-8","title":"Rwanda population-based HIV impact assessment, RPHIA 2018–2019","type":"article-journal"},"uris":["http://www.mendeley.com/documents/?uuid=6b46812d-c48f-4505-afe2-1fda15927ac2"]}],"mendeley":{"formattedCitation":"&lt;sup&gt;19&lt;/sup&gt;","plainTextFormattedCitation":"19","previouslyFormattedCitation":"&lt;sup&gt;20&lt;/sup&gt;"},"properties":{"noteIndex":0},"schema":"https://github.com/citation-style-language/schema/raw/master/csl-citation.json"}</w:instrText>
            </w:r>
            <w:r w:rsidR="00D75179" w:rsidRPr="00927F20">
              <w:rPr>
                <w:color w:val="000000"/>
                <w:sz w:val="20"/>
                <w:szCs w:val="20"/>
              </w:rPr>
              <w:fldChar w:fldCharType="separate"/>
            </w:r>
            <w:r w:rsidR="007527CC" w:rsidRPr="007527CC">
              <w:rPr>
                <w:noProof/>
                <w:color w:val="000000"/>
                <w:sz w:val="20"/>
                <w:szCs w:val="20"/>
                <w:vertAlign w:val="superscript"/>
              </w:rPr>
              <w:t>19</w:t>
            </w:r>
            <w:r w:rsidR="00D75179" w:rsidRPr="00927F20">
              <w:rPr>
                <w:color w:val="000000"/>
                <w:sz w:val="20"/>
                <w:szCs w:val="20"/>
              </w:rPr>
              <w:fldChar w:fldCharType="end"/>
            </w:r>
          </w:p>
        </w:tc>
      </w:tr>
      <w:tr w:rsidR="00D75179" w:rsidRPr="00927F20" w14:paraId="137043D3" w14:textId="77777777" w:rsidTr="00927F20">
        <w:trPr>
          <w:trHeight w:val="320"/>
        </w:trPr>
        <w:tc>
          <w:tcPr>
            <w:tcW w:w="14503" w:type="dxa"/>
            <w:gridSpan w:val="15"/>
            <w:tcBorders>
              <w:top w:val="nil"/>
              <w:left w:val="nil"/>
              <w:bottom w:val="nil"/>
              <w:right w:val="nil"/>
            </w:tcBorders>
            <w:noWrap/>
          </w:tcPr>
          <w:p w14:paraId="71242A1B" w14:textId="0375B66B" w:rsidR="00D75179" w:rsidRPr="00927F20" w:rsidRDefault="00927F20" w:rsidP="00927F20">
            <w:pPr>
              <w:rPr>
                <w:color w:val="000000"/>
                <w:sz w:val="20"/>
                <w:szCs w:val="20"/>
                <w:lang w:eastAsia="ja-JP"/>
              </w:rPr>
            </w:pPr>
            <w:r w:rsidRPr="00927F20">
              <w:rPr>
                <w:color w:val="000000"/>
                <w:sz w:val="20"/>
                <w:szCs w:val="20"/>
                <w:vertAlign w:val="superscript"/>
              </w:rPr>
              <w:t>c</w:t>
            </w:r>
            <w:r>
              <w:rPr>
                <w:color w:val="000000"/>
                <w:sz w:val="20"/>
                <w:szCs w:val="20"/>
              </w:rPr>
              <w:t xml:space="preserve"> </w:t>
            </w:r>
            <w:r w:rsidR="00D75179" w:rsidRPr="00927F20">
              <w:rPr>
                <w:color w:val="000000"/>
                <w:sz w:val="20"/>
                <w:szCs w:val="20"/>
              </w:rPr>
              <w:t>Data source: Behavioral Surveillance Survey among Female Sex Workers, 2010 and 2015</w:t>
            </w:r>
            <w:r w:rsidR="00D75179" w:rsidRPr="00927F20">
              <w:rPr>
                <w:color w:val="000000"/>
                <w:sz w:val="20"/>
                <w:szCs w:val="20"/>
              </w:rPr>
              <w:fldChar w:fldCharType="begin" w:fldLock="1"/>
            </w:r>
            <w:r w:rsidR="007527CC">
              <w:rPr>
                <w:color w:val="000000"/>
                <w:sz w:val="20"/>
                <w:szCs w:val="20"/>
              </w:rPr>
              <w:instrText>ADDIN CSL_CITATION {"citationItems":[{"id":"ITEM-1","itemData":{"DOI":"10.1016/B978-0-12-420118-7.00008-1.Dopamine","ISBN":"9780124201187","ISSN":"0036-8075","PMID":"25792328","author":[{"dropping-particle":"","family":"Rwanda Ministry of Health","given":"","non-dropping-particle":"","parse-names":false,"suffix":""}],"container-title":"Center for Treatment and Research on AIDS, Malaria, Tuberculosis and Other Epidemics","id":"ITEM-1","issue":"December","issued":{"date-parts":[["2010"]]},"title":"Behavioral and Biological Surveillance Survey among Female Sex Workers, Rwanda – 2010","type":"report"},"uris":["http://www.mendeley.com/documents/?uuid=c3b9fbfb-d893-4cee-aa49-4ba2d2fc2bf1"]},{"id":"ITEM-2","itemData":{"DOI":"10.1177/0956462416688137","ISBN":"1758-1052\r0956-4624","ISSN":"0956-4624","PMID":"28081683","abstract":"Human immunodeficiency virus (HIV) prevalence is often high among female sex workers (FSWs) in sub-Saharan Africa. Understanding the dynamics of HIV infection in this key population is critical to developing appropriate prevention strategies. We aimed to describe the prevalence and associated risk factors among a sample of FSWs in Rwanda from a survey conducted in 2010. A cross-sectional biological and behavioral survey was conducted among FSWs in Rwanda. Time–location sampling was used for participant recruitment from 4 to 18 February 2010. HIV testing was done using HIV rapid diagnostic tests (RDT) as per Rwandan national guidelines at the time of the survey. Elisa tests were simul-taneously done on all samples tested HIV-positive on RDT. Proportions were used for sample description; multivariable logistic regression model was performed to analyze factors associated with HIV infection. Of 1338 women included in the study, 1112 consented to HIV testing, and the overall HIV prevalence was 51.0%. Sixty percent had been engaged in sex work for less than five years and 80% were street based. In multivariable logistic regression, HIV prevalence was higher in FSWs 25 years or older (adjusted odds ratio [aOR] ¼ 1.83, 95% [confidence interval (CI): 1.42–2.37]), FSWs with consistent condom use in the last 30 days (aOR ¼ 1.39, [95% CI: 1.05–1.82]), and FSWs experiencing at least one STI symptom in the last 12 months (aOR ¼ 1.74 [95% CI: 1.34–2.26]). There was an inverse relationship between HIV prevalence and comprehensive HIV knowledge (aOR ¼ 0.65, [95% CI: 0.48–0.88]). HIV prevalence was high among a sample of FSWs in Rwanda, and successful prevention strategies should focus on HIV education, treatment of sexually transmitted infections, and proper and consistent condom use using an outreach approach.","author":[{"dropping-particle":"","family":"Mutagoma","given":"Mwumvaneza","non-dropping-particle":"","parse-names":false,"suffix":""},{"dropping-particle":"","family":"Samuel","given":"Malamba S","non-dropping-particle":"","parse-names":false,"suffix":""},{"dropping-particle":"","family":"Kayitesi","given":"Catherine","non-dropping-particle":"","parse-names":false,"suffix":""},{"dropping-particle":"","family":"Gasasira","given":"Antoine R","non-dropping-particle":"","parse-names":false,"suffix":""},{"dropping-particle":"","family":"Chitou","given":"Bassirou","non-dropping-particle":"","parse-names":false,"suffix":""},{"dropping-particle":"","family":"Boer","given":"Kimberly","non-dropping-particle":"","parse-names":false,"suffix":""},{"dropping-particle":"","family":"Hedt-Gauthier","given":"Bethany","non-dropping-particle":"","parse-names":false,"suffix":""},{"dropping-particle":"","family":"Gupta","given":"Neil","non-dropping-particle":"","parse-names":false,"suffix":""},{"dropping-particle":"","family":"Ntaganira","given":"Joseph","non-dropping-particle":"","parse-names":false,"suffix":""},{"dropping-particle":"","family":"Nsanzimana","given":"Sabin","non-dropping-particle":"","parse-names":false,"suffix":""}],"container-title":"International Journal of STD &amp; AIDS","id":"ITEM-2","issue":"11","issued":{"date-parts":[["2017"]]},"page":"095646241668813","title":"High HIV prevalence and associated risk factors among female sex workers in Rwanda","type":"article-journal","volume":"28"},"uris":["http://www.mendeley.com/documents/?uuid=4715172e-c40c-464b-a372-2f304b0a43d8"]}],"mendeley":{"formattedCitation":"&lt;sup&gt;26,44&lt;/sup&gt;","plainTextFormattedCitation":"26,44","previouslyFormattedCitation":"&lt;sup&gt;27,44&lt;/sup&gt;"},"properties":{"noteIndex":0},"schema":"https://github.com/citation-style-language/schema/raw/master/csl-citation.json"}</w:instrText>
            </w:r>
            <w:r w:rsidR="00D75179" w:rsidRPr="00927F20">
              <w:rPr>
                <w:color w:val="000000"/>
                <w:sz w:val="20"/>
                <w:szCs w:val="20"/>
              </w:rPr>
              <w:fldChar w:fldCharType="separate"/>
            </w:r>
            <w:r w:rsidR="007527CC" w:rsidRPr="007527CC">
              <w:rPr>
                <w:noProof/>
                <w:color w:val="000000"/>
                <w:sz w:val="20"/>
                <w:szCs w:val="20"/>
                <w:vertAlign w:val="superscript"/>
                <w:lang w:eastAsia="ja-JP"/>
              </w:rPr>
              <w:t>26,44</w:t>
            </w:r>
            <w:r w:rsidR="00D75179" w:rsidRPr="00927F20">
              <w:rPr>
                <w:color w:val="000000"/>
                <w:sz w:val="20"/>
                <w:szCs w:val="20"/>
              </w:rPr>
              <w:fldChar w:fldCharType="end"/>
            </w:r>
          </w:p>
        </w:tc>
      </w:tr>
    </w:tbl>
    <w:p w14:paraId="54E6AC6D" w14:textId="77777777" w:rsidR="00D75179" w:rsidRPr="00B11A6B" w:rsidRDefault="00D75179" w:rsidP="00D75179">
      <w:pPr>
        <w:rPr>
          <w:b/>
          <w:bCs/>
          <w:lang w:eastAsia="ja-JP"/>
        </w:rPr>
      </w:pPr>
    </w:p>
    <w:p w14:paraId="3071A2F9" w14:textId="77777777" w:rsidR="00D75179" w:rsidRPr="00B11A6B" w:rsidRDefault="00D75179" w:rsidP="00D75179">
      <w:pPr>
        <w:rPr>
          <w:b/>
          <w:bCs/>
          <w:lang w:eastAsia="ja-JP"/>
        </w:rPr>
      </w:pPr>
    </w:p>
    <w:p w14:paraId="1285E7FA" w14:textId="77777777" w:rsidR="00D75179" w:rsidRDefault="00D75179" w:rsidP="00D75179">
      <w:pPr>
        <w:rPr>
          <w:b/>
          <w:bCs/>
          <w:lang w:eastAsia="ja-JP"/>
        </w:rPr>
        <w:sectPr w:rsidR="00D75179" w:rsidSect="00927F20">
          <w:pgSz w:w="15840" w:h="12240" w:orient="landscape" w:code="1"/>
          <w:pgMar w:top="1440" w:right="1440" w:bottom="1440" w:left="1440" w:header="720" w:footer="720" w:gutter="0"/>
          <w:cols w:space="720"/>
          <w:docGrid w:linePitch="360"/>
        </w:sectPr>
      </w:pPr>
      <w:r w:rsidRPr="00B11A6B">
        <w:rPr>
          <w:b/>
          <w:bCs/>
          <w:lang w:eastAsia="ja-JP"/>
        </w:rPr>
        <w:br w:type="page"/>
      </w:r>
    </w:p>
    <w:p w14:paraId="36211A2B" w14:textId="22D3337D" w:rsidR="00D75179" w:rsidRPr="00796CD2" w:rsidRDefault="00D75179" w:rsidP="00D75179">
      <w:pPr>
        <w:rPr>
          <w:b/>
          <w:bCs/>
          <w:lang w:eastAsia="ja-JP"/>
        </w:rPr>
      </w:pPr>
      <w:bookmarkStart w:id="327" w:name="_Ref82440367"/>
      <w:bookmarkStart w:id="328" w:name="_Toc82448081"/>
      <w:bookmarkStart w:id="329" w:name="_Toc82592512"/>
      <w:bookmarkStart w:id="330" w:name="_Toc82599277"/>
      <w:r w:rsidRPr="00796CD2">
        <w:rPr>
          <w:b/>
          <w:bCs/>
          <w:lang w:eastAsia="ja-JP"/>
        </w:rPr>
        <w:lastRenderedPageBreak/>
        <w:t xml:space="preserve">Table </w:t>
      </w:r>
      <w:r w:rsidRPr="00796CD2">
        <w:rPr>
          <w:b/>
          <w:bCs/>
        </w:rPr>
        <w:fldChar w:fldCharType="begin"/>
      </w:r>
      <w:r w:rsidRPr="00796CD2">
        <w:rPr>
          <w:b/>
          <w:bCs/>
          <w:lang w:eastAsia="ja-JP"/>
        </w:rPr>
        <w:instrText xml:space="preserve"> SEQ Table \* ARABIC </w:instrText>
      </w:r>
      <w:r w:rsidRPr="00796CD2">
        <w:rPr>
          <w:b/>
          <w:bCs/>
        </w:rPr>
        <w:fldChar w:fldCharType="separate"/>
      </w:r>
      <w:r w:rsidR="001E49BE">
        <w:rPr>
          <w:b/>
          <w:bCs/>
          <w:noProof/>
          <w:lang w:eastAsia="ja-JP"/>
        </w:rPr>
        <w:t>18</w:t>
      </w:r>
      <w:r w:rsidRPr="00796CD2">
        <w:rPr>
          <w:b/>
          <w:bCs/>
        </w:rPr>
        <w:fldChar w:fldCharType="end"/>
      </w:r>
      <w:bookmarkEnd w:id="327"/>
      <w:r>
        <w:rPr>
          <w:b/>
          <w:bCs/>
          <w:lang w:eastAsia="ja-JP"/>
        </w:rPr>
        <w:t>:</w:t>
      </w:r>
      <w:r w:rsidRPr="00796CD2">
        <w:rPr>
          <w:b/>
          <w:bCs/>
          <w:lang w:eastAsia="ja-JP"/>
        </w:rPr>
        <w:t xml:space="preserve"> </w:t>
      </w:r>
      <w:bookmarkStart w:id="331" w:name="_Hlk74742060"/>
      <w:r w:rsidR="008741B0">
        <w:rPr>
          <w:b/>
          <w:bCs/>
          <w:lang w:eastAsia="ja-JP"/>
        </w:rPr>
        <w:t xml:space="preserve">Calibration targets: </w:t>
      </w:r>
      <w:r w:rsidR="00C569A0">
        <w:rPr>
          <w:b/>
          <w:bCs/>
          <w:lang w:eastAsia="ja-JP"/>
        </w:rPr>
        <w:t xml:space="preserve">Sub-population </w:t>
      </w:r>
      <w:r w:rsidRPr="00796CD2">
        <w:rPr>
          <w:b/>
          <w:bCs/>
          <w:lang w:eastAsia="ja-JP"/>
        </w:rPr>
        <w:t xml:space="preserve">HIV incidence </w:t>
      </w:r>
      <w:r w:rsidR="00C569A0">
        <w:rPr>
          <w:b/>
          <w:bCs/>
          <w:lang w:eastAsia="ja-JP"/>
        </w:rPr>
        <w:t>over time</w:t>
      </w:r>
      <w:bookmarkEnd w:id="328"/>
      <w:bookmarkEnd w:id="329"/>
      <w:bookmarkEnd w:id="330"/>
      <w:bookmarkEnd w:id="331"/>
    </w:p>
    <w:tbl>
      <w:tblPr>
        <w:tblW w:w="10800" w:type="dxa"/>
        <w:tblInd w:w="-640" w:type="dxa"/>
        <w:tblLook w:val="04A0" w:firstRow="1" w:lastRow="0" w:firstColumn="1" w:lastColumn="0" w:noHBand="0" w:noVBand="1"/>
      </w:tblPr>
      <w:tblGrid>
        <w:gridCol w:w="1620"/>
        <w:gridCol w:w="1080"/>
        <w:gridCol w:w="1440"/>
        <w:gridCol w:w="2610"/>
        <w:gridCol w:w="1440"/>
        <w:gridCol w:w="2610"/>
      </w:tblGrid>
      <w:tr w:rsidR="00D75179" w:rsidRPr="00927F20" w14:paraId="6D3F7948" w14:textId="77777777" w:rsidTr="008741B0">
        <w:trPr>
          <w:trHeight w:val="340"/>
        </w:trPr>
        <w:tc>
          <w:tcPr>
            <w:tcW w:w="1620" w:type="dxa"/>
            <w:tcBorders>
              <w:top w:val="single" w:sz="8" w:space="0" w:color="auto"/>
              <w:left w:val="single" w:sz="8" w:space="0" w:color="auto"/>
              <w:bottom w:val="nil"/>
              <w:right w:val="single" w:sz="8" w:space="0" w:color="auto"/>
            </w:tcBorders>
            <w:shd w:val="clear" w:color="auto" w:fill="auto"/>
            <w:vAlign w:val="center"/>
            <w:hideMark/>
          </w:tcPr>
          <w:p w14:paraId="2EF5ADE0" w14:textId="77777777" w:rsidR="00D75179" w:rsidRPr="00927F20" w:rsidRDefault="00D75179" w:rsidP="00303804">
            <w:pPr>
              <w:rPr>
                <w:b/>
                <w:bCs/>
                <w:color w:val="000000"/>
                <w:sz w:val="20"/>
                <w:szCs w:val="20"/>
                <w:lang w:eastAsia="ja-JP"/>
              </w:rPr>
            </w:pPr>
            <w:r w:rsidRPr="00927F20">
              <w:rPr>
                <w:b/>
                <w:bCs/>
                <w:color w:val="000000"/>
                <w:sz w:val="20"/>
                <w:szCs w:val="20"/>
                <w:lang w:eastAsia="ja-JP"/>
              </w:rPr>
              <w:t> </w:t>
            </w:r>
          </w:p>
        </w:tc>
        <w:tc>
          <w:tcPr>
            <w:tcW w:w="10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21C4471" w14:textId="77777777" w:rsidR="00D75179" w:rsidRPr="00927F20" w:rsidRDefault="00D75179" w:rsidP="00303804">
            <w:pPr>
              <w:rPr>
                <w:b/>
                <w:bCs/>
                <w:color w:val="000000"/>
                <w:sz w:val="20"/>
                <w:szCs w:val="20"/>
                <w:lang w:eastAsia="ja-JP"/>
              </w:rPr>
            </w:pPr>
            <w:r w:rsidRPr="00927F20">
              <w:rPr>
                <w:b/>
                <w:bCs/>
                <w:color w:val="000000"/>
                <w:sz w:val="20"/>
                <w:szCs w:val="20"/>
                <w:lang w:eastAsia="ja-JP"/>
              </w:rPr>
              <w:t>Age Group</w:t>
            </w:r>
          </w:p>
        </w:tc>
        <w:tc>
          <w:tcPr>
            <w:tcW w:w="4050" w:type="dxa"/>
            <w:gridSpan w:val="2"/>
            <w:tcBorders>
              <w:top w:val="single" w:sz="8" w:space="0" w:color="auto"/>
              <w:left w:val="nil"/>
              <w:bottom w:val="single" w:sz="8" w:space="0" w:color="auto"/>
              <w:right w:val="single" w:sz="8" w:space="0" w:color="000000"/>
            </w:tcBorders>
            <w:shd w:val="clear" w:color="auto" w:fill="auto"/>
            <w:vAlign w:val="center"/>
            <w:hideMark/>
          </w:tcPr>
          <w:p w14:paraId="317A6344" w14:textId="68B8D9B9" w:rsidR="00D75179" w:rsidRPr="00927F20" w:rsidRDefault="00D75179" w:rsidP="00303804">
            <w:pPr>
              <w:jc w:val="center"/>
              <w:rPr>
                <w:b/>
                <w:bCs/>
                <w:color w:val="000000"/>
                <w:sz w:val="20"/>
                <w:szCs w:val="20"/>
                <w:vertAlign w:val="superscript"/>
                <w:lang w:eastAsia="ja-JP"/>
              </w:rPr>
            </w:pPr>
            <w:r w:rsidRPr="00927F20">
              <w:rPr>
                <w:b/>
                <w:bCs/>
                <w:color w:val="000000"/>
                <w:sz w:val="20"/>
                <w:szCs w:val="20"/>
                <w:lang w:eastAsia="ja-JP"/>
              </w:rPr>
              <w:t>2014</w:t>
            </w:r>
            <w:r w:rsidR="0018213B" w:rsidRPr="00927F20">
              <w:rPr>
                <w:b/>
                <w:bCs/>
                <w:color w:val="000000"/>
                <w:sz w:val="20"/>
                <w:szCs w:val="20"/>
                <w:vertAlign w:val="superscript"/>
                <w:lang w:eastAsia="ja-JP"/>
              </w:rPr>
              <w:t>a</w:t>
            </w:r>
          </w:p>
        </w:tc>
        <w:tc>
          <w:tcPr>
            <w:tcW w:w="4050" w:type="dxa"/>
            <w:gridSpan w:val="2"/>
            <w:tcBorders>
              <w:top w:val="single" w:sz="8" w:space="0" w:color="auto"/>
              <w:left w:val="nil"/>
              <w:bottom w:val="single" w:sz="8" w:space="0" w:color="auto"/>
              <w:right w:val="single" w:sz="8" w:space="0" w:color="000000"/>
            </w:tcBorders>
            <w:shd w:val="clear" w:color="auto" w:fill="auto"/>
            <w:vAlign w:val="center"/>
            <w:hideMark/>
          </w:tcPr>
          <w:p w14:paraId="3F3EF4BB" w14:textId="7EAFFF98" w:rsidR="00D75179" w:rsidRPr="00927F20" w:rsidRDefault="00D75179" w:rsidP="00303804">
            <w:pPr>
              <w:jc w:val="center"/>
              <w:rPr>
                <w:b/>
                <w:bCs/>
                <w:color w:val="000000"/>
                <w:sz w:val="20"/>
                <w:szCs w:val="20"/>
                <w:vertAlign w:val="superscript"/>
                <w:lang w:eastAsia="ja-JP"/>
              </w:rPr>
            </w:pPr>
            <w:r w:rsidRPr="00927F20">
              <w:rPr>
                <w:b/>
                <w:bCs/>
                <w:color w:val="000000"/>
                <w:sz w:val="20"/>
                <w:szCs w:val="20"/>
                <w:lang w:eastAsia="ja-JP"/>
              </w:rPr>
              <w:t>2019</w:t>
            </w:r>
            <w:r w:rsidR="0018213B" w:rsidRPr="00927F20">
              <w:rPr>
                <w:b/>
                <w:bCs/>
                <w:color w:val="000000"/>
                <w:sz w:val="20"/>
                <w:szCs w:val="20"/>
                <w:vertAlign w:val="superscript"/>
                <w:lang w:eastAsia="ja-JP"/>
              </w:rPr>
              <w:t>b</w:t>
            </w:r>
          </w:p>
        </w:tc>
      </w:tr>
      <w:tr w:rsidR="00D75179" w:rsidRPr="00927F20" w14:paraId="070A0B4E" w14:textId="77777777" w:rsidTr="008741B0">
        <w:trPr>
          <w:trHeight w:val="360"/>
        </w:trPr>
        <w:tc>
          <w:tcPr>
            <w:tcW w:w="1620" w:type="dxa"/>
            <w:tcBorders>
              <w:top w:val="nil"/>
              <w:left w:val="single" w:sz="8" w:space="0" w:color="auto"/>
              <w:bottom w:val="single" w:sz="8" w:space="0" w:color="auto"/>
              <w:right w:val="single" w:sz="8" w:space="0" w:color="auto"/>
            </w:tcBorders>
            <w:shd w:val="clear" w:color="auto" w:fill="auto"/>
            <w:vAlign w:val="center"/>
            <w:hideMark/>
          </w:tcPr>
          <w:p w14:paraId="371CA6B5" w14:textId="7396DFCF" w:rsidR="00D75179" w:rsidRPr="00927F20" w:rsidRDefault="00D75179" w:rsidP="00303804">
            <w:pPr>
              <w:rPr>
                <w:b/>
                <w:bCs/>
                <w:color w:val="000000"/>
                <w:sz w:val="20"/>
                <w:szCs w:val="20"/>
                <w:lang w:eastAsia="ja-JP"/>
              </w:rPr>
            </w:pPr>
            <w:r w:rsidRPr="00927F20">
              <w:rPr>
                <w:b/>
                <w:bCs/>
                <w:color w:val="000000"/>
                <w:sz w:val="20"/>
                <w:szCs w:val="20"/>
                <w:lang w:eastAsia="ja-JP"/>
              </w:rPr>
              <w:t>Sub-</w:t>
            </w:r>
            <w:r w:rsidR="008741B0">
              <w:rPr>
                <w:b/>
                <w:bCs/>
                <w:color w:val="000000"/>
                <w:sz w:val="20"/>
                <w:szCs w:val="20"/>
                <w:lang w:eastAsia="ja-JP"/>
              </w:rPr>
              <w:t>population</w:t>
            </w:r>
          </w:p>
        </w:tc>
        <w:tc>
          <w:tcPr>
            <w:tcW w:w="1080" w:type="dxa"/>
            <w:vMerge/>
            <w:tcBorders>
              <w:top w:val="single" w:sz="8" w:space="0" w:color="auto"/>
              <w:left w:val="single" w:sz="8" w:space="0" w:color="auto"/>
              <w:bottom w:val="single" w:sz="8" w:space="0" w:color="000000"/>
              <w:right w:val="single" w:sz="8" w:space="0" w:color="auto"/>
            </w:tcBorders>
            <w:vAlign w:val="center"/>
            <w:hideMark/>
          </w:tcPr>
          <w:p w14:paraId="613448CA" w14:textId="77777777" w:rsidR="00D75179" w:rsidRPr="00927F20" w:rsidRDefault="00D75179" w:rsidP="00303804">
            <w:pPr>
              <w:rPr>
                <w:b/>
                <w:bCs/>
                <w:color w:val="000000"/>
                <w:sz w:val="20"/>
                <w:szCs w:val="20"/>
                <w:lang w:eastAsia="ja-JP"/>
              </w:rPr>
            </w:pPr>
          </w:p>
        </w:tc>
        <w:tc>
          <w:tcPr>
            <w:tcW w:w="1440" w:type="dxa"/>
            <w:tcBorders>
              <w:top w:val="nil"/>
              <w:left w:val="nil"/>
              <w:bottom w:val="single" w:sz="8" w:space="0" w:color="auto"/>
              <w:right w:val="single" w:sz="8" w:space="0" w:color="auto"/>
            </w:tcBorders>
            <w:shd w:val="clear" w:color="auto" w:fill="auto"/>
            <w:vAlign w:val="center"/>
            <w:hideMark/>
          </w:tcPr>
          <w:p w14:paraId="2DD961D3" w14:textId="77777777" w:rsidR="00D75179" w:rsidRPr="00927F20" w:rsidRDefault="00D75179" w:rsidP="00303804">
            <w:pPr>
              <w:rPr>
                <w:b/>
                <w:bCs/>
                <w:color w:val="000000"/>
                <w:sz w:val="20"/>
                <w:szCs w:val="20"/>
                <w:lang w:eastAsia="ja-JP"/>
              </w:rPr>
            </w:pPr>
            <w:r w:rsidRPr="00927F20">
              <w:rPr>
                <w:b/>
                <w:bCs/>
                <w:color w:val="000000"/>
                <w:sz w:val="20"/>
                <w:szCs w:val="20"/>
                <w:lang w:eastAsia="ja-JP"/>
              </w:rPr>
              <w:t>Sample size</w:t>
            </w:r>
          </w:p>
        </w:tc>
        <w:tc>
          <w:tcPr>
            <w:tcW w:w="2610" w:type="dxa"/>
            <w:tcBorders>
              <w:top w:val="nil"/>
              <w:left w:val="nil"/>
              <w:bottom w:val="single" w:sz="8" w:space="0" w:color="auto"/>
              <w:right w:val="single" w:sz="8" w:space="0" w:color="auto"/>
            </w:tcBorders>
            <w:shd w:val="clear" w:color="auto" w:fill="auto"/>
            <w:noWrap/>
            <w:vAlign w:val="center"/>
            <w:hideMark/>
          </w:tcPr>
          <w:p w14:paraId="078A9979" w14:textId="77777777" w:rsidR="00D75179" w:rsidRPr="00927F20" w:rsidRDefault="00D75179" w:rsidP="00303804">
            <w:pPr>
              <w:rPr>
                <w:b/>
                <w:bCs/>
                <w:color w:val="000000"/>
                <w:sz w:val="20"/>
                <w:szCs w:val="20"/>
                <w:lang w:eastAsia="ja-JP"/>
              </w:rPr>
            </w:pPr>
            <w:r w:rsidRPr="00927F20">
              <w:rPr>
                <w:b/>
                <w:bCs/>
                <w:color w:val="000000"/>
                <w:sz w:val="20"/>
                <w:szCs w:val="20"/>
                <w:lang w:eastAsia="ja-JP"/>
              </w:rPr>
              <w:t>Incidence (%, 95% CI)</w:t>
            </w:r>
          </w:p>
        </w:tc>
        <w:tc>
          <w:tcPr>
            <w:tcW w:w="1440" w:type="dxa"/>
            <w:tcBorders>
              <w:top w:val="nil"/>
              <w:left w:val="nil"/>
              <w:bottom w:val="single" w:sz="8" w:space="0" w:color="auto"/>
              <w:right w:val="single" w:sz="8" w:space="0" w:color="auto"/>
            </w:tcBorders>
            <w:shd w:val="clear" w:color="auto" w:fill="auto"/>
            <w:vAlign w:val="center"/>
            <w:hideMark/>
          </w:tcPr>
          <w:p w14:paraId="6B2E64D0" w14:textId="77777777" w:rsidR="00D75179" w:rsidRPr="00927F20" w:rsidRDefault="00D75179" w:rsidP="00303804">
            <w:pPr>
              <w:rPr>
                <w:b/>
                <w:bCs/>
                <w:color w:val="000000"/>
                <w:sz w:val="20"/>
                <w:szCs w:val="20"/>
                <w:lang w:eastAsia="ja-JP"/>
              </w:rPr>
            </w:pPr>
            <w:r w:rsidRPr="00927F20">
              <w:rPr>
                <w:b/>
                <w:bCs/>
                <w:color w:val="000000"/>
                <w:sz w:val="20"/>
                <w:szCs w:val="20"/>
                <w:lang w:eastAsia="ja-JP"/>
              </w:rPr>
              <w:t>Sample size</w:t>
            </w:r>
          </w:p>
        </w:tc>
        <w:tc>
          <w:tcPr>
            <w:tcW w:w="2610" w:type="dxa"/>
            <w:tcBorders>
              <w:top w:val="nil"/>
              <w:left w:val="nil"/>
              <w:bottom w:val="nil"/>
              <w:right w:val="single" w:sz="8" w:space="0" w:color="auto"/>
            </w:tcBorders>
            <w:shd w:val="clear" w:color="auto" w:fill="auto"/>
            <w:noWrap/>
            <w:vAlign w:val="center"/>
            <w:hideMark/>
          </w:tcPr>
          <w:p w14:paraId="6DDE5FB1" w14:textId="77777777" w:rsidR="00D75179" w:rsidRPr="00927F20" w:rsidRDefault="00D75179" w:rsidP="00303804">
            <w:pPr>
              <w:rPr>
                <w:b/>
                <w:bCs/>
                <w:color w:val="000000"/>
                <w:sz w:val="20"/>
                <w:szCs w:val="20"/>
                <w:lang w:eastAsia="ja-JP"/>
              </w:rPr>
            </w:pPr>
            <w:r w:rsidRPr="00927F20">
              <w:rPr>
                <w:b/>
                <w:bCs/>
                <w:color w:val="000000"/>
                <w:sz w:val="20"/>
                <w:szCs w:val="20"/>
                <w:lang w:eastAsia="ja-JP"/>
              </w:rPr>
              <w:t>Incidence (%, 95% CI)</w:t>
            </w:r>
          </w:p>
        </w:tc>
      </w:tr>
      <w:tr w:rsidR="00D75179" w:rsidRPr="00927F20" w14:paraId="74BEBA4B" w14:textId="77777777" w:rsidTr="008741B0">
        <w:trPr>
          <w:trHeight w:val="360"/>
        </w:trPr>
        <w:tc>
          <w:tcPr>
            <w:tcW w:w="162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7606882" w14:textId="77777777" w:rsidR="00D75179" w:rsidRPr="00927F20" w:rsidRDefault="00D75179" w:rsidP="00303804">
            <w:pPr>
              <w:jc w:val="center"/>
              <w:rPr>
                <w:color w:val="000000"/>
                <w:sz w:val="20"/>
                <w:szCs w:val="20"/>
                <w:lang w:eastAsia="ja-JP"/>
              </w:rPr>
            </w:pPr>
            <w:r w:rsidRPr="00927F20">
              <w:rPr>
                <w:color w:val="000000"/>
                <w:sz w:val="20"/>
                <w:szCs w:val="20"/>
                <w:lang w:eastAsia="ja-JP"/>
              </w:rPr>
              <w:t>Men</w:t>
            </w:r>
          </w:p>
        </w:tc>
        <w:tc>
          <w:tcPr>
            <w:tcW w:w="1080" w:type="dxa"/>
            <w:tcBorders>
              <w:top w:val="nil"/>
              <w:left w:val="nil"/>
              <w:bottom w:val="single" w:sz="8" w:space="0" w:color="auto"/>
              <w:right w:val="single" w:sz="8" w:space="0" w:color="auto"/>
            </w:tcBorders>
            <w:shd w:val="clear" w:color="auto" w:fill="auto"/>
            <w:noWrap/>
            <w:vAlign w:val="center"/>
            <w:hideMark/>
          </w:tcPr>
          <w:p w14:paraId="38960D68" w14:textId="77777777" w:rsidR="00D75179" w:rsidRPr="00927F20" w:rsidRDefault="00D75179" w:rsidP="00303804">
            <w:pPr>
              <w:jc w:val="center"/>
              <w:rPr>
                <w:color w:val="000000"/>
                <w:sz w:val="20"/>
                <w:szCs w:val="20"/>
                <w:lang w:eastAsia="ja-JP"/>
              </w:rPr>
            </w:pPr>
            <w:r w:rsidRPr="00927F20">
              <w:rPr>
                <w:color w:val="000000"/>
                <w:sz w:val="20"/>
                <w:szCs w:val="20"/>
                <w:lang w:eastAsia="ja-JP"/>
              </w:rPr>
              <w:t>15 – 49</w:t>
            </w:r>
          </w:p>
        </w:tc>
        <w:tc>
          <w:tcPr>
            <w:tcW w:w="1440" w:type="dxa"/>
            <w:tcBorders>
              <w:top w:val="nil"/>
              <w:left w:val="nil"/>
              <w:bottom w:val="single" w:sz="8" w:space="0" w:color="auto"/>
              <w:right w:val="single" w:sz="8" w:space="0" w:color="auto"/>
            </w:tcBorders>
            <w:shd w:val="clear" w:color="auto" w:fill="auto"/>
            <w:vAlign w:val="center"/>
            <w:hideMark/>
          </w:tcPr>
          <w:p w14:paraId="6F8D21E0" w14:textId="77777777" w:rsidR="00D75179" w:rsidRPr="00927F20" w:rsidRDefault="00D75179" w:rsidP="00303804">
            <w:pPr>
              <w:jc w:val="center"/>
              <w:rPr>
                <w:color w:val="000000"/>
                <w:sz w:val="20"/>
                <w:szCs w:val="20"/>
                <w:lang w:eastAsia="ja-JP"/>
              </w:rPr>
            </w:pPr>
            <w:r w:rsidRPr="00927F20">
              <w:rPr>
                <w:color w:val="000000"/>
                <w:sz w:val="20"/>
                <w:szCs w:val="20"/>
                <w:lang w:eastAsia="ja-JP"/>
              </w:rPr>
              <w:t>—</w:t>
            </w:r>
          </w:p>
        </w:tc>
        <w:tc>
          <w:tcPr>
            <w:tcW w:w="2610" w:type="dxa"/>
            <w:tcBorders>
              <w:top w:val="nil"/>
              <w:left w:val="nil"/>
              <w:bottom w:val="single" w:sz="8" w:space="0" w:color="auto"/>
              <w:right w:val="single" w:sz="8" w:space="0" w:color="auto"/>
            </w:tcBorders>
            <w:shd w:val="clear" w:color="auto" w:fill="auto"/>
            <w:vAlign w:val="center"/>
            <w:hideMark/>
          </w:tcPr>
          <w:p w14:paraId="14597913" w14:textId="77777777" w:rsidR="00D75179" w:rsidRPr="00927F20" w:rsidRDefault="00D75179" w:rsidP="00303804">
            <w:pPr>
              <w:jc w:val="center"/>
              <w:rPr>
                <w:color w:val="000000"/>
                <w:sz w:val="20"/>
                <w:szCs w:val="20"/>
                <w:lang w:eastAsia="ja-JP"/>
              </w:rPr>
            </w:pPr>
            <w:r w:rsidRPr="00927F20">
              <w:rPr>
                <w:color w:val="000000"/>
                <w:sz w:val="20"/>
                <w:szCs w:val="20"/>
                <w:lang w:eastAsia="ja-JP"/>
              </w:rPr>
              <w:t>—</w:t>
            </w:r>
          </w:p>
        </w:tc>
        <w:tc>
          <w:tcPr>
            <w:tcW w:w="1440" w:type="dxa"/>
            <w:tcBorders>
              <w:top w:val="nil"/>
              <w:left w:val="nil"/>
              <w:bottom w:val="single" w:sz="8" w:space="0" w:color="auto"/>
              <w:right w:val="single" w:sz="8" w:space="0" w:color="auto"/>
            </w:tcBorders>
            <w:shd w:val="clear" w:color="auto" w:fill="auto"/>
            <w:vAlign w:val="center"/>
            <w:hideMark/>
          </w:tcPr>
          <w:p w14:paraId="47869A8E" w14:textId="77777777" w:rsidR="00D75179" w:rsidRPr="00927F20" w:rsidRDefault="00D75179" w:rsidP="00303804">
            <w:pPr>
              <w:jc w:val="center"/>
              <w:rPr>
                <w:color w:val="000000"/>
                <w:sz w:val="20"/>
                <w:szCs w:val="20"/>
                <w:lang w:eastAsia="ja-JP"/>
              </w:rPr>
            </w:pPr>
            <w:r w:rsidRPr="00927F20">
              <w:rPr>
                <w:color w:val="000000"/>
                <w:sz w:val="20"/>
                <w:szCs w:val="20"/>
                <w:lang w:eastAsia="ja-JP"/>
              </w:rPr>
              <w:t>—</w:t>
            </w:r>
          </w:p>
        </w:tc>
        <w:tc>
          <w:tcPr>
            <w:tcW w:w="2610" w:type="dxa"/>
            <w:tcBorders>
              <w:top w:val="single" w:sz="8" w:space="0" w:color="auto"/>
              <w:left w:val="nil"/>
              <w:bottom w:val="single" w:sz="8" w:space="0" w:color="auto"/>
              <w:right w:val="single" w:sz="8" w:space="0" w:color="auto"/>
            </w:tcBorders>
            <w:shd w:val="clear" w:color="auto" w:fill="auto"/>
            <w:noWrap/>
            <w:vAlign w:val="center"/>
            <w:hideMark/>
          </w:tcPr>
          <w:p w14:paraId="11E40C76" w14:textId="77777777" w:rsidR="00D75179" w:rsidRPr="00927F20" w:rsidRDefault="00D75179" w:rsidP="00303804">
            <w:pPr>
              <w:jc w:val="center"/>
              <w:rPr>
                <w:color w:val="000000"/>
                <w:sz w:val="20"/>
                <w:szCs w:val="20"/>
                <w:lang w:eastAsia="ja-JP"/>
              </w:rPr>
            </w:pPr>
            <w:r w:rsidRPr="00927F20">
              <w:rPr>
                <w:color w:val="000000"/>
                <w:sz w:val="20"/>
                <w:szCs w:val="20"/>
                <w:lang w:eastAsia="ja-JP"/>
              </w:rPr>
              <w:t>0.10 (0.00 - 0.20)</w:t>
            </w:r>
          </w:p>
        </w:tc>
      </w:tr>
      <w:tr w:rsidR="00D75179" w:rsidRPr="00927F20" w14:paraId="274DC29D" w14:textId="77777777" w:rsidTr="008741B0">
        <w:trPr>
          <w:trHeight w:val="360"/>
        </w:trPr>
        <w:tc>
          <w:tcPr>
            <w:tcW w:w="1620" w:type="dxa"/>
            <w:vMerge/>
            <w:tcBorders>
              <w:top w:val="nil"/>
              <w:left w:val="single" w:sz="8" w:space="0" w:color="auto"/>
              <w:bottom w:val="single" w:sz="8" w:space="0" w:color="auto"/>
              <w:right w:val="single" w:sz="8" w:space="0" w:color="auto"/>
            </w:tcBorders>
            <w:vAlign w:val="center"/>
            <w:hideMark/>
          </w:tcPr>
          <w:p w14:paraId="53FDCEA0" w14:textId="77777777" w:rsidR="00D75179" w:rsidRPr="00927F20" w:rsidRDefault="00D75179" w:rsidP="00303804">
            <w:pPr>
              <w:rPr>
                <w:color w:val="000000"/>
                <w:sz w:val="20"/>
                <w:szCs w:val="20"/>
                <w:lang w:eastAsia="ja-JP"/>
              </w:rPr>
            </w:pPr>
          </w:p>
        </w:tc>
        <w:tc>
          <w:tcPr>
            <w:tcW w:w="1080" w:type="dxa"/>
            <w:tcBorders>
              <w:top w:val="nil"/>
              <w:left w:val="nil"/>
              <w:bottom w:val="single" w:sz="8" w:space="0" w:color="auto"/>
              <w:right w:val="single" w:sz="8" w:space="0" w:color="auto"/>
            </w:tcBorders>
            <w:shd w:val="clear" w:color="auto" w:fill="auto"/>
            <w:noWrap/>
            <w:vAlign w:val="center"/>
            <w:hideMark/>
          </w:tcPr>
          <w:p w14:paraId="4AECA1DF" w14:textId="77777777" w:rsidR="00D75179" w:rsidRPr="00927F20" w:rsidRDefault="00D75179" w:rsidP="00303804">
            <w:pPr>
              <w:jc w:val="center"/>
              <w:rPr>
                <w:color w:val="000000"/>
                <w:sz w:val="20"/>
                <w:szCs w:val="20"/>
                <w:lang w:eastAsia="ja-JP"/>
              </w:rPr>
            </w:pPr>
            <w:r w:rsidRPr="00927F20">
              <w:rPr>
                <w:color w:val="000000"/>
                <w:sz w:val="20"/>
                <w:szCs w:val="20"/>
                <w:lang w:eastAsia="ja-JP"/>
              </w:rPr>
              <w:t>15 – 64</w:t>
            </w:r>
          </w:p>
        </w:tc>
        <w:tc>
          <w:tcPr>
            <w:tcW w:w="1440" w:type="dxa"/>
            <w:tcBorders>
              <w:top w:val="nil"/>
              <w:left w:val="nil"/>
              <w:bottom w:val="single" w:sz="8" w:space="0" w:color="auto"/>
              <w:right w:val="single" w:sz="8" w:space="0" w:color="auto"/>
            </w:tcBorders>
            <w:shd w:val="clear" w:color="auto" w:fill="auto"/>
            <w:vAlign w:val="center"/>
            <w:hideMark/>
          </w:tcPr>
          <w:p w14:paraId="730AC85E" w14:textId="77777777" w:rsidR="00D75179" w:rsidRPr="00927F20" w:rsidRDefault="00D75179" w:rsidP="00303804">
            <w:pPr>
              <w:jc w:val="center"/>
              <w:rPr>
                <w:color w:val="000000"/>
                <w:sz w:val="20"/>
                <w:szCs w:val="20"/>
                <w:lang w:eastAsia="ja-JP"/>
              </w:rPr>
            </w:pPr>
            <w:r w:rsidRPr="00927F20">
              <w:rPr>
                <w:color w:val="000000"/>
                <w:sz w:val="20"/>
                <w:szCs w:val="20"/>
                <w:lang w:eastAsia="ja-JP"/>
              </w:rPr>
              <w:t>—</w:t>
            </w:r>
          </w:p>
        </w:tc>
        <w:tc>
          <w:tcPr>
            <w:tcW w:w="2610" w:type="dxa"/>
            <w:tcBorders>
              <w:top w:val="nil"/>
              <w:left w:val="nil"/>
              <w:bottom w:val="single" w:sz="8" w:space="0" w:color="auto"/>
              <w:right w:val="single" w:sz="8" w:space="0" w:color="auto"/>
            </w:tcBorders>
            <w:shd w:val="clear" w:color="auto" w:fill="auto"/>
            <w:vAlign w:val="center"/>
            <w:hideMark/>
          </w:tcPr>
          <w:p w14:paraId="7FB5AE9D" w14:textId="77777777" w:rsidR="00D75179" w:rsidRPr="00927F20" w:rsidRDefault="00D75179" w:rsidP="00303804">
            <w:pPr>
              <w:jc w:val="center"/>
              <w:rPr>
                <w:color w:val="000000"/>
                <w:sz w:val="20"/>
                <w:szCs w:val="20"/>
                <w:lang w:eastAsia="ja-JP"/>
              </w:rPr>
            </w:pPr>
            <w:r w:rsidRPr="00927F20">
              <w:rPr>
                <w:color w:val="000000"/>
                <w:sz w:val="20"/>
                <w:szCs w:val="20"/>
                <w:lang w:eastAsia="ja-JP"/>
              </w:rPr>
              <w:t>—</w:t>
            </w:r>
          </w:p>
        </w:tc>
        <w:tc>
          <w:tcPr>
            <w:tcW w:w="1440" w:type="dxa"/>
            <w:tcBorders>
              <w:top w:val="nil"/>
              <w:left w:val="nil"/>
              <w:bottom w:val="single" w:sz="8" w:space="0" w:color="auto"/>
              <w:right w:val="single" w:sz="8" w:space="0" w:color="auto"/>
            </w:tcBorders>
            <w:shd w:val="clear" w:color="auto" w:fill="auto"/>
            <w:vAlign w:val="center"/>
            <w:hideMark/>
          </w:tcPr>
          <w:p w14:paraId="77F8AF99" w14:textId="77777777" w:rsidR="00D75179" w:rsidRPr="00927F20" w:rsidRDefault="00D75179" w:rsidP="00303804">
            <w:pPr>
              <w:jc w:val="center"/>
              <w:rPr>
                <w:color w:val="000000"/>
                <w:sz w:val="20"/>
                <w:szCs w:val="20"/>
                <w:lang w:eastAsia="ja-JP"/>
              </w:rPr>
            </w:pPr>
            <w:r w:rsidRPr="00927F20">
              <w:rPr>
                <w:color w:val="000000"/>
                <w:sz w:val="20"/>
                <w:szCs w:val="20"/>
                <w:lang w:eastAsia="ja-JP"/>
              </w:rPr>
              <w:t>—</w:t>
            </w:r>
          </w:p>
        </w:tc>
        <w:tc>
          <w:tcPr>
            <w:tcW w:w="2610" w:type="dxa"/>
            <w:tcBorders>
              <w:top w:val="nil"/>
              <w:left w:val="nil"/>
              <w:bottom w:val="single" w:sz="8" w:space="0" w:color="auto"/>
              <w:right w:val="single" w:sz="8" w:space="0" w:color="auto"/>
            </w:tcBorders>
            <w:shd w:val="clear" w:color="auto" w:fill="auto"/>
            <w:noWrap/>
            <w:vAlign w:val="center"/>
            <w:hideMark/>
          </w:tcPr>
          <w:p w14:paraId="1A757672" w14:textId="77777777" w:rsidR="00D75179" w:rsidRPr="00927F20" w:rsidRDefault="00D75179" w:rsidP="00303804">
            <w:pPr>
              <w:jc w:val="center"/>
              <w:rPr>
                <w:color w:val="000000"/>
                <w:sz w:val="20"/>
                <w:szCs w:val="20"/>
                <w:lang w:eastAsia="ja-JP"/>
              </w:rPr>
            </w:pPr>
            <w:r w:rsidRPr="00927F20">
              <w:rPr>
                <w:color w:val="000000"/>
                <w:sz w:val="20"/>
                <w:szCs w:val="20"/>
                <w:lang w:eastAsia="ja-JP"/>
              </w:rPr>
              <w:t xml:space="preserve">0.09 (0.00 - 0.17) </w:t>
            </w:r>
          </w:p>
        </w:tc>
      </w:tr>
      <w:tr w:rsidR="00D75179" w:rsidRPr="00927F20" w14:paraId="0317FF08" w14:textId="77777777" w:rsidTr="008741B0">
        <w:trPr>
          <w:trHeight w:val="360"/>
        </w:trPr>
        <w:tc>
          <w:tcPr>
            <w:tcW w:w="16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D2FDAA6" w14:textId="77777777" w:rsidR="00D75179" w:rsidRPr="00927F20" w:rsidRDefault="00D75179" w:rsidP="00303804">
            <w:pPr>
              <w:jc w:val="center"/>
              <w:rPr>
                <w:color w:val="000000"/>
                <w:sz w:val="20"/>
                <w:szCs w:val="20"/>
                <w:lang w:eastAsia="ja-JP"/>
              </w:rPr>
            </w:pPr>
            <w:r w:rsidRPr="00927F20">
              <w:rPr>
                <w:color w:val="000000"/>
                <w:sz w:val="20"/>
                <w:szCs w:val="20"/>
                <w:lang w:eastAsia="ja-JP"/>
              </w:rPr>
              <w:t>Women</w:t>
            </w:r>
          </w:p>
        </w:tc>
        <w:tc>
          <w:tcPr>
            <w:tcW w:w="1080" w:type="dxa"/>
            <w:tcBorders>
              <w:top w:val="nil"/>
              <w:left w:val="nil"/>
              <w:bottom w:val="single" w:sz="8" w:space="0" w:color="auto"/>
              <w:right w:val="single" w:sz="8" w:space="0" w:color="auto"/>
            </w:tcBorders>
            <w:shd w:val="clear" w:color="auto" w:fill="auto"/>
            <w:noWrap/>
            <w:vAlign w:val="center"/>
            <w:hideMark/>
          </w:tcPr>
          <w:p w14:paraId="5FE3F56F" w14:textId="77777777" w:rsidR="00D75179" w:rsidRPr="00927F20" w:rsidRDefault="00D75179" w:rsidP="00303804">
            <w:pPr>
              <w:jc w:val="center"/>
              <w:rPr>
                <w:color w:val="000000"/>
                <w:sz w:val="20"/>
                <w:szCs w:val="20"/>
                <w:lang w:eastAsia="ja-JP"/>
              </w:rPr>
            </w:pPr>
            <w:r w:rsidRPr="00927F20">
              <w:rPr>
                <w:color w:val="000000"/>
                <w:sz w:val="20"/>
                <w:szCs w:val="20"/>
                <w:lang w:eastAsia="ja-JP"/>
              </w:rPr>
              <w:t>15 – 49</w:t>
            </w:r>
          </w:p>
        </w:tc>
        <w:tc>
          <w:tcPr>
            <w:tcW w:w="1440" w:type="dxa"/>
            <w:tcBorders>
              <w:top w:val="nil"/>
              <w:left w:val="nil"/>
              <w:bottom w:val="single" w:sz="8" w:space="0" w:color="auto"/>
              <w:right w:val="single" w:sz="8" w:space="0" w:color="auto"/>
            </w:tcBorders>
            <w:shd w:val="clear" w:color="auto" w:fill="auto"/>
            <w:vAlign w:val="center"/>
            <w:hideMark/>
          </w:tcPr>
          <w:p w14:paraId="474B8927" w14:textId="77777777" w:rsidR="00D75179" w:rsidRPr="00927F20" w:rsidRDefault="00D75179" w:rsidP="00303804">
            <w:pPr>
              <w:jc w:val="center"/>
              <w:rPr>
                <w:color w:val="000000"/>
                <w:sz w:val="20"/>
                <w:szCs w:val="20"/>
                <w:lang w:eastAsia="ja-JP"/>
              </w:rPr>
            </w:pPr>
            <w:r w:rsidRPr="00927F20">
              <w:rPr>
                <w:color w:val="000000"/>
                <w:sz w:val="20"/>
                <w:szCs w:val="20"/>
                <w:lang w:eastAsia="ja-JP"/>
              </w:rPr>
              <w:t>—</w:t>
            </w:r>
          </w:p>
        </w:tc>
        <w:tc>
          <w:tcPr>
            <w:tcW w:w="2610" w:type="dxa"/>
            <w:tcBorders>
              <w:top w:val="nil"/>
              <w:left w:val="nil"/>
              <w:bottom w:val="single" w:sz="8" w:space="0" w:color="auto"/>
              <w:right w:val="single" w:sz="8" w:space="0" w:color="auto"/>
            </w:tcBorders>
            <w:shd w:val="clear" w:color="auto" w:fill="auto"/>
            <w:vAlign w:val="center"/>
            <w:hideMark/>
          </w:tcPr>
          <w:p w14:paraId="37D9713D" w14:textId="77777777" w:rsidR="00D75179" w:rsidRPr="00927F20" w:rsidRDefault="00D75179" w:rsidP="00303804">
            <w:pPr>
              <w:jc w:val="center"/>
              <w:rPr>
                <w:color w:val="000000"/>
                <w:sz w:val="20"/>
                <w:szCs w:val="20"/>
                <w:lang w:eastAsia="ja-JP"/>
              </w:rPr>
            </w:pPr>
            <w:r w:rsidRPr="00927F20">
              <w:rPr>
                <w:color w:val="000000"/>
                <w:sz w:val="20"/>
                <w:szCs w:val="20"/>
                <w:lang w:eastAsia="ja-JP"/>
              </w:rPr>
              <w:t>—</w:t>
            </w:r>
          </w:p>
        </w:tc>
        <w:tc>
          <w:tcPr>
            <w:tcW w:w="1440" w:type="dxa"/>
            <w:tcBorders>
              <w:top w:val="nil"/>
              <w:left w:val="nil"/>
              <w:bottom w:val="single" w:sz="8" w:space="0" w:color="auto"/>
              <w:right w:val="single" w:sz="8" w:space="0" w:color="auto"/>
            </w:tcBorders>
            <w:shd w:val="clear" w:color="auto" w:fill="auto"/>
            <w:vAlign w:val="center"/>
            <w:hideMark/>
          </w:tcPr>
          <w:p w14:paraId="2BDA035C" w14:textId="77777777" w:rsidR="00D75179" w:rsidRPr="00927F20" w:rsidRDefault="00D75179" w:rsidP="00303804">
            <w:pPr>
              <w:jc w:val="center"/>
              <w:rPr>
                <w:color w:val="000000"/>
                <w:sz w:val="20"/>
                <w:szCs w:val="20"/>
                <w:lang w:eastAsia="ja-JP"/>
              </w:rPr>
            </w:pPr>
            <w:r w:rsidRPr="00927F20">
              <w:rPr>
                <w:color w:val="000000"/>
                <w:sz w:val="20"/>
                <w:szCs w:val="20"/>
                <w:lang w:eastAsia="ja-JP"/>
              </w:rPr>
              <w:t>—</w:t>
            </w:r>
          </w:p>
        </w:tc>
        <w:tc>
          <w:tcPr>
            <w:tcW w:w="2610" w:type="dxa"/>
            <w:tcBorders>
              <w:top w:val="nil"/>
              <w:left w:val="nil"/>
              <w:bottom w:val="single" w:sz="8" w:space="0" w:color="auto"/>
              <w:right w:val="single" w:sz="8" w:space="0" w:color="auto"/>
            </w:tcBorders>
            <w:shd w:val="clear" w:color="auto" w:fill="auto"/>
            <w:noWrap/>
            <w:vAlign w:val="center"/>
            <w:hideMark/>
          </w:tcPr>
          <w:p w14:paraId="65BF9DDC" w14:textId="77777777" w:rsidR="00D75179" w:rsidRPr="00927F20" w:rsidRDefault="00D75179" w:rsidP="00303804">
            <w:pPr>
              <w:jc w:val="center"/>
              <w:rPr>
                <w:color w:val="000000"/>
                <w:sz w:val="20"/>
                <w:szCs w:val="20"/>
                <w:lang w:eastAsia="ja-JP"/>
              </w:rPr>
            </w:pPr>
            <w:r w:rsidRPr="00927F20">
              <w:rPr>
                <w:color w:val="000000"/>
                <w:sz w:val="20"/>
                <w:szCs w:val="20"/>
                <w:lang w:eastAsia="ja-JP"/>
              </w:rPr>
              <w:t>0.06 (0.00 - 0.13)</w:t>
            </w:r>
          </w:p>
        </w:tc>
      </w:tr>
      <w:tr w:rsidR="00D75179" w:rsidRPr="00927F20" w14:paraId="706C8177" w14:textId="77777777" w:rsidTr="008741B0">
        <w:trPr>
          <w:trHeight w:val="360"/>
        </w:trPr>
        <w:tc>
          <w:tcPr>
            <w:tcW w:w="1620" w:type="dxa"/>
            <w:vMerge/>
            <w:tcBorders>
              <w:top w:val="nil"/>
              <w:left w:val="single" w:sz="8" w:space="0" w:color="auto"/>
              <w:bottom w:val="single" w:sz="8" w:space="0" w:color="000000"/>
              <w:right w:val="single" w:sz="8" w:space="0" w:color="auto"/>
            </w:tcBorders>
            <w:vAlign w:val="center"/>
            <w:hideMark/>
          </w:tcPr>
          <w:p w14:paraId="4A9F7DEB" w14:textId="77777777" w:rsidR="00D75179" w:rsidRPr="00927F20" w:rsidRDefault="00D75179" w:rsidP="00303804">
            <w:pPr>
              <w:rPr>
                <w:color w:val="000000"/>
                <w:sz w:val="20"/>
                <w:szCs w:val="20"/>
                <w:lang w:eastAsia="ja-JP"/>
              </w:rPr>
            </w:pPr>
          </w:p>
        </w:tc>
        <w:tc>
          <w:tcPr>
            <w:tcW w:w="1080" w:type="dxa"/>
            <w:tcBorders>
              <w:top w:val="nil"/>
              <w:left w:val="nil"/>
              <w:bottom w:val="single" w:sz="8" w:space="0" w:color="auto"/>
              <w:right w:val="single" w:sz="8" w:space="0" w:color="auto"/>
            </w:tcBorders>
            <w:shd w:val="clear" w:color="auto" w:fill="auto"/>
            <w:noWrap/>
            <w:vAlign w:val="center"/>
            <w:hideMark/>
          </w:tcPr>
          <w:p w14:paraId="63AE7A10" w14:textId="77777777" w:rsidR="00D75179" w:rsidRPr="00927F20" w:rsidRDefault="00D75179" w:rsidP="00303804">
            <w:pPr>
              <w:jc w:val="center"/>
              <w:rPr>
                <w:color w:val="000000"/>
                <w:sz w:val="20"/>
                <w:szCs w:val="20"/>
                <w:lang w:eastAsia="ja-JP"/>
              </w:rPr>
            </w:pPr>
            <w:r w:rsidRPr="00927F20">
              <w:rPr>
                <w:color w:val="000000"/>
                <w:sz w:val="20"/>
                <w:szCs w:val="20"/>
                <w:lang w:eastAsia="ja-JP"/>
              </w:rPr>
              <w:t>15 – 64</w:t>
            </w:r>
          </w:p>
        </w:tc>
        <w:tc>
          <w:tcPr>
            <w:tcW w:w="1440" w:type="dxa"/>
            <w:tcBorders>
              <w:top w:val="nil"/>
              <w:left w:val="nil"/>
              <w:bottom w:val="single" w:sz="8" w:space="0" w:color="auto"/>
              <w:right w:val="single" w:sz="8" w:space="0" w:color="auto"/>
            </w:tcBorders>
            <w:shd w:val="clear" w:color="auto" w:fill="auto"/>
            <w:vAlign w:val="center"/>
            <w:hideMark/>
          </w:tcPr>
          <w:p w14:paraId="378D928D" w14:textId="77777777" w:rsidR="00D75179" w:rsidRPr="00927F20" w:rsidRDefault="00D75179" w:rsidP="00303804">
            <w:pPr>
              <w:jc w:val="center"/>
              <w:rPr>
                <w:color w:val="000000"/>
                <w:sz w:val="20"/>
                <w:szCs w:val="20"/>
                <w:lang w:eastAsia="ja-JP"/>
              </w:rPr>
            </w:pPr>
            <w:r w:rsidRPr="00927F20">
              <w:rPr>
                <w:color w:val="000000"/>
                <w:sz w:val="20"/>
                <w:szCs w:val="20"/>
                <w:lang w:eastAsia="ja-JP"/>
              </w:rPr>
              <w:t>—</w:t>
            </w:r>
          </w:p>
        </w:tc>
        <w:tc>
          <w:tcPr>
            <w:tcW w:w="2610" w:type="dxa"/>
            <w:tcBorders>
              <w:top w:val="nil"/>
              <w:left w:val="nil"/>
              <w:bottom w:val="single" w:sz="8" w:space="0" w:color="auto"/>
              <w:right w:val="single" w:sz="8" w:space="0" w:color="auto"/>
            </w:tcBorders>
            <w:shd w:val="clear" w:color="auto" w:fill="auto"/>
            <w:vAlign w:val="center"/>
            <w:hideMark/>
          </w:tcPr>
          <w:p w14:paraId="4D3C03CA" w14:textId="77777777" w:rsidR="00D75179" w:rsidRPr="00927F20" w:rsidRDefault="00D75179" w:rsidP="00303804">
            <w:pPr>
              <w:jc w:val="center"/>
              <w:rPr>
                <w:color w:val="000000"/>
                <w:sz w:val="20"/>
                <w:szCs w:val="20"/>
                <w:lang w:eastAsia="ja-JP"/>
              </w:rPr>
            </w:pPr>
            <w:r w:rsidRPr="00927F20">
              <w:rPr>
                <w:color w:val="000000"/>
                <w:sz w:val="20"/>
                <w:szCs w:val="20"/>
                <w:lang w:eastAsia="ja-JP"/>
              </w:rPr>
              <w:t>—</w:t>
            </w:r>
          </w:p>
        </w:tc>
        <w:tc>
          <w:tcPr>
            <w:tcW w:w="1440" w:type="dxa"/>
            <w:tcBorders>
              <w:top w:val="nil"/>
              <w:left w:val="nil"/>
              <w:bottom w:val="single" w:sz="8" w:space="0" w:color="auto"/>
              <w:right w:val="single" w:sz="8" w:space="0" w:color="auto"/>
            </w:tcBorders>
            <w:shd w:val="clear" w:color="auto" w:fill="auto"/>
            <w:vAlign w:val="center"/>
            <w:hideMark/>
          </w:tcPr>
          <w:p w14:paraId="126A2AB0" w14:textId="77777777" w:rsidR="00D75179" w:rsidRPr="00927F20" w:rsidRDefault="00D75179" w:rsidP="00303804">
            <w:pPr>
              <w:jc w:val="center"/>
              <w:rPr>
                <w:color w:val="000000"/>
                <w:sz w:val="20"/>
                <w:szCs w:val="20"/>
                <w:lang w:eastAsia="ja-JP"/>
              </w:rPr>
            </w:pPr>
            <w:r w:rsidRPr="00927F20">
              <w:rPr>
                <w:color w:val="000000"/>
                <w:sz w:val="20"/>
                <w:szCs w:val="20"/>
                <w:lang w:eastAsia="ja-JP"/>
              </w:rPr>
              <w:t>—</w:t>
            </w:r>
          </w:p>
        </w:tc>
        <w:tc>
          <w:tcPr>
            <w:tcW w:w="2610" w:type="dxa"/>
            <w:tcBorders>
              <w:top w:val="nil"/>
              <w:left w:val="nil"/>
              <w:bottom w:val="single" w:sz="8" w:space="0" w:color="auto"/>
              <w:right w:val="single" w:sz="8" w:space="0" w:color="auto"/>
            </w:tcBorders>
            <w:shd w:val="clear" w:color="auto" w:fill="auto"/>
            <w:noWrap/>
            <w:vAlign w:val="center"/>
            <w:hideMark/>
          </w:tcPr>
          <w:p w14:paraId="0DF44E4C" w14:textId="77777777" w:rsidR="00D75179" w:rsidRPr="00927F20" w:rsidRDefault="00D75179" w:rsidP="00303804">
            <w:pPr>
              <w:jc w:val="center"/>
              <w:rPr>
                <w:color w:val="000000"/>
                <w:sz w:val="20"/>
                <w:szCs w:val="20"/>
                <w:lang w:eastAsia="ja-JP"/>
              </w:rPr>
            </w:pPr>
            <w:r w:rsidRPr="00927F20">
              <w:rPr>
                <w:color w:val="000000"/>
                <w:sz w:val="20"/>
                <w:szCs w:val="20"/>
                <w:lang w:eastAsia="ja-JP"/>
              </w:rPr>
              <w:t>0.07 (0.00 - 0.15)</w:t>
            </w:r>
          </w:p>
        </w:tc>
      </w:tr>
      <w:tr w:rsidR="00D75179" w:rsidRPr="00927F20" w14:paraId="6AF32B1B" w14:textId="77777777" w:rsidTr="008741B0">
        <w:trPr>
          <w:trHeight w:val="360"/>
        </w:trPr>
        <w:tc>
          <w:tcPr>
            <w:tcW w:w="1620" w:type="dxa"/>
            <w:vMerge w:val="restart"/>
            <w:tcBorders>
              <w:top w:val="nil"/>
              <w:left w:val="single" w:sz="8" w:space="0" w:color="auto"/>
              <w:bottom w:val="single" w:sz="8" w:space="0" w:color="000000"/>
              <w:right w:val="single" w:sz="8" w:space="0" w:color="auto"/>
            </w:tcBorders>
            <w:shd w:val="clear" w:color="auto" w:fill="auto"/>
            <w:vAlign w:val="center"/>
            <w:hideMark/>
          </w:tcPr>
          <w:p w14:paraId="0DAF937E" w14:textId="77777777" w:rsidR="00D75179" w:rsidRPr="00927F20" w:rsidRDefault="00D75179" w:rsidP="00303804">
            <w:pPr>
              <w:jc w:val="center"/>
              <w:rPr>
                <w:color w:val="000000"/>
                <w:sz w:val="20"/>
                <w:szCs w:val="20"/>
                <w:lang w:eastAsia="ja-JP"/>
              </w:rPr>
            </w:pPr>
            <w:r w:rsidRPr="00927F20">
              <w:rPr>
                <w:color w:val="000000"/>
                <w:sz w:val="20"/>
                <w:szCs w:val="20"/>
                <w:lang w:eastAsia="ja-JP"/>
              </w:rPr>
              <w:t>Overall</w:t>
            </w:r>
          </w:p>
        </w:tc>
        <w:tc>
          <w:tcPr>
            <w:tcW w:w="1080" w:type="dxa"/>
            <w:tcBorders>
              <w:top w:val="nil"/>
              <w:left w:val="nil"/>
              <w:bottom w:val="single" w:sz="8" w:space="0" w:color="auto"/>
              <w:right w:val="single" w:sz="8" w:space="0" w:color="auto"/>
            </w:tcBorders>
            <w:shd w:val="clear" w:color="auto" w:fill="auto"/>
            <w:noWrap/>
            <w:vAlign w:val="center"/>
            <w:hideMark/>
          </w:tcPr>
          <w:p w14:paraId="23B9F38F" w14:textId="77777777" w:rsidR="00D75179" w:rsidRPr="00927F20" w:rsidRDefault="00D75179" w:rsidP="00303804">
            <w:pPr>
              <w:jc w:val="center"/>
              <w:rPr>
                <w:color w:val="000000"/>
                <w:sz w:val="20"/>
                <w:szCs w:val="20"/>
                <w:lang w:eastAsia="ja-JP"/>
              </w:rPr>
            </w:pPr>
            <w:r w:rsidRPr="00927F20">
              <w:rPr>
                <w:color w:val="000000"/>
                <w:sz w:val="20"/>
                <w:szCs w:val="20"/>
                <w:lang w:eastAsia="ja-JP"/>
              </w:rPr>
              <w:t>15 – 49</w:t>
            </w:r>
          </w:p>
        </w:tc>
        <w:tc>
          <w:tcPr>
            <w:tcW w:w="1440" w:type="dxa"/>
            <w:tcBorders>
              <w:top w:val="nil"/>
              <w:left w:val="nil"/>
              <w:bottom w:val="single" w:sz="8" w:space="0" w:color="auto"/>
              <w:right w:val="single" w:sz="8" w:space="0" w:color="auto"/>
            </w:tcBorders>
            <w:shd w:val="clear" w:color="auto" w:fill="auto"/>
            <w:vAlign w:val="center"/>
            <w:hideMark/>
          </w:tcPr>
          <w:p w14:paraId="2FC183ED" w14:textId="77777777" w:rsidR="00D75179" w:rsidRPr="00927F20" w:rsidRDefault="00D75179" w:rsidP="00303804">
            <w:pPr>
              <w:jc w:val="center"/>
              <w:rPr>
                <w:color w:val="000000"/>
                <w:sz w:val="20"/>
                <w:szCs w:val="20"/>
                <w:lang w:eastAsia="ja-JP"/>
              </w:rPr>
            </w:pPr>
            <w:r w:rsidRPr="00927F20">
              <w:rPr>
                <w:color w:val="000000"/>
                <w:sz w:val="20"/>
                <w:szCs w:val="20"/>
                <w:lang w:eastAsia="ja-JP"/>
              </w:rPr>
              <w:t>—</w:t>
            </w:r>
          </w:p>
        </w:tc>
        <w:tc>
          <w:tcPr>
            <w:tcW w:w="2610" w:type="dxa"/>
            <w:tcBorders>
              <w:top w:val="nil"/>
              <w:left w:val="nil"/>
              <w:bottom w:val="single" w:sz="8" w:space="0" w:color="auto"/>
              <w:right w:val="single" w:sz="8" w:space="0" w:color="auto"/>
            </w:tcBorders>
            <w:shd w:val="clear" w:color="auto" w:fill="auto"/>
            <w:vAlign w:val="center"/>
            <w:hideMark/>
          </w:tcPr>
          <w:p w14:paraId="2DEEDFCF" w14:textId="77777777" w:rsidR="00D75179" w:rsidRPr="00927F20" w:rsidRDefault="00D75179" w:rsidP="00303804">
            <w:pPr>
              <w:jc w:val="center"/>
              <w:rPr>
                <w:color w:val="000000"/>
                <w:sz w:val="20"/>
                <w:szCs w:val="20"/>
                <w:lang w:eastAsia="ja-JP"/>
              </w:rPr>
            </w:pPr>
            <w:r w:rsidRPr="00927F20">
              <w:rPr>
                <w:color w:val="000000"/>
                <w:sz w:val="20"/>
                <w:szCs w:val="20"/>
                <w:lang w:eastAsia="ja-JP"/>
              </w:rPr>
              <w:t>—</w:t>
            </w:r>
          </w:p>
        </w:tc>
        <w:tc>
          <w:tcPr>
            <w:tcW w:w="1440" w:type="dxa"/>
            <w:tcBorders>
              <w:top w:val="nil"/>
              <w:left w:val="nil"/>
              <w:bottom w:val="single" w:sz="8" w:space="0" w:color="auto"/>
              <w:right w:val="nil"/>
            </w:tcBorders>
            <w:shd w:val="clear" w:color="auto" w:fill="auto"/>
            <w:vAlign w:val="center"/>
            <w:hideMark/>
          </w:tcPr>
          <w:p w14:paraId="400CD154" w14:textId="77777777" w:rsidR="00D75179" w:rsidRPr="00927F20" w:rsidRDefault="00D75179" w:rsidP="00303804">
            <w:pPr>
              <w:jc w:val="center"/>
              <w:rPr>
                <w:color w:val="000000"/>
                <w:sz w:val="20"/>
                <w:szCs w:val="20"/>
                <w:lang w:eastAsia="ja-JP"/>
              </w:rPr>
            </w:pPr>
            <w:r w:rsidRPr="00927F20">
              <w:rPr>
                <w:color w:val="000000"/>
                <w:sz w:val="20"/>
                <w:szCs w:val="20"/>
                <w:lang w:eastAsia="ja-JP"/>
              </w:rPr>
              <w:t>—</w:t>
            </w:r>
          </w:p>
        </w:tc>
        <w:tc>
          <w:tcPr>
            <w:tcW w:w="2610" w:type="dxa"/>
            <w:tcBorders>
              <w:top w:val="nil"/>
              <w:left w:val="single" w:sz="8" w:space="0" w:color="auto"/>
              <w:bottom w:val="single" w:sz="8" w:space="0" w:color="auto"/>
              <w:right w:val="single" w:sz="8" w:space="0" w:color="auto"/>
            </w:tcBorders>
            <w:shd w:val="clear" w:color="auto" w:fill="auto"/>
            <w:vAlign w:val="center"/>
            <w:hideMark/>
          </w:tcPr>
          <w:p w14:paraId="46C76825" w14:textId="77777777" w:rsidR="00D75179" w:rsidRPr="00927F20" w:rsidRDefault="00D75179" w:rsidP="00303804">
            <w:pPr>
              <w:jc w:val="center"/>
              <w:rPr>
                <w:color w:val="000000"/>
                <w:sz w:val="20"/>
                <w:szCs w:val="20"/>
                <w:lang w:eastAsia="ja-JP"/>
              </w:rPr>
            </w:pPr>
            <w:r w:rsidRPr="00927F20">
              <w:rPr>
                <w:color w:val="000000"/>
                <w:sz w:val="20"/>
                <w:szCs w:val="20"/>
                <w:lang w:eastAsia="ja-JP"/>
              </w:rPr>
              <w:t>0.08 (0.02-0.14)</w:t>
            </w:r>
          </w:p>
        </w:tc>
      </w:tr>
      <w:tr w:rsidR="00D75179" w:rsidRPr="00927F20" w14:paraId="1E7BDF74" w14:textId="77777777" w:rsidTr="008741B0">
        <w:trPr>
          <w:trHeight w:val="360"/>
        </w:trPr>
        <w:tc>
          <w:tcPr>
            <w:tcW w:w="1620" w:type="dxa"/>
            <w:vMerge/>
            <w:tcBorders>
              <w:top w:val="nil"/>
              <w:left w:val="single" w:sz="8" w:space="0" w:color="auto"/>
              <w:bottom w:val="single" w:sz="8" w:space="0" w:color="000000"/>
              <w:right w:val="single" w:sz="8" w:space="0" w:color="auto"/>
            </w:tcBorders>
            <w:vAlign w:val="center"/>
            <w:hideMark/>
          </w:tcPr>
          <w:p w14:paraId="0DC99895" w14:textId="77777777" w:rsidR="00D75179" w:rsidRPr="00927F20" w:rsidRDefault="00D75179" w:rsidP="00303804">
            <w:pPr>
              <w:rPr>
                <w:b/>
                <w:bCs/>
                <w:color w:val="000000"/>
                <w:sz w:val="20"/>
                <w:szCs w:val="20"/>
                <w:lang w:eastAsia="ja-JP"/>
              </w:rPr>
            </w:pPr>
          </w:p>
        </w:tc>
        <w:tc>
          <w:tcPr>
            <w:tcW w:w="1080" w:type="dxa"/>
            <w:tcBorders>
              <w:top w:val="nil"/>
              <w:left w:val="nil"/>
              <w:bottom w:val="single" w:sz="8" w:space="0" w:color="auto"/>
              <w:right w:val="single" w:sz="8" w:space="0" w:color="auto"/>
            </w:tcBorders>
            <w:shd w:val="clear" w:color="auto" w:fill="auto"/>
            <w:noWrap/>
            <w:vAlign w:val="center"/>
            <w:hideMark/>
          </w:tcPr>
          <w:p w14:paraId="09EF43A8" w14:textId="77777777" w:rsidR="00D75179" w:rsidRPr="00927F20" w:rsidRDefault="00D75179" w:rsidP="00303804">
            <w:pPr>
              <w:jc w:val="center"/>
              <w:rPr>
                <w:color w:val="000000"/>
                <w:sz w:val="20"/>
                <w:szCs w:val="20"/>
                <w:lang w:eastAsia="ja-JP"/>
              </w:rPr>
            </w:pPr>
            <w:r w:rsidRPr="00927F20">
              <w:rPr>
                <w:color w:val="000000"/>
                <w:sz w:val="20"/>
                <w:szCs w:val="20"/>
                <w:lang w:eastAsia="ja-JP"/>
              </w:rPr>
              <w:t>15 – 64</w:t>
            </w:r>
          </w:p>
        </w:tc>
        <w:tc>
          <w:tcPr>
            <w:tcW w:w="1440" w:type="dxa"/>
            <w:tcBorders>
              <w:top w:val="nil"/>
              <w:left w:val="nil"/>
              <w:bottom w:val="single" w:sz="8" w:space="0" w:color="auto"/>
              <w:right w:val="single" w:sz="8" w:space="0" w:color="auto"/>
            </w:tcBorders>
            <w:shd w:val="clear" w:color="auto" w:fill="auto"/>
            <w:vAlign w:val="center"/>
            <w:hideMark/>
          </w:tcPr>
          <w:p w14:paraId="3B0327FF" w14:textId="77777777" w:rsidR="00D75179" w:rsidRPr="00927F20" w:rsidRDefault="00D75179" w:rsidP="00303804">
            <w:pPr>
              <w:jc w:val="center"/>
              <w:rPr>
                <w:color w:val="000000"/>
                <w:sz w:val="20"/>
                <w:szCs w:val="20"/>
                <w:lang w:eastAsia="ja-JP"/>
              </w:rPr>
            </w:pPr>
            <w:r w:rsidRPr="00927F20">
              <w:rPr>
                <w:color w:val="000000"/>
                <w:sz w:val="20"/>
                <w:szCs w:val="20"/>
                <w:lang w:eastAsia="ja-JP"/>
              </w:rPr>
              <w:t>&gt;13000</w:t>
            </w:r>
          </w:p>
        </w:tc>
        <w:tc>
          <w:tcPr>
            <w:tcW w:w="2610" w:type="dxa"/>
            <w:tcBorders>
              <w:top w:val="nil"/>
              <w:left w:val="nil"/>
              <w:bottom w:val="single" w:sz="8" w:space="0" w:color="auto"/>
              <w:right w:val="single" w:sz="8" w:space="0" w:color="auto"/>
            </w:tcBorders>
            <w:shd w:val="clear" w:color="auto" w:fill="auto"/>
            <w:vAlign w:val="center"/>
            <w:hideMark/>
          </w:tcPr>
          <w:p w14:paraId="032242AC" w14:textId="77777777" w:rsidR="00D75179" w:rsidRPr="00927F20" w:rsidRDefault="00D75179" w:rsidP="00303804">
            <w:pPr>
              <w:jc w:val="center"/>
              <w:rPr>
                <w:color w:val="000000"/>
                <w:sz w:val="20"/>
                <w:szCs w:val="20"/>
                <w:lang w:eastAsia="ja-JP"/>
              </w:rPr>
            </w:pPr>
            <w:r w:rsidRPr="00927F20">
              <w:rPr>
                <w:color w:val="000000"/>
                <w:sz w:val="20"/>
                <w:szCs w:val="20"/>
                <w:lang w:eastAsia="ja-JP"/>
              </w:rPr>
              <w:t>0.27</w:t>
            </w:r>
          </w:p>
        </w:tc>
        <w:tc>
          <w:tcPr>
            <w:tcW w:w="1440" w:type="dxa"/>
            <w:tcBorders>
              <w:top w:val="nil"/>
              <w:left w:val="nil"/>
              <w:bottom w:val="single" w:sz="8" w:space="0" w:color="auto"/>
              <w:right w:val="nil"/>
            </w:tcBorders>
            <w:shd w:val="clear" w:color="auto" w:fill="auto"/>
            <w:vAlign w:val="center"/>
            <w:hideMark/>
          </w:tcPr>
          <w:p w14:paraId="54647C93" w14:textId="77777777" w:rsidR="00D75179" w:rsidRPr="00927F20" w:rsidRDefault="00D75179" w:rsidP="00303804">
            <w:pPr>
              <w:jc w:val="center"/>
              <w:rPr>
                <w:color w:val="000000"/>
                <w:sz w:val="20"/>
                <w:szCs w:val="20"/>
                <w:lang w:eastAsia="ja-JP"/>
              </w:rPr>
            </w:pPr>
            <w:r w:rsidRPr="00927F20">
              <w:rPr>
                <w:color w:val="000000"/>
                <w:sz w:val="20"/>
                <w:szCs w:val="20"/>
                <w:lang w:eastAsia="ja-JP"/>
              </w:rPr>
              <w:t>—</w:t>
            </w:r>
          </w:p>
        </w:tc>
        <w:tc>
          <w:tcPr>
            <w:tcW w:w="2610" w:type="dxa"/>
            <w:tcBorders>
              <w:top w:val="nil"/>
              <w:left w:val="single" w:sz="8" w:space="0" w:color="auto"/>
              <w:bottom w:val="single" w:sz="8" w:space="0" w:color="auto"/>
              <w:right w:val="single" w:sz="8" w:space="0" w:color="auto"/>
            </w:tcBorders>
            <w:shd w:val="clear" w:color="auto" w:fill="auto"/>
            <w:vAlign w:val="center"/>
            <w:hideMark/>
          </w:tcPr>
          <w:p w14:paraId="2E0C072C" w14:textId="77777777" w:rsidR="00D75179" w:rsidRPr="00927F20" w:rsidRDefault="00D75179" w:rsidP="00303804">
            <w:pPr>
              <w:jc w:val="center"/>
              <w:rPr>
                <w:color w:val="000000"/>
                <w:sz w:val="20"/>
                <w:szCs w:val="20"/>
                <w:lang w:eastAsia="ja-JP"/>
              </w:rPr>
            </w:pPr>
            <w:r w:rsidRPr="00927F20">
              <w:rPr>
                <w:color w:val="000000"/>
                <w:sz w:val="20"/>
                <w:szCs w:val="20"/>
                <w:lang w:eastAsia="ja-JP"/>
              </w:rPr>
              <w:t>0.08 (0.02-0.14)</w:t>
            </w:r>
          </w:p>
        </w:tc>
      </w:tr>
    </w:tbl>
    <w:p w14:paraId="11382F06" w14:textId="6C27834D" w:rsidR="00D75179" w:rsidRPr="008741B0" w:rsidRDefault="00D75179" w:rsidP="002E50FA">
      <w:pPr>
        <w:pStyle w:val="ListParagraph"/>
        <w:numPr>
          <w:ilvl w:val="0"/>
          <w:numId w:val="30"/>
        </w:numPr>
        <w:rPr>
          <w:sz w:val="20"/>
          <w:szCs w:val="20"/>
        </w:rPr>
      </w:pPr>
      <w:r w:rsidRPr="008741B0">
        <w:rPr>
          <w:sz w:val="20"/>
          <w:szCs w:val="20"/>
          <w:lang w:eastAsia="ja-JP"/>
        </w:rPr>
        <w:t>The HIV incidence estimation comes from Rwanda AIDS Indicator and HIV Incidence Survey 2013.</w:t>
      </w:r>
      <w:r w:rsidRPr="008741B0">
        <w:rPr>
          <w:sz w:val="20"/>
          <w:szCs w:val="20"/>
        </w:rPr>
        <w:fldChar w:fldCharType="begin" w:fldLock="1"/>
      </w:r>
      <w:r w:rsidR="007527CC">
        <w:rPr>
          <w:sz w:val="20"/>
          <w:szCs w:val="20"/>
          <w:lang w:eastAsia="ja-JP"/>
        </w:rPr>
        <w:instrText>ADDIN CSL_CITATION {"citationItems":[{"id":"ITEM-1","itemData":{"author":[{"dropping-particle":"","family":"Rwanda Biomedical Center","given":"","non-dropping-particle":"","parse-names":false,"suffix":""}],"id":"ITEM-1","issued":{"date-parts":[["2015"]]},"number-of-pages":"1-72","title":"National HIV Annual Report 2014-2015","type":"report"},"uris":["http://www.mendeley.com/documents/?uuid=fbea8466-dfbf-4507-b99f-07c4ab2fcf0a"]}],"mendeley":{"formattedCitation":"&lt;sup&gt;70&lt;/sup&gt;","plainTextFormattedCitation":"70","previouslyFormattedCitation":"&lt;sup&gt;70&lt;/sup&gt;"},"properties":{"noteIndex":0},"schema":"https://github.com/citation-style-language/schema/raw/master/csl-citation.json"}</w:instrText>
      </w:r>
      <w:r w:rsidRPr="008741B0">
        <w:rPr>
          <w:sz w:val="20"/>
          <w:szCs w:val="20"/>
        </w:rPr>
        <w:fldChar w:fldCharType="separate"/>
      </w:r>
      <w:r w:rsidR="00036C3E" w:rsidRPr="00036C3E">
        <w:rPr>
          <w:noProof/>
          <w:sz w:val="20"/>
          <w:szCs w:val="20"/>
          <w:vertAlign w:val="superscript"/>
        </w:rPr>
        <w:t>70</w:t>
      </w:r>
      <w:r w:rsidRPr="008741B0">
        <w:rPr>
          <w:sz w:val="20"/>
          <w:szCs w:val="20"/>
        </w:rPr>
        <w:fldChar w:fldCharType="end"/>
      </w:r>
      <w:r w:rsidRPr="008741B0">
        <w:rPr>
          <w:sz w:val="20"/>
          <w:szCs w:val="20"/>
        </w:rPr>
        <w:t xml:space="preserve"> The HIV incidence is reported in Rwanda Annual Report for HIV. Micro-data is not available. </w:t>
      </w:r>
    </w:p>
    <w:p w14:paraId="3370B067" w14:textId="3A146B3E" w:rsidR="00D75179" w:rsidRPr="008741B0" w:rsidRDefault="00D75179" w:rsidP="002E50FA">
      <w:pPr>
        <w:pStyle w:val="ListParagraph"/>
        <w:numPr>
          <w:ilvl w:val="0"/>
          <w:numId w:val="30"/>
        </w:numPr>
        <w:rPr>
          <w:sz w:val="20"/>
          <w:szCs w:val="20"/>
        </w:rPr>
      </w:pPr>
      <w:r w:rsidRPr="008741B0">
        <w:rPr>
          <w:sz w:val="20"/>
          <w:szCs w:val="20"/>
        </w:rPr>
        <w:t xml:space="preserve"> The HIV incidence estimation comes from Population-based HIV Impact Assessment Survey 2019.</w:t>
      </w:r>
      <w:r w:rsidRPr="008741B0">
        <w:rPr>
          <w:sz w:val="20"/>
          <w:szCs w:val="20"/>
        </w:rPr>
        <w:fldChar w:fldCharType="begin" w:fldLock="1"/>
      </w:r>
      <w:r w:rsidR="007527CC">
        <w:rPr>
          <w:sz w:val="20"/>
          <w:szCs w:val="20"/>
        </w:rPr>
        <w:instrText>ADDIN CSL_CITATION {"citationItems":[{"id":"ITEM-1","itemData":{"author":[{"dropping-particle":"","family":"Population-based HIV Impact Assessment","given":"","non-dropping-particle":"","parse-names":false,"suffix":""}],"id":"ITEM-1","issue":"February 2020","issued":{"date-parts":[["0"]]},"page":"2-8","title":"Rwanda population-based HIV impact assessment, RPHIA 2018–2019","type":"article-journal"},"uris":["http://www.mendeley.com/documents/?uuid=6b46812d-c48f-4505-afe2-1fda15927ac2"]}],"mendeley":{"formattedCitation":"&lt;sup&gt;19&lt;/sup&gt;","plainTextFormattedCitation":"19","previouslyFormattedCitation":"&lt;sup&gt;20&lt;/sup&gt;"},"properties":{"noteIndex":0},"schema":"https://github.com/citation-style-language/schema/raw/master/csl-citation.json"}</w:instrText>
      </w:r>
      <w:r w:rsidRPr="008741B0">
        <w:rPr>
          <w:sz w:val="20"/>
          <w:szCs w:val="20"/>
        </w:rPr>
        <w:fldChar w:fldCharType="separate"/>
      </w:r>
      <w:r w:rsidR="007527CC" w:rsidRPr="007527CC">
        <w:rPr>
          <w:noProof/>
          <w:sz w:val="20"/>
          <w:szCs w:val="20"/>
          <w:vertAlign w:val="superscript"/>
        </w:rPr>
        <w:t>19</w:t>
      </w:r>
      <w:r w:rsidRPr="008741B0">
        <w:rPr>
          <w:sz w:val="20"/>
          <w:szCs w:val="20"/>
        </w:rPr>
        <w:fldChar w:fldCharType="end"/>
      </w:r>
      <w:r w:rsidRPr="008741B0">
        <w:rPr>
          <w:sz w:val="20"/>
          <w:szCs w:val="20"/>
        </w:rPr>
        <w:t xml:space="preserve"> The estimates by sex are based on a small number of new infections and may be interpreted with caution due to the lack of power for sex-disaggregated estimates of the survey. </w:t>
      </w:r>
    </w:p>
    <w:p w14:paraId="052C343E" w14:textId="72D206D7" w:rsidR="00D75179" w:rsidRPr="004F6186" w:rsidRDefault="00D75179" w:rsidP="00D75179">
      <w:pPr>
        <w:keepNext/>
        <w:rPr>
          <w:b/>
          <w:bCs/>
          <w:i/>
          <w:iCs/>
          <w:color w:val="000000" w:themeColor="text1"/>
        </w:rPr>
      </w:pPr>
      <w:r w:rsidRPr="00B11A6B">
        <w:br w:type="page"/>
      </w:r>
      <w:r w:rsidRPr="00B11A6B">
        <w:rPr>
          <w:color w:val="000000" w:themeColor="text1"/>
        </w:rPr>
        <w:lastRenderedPageBreak/>
        <w:t xml:space="preserve"> </w:t>
      </w:r>
      <w:bookmarkStart w:id="332" w:name="_Ref82440368"/>
      <w:bookmarkStart w:id="333" w:name="_Toc82448082"/>
      <w:bookmarkStart w:id="334" w:name="_Toc82592513"/>
      <w:bookmarkStart w:id="335" w:name="_Toc82599278"/>
      <w:r w:rsidRPr="004F6186">
        <w:rPr>
          <w:b/>
          <w:bCs/>
          <w:color w:val="000000" w:themeColor="text1"/>
        </w:rPr>
        <w:t xml:space="preserve">Table </w:t>
      </w:r>
      <w:r w:rsidRPr="004F6186">
        <w:rPr>
          <w:b/>
          <w:bCs/>
          <w:color w:val="000000" w:themeColor="text1"/>
        </w:rPr>
        <w:fldChar w:fldCharType="begin"/>
      </w:r>
      <w:r w:rsidRPr="004F6186">
        <w:rPr>
          <w:b/>
          <w:bCs/>
          <w:color w:val="000000" w:themeColor="text1"/>
        </w:rPr>
        <w:instrText xml:space="preserve"> SEQ Table \* ARABIC </w:instrText>
      </w:r>
      <w:r w:rsidRPr="004F6186">
        <w:rPr>
          <w:b/>
          <w:bCs/>
          <w:color w:val="000000" w:themeColor="text1"/>
        </w:rPr>
        <w:fldChar w:fldCharType="separate"/>
      </w:r>
      <w:r w:rsidR="001E49BE">
        <w:rPr>
          <w:b/>
          <w:bCs/>
          <w:noProof/>
          <w:color w:val="000000" w:themeColor="text1"/>
        </w:rPr>
        <w:t>19</w:t>
      </w:r>
      <w:r w:rsidRPr="004F6186">
        <w:rPr>
          <w:b/>
          <w:bCs/>
          <w:color w:val="000000" w:themeColor="text1"/>
        </w:rPr>
        <w:fldChar w:fldCharType="end"/>
      </w:r>
      <w:bookmarkEnd w:id="332"/>
      <w:r w:rsidRPr="004F6186">
        <w:rPr>
          <w:b/>
          <w:bCs/>
          <w:color w:val="000000" w:themeColor="text1"/>
        </w:rPr>
        <w:t xml:space="preserve">: </w:t>
      </w:r>
      <w:bookmarkStart w:id="336" w:name="_Hlk74742093"/>
      <w:r w:rsidR="008741B0">
        <w:rPr>
          <w:b/>
          <w:bCs/>
          <w:color w:val="000000" w:themeColor="text1"/>
        </w:rPr>
        <w:t xml:space="preserve">Calibration targets: </w:t>
      </w:r>
      <w:r w:rsidRPr="004F6186">
        <w:rPr>
          <w:b/>
          <w:bCs/>
          <w:color w:val="000000" w:themeColor="text1"/>
        </w:rPr>
        <w:t>Number of people on ART</w:t>
      </w:r>
      <w:r w:rsidR="0089750E">
        <w:rPr>
          <w:b/>
          <w:bCs/>
          <w:color w:val="000000" w:themeColor="text1"/>
        </w:rPr>
        <w:t xml:space="preserve"> over time</w:t>
      </w:r>
      <w:bookmarkEnd w:id="333"/>
      <w:bookmarkEnd w:id="334"/>
      <w:bookmarkEnd w:id="335"/>
      <w:bookmarkEnd w:id="336"/>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5670"/>
      </w:tblGrid>
      <w:tr w:rsidR="00D75179" w:rsidRPr="00927F20" w14:paraId="6932EC4D" w14:textId="77777777" w:rsidTr="008741B0">
        <w:trPr>
          <w:trHeight w:val="320"/>
        </w:trPr>
        <w:tc>
          <w:tcPr>
            <w:tcW w:w="1975" w:type="dxa"/>
            <w:noWrap/>
            <w:hideMark/>
          </w:tcPr>
          <w:p w14:paraId="0BDCD351" w14:textId="78670FBC" w:rsidR="00D75179" w:rsidRPr="00927F20" w:rsidRDefault="00D75179" w:rsidP="00303804">
            <w:pPr>
              <w:jc w:val="center"/>
              <w:rPr>
                <w:b/>
                <w:bCs/>
                <w:color w:val="000000"/>
                <w:sz w:val="20"/>
                <w:szCs w:val="20"/>
                <w:vertAlign w:val="superscript"/>
              </w:rPr>
            </w:pPr>
            <w:proofErr w:type="spellStart"/>
            <w:r w:rsidRPr="00927F20">
              <w:rPr>
                <w:b/>
                <w:bCs/>
                <w:color w:val="000000"/>
                <w:sz w:val="20"/>
                <w:szCs w:val="20"/>
              </w:rPr>
              <w:t>Year</w:t>
            </w:r>
            <w:r w:rsidR="0018213B" w:rsidRPr="00927F20">
              <w:rPr>
                <w:b/>
                <w:bCs/>
                <w:color w:val="000000"/>
                <w:sz w:val="20"/>
                <w:szCs w:val="20"/>
                <w:vertAlign w:val="superscript"/>
              </w:rPr>
              <w:t>a</w:t>
            </w:r>
            <w:proofErr w:type="spellEnd"/>
          </w:p>
        </w:tc>
        <w:tc>
          <w:tcPr>
            <w:tcW w:w="5670" w:type="dxa"/>
            <w:noWrap/>
            <w:hideMark/>
          </w:tcPr>
          <w:p w14:paraId="31A38505" w14:textId="77777777" w:rsidR="00D75179" w:rsidRPr="00927F20" w:rsidRDefault="00D75179" w:rsidP="00303804">
            <w:pPr>
              <w:jc w:val="center"/>
              <w:rPr>
                <w:b/>
                <w:bCs/>
                <w:color w:val="000000"/>
                <w:sz w:val="20"/>
                <w:szCs w:val="20"/>
              </w:rPr>
            </w:pPr>
            <w:commentRangeStart w:id="337"/>
            <w:r w:rsidRPr="00927F20">
              <w:rPr>
                <w:b/>
                <w:bCs/>
                <w:color w:val="000000"/>
                <w:sz w:val="20"/>
                <w:szCs w:val="20"/>
              </w:rPr>
              <w:t># of people living with HIV on ART</w:t>
            </w:r>
            <w:commentRangeEnd w:id="337"/>
            <w:r w:rsidRPr="00927F20">
              <w:rPr>
                <w:rStyle w:val="CommentReference"/>
                <w:sz w:val="20"/>
                <w:szCs w:val="20"/>
              </w:rPr>
              <w:commentReference w:id="337"/>
            </w:r>
          </w:p>
        </w:tc>
      </w:tr>
      <w:tr w:rsidR="00D75179" w:rsidRPr="00927F20" w14:paraId="3C85F558" w14:textId="77777777" w:rsidTr="008741B0">
        <w:trPr>
          <w:trHeight w:val="320"/>
        </w:trPr>
        <w:tc>
          <w:tcPr>
            <w:tcW w:w="1975" w:type="dxa"/>
            <w:noWrap/>
            <w:hideMark/>
          </w:tcPr>
          <w:p w14:paraId="61A03DDB" w14:textId="77777777" w:rsidR="00D75179" w:rsidRPr="00927F20" w:rsidRDefault="00D75179" w:rsidP="00303804">
            <w:pPr>
              <w:jc w:val="center"/>
              <w:rPr>
                <w:color w:val="000000"/>
                <w:sz w:val="20"/>
                <w:szCs w:val="20"/>
              </w:rPr>
            </w:pPr>
            <w:r w:rsidRPr="00927F20">
              <w:rPr>
                <w:color w:val="000000"/>
                <w:sz w:val="20"/>
                <w:szCs w:val="20"/>
              </w:rPr>
              <w:t>2004</w:t>
            </w:r>
          </w:p>
        </w:tc>
        <w:tc>
          <w:tcPr>
            <w:tcW w:w="5670" w:type="dxa"/>
            <w:noWrap/>
            <w:hideMark/>
          </w:tcPr>
          <w:p w14:paraId="5B71EC60" w14:textId="5EABB58A" w:rsidR="00D75179" w:rsidRPr="00927F20" w:rsidRDefault="00D75179" w:rsidP="00303804">
            <w:pPr>
              <w:jc w:val="center"/>
              <w:rPr>
                <w:color w:val="000000"/>
                <w:sz w:val="20"/>
                <w:szCs w:val="20"/>
              </w:rPr>
            </w:pPr>
            <w:r w:rsidRPr="00927F20">
              <w:rPr>
                <w:color w:val="000000"/>
                <w:sz w:val="20"/>
                <w:szCs w:val="20"/>
              </w:rPr>
              <w:t>6</w:t>
            </w:r>
            <w:r w:rsidR="0018213B" w:rsidRPr="00927F20">
              <w:rPr>
                <w:color w:val="000000"/>
                <w:sz w:val="20"/>
                <w:szCs w:val="20"/>
              </w:rPr>
              <w:t>,</w:t>
            </w:r>
            <w:r w:rsidRPr="00927F20">
              <w:rPr>
                <w:color w:val="000000"/>
                <w:sz w:val="20"/>
                <w:szCs w:val="20"/>
              </w:rPr>
              <w:t>356</w:t>
            </w:r>
          </w:p>
        </w:tc>
      </w:tr>
      <w:tr w:rsidR="00D75179" w:rsidRPr="00927F20" w14:paraId="2D84F60D" w14:textId="77777777" w:rsidTr="008741B0">
        <w:trPr>
          <w:trHeight w:val="320"/>
        </w:trPr>
        <w:tc>
          <w:tcPr>
            <w:tcW w:w="1975" w:type="dxa"/>
            <w:noWrap/>
            <w:hideMark/>
          </w:tcPr>
          <w:p w14:paraId="7A21FBF8" w14:textId="77777777" w:rsidR="00D75179" w:rsidRPr="00927F20" w:rsidRDefault="00D75179" w:rsidP="00303804">
            <w:pPr>
              <w:jc w:val="center"/>
              <w:rPr>
                <w:color w:val="000000"/>
                <w:sz w:val="20"/>
                <w:szCs w:val="20"/>
              </w:rPr>
            </w:pPr>
            <w:r w:rsidRPr="00927F20">
              <w:rPr>
                <w:color w:val="000000"/>
                <w:sz w:val="20"/>
                <w:szCs w:val="20"/>
              </w:rPr>
              <w:t>2005</w:t>
            </w:r>
          </w:p>
        </w:tc>
        <w:tc>
          <w:tcPr>
            <w:tcW w:w="5670" w:type="dxa"/>
            <w:noWrap/>
            <w:hideMark/>
          </w:tcPr>
          <w:p w14:paraId="04CC527B" w14:textId="6C27A0E6" w:rsidR="00D75179" w:rsidRPr="00927F20" w:rsidRDefault="00D75179" w:rsidP="00303804">
            <w:pPr>
              <w:jc w:val="center"/>
              <w:rPr>
                <w:color w:val="000000"/>
                <w:sz w:val="20"/>
                <w:szCs w:val="20"/>
              </w:rPr>
            </w:pPr>
            <w:r w:rsidRPr="00927F20">
              <w:rPr>
                <w:color w:val="000000"/>
                <w:sz w:val="20"/>
                <w:szCs w:val="20"/>
              </w:rPr>
              <w:t>19</w:t>
            </w:r>
            <w:r w:rsidR="0018213B" w:rsidRPr="00927F20">
              <w:rPr>
                <w:color w:val="000000"/>
                <w:sz w:val="20"/>
                <w:szCs w:val="20"/>
              </w:rPr>
              <w:t>,</w:t>
            </w:r>
            <w:r w:rsidRPr="00927F20">
              <w:rPr>
                <w:color w:val="000000"/>
                <w:sz w:val="20"/>
                <w:szCs w:val="20"/>
              </w:rPr>
              <w:t>058</w:t>
            </w:r>
          </w:p>
        </w:tc>
      </w:tr>
      <w:tr w:rsidR="00D75179" w:rsidRPr="00927F20" w14:paraId="576A3B2A" w14:textId="77777777" w:rsidTr="008741B0">
        <w:trPr>
          <w:trHeight w:val="320"/>
        </w:trPr>
        <w:tc>
          <w:tcPr>
            <w:tcW w:w="1975" w:type="dxa"/>
            <w:noWrap/>
            <w:hideMark/>
          </w:tcPr>
          <w:p w14:paraId="60E0217E" w14:textId="77777777" w:rsidR="00D75179" w:rsidRPr="00927F20" w:rsidRDefault="00D75179" w:rsidP="00303804">
            <w:pPr>
              <w:jc w:val="center"/>
              <w:rPr>
                <w:color w:val="000000"/>
                <w:sz w:val="20"/>
                <w:szCs w:val="20"/>
              </w:rPr>
            </w:pPr>
            <w:r w:rsidRPr="00927F20">
              <w:rPr>
                <w:color w:val="000000"/>
                <w:sz w:val="20"/>
                <w:szCs w:val="20"/>
              </w:rPr>
              <w:t>2006</w:t>
            </w:r>
          </w:p>
        </w:tc>
        <w:tc>
          <w:tcPr>
            <w:tcW w:w="5670" w:type="dxa"/>
            <w:noWrap/>
            <w:hideMark/>
          </w:tcPr>
          <w:p w14:paraId="1171D7A3" w14:textId="33B7853D" w:rsidR="00D75179" w:rsidRPr="00927F20" w:rsidRDefault="00D75179" w:rsidP="00303804">
            <w:pPr>
              <w:jc w:val="center"/>
              <w:rPr>
                <w:color w:val="000000"/>
                <w:sz w:val="20"/>
                <w:szCs w:val="20"/>
              </w:rPr>
            </w:pPr>
            <w:r w:rsidRPr="00927F20">
              <w:rPr>
                <w:color w:val="000000"/>
                <w:sz w:val="20"/>
                <w:szCs w:val="20"/>
              </w:rPr>
              <w:t>34</w:t>
            </w:r>
            <w:r w:rsidR="0018213B" w:rsidRPr="00927F20">
              <w:rPr>
                <w:color w:val="000000"/>
                <w:sz w:val="20"/>
                <w:szCs w:val="20"/>
              </w:rPr>
              <w:t>,</w:t>
            </w:r>
            <w:r w:rsidRPr="00927F20">
              <w:rPr>
                <w:color w:val="000000"/>
                <w:sz w:val="20"/>
                <w:szCs w:val="20"/>
              </w:rPr>
              <w:t>136</w:t>
            </w:r>
          </w:p>
        </w:tc>
      </w:tr>
      <w:tr w:rsidR="00D75179" w:rsidRPr="00927F20" w14:paraId="71AF7CA3" w14:textId="77777777" w:rsidTr="008741B0">
        <w:trPr>
          <w:trHeight w:val="320"/>
        </w:trPr>
        <w:tc>
          <w:tcPr>
            <w:tcW w:w="1975" w:type="dxa"/>
            <w:noWrap/>
            <w:hideMark/>
          </w:tcPr>
          <w:p w14:paraId="216CA7E1" w14:textId="77777777" w:rsidR="00D75179" w:rsidRPr="00927F20" w:rsidRDefault="00D75179" w:rsidP="00303804">
            <w:pPr>
              <w:jc w:val="center"/>
              <w:rPr>
                <w:color w:val="000000"/>
                <w:sz w:val="20"/>
                <w:szCs w:val="20"/>
              </w:rPr>
            </w:pPr>
            <w:r w:rsidRPr="00927F20">
              <w:rPr>
                <w:color w:val="000000"/>
                <w:sz w:val="20"/>
                <w:szCs w:val="20"/>
              </w:rPr>
              <w:t>2007</w:t>
            </w:r>
          </w:p>
        </w:tc>
        <w:tc>
          <w:tcPr>
            <w:tcW w:w="5670" w:type="dxa"/>
            <w:noWrap/>
            <w:hideMark/>
          </w:tcPr>
          <w:p w14:paraId="6071329C" w14:textId="6A6B46D9" w:rsidR="00D75179" w:rsidRPr="00927F20" w:rsidRDefault="00D75179" w:rsidP="00303804">
            <w:pPr>
              <w:jc w:val="center"/>
              <w:rPr>
                <w:color w:val="000000"/>
                <w:sz w:val="20"/>
                <w:szCs w:val="20"/>
              </w:rPr>
            </w:pPr>
            <w:r w:rsidRPr="00927F20">
              <w:rPr>
                <w:color w:val="000000"/>
                <w:sz w:val="20"/>
                <w:szCs w:val="20"/>
              </w:rPr>
              <w:t>48</w:t>
            </w:r>
            <w:r w:rsidR="0018213B" w:rsidRPr="00927F20">
              <w:rPr>
                <w:color w:val="000000"/>
                <w:sz w:val="20"/>
                <w:szCs w:val="20"/>
              </w:rPr>
              <w:t>,</w:t>
            </w:r>
            <w:r w:rsidRPr="00927F20">
              <w:rPr>
                <w:color w:val="000000"/>
                <w:sz w:val="20"/>
                <w:szCs w:val="20"/>
              </w:rPr>
              <w:t>069</w:t>
            </w:r>
          </w:p>
        </w:tc>
      </w:tr>
      <w:tr w:rsidR="00D75179" w:rsidRPr="00927F20" w14:paraId="37166B86" w14:textId="77777777" w:rsidTr="008741B0">
        <w:trPr>
          <w:trHeight w:val="320"/>
        </w:trPr>
        <w:tc>
          <w:tcPr>
            <w:tcW w:w="1975" w:type="dxa"/>
            <w:noWrap/>
            <w:hideMark/>
          </w:tcPr>
          <w:p w14:paraId="744D5D9E" w14:textId="77777777" w:rsidR="00D75179" w:rsidRPr="00927F20" w:rsidRDefault="00D75179" w:rsidP="00303804">
            <w:pPr>
              <w:jc w:val="center"/>
              <w:rPr>
                <w:color w:val="000000"/>
                <w:sz w:val="20"/>
                <w:szCs w:val="20"/>
              </w:rPr>
            </w:pPr>
            <w:r w:rsidRPr="00927F20">
              <w:rPr>
                <w:color w:val="000000"/>
                <w:sz w:val="20"/>
                <w:szCs w:val="20"/>
              </w:rPr>
              <w:t>2008</w:t>
            </w:r>
          </w:p>
        </w:tc>
        <w:tc>
          <w:tcPr>
            <w:tcW w:w="5670" w:type="dxa"/>
            <w:noWrap/>
            <w:hideMark/>
          </w:tcPr>
          <w:p w14:paraId="570D5F86" w14:textId="3089E9F8" w:rsidR="00D75179" w:rsidRPr="00927F20" w:rsidRDefault="00D75179" w:rsidP="00303804">
            <w:pPr>
              <w:jc w:val="center"/>
              <w:rPr>
                <w:color w:val="000000"/>
                <w:sz w:val="20"/>
                <w:szCs w:val="20"/>
              </w:rPr>
            </w:pPr>
            <w:r w:rsidRPr="00927F20">
              <w:rPr>
                <w:color w:val="000000"/>
                <w:sz w:val="20"/>
                <w:szCs w:val="20"/>
              </w:rPr>
              <w:t>63</w:t>
            </w:r>
            <w:r w:rsidR="0018213B" w:rsidRPr="00927F20">
              <w:rPr>
                <w:color w:val="000000"/>
                <w:sz w:val="20"/>
                <w:szCs w:val="20"/>
              </w:rPr>
              <w:t>,</w:t>
            </w:r>
            <w:r w:rsidRPr="00927F20">
              <w:rPr>
                <w:color w:val="000000"/>
                <w:sz w:val="20"/>
                <w:szCs w:val="20"/>
              </w:rPr>
              <w:t>149</w:t>
            </w:r>
          </w:p>
        </w:tc>
      </w:tr>
      <w:tr w:rsidR="00D75179" w:rsidRPr="00927F20" w14:paraId="37134B0D" w14:textId="77777777" w:rsidTr="008741B0">
        <w:trPr>
          <w:trHeight w:val="320"/>
        </w:trPr>
        <w:tc>
          <w:tcPr>
            <w:tcW w:w="1975" w:type="dxa"/>
            <w:noWrap/>
            <w:hideMark/>
          </w:tcPr>
          <w:p w14:paraId="7227D755" w14:textId="77777777" w:rsidR="00D75179" w:rsidRPr="00927F20" w:rsidRDefault="00D75179" w:rsidP="00303804">
            <w:pPr>
              <w:jc w:val="center"/>
              <w:rPr>
                <w:color w:val="000000"/>
                <w:sz w:val="20"/>
                <w:szCs w:val="20"/>
              </w:rPr>
            </w:pPr>
            <w:r w:rsidRPr="00927F20">
              <w:rPr>
                <w:color w:val="000000"/>
                <w:sz w:val="20"/>
                <w:szCs w:val="20"/>
              </w:rPr>
              <w:t>2009</w:t>
            </w:r>
          </w:p>
        </w:tc>
        <w:tc>
          <w:tcPr>
            <w:tcW w:w="5670" w:type="dxa"/>
            <w:noWrap/>
            <w:hideMark/>
          </w:tcPr>
          <w:p w14:paraId="7D7CC80B" w14:textId="35E1A197" w:rsidR="00D75179" w:rsidRPr="00927F20" w:rsidRDefault="00D75179" w:rsidP="00303804">
            <w:pPr>
              <w:jc w:val="center"/>
              <w:rPr>
                <w:color w:val="000000"/>
                <w:sz w:val="20"/>
                <w:szCs w:val="20"/>
              </w:rPr>
            </w:pPr>
            <w:r w:rsidRPr="00927F20">
              <w:rPr>
                <w:color w:val="000000"/>
                <w:sz w:val="20"/>
                <w:szCs w:val="20"/>
              </w:rPr>
              <w:t>76</w:t>
            </w:r>
            <w:r w:rsidR="0018213B" w:rsidRPr="00927F20">
              <w:rPr>
                <w:color w:val="000000"/>
                <w:sz w:val="20"/>
                <w:szCs w:val="20"/>
              </w:rPr>
              <w:t>,</w:t>
            </w:r>
            <w:r w:rsidRPr="00927F20">
              <w:rPr>
                <w:color w:val="000000"/>
                <w:sz w:val="20"/>
                <w:szCs w:val="20"/>
              </w:rPr>
              <w:t>726</w:t>
            </w:r>
          </w:p>
        </w:tc>
      </w:tr>
      <w:tr w:rsidR="00D75179" w:rsidRPr="00927F20" w14:paraId="3A6FDBF9" w14:textId="77777777" w:rsidTr="008741B0">
        <w:trPr>
          <w:trHeight w:val="320"/>
        </w:trPr>
        <w:tc>
          <w:tcPr>
            <w:tcW w:w="1975" w:type="dxa"/>
            <w:noWrap/>
            <w:hideMark/>
          </w:tcPr>
          <w:p w14:paraId="7A3311B4" w14:textId="77777777" w:rsidR="00D75179" w:rsidRPr="00927F20" w:rsidRDefault="00D75179" w:rsidP="00303804">
            <w:pPr>
              <w:jc w:val="center"/>
              <w:rPr>
                <w:color w:val="000000"/>
                <w:sz w:val="20"/>
                <w:szCs w:val="20"/>
              </w:rPr>
            </w:pPr>
            <w:r w:rsidRPr="00927F20">
              <w:rPr>
                <w:color w:val="000000"/>
                <w:sz w:val="20"/>
                <w:szCs w:val="20"/>
              </w:rPr>
              <w:t>2010</w:t>
            </w:r>
          </w:p>
        </w:tc>
        <w:tc>
          <w:tcPr>
            <w:tcW w:w="5670" w:type="dxa"/>
            <w:noWrap/>
            <w:hideMark/>
          </w:tcPr>
          <w:p w14:paraId="143B1A62" w14:textId="2C00F72C" w:rsidR="00D75179" w:rsidRPr="00927F20" w:rsidRDefault="00D75179" w:rsidP="00303804">
            <w:pPr>
              <w:jc w:val="center"/>
              <w:rPr>
                <w:color w:val="000000"/>
                <w:sz w:val="20"/>
                <w:szCs w:val="20"/>
              </w:rPr>
            </w:pPr>
            <w:r w:rsidRPr="00927F20">
              <w:rPr>
                <w:color w:val="000000"/>
                <w:sz w:val="20"/>
                <w:szCs w:val="20"/>
              </w:rPr>
              <w:t>83</w:t>
            </w:r>
            <w:r w:rsidR="0018213B" w:rsidRPr="00927F20">
              <w:rPr>
                <w:color w:val="000000"/>
                <w:sz w:val="20"/>
                <w:szCs w:val="20"/>
              </w:rPr>
              <w:t>,</w:t>
            </w:r>
            <w:r w:rsidRPr="00927F20">
              <w:rPr>
                <w:color w:val="000000"/>
                <w:sz w:val="20"/>
                <w:szCs w:val="20"/>
              </w:rPr>
              <w:t>041</w:t>
            </w:r>
          </w:p>
        </w:tc>
      </w:tr>
      <w:tr w:rsidR="00D75179" w:rsidRPr="00927F20" w14:paraId="17BCD7B9" w14:textId="77777777" w:rsidTr="008741B0">
        <w:trPr>
          <w:trHeight w:val="320"/>
        </w:trPr>
        <w:tc>
          <w:tcPr>
            <w:tcW w:w="1975" w:type="dxa"/>
            <w:noWrap/>
            <w:hideMark/>
          </w:tcPr>
          <w:p w14:paraId="7056A609" w14:textId="77777777" w:rsidR="00D75179" w:rsidRPr="00927F20" w:rsidRDefault="00D75179" w:rsidP="00303804">
            <w:pPr>
              <w:jc w:val="center"/>
              <w:rPr>
                <w:color w:val="000000"/>
                <w:sz w:val="20"/>
                <w:szCs w:val="20"/>
              </w:rPr>
            </w:pPr>
            <w:r w:rsidRPr="00927F20">
              <w:rPr>
                <w:color w:val="000000"/>
                <w:sz w:val="20"/>
                <w:szCs w:val="20"/>
              </w:rPr>
              <w:t>2011</w:t>
            </w:r>
          </w:p>
        </w:tc>
        <w:tc>
          <w:tcPr>
            <w:tcW w:w="5670" w:type="dxa"/>
            <w:noWrap/>
            <w:hideMark/>
          </w:tcPr>
          <w:p w14:paraId="472CAB85" w14:textId="5C54F0A8" w:rsidR="00D75179" w:rsidRPr="00927F20" w:rsidRDefault="00D75179" w:rsidP="00303804">
            <w:pPr>
              <w:jc w:val="center"/>
              <w:rPr>
                <w:color w:val="000000"/>
                <w:sz w:val="20"/>
                <w:szCs w:val="20"/>
              </w:rPr>
            </w:pPr>
            <w:r w:rsidRPr="00927F20">
              <w:rPr>
                <w:color w:val="000000"/>
                <w:sz w:val="20"/>
                <w:szCs w:val="20"/>
              </w:rPr>
              <w:t>96</w:t>
            </w:r>
            <w:r w:rsidR="0018213B" w:rsidRPr="00927F20">
              <w:rPr>
                <w:color w:val="000000"/>
                <w:sz w:val="20"/>
                <w:szCs w:val="20"/>
              </w:rPr>
              <w:t>,</w:t>
            </w:r>
            <w:r w:rsidRPr="00927F20">
              <w:rPr>
                <w:color w:val="000000"/>
                <w:sz w:val="20"/>
                <w:szCs w:val="20"/>
              </w:rPr>
              <w:t>123</w:t>
            </w:r>
          </w:p>
        </w:tc>
      </w:tr>
      <w:tr w:rsidR="00D75179" w:rsidRPr="00927F20" w14:paraId="2004759D" w14:textId="77777777" w:rsidTr="008741B0">
        <w:trPr>
          <w:trHeight w:val="320"/>
        </w:trPr>
        <w:tc>
          <w:tcPr>
            <w:tcW w:w="1975" w:type="dxa"/>
            <w:noWrap/>
            <w:hideMark/>
          </w:tcPr>
          <w:p w14:paraId="42AC95D8" w14:textId="77777777" w:rsidR="00D75179" w:rsidRPr="00927F20" w:rsidRDefault="00D75179" w:rsidP="00303804">
            <w:pPr>
              <w:jc w:val="center"/>
              <w:rPr>
                <w:color w:val="000000"/>
                <w:sz w:val="20"/>
                <w:szCs w:val="20"/>
              </w:rPr>
            </w:pPr>
            <w:r w:rsidRPr="00927F20">
              <w:rPr>
                <w:color w:val="000000"/>
                <w:sz w:val="20"/>
                <w:szCs w:val="20"/>
              </w:rPr>
              <w:t>2012</w:t>
            </w:r>
          </w:p>
        </w:tc>
        <w:tc>
          <w:tcPr>
            <w:tcW w:w="5670" w:type="dxa"/>
            <w:noWrap/>
            <w:hideMark/>
          </w:tcPr>
          <w:p w14:paraId="71FD5DCD" w14:textId="41A1416F" w:rsidR="00D75179" w:rsidRPr="00927F20" w:rsidRDefault="00D75179" w:rsidP="00303804">
            <w:pPr>
              <w:jc w:val="center"/>
              <w:rPr>
                <w:color w:val="000000"/>
                <w:sz w:val="20"/>
                <w:szCs w:val="20"/>
              </w:rPr>
            </w:pPr>
            <w:r w:rsidRPr="00927F20">
              <w:rPr>
                <w:color w:val="000000"/>
                <w:sz w:val="20"/>
                <w:szCs w:val="20"/>
              </w:rPr>
              <w:t>107</w:t>
            </w:r>
            <w:r w:rsidR="0018213B" w:rsidRPr="00927F20">
              <w:rPr>
                <w:color w:val="000000"/>
                <w:sz w:val="20"/>
                <w:szCs w:val="20"/>
              </w:rPr>
              <w:t>,</w:t>
            </w:r>
            <w:r w:rsidRPr="00927F20">
              <w:rPr>
                <w:color w:val="000000"/>
                <w:sz w:val="20"/>
                <w:szCs w:val="20"/>
              </w:rPr>
              <w:t>938</w:t>
            </w:r>
          </w:p>
        </w:tc>
      </w:tr>
      <w:tr w:rsidR="00D75179" w:rsidRPr="00927F20" w14:paraId="42B84F1D" w14:textId="77777777" w:rsidTr="008741B0">
        <w:trPr>
          <w:trHeight w:val="320"/>
        </w:trPr>
        <w:tc>
          <w:tcPr>
            <w:tcW w:w="1975" w:type="dxa"/>
            <w:noWrap/>
            <w:hideMark/>
          </w:tcPr>
          <w:p w14:paraId="6620D07D" w14:textId="77777777" w:rsidR="00D75179" w:rsidRPr="00927F20" w:rsidRDefault="00D75179" w:rsidP="00303804">
            <w:pPr>
              <w:jc w:val="center"/>
              <w:rPr>
                <w:color w:val="000000"/>
                <w:sz w:val="20"/>
                <w:szCs w:val="20"/>
              </w:rPr>
            </w:pPr>
            <w:r w:rsidRPr="00927F20">
              <w:rPr>
                <w:color w:val="000000"/>
                <w:sz w:val="20"/>
                <w:szCs w:val="20"/>
              </w:rPr>
              <w:t>2013</w:t>
            </w:r>
          </w:p>
        </w:tc>
        <w:tc>
          <w:tcPr>
            <w:tcW w:w="5670" w:type="dxa"/>
            <w:noWrap/>
            <w:hideMark/>
          </w:tcPr>
          <w:p w14:paraId="13EB3E0E" w14:textId="1006B28D" w:rsidR="00D75179" w:rsidRPr="00927F20" w:rsidRDefault="00D75179" w:rsidP="00303804">
            <w:pPr>
              <w:jc w:val="center"/>
              <w:rPr>
                <w:color w:val="000000"/>
                <w:sz w:val="20"/>
                <w:szCs w:val="20"/>
              </w:rPr>
            </w:pPr>
            <w:r w:rsidRPr="00927F20">
              <w:rPr>
                <w:color w:val="000000"/>
                <w:sz w:val="20"/>
                <w:szCs w:val="20"/>
              </w:rPr>
              <w:t>123</w:t>
            </w:r>
            <w:r w:rsidR="0018213B" w:rsidRPr="00927F20">
              <w:rPr>
                <w:color w:val="000000"/>
                <w:sz w:val="20"/>
                <w:szCs w:val="20"/>
              </w:rPr>
              <w:t>,</w:t>
            </w:r>
            <w:r w:rsidRPr="00927F20">
              <w:rPr>
                <w:color w:val="000000"/>
                <w:sz w:val="20"/>
                <w:szCs w:val="20"/>
              </w:rPr>
              <w:t>499</w:t>
            </w:r>
          </w:p>
        </w:tc>
      </w:tr>
      <w:tr w:rsidR="00D75179" w:rsidRPr="00927F20" w14:paraId="5940EF16" w14:textId="77777777" w:rsidTr="008741B0">
        <w:trPr>
          <w:trHeight w:val="320"/>
        </w:trPr>
        <w:tc>
          <w:tcPr>
            <w:tcW w:w="1975" w:type="dxa"/>
            <w:noWrap/>
            <w:hideMark/>
          </w:tcPr>
          <w:p w14:paraId="33BFF5EF" w14:textId="77777777" w:rsidR="00D75179" w:rsidRPr="00927F20" w:rsidRDefault="00D75179" w:rsidP="00303804">
            <w:pPr>
              <w:jc w:val="center"/>
              <w:rPr>
                <w:color w:val="000000"/>
                <w:sz w:val="20"/>
                <w:szCs w:val="20"/>
              </w:rPr>
            </w:pPr>
            <w:r w:rsidRPr="00927F20">
              <w:rPr>
                <w:color w:val="000000"/>
                <w:sz w:val="20"/>
                <w:szCs w:val="20"/>
              </w:rPr>
              <w:t>2014</w:t>
            </w:r>
          </w:p>
        </w:tc>
        <w:tc>
          <w:tcPr>
            <w:tcW w:w="5670" w:type="dxa"/>
            <w:noWrap/>
            <w:hideMark/>
          </w:tcPr>
          <w:p w14:paraId="664AA8F7" w14:textId="6BFC72DB" w:rsidR="00D75179" w:rsidRPr="00927F20" w:rsidRDefault="00D75179" w:rsidP="00303804">
            <w:pPr>
              <w:jc w:val="center"/>
              <w:rPr>
                <w:color w:val="000000"/>
                <w:sz w:val="20"/>
                <w:szCs w:val="20"/>
              </w:rPr>
            </w:pPr>
            <w:r w:rsidRPr="00927F20">
              <w:rPr>
                <w:color w:val="000000"/>
                <w:sz w:val="20"/>
                <w:szCs w:val="20"/>
              </w:rPr>
              <w:t>130</w:t>
            </w:r>
            <w:r w:rsidR="0018213B" w:rsidRPr="00927F20">
              <w:rPr>
                <w:color w:val="000000"/>
                <w:sz w:val="20"/>
                <w:szCs w:val="20"/>
              </w:rPr>
              <w:t>,</w:t>
            </w:r>
            <w:r w:rsidRPr="00927F20">
              <w:rPr>
                <w:color w:val="000000"/>
                <w:sz w:val="20"/>
                <w:szCs w:val="20"/>
              </w:rPr>
              <w:t>406</w:t>
            </w:r>
          </w:p>
        </w:tc>
      </w:tr>
      <w:tr w:rsidR="00D75179" w:rsidRPr="00927F20" w14:paraId="79FD9133" w14:textId="77777777" w:rsidTr="008741B0">
        <w:trPr>
          <w:trHeight w:val="320"/>
        </w:trPr>
        <w:tc>
          <w:tcPr>
            <w:tcW w:w="1975" w:type="dxa"/>
            <w:noWrap/>
            <w:hideMark/>
          </w:tcPr>
          <w:p w14:paraId="2B20F34A" w14:textId="77777777" w:rsidR="00D75179" w:rsidRPr="00927F20" w:rsidRDefault="00D75179" w:rsidP="00303804">
            <w:pPr>
              <w:jc w:val="center"/>
              <w:rPr>
                <w:color w:val="000000"/>
                <w:sz w:val="20"/>
                <w:szCs w:val="20"/>
              </w:rPr>
            </w:pPr>
            <w:r w:rsidRPr="00927F20">
              <w:rPr>
                <w:color w:val="000000"/>
                <w:sz w:val="20"/>
                <w:szCs w:val="20"/>
              </w:rPr>
              <w:t>2015</w:t>
            </w:r>
          </w:p>
        </w:tc>
        <w:tc>
          <w:tcPr>
            <w:tcW w:w="5670" w:type="dxa"/>
            <w:noWrap/>
            <w:hideMark/>
          </w:tcPr>
          <w:p w14:paraId="2A221E9F" w14:textId="77777777" w:rsidR="00D75179" w:rsidRPr="00927F20" w:rsidRDefault="00D75179" w:rsidP="00303804">
            <w:pPr>
              <w:jc w:val="center"/>
              <w:rPr>
                <w:color w:val="000000"/>
                <w:sz w:val="20"/>
                <w:szCs w:val="20"/>
              </w:rPr>
            </w:pPr>
            <w:r w:rsidRPr="00927F20">
              <w:rPr>
                <w:color w:val="000000"/>
                <w:sz w:val="20"/>
                <w:szCs w:val="20"/>
              </w:rPr>
              <w:t>—</w:t>
            </w:r>
          </w:p>
        </w:tc>
      </w:tr>
      <w:tr w:rsidR="00D75179" w:rsidRPr="00927F20" w14:paraId="49DB26DC" w14:textId="77777777" w:rsidTr="008741B0">
        <w:trPr>
          <w:trHeight w:val="320"/>
        </w:trPr>
        <w:tc>
          <w:tcPr>
            <w:tcW w:w="1975" w:type="dxa"/>
            <w:noWrap/>
            <w:hideMark/>
          </w:tcPr>
          <w:p w14:paraId="0FB850C2" w14:textId="77777777" w:rsidR="00D75179" w:rsidRPr="00927F20" w:rsidRDefault="00D75179" w:rsidP="00303804">
            <w:pPr>
              <w:jc w:val="center"/>
              <w:rPr>
                <w:color w:val="000000"/>
                <w:sz w:val="20"/>
                <w:szCs w:val="20"/>
              </w:rPr>
            </w:pPr>
            <w:r w:rsidRPr="00927F20">
              <w:rPr>
                <w:color w:val="000000"/>
                <w:sz w:val="20"/>
                <w:szCs w:val="20"/>
              </w:rPr>
              <w:t>2016</w:t>
            </w:r>
          </w:p>
        </w:tc>
        <w:tc>
          <w:tcPr>
            <w:tcW w:w="5670" w:type="dxa"/>
            <w:noWrap/>
            <w:hideMark/>
          </w:tcPr>
          <w:p w14:paraId="2CFEE670" w14:textId="7BE0C707" w:rsidR="00D75179" w:rsidRPr="00927F20" w:rsidRDefault="00D75179" w:rsidP="00303804">
            <w:pPr>
              <w:jc w:val="center"/>
              <w:rPr>
                <w:color w:val="000000"/>
                <w:sz w:val="20"/>
                <w:szCs w:val="20"/>
              </w:rPr>
            </w:pPr>
            <w:r w:rsidRPr="00927F20">
              <w:rPr>
                <w:color w:val="000000"/>
                <w:sz w:val="20"/>
                <w:szCs w:val="20"/>
              </w:rPr>
              <w:t>166</w:t>
            </w:r>
            <w:r w:rsidR="0018213B" w:rsidRPr="00927F20">
              <w:rPr>
                <w:color w:val="000000"/>
                <w:sz w:val="20"/>
                <w:szCs w:val="20"/>
              </w:rPr>
              <w:t>,</w:t>
            </w:r>
            <w:r w:rsidRPr="00927F20">
              <w:rPr>
                <w:color w:val="000000"/>
                <w:sz w:val="20"/>
                <w:szCs w:val="20"/>
              </w:rPr>
              <w:t>818</w:t>
            </w:r>
          </w:p>
        </w:tc>
      </w:tr>
      <w:tr w:rsidR="00D75179" w:rsidRPr="00927F20" w14:paraId="2F2F3C15" w14:textId="77777777" w:rsidTr="008741B0">
        <w:trPr>
          <w:trHeight w:val="320"/>
        </w:trPr>
        <w:tc>
          <w:tcPr>
            <w:tcW w:w="1975" w:type="dxa"/>
            <w:noWrap/>
            <w:hideMark/>
          </w:tcPr>
          <w:p w14:paraId="776EAD65" w14:textId="77777777" w:rsidR="00D75179" w:rsidRPr="00927F20" w:rsidRDefault="00D75179" w:rsidP="00303804">
            <w:pPr>
              <w:jc w:val="center"/>
              <w:rPr>
                <w:color w:val="000000"/>
                <w:sz w:val="20"/>
                <w:szCs w:val="20"/>
              </w:rPr>
            </w:pPr>
            <w:r w:rsidRPr="00927F20">
              <w:rPr>
                <w:color w:val="000000"/>
                <w:sz w:val="20"/>
                <w:szCs w:val="20"/>
              </w:rPr>
              <w:t>2017</w:t>
            </w:r>
          </w:p>
        </w:tc>
        <w:tc>
          <w:tcPr>
            <w:tcW w:w="5670" w:type="dxa"/>
            <w:noWrap/>
            <w:hideMark/>
          </w:tcPr>
          <w:p w14:paraId="6BFEF5F9" w14:textId="315DF961" w:rsidR="00D75179" w:rsidRPr="00927F20" w:rsidRDefault="00D75179" w:rsidP="00303804">
            <w:pPr>
              <w:jc w:val="center"/>
              <w:rPr>
                <w:color w:val="000000"/>
                <w:sz w:val="20"/>
                <w:szCs w:val="20"/>
              </w:rPr>
            </w:pPr>
            <w:r w:rsidRPr="00927F20">
              <w:rPr>
                <w:color w:val="000000"/>
                <w:sz w:val="20"/>
                <w:szCs w:val="20"/>
              </w:rPr>
              <w:t>175</w:t>
            </w:r>
            <w:r w:rsidR="0018213B" w:rsidRPr="00927F20">
              <w:rPr>
                <w:color w:val="000000"/>
                <w:sz w:val="20"/>
                <w:szCs w:val="20"/>
              </w:rPr>
              <w:t>,</w:t>
            </w:r>
            <w:r w:rsidRPr="00927F20">
              <w:rPr>
                <w:color w:val="000000"/>
                <w:sz w:val="20"/>
                <w:szCs w:val="20"/>
              </w:rPr>
              <w:t>359</w:t>
            </w:r>
          </w:p>
        </w:tc>
      </w:tr>
      <w:tr w:rsidR="00D75179" w:rsidRPr="00927F20" w14:paraId="2C9D0B65" w14:textId="77777777" w:rsidTr="008741B0">
        <w:trPr>
          <w:trHeight w:val="320"/>
        </w:trPr>
        <w:tc>
          <w:tcPr>
            <w:tcW w:w="1975" w:type="dxa"/>
            <w:noWrap/>
            <w:hideMark/>
          </w:tcPr>
          <w:p w14:paraId="4220B763" w14:textId="77777777" w:rsidR="00D75179" w:rsidRPr="00927F20" w:rsidRDefault="00D75179" w:rsidP="00303804">
            <w:pPr>
              <w:jc w:val="center"/>
              <w:rPr>
                <w:color w:val="000000"/>
                <w:sz w:val="20"/>
                <w:szCs w:val="20"/>
              </w:rPr>
            </w:pPr>
            <w:r w:rsidRPr="00927F20">
              <w:rPr>
                <w:color w:val="000000"/>
                <w:sz w:val="20"/>
                <w:szCs w:val="20"/>
              </w:rPr>
              <w:t>2018</w:t>
            </w:r>
          </w:p>
        </w:tc>
        <w:tc>
          <w:tcPr>
            <w:tcW w:w="5670" w:type="dxa"/>
            <w:noWrap/>
            <w:hideMark/>
          </w:tcPr>
          <w:p w14:paraId="7C282EEC" w14:textId="7D34D500" w:rsidR="00D75179" w:rsidRPr="00927F20" w:rsidRDefault="00D75179" w:rsidP="00303804">
            <w:pPr>
              <w:jc w:val="center"/>
              <w:rPr>
                <w:color w:val="000000"/>
                <w:sz w:val="20"/>
                <w:szCs w:val="20"/>
              </w:rPr>
            </w:pPr>
            <w:r w:rsidRPr="00927F20">
              <w:rPr>
                <w:color w:val="000000"/>
                <w:sz w:val="20"/>
                <w:szCs w:val="20"/>
              </w:rPr>
              <w:t>182</w:t>
            </w:r>
            <w:r w:rsidR="0018213B" w:rsidRPr="00927F20">
              <w:rPr>
                <w:color w:val="000000"/>
                <w:sz w:val="20"/>
                <w:szCs w:val="20"/>
              </w:rPr>
              <w:t>,</w:t>
            </w:r>
            <w:r w:rsidRPr="00927F20">
              <w:rPr>
                <w:color w:val="000000"/>
                <w:sz w:val="20"/>
                <w:szCs w:val="20"/>
              </w:rPr>
              <w:t>987</w:t>
            </w:r>
          </w:p>
        </w:tc>
      </w:tr>
    </w:tbl>
    <w:p w14:paraId="78A2A5AE" w14:textId="71B4FB16" w:rsidR="00510203" w:rsidRPr="00510203" w:rsidRDefault="00D75179" w:rsidP="002E50FA">
      <w:pPr>
        <w:pStyle w:val="ListParagraph"/>
        <w:numPr>
          <w:ilvl w:val="0"/>
          <w:numId w:val="31"/>
        </w:numPr>
        <w:ind w:left="180" w:right="1710" w:hanging="180"/>
        <w:rPr>
          <w:b/>
          <w:bCs/>
        </w:rPr>
      </w:pPr>
      <w:r w:rsidRPr="00510203">
        <w:rPr>
          <w:sz w:val="20"/>
          <w:szCs w:val="20"/>
        </w:rPr>
        <w:t xml:space="preserve">From 2004-2013, the numbers of people living with HIV on ART come from </w:t>
      </w:r>
      <w:proofErr w:type="spellStart"/>
      <w:r w:rsidRPr="00510203">
        <w:rPr>
          <w:sz w:val="20"/>
          <w:szCs w:val="20"/>
        </w:rPr>
        <w:t>TRACnet</w:t>
      </w:r>
      <w:proofErr w:type="spellEnd"/>
      <w:r w:rsidRPr="00510203">
        <w:rPr>
          <w:sz w:val="20"/>
          <w:szCs w:val="20"/>
        </w:rPr>
        <w:t>, a national phone-based and internet-based HIV reporting system in Rwanda.</w:t>
      </w:r>
      <w:r w:rsidRPr="00510203">
        <w:rPr>
          <w:sz w:val="20"/>
          <w:szCs w:val="20"/>
        </w:rPr>
        <w:fldChar w:fldCharType="begin" w:fldLock="1"/>
      </w:r>
      <w:r w:rsidR="007527CC">
        <w:rPr>
          <w:sz w:val="20"/>
          <w:szCs w:val="20"/>
        </w:rPr>
        <w:instrText>ADDIN CSL_CITATION {"citationItems":[{"id":"ITEM-1","itemData":{"ISBN":"1701-5367","PMID":"13369446","author":[{"dropping-particle":"","family":"Ministry of Health (MOH) [Rwanda].","given":"","non-dropping-particle":"","parse-names":false,"suffix":""}],"id":"ITEM-1","issued":{"date-parts":[["2014"]]},"title":"National HIV Annual Report 2013-2014","type":"article-journal"},"uris":["http://www.mendeley.com/documents/?uuid=4517a4af-8fd2-427f-8c49-9421280f1624","http://www.mendeley.com/documents/?uuid=47bef3a2-5a0c-4266-bdd7-e52d16fd743e"]}],"mendeley":{"formattedCitation":"&lt;sup&gt;71&lt;/sup&gt;","plainTextFormattedCitation":"71","previouslyFormattedCitation":"&lt;sup&gt;71&lt;/sup&gt;"},"properties":{"noteIndex":0},"schema":"https://github.com/citation-style-language/schema/raw/master/csl-citation.json"}</w:instrText>
      </w:r>
      <w:r w:rsidRPr="00510203">
        <w:rPr>
          <w:sz w:val="20"/>
          <w:szCs w:val="20"/>
        </w:rPr>
        <w:fldChar w:fldCharType="separate"/>
      </w:r>
      <w:r w:rsidR="00036C3E" w:rsidRPr="00036C3E">
        <w:rPr>
          <w:noProof/>
          <w:sz w:val="20"/>
          <w:szCs w:val="20"/>
          <w:vertAlign w:val="superscript"/>
        </w:rPr>
        <w:t>71</w:t>
      </w:r>
      <w:r w:rsidRPr="00510203">
        <w:rPr>
          <w:sz w:val="20"/>
          <w:szCs w:val="20"/>
        </w:rPr>
        <w:fldChar w:fldCharType="end"/>
      </w:r>
      <w:r w:rsidRPr="00510203">
        <w:rPr>
          <w:sz w:val="20"/>
          <w:szCs w:val="20"/>
        </w:rPr>
        <w:t xml:space="preserve"> The data is reported in Rwanda Annual Report for HIV. From 2014-2018, the numbers come from Rwanda Health Information System and are reported in Rwanda Country Operational Plan (COP).</w:t>
      </w:r>
      <w:r w:rsidRPr="00510203">
        <w:rPr>
          <w:sz w:val="20"/>
          <w:szCs w:val="20"/>
        </w:rPr>
        <w:fldChar w:fldCharType="begin" w:fldLock="1"/>
      </w:r>
      <w:r w:rsidR="007527CC">
        <w:rPr>
          <w:sz w:val="20"/>
          <w:szCs w:val="20"/>
        </w:rPr>
        <w:instrText>ADDIN CSL_CITATION {"citationItems":[{"id":"ITEM-1","itemData":{"author":[{"dropping-particle":"","family":"PEPFAR","given":"","non-dropping-particle":"","parse-names":false,"suffix":""}],"id":"ITEM-1","issued":{"date-parts":[["2018"]]},"title":"Rwanda Country Operational Plan (COP/ROP) 2018 Strategic Direction Summary","type":"report"},"uris":["http://www.mendeley.com/documents/?uuid=51ffbc46-2adf-40c3-b128-a88662bd6bd2"]}],"mendeley":{"formattedCitation":"&lt;sup&gt;28&lt;/sup&gt;","plainTextFormattedCitation":"28","previouslyFormattedCitation":"&lt;sup&gt;29&lt;/sup&gt;"},"properties":{"noteIndex":0},"schema":"https://github.com/citation-style-language/schema/raw/master/csl-citation.json"}</w:instrText>
      </w:r>
      <w:r w:rsidRPr="00510203">
        <w:rPr>
          <w:sz w:val="20"/>
          <w:szCs w:val="20"/>
        </w:rPr>
        <w:fldChar w:fldCharType="separate"/>
      </w:r>
      <w:r w:rsidR="007527CC" w:rsidRPr="007527CC">
        <w:rPr>
          <w:noProof/>
          <w:sz w:val="20"/>
          <w:szCs w:val="20"/>
          <w:vertAlign w:val="superscript"/>
        </w:rPr>
        <w:t>28</w:t>
      </w:r>
      <w:r w:rsidRPr="00510203">
        <w:rPr>
          <w:sz w:val="20"/>
          <w:szCs w:val="20"/>
        </w:rPr>
        <w:fldChar w:fldCharType="end"/>
      </w:r>
      <w:r w:rsidRPr="00510203">
        <w:rPr>
          <w:sz w:val="20"/>
          <w:szCs w:val="20"/>
        </w:rPr>
        <w:t xml:space="preserve">  </w:t>
      </w:r>
    </w:p>
    <w:p w14:paraId="08227280" w14:textId="77777777" w:rsidR="00510203" w:rsidRDefault="00510203" w:rsidP="00510203">
      <w:pPr>
        <w:ind w:right="1710"/>
        <w:rPr>
          <w:b/>
          <w:bCs/>
        </w:rPr>
      </w:pPr>
    </w:p>
    <w:p w14:paraId="124571C5" w14:textId="77777777" w:rsidR="00510203" w:rsidRDefault="00510203">
      <w:pPr>
        <w:rPr>
          <w:b/>
          <w:bCs/>
        </w:rPr>
      </w:pPr>
      <w:r>
        <w:rPr>
          <w:b/>
          <w:bCs/>
        </w:rPr>
        <w:br w:type="page"/>
      </w:r>
    </w:p>
    <w:p w14:paraId="49991CA5" w14:textId="1FDC8422" w:rsidR="00D75179" w:rsidRPr="00510203" w:rsidRDefault="00D75179" w:rsidP="00510203">
      <w:pPr>
        <w:ind w:right="1710"/>
        <w:rPr>
          <w:b/>
          <w:bCs/>
        </w:rPr>
      </w:pPr>
      <w:bookmarkStart w:id="338" w:name="_Ref82440369"/>
      <w:bookmarkStart w:id="339" w:name="_Toc82448083"/>
      <w:bookmarkStart w:id="340" w:name="_Toc82592514"/>
      <w:bookmarkStart w:id="341" w:name="_Toc82599279"/>
      <w:r w:rsidRPr="00510203">
        <w:rPr>
          <w:b/>
          <w:bCs/>
        </w:rPr>
        <w:lastRenderedPageBreak/>
        <w:t xml:space="preserve">Table </w:t>
      </w:r>
      <w:r w:rsidRPr="00510203">
        <w:rPr>
          <w:b/>
          <w:bCs/>
        </w:rPr>
        <w:fldChar w:fldCharType="begin"/>
      </w:r>
      <w:r w:rsidRPr="00510203">
        <w:rPr>
          <w:b/>
          <w:bCs/>
        </w:rPr>
        <w:instrText xml:space="preserve"> SEQ Table \* ARABIC </w:instrText>
      </w:r>
      <w:r w:rsidRPr="00510203">
        <w:rPr>
          <w:b/>
          <w:bCs/>
        </w:rPr>
        <w:fldChar w:fldCharType="separate"/>
      </w:r>
      <w:r w:rsidR="001E49BE">
        <w:rPr>
          <w:b/>
          <w:bCs/>
          <w:noProof/>
        </w:rPr>
        <w:t>20</w:t>
      </w:r>
      <w:r w:rsidRPr="00510203">
        <w:rPr>
          <w:b/>
          <w:bCs/>
        </w:rPr>
        <w:fldChar w:fldCharType="end"/>
      </w:r>
      <w:bookmarkEnd w:id="338"/>
      <w:r w:rsidRPr="00510203">
        <w:rPr>
          <w:b/>
          <w:bCs/>
        </w:rPr>
        <w:t xml:space="preserve">: </w:t>
      </w:r>
      <w:bookmarkStart w:id="342" w:name="_Hlk74742164"/>
      <w:r w:rsidR="008741B0" w:rsidRPr="00510203">
        <w:rPr>
          <w:b/>
          <w:bCs/>
        </w:rPr>
        <w:t xml:space="preserve">Calibration targets: </w:t>
      </w:r>
      <w:r w:rsidR="0089750E">
        <w:rPr>
          <w:b/>
          <w:bCs/>
        </w:rPr>
        <w:t xml:space="preserve">Percentage at Different </w:t>
      </w:r>
      <w:r w:rsidR="008741B0" w:rsidRPr="00510203">
        <w:rPr>
          <w:b/>
          <w:bCs/>
        </w:rPr>
        <w:t xml:space="preserve">Steps </w:t>
      </w:r>
      <w:r w:rsidR="0089750E">
        <w:rPr>
          <w:b/>
          <w:bCs/>
        </w:rPr>
        <w:t>A</w:t>
      </w:r>
      <w:r w:rsidR="0089750E" w:rsidRPr="00510203">
        <w:rPr>
          <w:b/>
          <w:bCs/>
        </w:rPr>
        <w:t xml:space="preserve">long </w:t>
      </w:r>
      <w:r w:rsidR="008741B0" w:rsidRPr="00510203">
        <w:rPr>
          <w:b/>
          <w:bCs/>
        </w:rPr>
        <w:t xml:space="preserve">the </w:t>
      </w:r>
      <w:r w:rsidRPr="00510203">
        <w:rPr>
          <w:b/>
          <w:bCs/>
        </w:rPr>
        <w:t xml:space="preserve">HIV </w:t>
      </w:r>
      <w:r w:rsidR="0089750E">
        <w:rPr>
          <w:b/>
          <w:bCs/>
        </w:rPr>
        <w:t>C</w:t>
      </w:r>
      <w:r w:rsidR="0089750E" w:rsidRPr="00510203">
        <w:rPr>
          <w:b/>
          <w:bCs/>
        </w:rPr>
        <w:t xml:space="preserve">are </w:t>
      </w:r>
      <w:r w:rsidR="0089750E">
        <w:rPr>
          <w:b/>
          <w:bCs/>
        </w:rPr>
        <w:t>C</w:t>
      </w:r>
      <w:r w:rsidR="0089750E" w:rsidRPr="00510203">
        <w:rPr>
          <w:b/>
          <w:bCs/>
        </w:rPr>
        <w:t>ontinuum</w:t>
      </w:r>
      <w:bookmarkEnd w:id="342"/>
      <w:r w:rsidR="0089750E" w:rsidRPr="00510203">
        <w:rPr>
          <w:b/>
          <w:bCs/>
        </w:rPr>
        <w:t xml:space="preserve"> </w:t>
      </w:r>
      <w:r w:rsidRPr="00510203">
        <w:rPr>
          <w:b/>
          <w:bCs/>
        </w:rPr>
        <w:t>based on 2018-2019 Rwanda Population-based HIV Impact Assessment Survey</w:t>
      </w:r>
      <w:r w:rsidRPr="00510203">
        <w:rPr>
          <w:b/>
          <w:bCs/>
        </w:rPr>
        <w:fldChar w:fldCharType="begin" w:fldLock="1"/>
      </w:r>
      <w:r w:rsidR="007527CC">
        <w:rPr>
          <w:b/>
          <w:bCs/>
        </w:rPr>
        <w:instrText>ADDIN CSL_CITATION {"citationItems":[{"id":"ITEM-1","itemData":{"author":[{"dropping-particle":"","family":"Population-based HIV Impact Assessment","given":"","non-dropping-particle":"","parse-names":false,"suffix":""}],"id":"ITEM-1","issue":"February 2020","issued":{"date-parts":[["0"]]},"page":"2-8","title":"Rwanda population-based HIV impact assessment, RPHIA 2018–2019","type":"article-journal"},"uris":["http://www.mendeley.com/documents/?uuid=6b46812d-c48f-4505-afe2-1fda15927ac2"]}],"mendeley":{"formattedCitation":"&lt;sup&gt;19&lt;/sup&gt;","plainTextFormattedCitation":"19","previouslyFormattedCitation":"&lt;sup&gt;20&lt;/sup&gt;"},"properties":{"noteIndex":0},"schema":"https://github.com/citation-style-language/schema/raw/master/csl-citation.json"}</w:instrText>
      </w:r>
      <w:r w:rsidRPr="00510203">
        <w:rPr>
          <w:b/>
          <w:bCs/>
        </w:rPr>
        <w:fldChar w:fldCharType="separate"/>
      </w:r>
      <w:r w:rsidR="007527CC" w:rsidRPr="007527CC">
        <w:rPr>
          <w:bCs/>
          <w:noProof/>
          <w:vertAlign w:val="superscript"/>
        </w:rPr>
        <w:t>19</w:t>
      </w:r>
      <w:bookmarkEnd w:id="339"/>
      <w:bookmarkEnd w:id="340"/>
      <w:bookmarkEnd w:id="341"/>
      <w:r w:rsidRPr="00510203">
        <w:rPr>
          <w:b/>
          <w:bCs/>
        </w:rPr>
        <w:fldChar w:fldCharType="end"/>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1"/>
        <w:gridCol w:w="2089"/>
        <w:gridCol w:w="2089"/>
        <w:gridCol w:w="2091"/>
      </w:tblGrid>
      <w:tr w:rsidR="00D75179" w:rsidRPr="00510203" w14:paraId="588131DD" w14:textId="77777777" w:rsidTr="00303804">
        <w:trPr>
          <w:jc w:val="center"/>
        </w:trPr>
        <w:tc>
          <w:tcPr>
            <w:tcW w:w="1648" w:type="pct"/>
          </w:tcPr>
          <w:p w14:paraId="11ECD211" w14:textId="77777777" w:rsidR="00D75179" w:rsidRPr="00510203" w:rsidRDefault="00D75179" w:rsidP="00303804">
            <w:pPr>
              <w:rPr>
                <w:sz w:val="20"/>
                <w:szCs w:val="20"/>
              </w:rPr>
            </w:pPr>
            <w:r w:rsidRPr="00510203">
              <w:rPr>
                <w:sz w:val="20"/>
                <w:szCs w:val="20"/>
              </w:rPr>
              <w:t>Domain</w:t>
            </w:r>
          </w:p>
        </w:tc>
        <w:tc>
          <w:tcPr>
            <w:tcW w:w="1117" w:type="pct"/>
          </w:tcPr>
          <w:p w14:paraId="45438DC6" w14:textId="77777777" w:rsidR="00D75179" w:rsidRPr="00510203" w:rsidRDefault="00D75179" w:rsidP="00303804">
            <w:pPr>
              <w:jc w:val="center"/>
              <w:rPr>
                <w:sz w:val="20"/>
                <w:szCs w:val="20"/>
              </w:rPr>
            </w:pPr>
            <w:r w:rsidRPr="00510203">
              <w:rPr>
                <w:sz w:val="20"/>
                <w:szCs w:val="20"/>
              </w:rPr>
              <w:t>Female</w:t>
            </w:r>
          </w:p>
          <w:p w14:paraId="4BA2B63A" w14:textId="77777777" w:rsidR="00D75179" w:rsidRPr="00510203" w:rsidRDefault="00D75179" w:rsidP="00303804">
            <w:pPr>
              <w:jc w:val="center"/>
              <w:rPr>
                <w:sz w:val="20"/>
                <w:szCs w:val="20"/>
              </w:rPr>
            </w:pPr>
            <w:r w:rsidRPr="00510203">
              <w:rPr>
                <w:sz w:val="20"/>
                <w:szCs w:val="20"/>
              </w:rPr>
              <w:t>Estimate (95% CI)</w:t>
            </w:r>
          </w:p>
        </w:tc>
        <w:tc>
          <w:tcPr>
            <w:tcW w:w="1117" w:type="pct"/>
          </w:tcPr>
          <w:p w14:paraId="3C35ABFB" w14:textId="77777777" w:rsidR="00D75179" w:rsidRPr="00510203" w:rsidRDefault="00D75179" w:rsidP="00303804">
            <w:pPr>
              <w:jc w:val="center"/>
              <w:rPr>
                <w:sz w:val="20"/>
                <w:szCs w:val="20"/>
              </w:rPr>
            </w:pPr>
            <w:r w:rsidRPr="00510203">
              <w:rPr>
                <w:sz w:val="20"/>
                <w:szCs w:val="20"/>
              </w:rPr>
              <w:t>Male</w:t>
            </w:r>
          </w:p>
          <w:p w14:paraId="72139F03" w14:textId="77777777" w:rsidR="00D75179" w:rsidRPr="00510203" w:rsidRDefault="00D75179" w:rsidP="00303804">
            <w:pPr>
              <w:jc w:val="center"/>
              <w:rPr>
                <w:sz w:val="20"/>
                <w:szCs w:val="20"/>
              </w:rPr>
            </w:pPr>
            <w:r w:rsidRPr="00510203">
              <w:rPr>
                <w:sz w:val="20"/>
                <w:szCs w:val="20"/>
              </w:rPr>
              <w:t>Estimate (95% CI)</w:t>
            </w:r>
          </w:p>
        </w:tc>
        <w:tc>
          <w:tcPr>
            <w:tcW w:w="1118" w:type="pct"/>
          </w:tcPr>
          <w:p w14:paraId="75C82654" w14:textId="77777777" w:rsidR="00D75179" w:rsidRPr="00510203" w:rsidRDefault="00D75179" w:rsidP="00303804">
            <w:pPr>
              <w:jc w:val="center"/>
              <w:rPr>
                <w:sz w:val="20"/>
                <w:szCs w:val="20"/>
              </w:rPr>
            </w:pPr>
            <w:r w:rsidRPr="00510203">
              <w:rPr>
                <w:sz w:val="20"/>
                <w:szCs w:val="20"/>
              </w:rPr>
              <w:t>Total</w:t>
            </w:r>
          </w:p>
          <w:p w14:paraId="1A73689E" w14:textId="77777777" w:rsidR="00D75179" w:rsidRPr="00510203" w:rsidRDefault="00D75179" w:rsidP="00303804">
            <w:pPr>
              <w:jc w:val="center"/>
              <w:rPr>
                <w:sz w:val="20"/>
                <w:szCs w:val="20"/>
              </w:rPr>
            </w:pPr>
            <w:r w:rsidRPr="00510203">
              <w:rPr>
                <w:sz w:val="20"/>
                <w:szCs w:val="20"/>
              </w:rPr>
              <w:t>Estimate (95% CI)</w:t>
            </w:r>
          </w:p>
        </w:tc>
      </w:tr>
      <w:tr w:rsidR="00D75179" w:rsidRPr="00510203" w14:paraId="2D69130B" w14:textId="77777777" w:rsidTr="00303804">
        <w:trPr>
          <w:jc w:val="center"/>
        </w:trPr>
        <w:tc>
          <w:tcPr>
            <w:tcW w:w="1648" w:type="pct"/>
          </w:tcPr>
          <w:p w14:paraId="6F62DB86" w14:textId="77777777" w:rsidR="00D75179" w:rsidRPr="00510203" w:rsidRDefault="00D75179" w:rsidP="00303804">
            <w:pPr>
              <w:rPr>
                <w:b/>
                <w:sz w:val="20"/>
                <w:szCs w:val="20"/>
              </w:rPr>
            </w:pPr>
            <w:r w:rsidRPr="00510203">
              <w:rPr>
                <w:b/>
                <w:sz w:val="20"/>
                <w:szCs w:val="20"/>
              </w:rPr>
              <w:t>Diagnosed (%)</w:t>
            </w:r>
          </w:p>
        </w:tc>
        <w:tc>
          <w:tcPr>
            <w:tcW w:w="1117" w:type="pct"/>
          </w:tcPr>
          <w:p w14:paraId="3E8CA7A1" w14:textId="77777777" w:rsidR="00D75179" w:rsidRPr="00510203" w:rsidRDefault="00D75179" w:rsidP="00303804">
            <w:pPr>
              <w:jc w:val="center"/>
              <w:rPr>
                <w:b/>
                <w:sz w:val="20"/>
                <w:szCs w:val="20"/>
              </w:rPr>
            </w:pPr>
          </w:p>
        </w:tc>
        <w:tc>
          <w:tcPr>
            <w:tcW w:w="1117" w:type="pct"/>
          </w:tcPr>
          <w:p w14:paraId="3507A062" w14:textId="77777777" w:rsidR="00D75179" w:rsidRPr="00510203" w:rsidRDefault="00D75179" w:rsidP="00303804">
            <w:pPr>
              <w:jc w:val="center"/>
              <w:rPr>
                <w:b/>
                <w:sz w:val="20"/>
                <w:szCs w:val="20"/>
              </w:rPr>
            </w:pPr>
          </w:p>
        </w:tc>
        <w:tc>
          <w:tcPr>
            <w:tcW w:w="1118" w:type="pct"/>
          </w:tcPr>
          <w:p w14:paraId="00A0A1BA" w14:textId="77777777" w:rsidR="00D75179" w:rsidRPr="00510203" w:rsidRDefault="00D75179" w:rsidP="00303804">
            <w:pPr>
              <w:jc w:val="center"/>
              <w:rPr>
                <w:b/>
                <w:sz w:val="20"/>
                <w:szCs w:val="20"/>
              </w:rPr>
            </w:pPr>
          </w:p>
        </w:tc>
      </w:tr>
      <w:tr w:rsidR="00D75179" w:rsidRPr="00510203" w14:paraId="0DCE9B6F" w14:textId="77777777" w:rsidTr="00303804">
        <w:trPr>
          <w:jc w:val="center"/>
        </w:trPr>
        <w:tc>
          <w:tcPr>
            <w:tcW w:w="1648" w:type="pct"/>
          </w:tcPr>
          <w:p w14:paraId="330C68DC" w14:textId="77777777" w:rsidR="00D75179" w:rsidRPr="00510203" w:rsidRDefault="00D75179" w:rsidP="00303804">
            <w:pPr>
              <w:jc w:val="right"/>
              <w:rPr>
                <w:bCs/>
                <w:sz w:val="20"/>
                <w:szCs w:val="20"/>
              </w:rPr>
            </w:pPr>
            <w:r w:rsidRPr="00510203">
              <w:rPr>
                <w:bCs/>
                <w:sz w:val="20"/>
                <w:szCs w:val="20"/>
              </w:rPr>
              <w:t>Ages 15-64 years</w:t>
            </w:r>
          </w:p>
        </w:tc>
        <w:tc>
          <w:tcPr>
            <w:tcW w:w="1117" w:type="pct"/>
          </w:tcPr>
          <w:p w14:paraId="7E1F996C" w14:textId="77777777" w:rsidR="00D75179" w:rsidRPr="00510203" w:rsidRDefault="00D75179" w:rsidP="00303804">
            <w:pPr>
              <w:jc w:val="center"/>
              <w:rPr>
                <w:bCs/>
                <w:sz w:val="20"/>
                <w:szCs w:val="20"/>
              </w:rPr>
            </w:pPr>
            <w:r w:rsidRPr="00510203">
              <w:rPr>
                <w:bCs/>
                <w:sz w:val="20"/>
                <w:szCs w:val="20"/>
              </w:rPr>
              <w:t>85.6</w:t>
            </w:r>
          </w:p>
        </w:tc>
        <w:tc>
          <w:tcPr>
            <w:tcW w:w="1117" w:type="pct"/>
          </w:tcPr>
          <w:p w14:paraId="1D4DB019" w14:textId="77777777" w:rsidR="00D75179" w:rsidRPr="00510203" w:rsidRDefault="00D75179" w:rsidP="00303804">
            <w:pPr>
              <w:jc w:val="center"/>
              <w:rPr>
                <w:bCs/>
                <w:sz w:val="20"/>
                <w:szCs w:val="20"/>
              </w:rPr>
            </w:pPr>
            <w:r w:rsidRPr="00510203">
              <w:rPr>
                <w:bCs/>
                <w:sz w:val="20"/>
                <w:szCs w:val="20"/>
              </w:rPr>
              <w:t>80.4</w:t>
            </w:r>
          </w:p>
        </w:tc>
        <w:tc>
          <w:tcPr>
            <w:tcW w:w="1118" w:type="pct"/>
          </w:tcPr>
          <w:p w14:paraId="48696182" w14:textId="77777777" w:rsidR="00D75179" w:rsidRPr="00510203" w:rsidRDefault="00D75179" w:rsidP="00303804">
            <w:pPr>
              <w:jc w:val="center"/>
              <w:rPr>
                <w:bCs/>
                <w:sz w:val="20"/>
                <w:szCs w:val="20"/>
              </w:rPr>
            </w:pPr>
            <w:r w:rsidRPr="00510203">
              <w:rPr>
                <w:bCs/>
                <w:sz w:val="20"/>
                <w:szCs w:val="20"/>
              </w:rPr>
              <w:t>83.8</w:t>
            </w:r>
          </w:p>
        </w:tc>
      </w:tr>
      <w:tr w:rsidR="00D75179" w:rsidRPr="00510203" w14:paraId="4B5A560C" w14:textId="77777777" w:rsidTr="00303804">
        <w:trPr>
          <w:jc w:val="center"/>
        </w:trPr>
        <w:tc>
          <w:tcPr>
            <w:tcW w:w="1648" w:type="pct"/>
          </w:tcPr>
          <w:p w14:paraId="4A2DB7AE" w14:textId="7881C70F" w:rsidR="00D75179" w:rsidRPr="00510203" w:rsidRDefault="00D75179" w:rsidP="00303804">
            <w:pPr>
              <w:rPr>
                <w:b/>
                <w:sz w:val="20"/>
                <w:szCs w:val="20"/>
                <w:vertAlign w:val="superscript"/>
              </w:rPr>
            </w:pPr>
            <w:r w:rsidRPr="00510203">
              <w:rPr>
                <w:b/>
                <w:sz w:val="20"/>
                <w:szCs w:val="20"/>
              </w:rPr>
              <w:t>On Treatment (</w:t>
            </w:r>
            <w:proofErr w:type="gramStart"/>
            <w:r w:rsidRPr="00510203">
              <w:rPr>
                <w:b/>
                <w:sz w:val="20"/>
                <w:szCs w:val="20"/>
              </w:rPr>
              <w:t>%)</w:t>
            </w:r>
            <w:r w:rsidR="0018213B" w:rsidRPr="00510203">
              <w:rPr>
                <w:b/>
                <w:sz w:val="20"/>
                <w:szCs w:val="20"/>
                <w:vertAlign w:val="superscript"/>
              </w:rPr>
              <w:t>a</w:t>
            </w:r>
            <w:proofErr w:type="gramEnd"/>
          </w:p>
        </w:tc>
        <w:tc>
          <w:tcPr>
            <w:tcW w:w="1117" w:type="pct"/>
          </w:tcPr>
          <w:p w14:paraId="56EC7D8E" w14:textId="77777777" w:rsidR="00D75179" w:rsidRPr="00510203" w:rsidRDefault="00D75179" w:rsidP="00303804">
            <w:pPr>
              <w:jc w:val="center"/>
              <w:rPr>
                <w:b/>
                <w:sz w:val="20"/>
                <w:szCs w:val="20"/>
              </w:rPr>
            </w:pPr>
          </w:p>
        </w:tc>
        <w:tc>
          <w:tcPr>
            <w:tcW w:w="1117" w:type="pct"/>
          </w:tcPr>
          <w:p w14:paraId="49998747" w14:textId="77777777" w:rsidR="00D75179" w:rsidRPr="00510203" w:rsidRDefault="00D75179" w:rsidP="00303804">
            <w:pPr>
              <w:jc w:val="center"/>
              <w:rPr>
                <w:b/>
                <w:sz w:val="20"/>
                <w:szCs w:val="20"/>
              </w:rPr>
            </w:pPr>
          </w:p>
        </w:tc>
        <w:tc>
          <w:tcPr>
            <w:tcW w:w="1118" w:type="pct"/>
          </w:tcPr>
          <w:p w14:paraId="21E78EB4" w14:textId="77777777" w:rsidR="00D75179" w:rsidRPr="00510203" w:rsidRDefault="00D75179" w:rsidP="00303804">
            <w:pPr>
              <w:jc w:val="center"/>
              <w:rPr>
                <w:b/>
                <w:sz w:val="20"/>
                <w:szCs w:val="20"/>
              </w:rPr>
            </w:pPr>
          </w:p>
        </w:tc>
      </w:tr>
      <w:tr w:rsidR="00D75179" w:rsidRPr="00510203" w14:paraId="202DCC94" w14:textId="77777777" w:rsidTr="00303804">
        <w:trPr>
          <w:jc w:val="center"/>
        </w:trPr>
        <w:tc>
          <w:tcPr>
            <w:tcW w:w="1648" w:type="pct"/>
          </w:tcPr>
          <w:p w14:paraId="63A3EF36" w14:textId="77777777" w:rsidR="00D75179" w:rsidRPr="00510203" w:rsidRDefault="00D75179" w:rsidP="00303804">
            <w:pPr>
              <w:jc w:val="right"/>
              <w:rPr>
                <w:bCs/>
                <w:sz w:val="20"/>
                <w:szCs w:val="20"/>
              </w:rPr>
            </w:pPr>
            <w:r w:rsidRPr="00510203">
              <w:rPr>
                <w:bCs/>
                <w:sz w:val="20"/>
                <w:szCs w:val="20"/>
              </w:rPr>
              <w:t>Ages 15-64 years</w:t>
            </w:r>
          </w:p>
        </w:tc>
        <w:tc>
          <w:tcPr>
            <w:tcW w:w="1117" w:type="pct"/>
          </w:tcPr>
          <w:p w14:paraId="231CD731" w14:textId="77777777" w:rsidR="00D75179" w:rsidRPr="00510203" w:rsidRDefault="00D75179" w:rsidP="00303804">
            <w:pPr>
              <w:jc w:val="center"/>
              <w:rPr>
                <w:bCs/>
                <w:sz w:val="20"/>
                <w:szCs w:val="20"/>
              </w:rPr>
            </w:pPr>
            <w:r w:rsidRPr="00510203">
              <w:rPr>
                <w:bCs/>
                <w:sz w:val="20"/>
                <w:szCs w:val="20"/>
              </w:rPr>
              <w:t>97.6</w:t>
            </w:r>
          </w:p>
        </w:tc>
        <w:tc>
          <w:tcPr>
            <w:tcW w:w="1117" w:type="pct"/>
          </w:tcPr>
          <w:p w14:paraId="24782DD9" w14:textId="77777777" w:rsidR="00D75179" w:rsidRPr="00510203" w:rsidRDefault="00D75179" w:rsidP="00303804">
            <w:pPr>
              <w:jc w:val="center"/>
              <w:rPr>
                <w:bCs/>
                <w:sz w:val="20"/>
                <w:szCs w:val="20"/>
              </w:rPr>
            </w:pPr>
            <w:r w:rsidRPr="00510203">
              <w:rPr>
                <w:bCs/>
                <w:sz w:val="20"/>
                <w:szCs w:val="20"/>
              </w:rPr>
              <w:t>97.2</w:t>
            </w:r>
          </w:p>
        </w:tc>
        <w:tc>
          <w:tcPr>
            <w:tcW w:w="1118" w:type="pct"/>
          </w:tcPr>
          <w:p w14:paraId="31839667" w14:textId="77777777" w:rsidR="00D75179" w:rsidRPr="00510203" w:rsidRDefault="00D75179" w:rsidP="00303804">
            <w:pPr>
              <w:jc w:val="center"/>
              <w:rPr>
                <w:bCs/>
                <w:sz w:val="20"/>
                <w:szCs w:val="20"/>
              </w:rPr>
            </w:pPr>
            <w:r w:rsidRPr="00510203">
              <w:rPr>
                <w:bCs/>
                <w:sz w:val="20"/>
                <w:szCs w:val="20"/>
              </w:rPr>
              <w:t>97.5</w:t>
            </w:r>
          </w:p>
        </w:tc>
      </w:tr>
      <w:tr w:rsidR="00D75179" w:rsidRPr="00510203" w14:paraId="0B4D536A" w14:textId="77777777" w:rsidTr="00303804">
        <w:trPr>
          <w:jc w:val="center"/>
        </w:trPr>
        <w:tc>
          <w:tcPr>
            <w:tcW w:w="1648" w:type="pct"/>
          </w:tcPr>
          <w:p w14:paraId="180E1778" w14:textId="10B01284" w:rsidR="00D75179" w:rsidRPr="00510203" w:rsidRDefault="00D75179" w:rsidP="00303804">
            <w:pPr>
              <w:rPr>
                <w:b/>
                <w:sz w:val="20"/>
                <w:szCs w:val="20"/>
              </w:rPr>
            </w:pPr>
            <w:r w:rsidRPr="00510203">
              <w:rPr>
                <w:b/>
                <w:sz w:val="20"/>
                <w:szCs w:val="20"/>
              </w:rPr>
              <w:t>Viral Load Suppression (%)</w:t>
            </w:r>
            <w:r w:rsidRPr="00510203">
              <w:rPr>
                <w:b/>
                <w:sz w:val="20"/>
                <w:szCs w:val="20"/>
                <w:vertAlign w:val="superscript"/>
              </w:rPr>
              <w:t xml:space="preserve"> </w:t>
            </w:r>
            <w:r w:rsidR="0018213B" w:rsidRPr="00510203">
              <w:rPr>
                <w:b/>
                <w:sz w:val="20"/>
                <w:szCs w:val="20"/>
                <w:vertAlign w:val="superscript"/>
              </w:rPr>
              <w:t>b</w:t>
            </w:r>
          </w:p>
        </w:tc>
        <w:tc>
          <w:tcPr>
            <w:tcW w:w="1117" w:type="pct"/>
          </w:tcPr>
          <w:p w14:paraId="6FA717EE" w14:textId="77777777" w:rsidR="00D75179" w:rsidRPr="00510203" w:rsidRDefault="00D75179" w:rsidP="00303804">
            <w:pPr>
              <w:jc w:val="center"/>
              <w:rPr>
                <w:b/>
                <w:sz w:val="20"/>
                <w:szCs w:val="20"/>
              </w:rPr>
            </w:pPr>
          </w:p>
        </w:tc>
        <w:tc>
          <w:tcPr>
            <w:tcW w:w="1117" w:type="pct"/>
          </w:tcPr>
          <w:p w14:paraId="784DEE48" w14:textId="77777777" w:rsidR="00D75179" w:rsidRPr="00510203" w:rsidRDefault="00D75179" w:rsidP="00303804">
            <w:pPr>
              <w:jc w:val="center"/>
              <w:rPr>
                <w:b/>
                <w:sz w:val="20"/>
                <w:szCs w:val="20"/>
              </w:rPr>
            </w:pPr>
          </w:p>
        </w:tc>
        <w:tc>
          <w:tcPr>
            <w:tcW w:w="1118" w:type="pct"/>
          </w:tcPr>
          <w:p w14:paraId="60BB44DA" w14:textId="77777777" w:rsidR="00D75179" w:rsidRPr="00510203" w:rsidRDefault="00D75179" w:rsidP="00303804">
            <w:pPr>
              <w:jc w:val="center"/>
              <w:rPr>
                <w:b/>
                <w:sz w:val="20"/>
                <w:szCs w:val="20"/>
              </w:rPr>
            </w:pPr>
          </w:p>
        </w:tc>
      </w:tr>
      <w:tr w:rsidR="00D75179" w:rsidRPr="00510203" w14:paraId="23765D68" w14:textId="77777777" w:rsidTr="00303804">
        <w:trPr>
          <w:jc w:val="center"/>
        </w:trPr>
        <w:tc>
          <w:tcPr>
            <w:tcW w:w="1648" w:type="pct"/>
          </w:tcPr>
          <w:p w14:paraId="3085B26C" w14:textId="77777777" w:rsidR="00D75179" w:rsidRPr="00510203" w:rsidRDefault="00D75179" w:rsidP="00303804">
            <w:pPr>
              <w:jc w:val="right"/>
              <w:rPr>
                <w:sz w:val="20"/>
                <w:szCs w:val="20"/>
              </w:rPr>
            </w:pPr>
            <w:r w:rsidRPr="00510203">
              <w:rPr>
                <w:sz w:val="20"/>
                <w:szCs w:val="20"/>
              </w:rPr>
              <w:t>Ages 15-24 years</w:t>
            </w:r>
          </w:p>
        </w:tc>
        <w:tc>
          <w:tcPr>
            <w:tcW w:w="1117" w:type="pct"/>
          </w:tcPr>
          <w:p w14:paraId="141A9375" w14:textId="77777777" w:rsidR="00D75179" w:rsidRPr="00510203" w:rsidRDefault="00D75179" w:rsidP="00303804">
            <w:pPr>
              <w:jc w:val="center"/>
              <w:rPr>
                <w:sz w:val="20"/>
                <w:szCs w:val="20"/>
              </w:rPr>
            </w:pPr>
            <w:r w:rsidRPr="00510203">
              <w:rPr>
                <w:sz w:val="20"/>
                <w:szCs w:val="20"/>
              </w:rPr>
              <w:t>62.3 (50 – 75)</w:t>
            </w:r>
          </w:p>
        </w:tc>
        <w:tc>
          <w:tcPr>
            <w:tcW w:w="1117" w:type="pct"/>
          </w:tcPr>
          <w:p w14:paraId="5A97A826" w14:textId="77777777" w:rsidR="00D75179" w:rsidRPr="00510203" w:rsidRDefault="00D75179" w:rsidP="00303804">
            <w:pPr>
              <w:jc w:val="center"/>
              <w:rPr>
                <w:sz w:val="20"/>
                <w:szCs w:val="20"/>
              </w:rPr>
            </w:pPr>
            <w:r w:rsidRPr="00510203">
              <w:rPr>
                <w:sz w:val="20"/>
                <w:szCs w:val="20"/>
              </w:rPr>
              <w:t>55.9 (35 – 75)</w:t>
            </w:r>
          </w:p>
        </w:tc>
        <w:tc>
          <w:tcPr>
            <w:tcW w:w="1118" w:type="pct"/>
          </w:tcPr>
          <w:p w14:paraId="071A9FF0" w14:textId="77777777" w:rsidR="00D75179" w:rsidRPr="00510203" w:rsidRDefault="00D75179" w:rsidP="00303804">
            <w:pPr>
              <w:jc w:val="center"/>
              <w:rPr>
                <w:sz w:val="20"/>
                <w:szCs w:val="20"/>
              </w:rPr>
            </w:pPr>
            <w:r w:rsidRPr="00510203">
              <w:rPr>
                <w:sz w:val="20"/>
                <w:szCs w:val="20"/>
              </w:rPr>
              <w:t>60.6 (50 – 70)</w:t>
            </w:r>
          </w:p>
        </w:tc>
      </w:tr>
      <w:tr w:rsidR="00D75179" w:rsidRPr="00510203" w14:paraId="7F659CB0" w14:textId="77777777" w:rsidTr="00303804">
        <w:trPr>
          <w:jc w:val="center"/>
        </w:trPr>
        <w:tc>
          <w:tcPr>
            <w:tcW w:w="1648" w:type="pct"/>
          </w:tcPr>
          <w:p w14:paraId="0EEA207F" w14:textId="77777777" w:rsidR="00D75179" w:rsidRPr="00510203" w:rsidRDefault="00D75179" w:rsidP="00303804">
            <w:pPr>
              <w:jc w:val="right"/>
              <w:rPr>
                <w:sz w:val="20"/>
                <w:szCs w:val="20"/>
              </w:rPr>
            </w:pPr>
            <w:r w:rsidRPr="00510203">
              <w:rPr>
                <w:sz w:val="20"/>
                <w:szCs w:val="20"/>
              </w:rPr>
              <w:t>Ages 25-34 years</w:t>
            </w:r>
          </w:p>
        </w:tc>
        <w:tc>
          <w:tcPr>
            <w:tcW w:w="1117" w:type="pct"/>
          </w:tcPr>
          <w:p w14:paraId="46ED6714" w14:textId="77777777" w:rsidR="00D75179" w:rsidRPr="00510203" w:rsidRDefault="00D75179" w:rsidP="00303804">
            <w:pPr>
              <w:jc w:val="center"/>
              <w:rPr>
                <w:sz w:val="20"/>
                <w:szCs w:val="20"/>
              </w:rPr>
            </w:pPr>
            <w:r w:rsidRPr="00510203">
              <w:rPr>
                <w:sz w:val="20"/>
                <w:szCs w:val="20"/>
              </w:rPr>
              <w:t>73.5 (65 – 80)</w:t>
            </w:r>
          </w:p>
        </w:tc>
        <w:tc>
          <w:tcPr>
            <w:tcW w:w="1117" w:type="pct"/>
          </w:tcPr>
          <w:p w14:paraId="1C9833EC" w14:textId="77777777" w:rsidR="00D75179" w:rsidRPr="00510203" w:rsidRDefault="00D75179" w:rsidP="00303804">
            <w:pPr>
              <w:jc w:val="center"/>
              <w:rPr>
                <w:sz w:val="20"/>
                <w:szCs w:val="20"/>
              </w:rPr>
            </w:pPr>
            <w:r w:rsidRPr="00510203">
              <w:rPr>
                <w:sz w:val="20"/>
                <w:szCs w:val="20"/>
              </w:rPr>
              <w:t>45.9 (30 – 60)</w:t>
            </w:r>
          </w:p>
        </w:tc>
        <w:tc>
          <w:tcPr>
            <w:tcW w:w="1118" w:type="pct"/>
          </w:tcPr>
          <w:p w14:paraId="160CAD6B" w14:textId="77777777" w:rsidR="00D75179" w:rsidRPr="00510203" w:rsidRDefault="00D75179" w:rsidP="00303804">
            <w:pPr>
              <w:jc w:val="center"/>
              <w:rPr>
                <w:sz w:val="20"/>
                <w:szCs w:val="20"/>
              </w:rPr>
            </w:pPr>
            <w:r w:rsidRPr="00510203">
              <w:rPr>
                <w:sz w:val="20"/>
                <w:szCs w:val="20"/>
              </w:rPr>
              <w:t>66.2 (55 – 75)</w:t>
            </w:r>
          </w:p>
        </w:tc>
      </w:tr>
      <w:tr w:rsidR="00D75179" w:rsidRPr="00510203" w14:paraId="28FE9B1F" w14:textId="77777777" w:rsidTr="00303804">
        <w:trPr>
          <w:jc w:val="center"/>
        </w:trPr>
        <w:tc>
          <w:tcPr>
            <w:tcW w:w="1648" w:type="pct"/>
          </w:tcPr>
          <w:p w14:paraId="7838FC54" w14:textId="77777777" w:rsidR="00D75179" w:rsidRPr="00510203" w:rsidRDefault="00D75179" w:rsidP="00303804">
            <w:pPr>
              <w:jc w:val="right"/>
              <w:rPr>
                <w:sz w:val="20"/>
                <w:szCs w:val="20"/>
              </w:rPr>
            </w:pPr>
            <w:r w:rsidRPr="00510203">
              <w:rPr>
                <w:sz w:val="20"/>
                <w:szCs w:val="20"/>
              </w:rPr>
              <w:t>Ages 35-44 years</w:t>
            </w:r>
          </w:p>
        </w:tc>
        <w:tc>
          <w:tcPr>
            <w:tcW w:w="1117" w:type="pct"/>
          </w:tcPr>
          <w:p w14:paraId="3D350E0A" w14:textId="77777777" w:rsidR="00D75179" w:rsidRPr="00510203" w:rsidRDefault="00D75179" w:rsidP="00303804">
            <w:pPr>
              <w:jc w:val="center"/>
              <w:rPr>
                <w:sz w:val="20"/>
                <w:szCs w:val="20"/>
              </w:rPr>
            </w:pPr>
            <w:r w:rsidRPr="00510203">
              <w:rPr>
                <w:sz w:val="20"/>
                <w:szCs w:val="20"/>
              </w:rPr>
              <w:t>85.2 (75 – 90)</w:t>
            </w:r>
          </w:p>
        </w:tc>
        <w:tc>
          <w:tcPr>
            <w:tcW w:w="1117" w:type="pct"/>
          </w:tcPr>
          <w:p w14:paraId="37686249" w14:textId="77777777" w:rsidR="00D75179" w:rsidRPr="00510203" w:rsidRDefault="00D75179" w:rsidP="00303804">
            <w:pPr>
              <w:jc w:val="center"/>
              <w:rPr>
                <w:sz w:val="20"/>
                <w:szCs w:val="20"/>
              </w:rPr>
            </w:pPr>
            <w:r w:rsidRPr="00510203">
              <w:rPr>
                <w:sz w:val="20"/>
                <w:szCs w:val="20"/>
              </w:rPr>
              <w:t>75.0 (65 – 85)</w:t>
            </w:r>
          </w:p>
        </w:tc>
        <w:tc>
          <w:tcPr>
            <w:tcW w:w="1118" w:type="pct"/>
          </w:tcPr>
          <w:p w14:paraId="3A8F5D64" w14:textId="77777777" w:rsidR="00D75179" w:rsidRPr="00510203" w:rsidRDefault="00D75179" w:rsidP="00303804">
            <w:pPr>
              <w:jc w:val="center"/>
              <w:rPr>
                <w:sz w:val="20"/>
                <w:szCs w:val="20"/>
              </w:rPr>
            </w:pPr>
            <w:r w:rsidRPr="00510203">
              <w:rPr>
                <w:sz w:val="20"/>
                <w:szCs w:val="20"/>
              </w:rPr>
              <w:t>81.4 (76 – 86)</w:t>
            </w:r>
          </w:p>
        </w:tc>
      </w:tr>
      <w:tr w:rsidR="00D75179" w:rsidRPr="00510203" w14:paraId="22A0C6DE" w14:textId="77777777" w:rsidTr="00303804">
        <w:trPr>
          <w:jc w:val="center"/>
        </w:trPr>
        <w:tc>
          <w:tcPr>
            <w:tcW w:w="1648" w:type="pct"/>
          </w:tcPr>
          <w:p w14:paraId="4A91CD47" w14:textId="77777777" w:rsidR="00D75179" w:rsidRPr="00510203" w:rsidRDefault="00D75179" w:rsidP="00303804">
            <w:pPr>
              <w:jc w:val="right"/>
              <w:rPr>
                <w:sz w:val="20"/>
                <w:szCs w:val="20"/>
              </w:rPr>
            </w:pPr>
            <w:r w:rsidRPr="00510203">
              <w:rPr>
                <w:sz w:val="20"/>
                <w:szCs w:val="20"/>
              </w:rPr>
              <w:t>Ages 45-54 years</w:t>
            </w:r>
          </w:p>
        </w:tc>
        <w:tc>
          <w:tcPr>
            <w:tcW w:w="1117" w:type="pct"/>
          </w:tcPr>
          <w:p w14:paraId="567CEE8A" w14:textId="77777777" w:rsidR="00D75179" w:rsidRPr="00510203" w:rsidRDefault="00D75179" w:rsidP="00303804">
            <w:pPr>
              <w:jc w:val="center"/>
              <w:rPr>
                <w:sz w:val="20"/>
                <w:szCs w:val="20"/>
              </w:rPr>
            </w:pPr>
            <w:r w:rsidRPr="00510203">
              <w:rPr>
                <w:sz w:val="20"/>
                <w:szCs w:val="20"/>
              </w:rPr>
              <w:t>84.8 (74 – 94)</w:t>
            </w:r>
          </w:p>
        </w:tc>
        <w:tc>
          <w:tcPr>
            <w:tcW w:w="1117" w:type="pct"/>
          </w:tcPr>
          <w:p w14:paraId="11D8047E" w14:textId="77777777" w:rsidR="00D75179" w:rsidRPr="00510203" w:rsidRDefault="00D75179" w:rsidP="00303804">
            <w:pPr>
              <w:jc w:val="center"/>
              <w:rPr>
                <w:sz w:val="20"/>
                <w:szCs w:val="20"/>
              </w:rPr>
            </w:pPr>
            <w:r w:rsidRPr="00510203">
              <w:rPr>
                <w:sz w:val="20"/>
                <w:szCs w:val="20"/>
              </w:rPr>
              <w:t>75.7 (65 – 85)</w:t>
            </w:r>
          </w:p>
        </w:tc>
        <w:tc>
          <w:tcPr>
            <w:tcW w:w="1118" w:type="pct"/>
          </w:tcPr>
          <w:p w14:paraId="27311FE1" w14:textId="77777777" w:rsidR="00D75179" w:rsidRPr="00510203" w:rsidRDefault="00D75179" w:rsidP="00303804">
            <w:pPr>
              <w:jc w:val="center"/>
              <w:rPr>
                <w:sz w:val="20"/>
                <w:szCs w:val="20"/>
              </w:rPr>
            </w:pPr>
            <w:r w:rsidRPr="00510203">
              <w:rPr>
                <w:sz w:val="20"/>
                <w:szCs w:val="20"/>
              </w:rPr>
              <w:t>81.1 (74 – 88)</w:t>
            </w:r>
          </w:p>
        </w:tc>
      </w:tr>
      <w:tr w:rsidR="00D75179" w:rsidRPr="00510203" w14:paraId="57DE7E16" w14:textId="77777777" w:rsidTr="00303804">
        <w:trPr>
          <w:jc w:val="center"/>
        </w:trPr>
        <w:tc>
          <w:tcPr>
            <w:tcW w:w="1648" w:type="pct"/>
          </w:tcPr>
          <w:p w14:paraId="0CF9FB1C" w14:textId="77777777" w:rsidR="00D75179" w:rsidRPr="00510203" w:rsidRDefault="00D75179" w:rsidP="00303804">
            <w:pPr>
              <w:jc w:val="right"/>
              <w:rPr>
                <w:sz w:val="20"/>
                <w:szCs w:val="20"/>
              </w:rPr>
            </w:pPr>
            <w:r w:rsidRPr="00510203">
              <w:rPr>
                <w:sz w:val="20"/>
                <w:szCs w:val="20"/>
              </w:rPr>
              <w:t>Ages 55-64 years</w:t>
            </w:r>
          </w:p>
        </w:tc>
        <w:tc>
          <w:tcPr>
            <w:tcW w:w="1117" w:type="pct"/>
          </w:tcPr>
          <w:p w14:paraId="6D230715" w14:textId="77777777" w:rsidR="00D75179" w:rsidRPr="00510203" w:rsidRDefault="00D75179" w:rsidP="00303804">
            <w:pPr>
              <w:jc w:val="center"/>
              <w:rPr>
                <w:sz w:val="20"/>
                <w:szCs w:val="20"/>
              </w:rPr>
            </w:pPr>
            <w:r w:rsidRPr="00510203">
              <w:rPr>
                <w:sz w:val="20"/>
                <w:szCs w:val="20"/>
              </w:rPr>
              <w:t>81.7 (71 – 91)</w:t>
            </w:r>
          </w:p>
        </w:tc>
        <w:tc>
          <w:tcPr>
            <w:tcW w:w="1117" w:type="pct"/>
          </w:tcPr>
          <w:p w14:paraId="73D3AD62" w14:textId="77777777" w:rsidR="00D75179" w:rsidRPr="00510203" w:rsidRDefault="00D75179" w:rsidP="00303804">
            <w:pPr>
              <w:jc w:val="center"/>
              <w:rPr>
                <w:sz w:val="20"/>
                <w:szCs w:val="20"/>
              </w:rPr>
            </w:pPr>
            <w:r w:rsidRPr="00510203">
              <w:rPr>
                <w:sz w:val="20"/>
                <w:szCs w:val="20"/>
              </w:rPr>
              <w:t>84.9 (72 – 98)</w:t>
            </w:r>
          </w:p>
        </w:tc>
        <w:tc>
          <w:tcPr>
            <w:tcW w:w="1118" w:type="pct"/>
          </w:tcPr>
          <w:p w14:paraId="1AAF7314" w14:textId="77777777" w:rsidR="00D75179" w:rsidRPr="00510203" w:rsidRDefault="00D75179" w:rsidP="00303804">
            <w:pPr>
              <w:jc w:val="center"/>
              <w:rPr>
                <w:sz w:val="20"/>
                <w:szCs w:val="20"/>
              </w:rPr>
            </w:pPr>
            <w:r w:rsidRPr="00510203">
              <w:rPr>
                <w:sz w:val="20"/>
                <w:szCs w:val="20"/>
              </w:rPr>
              <w:t>83.1 (75 – 92)</w:t>
            </w:r>
          </w:p>
        </w:tc>
      </w:tr>
      <w:tr w:rsidR="00D75179" w:rsidRPr="00510203" w14:paraId="7C095A79" w14:textId="77777777" w:rsidTr="00303804">
        <w:trPr>
          <w:jc w:val="center"/>
        </w:trPr>
        <w:tc>
          <w:tcPr>
            <w:tcW w:w="1648" w:type="pct"/>
          </w:tcPr>
          <w:p w14:paraId="0D97F833" w14:textId="77777777" w:rsidR="00D75179" w:rsidRPr="00510203" w:rsidRDefault="00D75179" w:rsidP="00303804">
            <w:pPr>
              <w:jc w:val="right"/>
              <w:rPr>
                <w:bCs/>
                <w:sz w:val="20"/>
                <w:szCs w:val="20"/>
              </w:rPr>
            </w:pPr>
            <w:r w:rsidRPr="00510203">
              <w:rPr>
                <w:bCs/>
                <w:sz w:val="20"/>
                <w:szCs w:val="20"/>
              </w:rPr>
              <w:t>Ages 15-49 years</w:t>
            </w:r>
          </w:p>
        </w:tc>
        <w:tc>
          <w:tcPr>
            <w:tcW w:w="1117" w:type="pct"/>
          </w:tcPr>
          <w:p w14:paraId="1A1966B7" w14:textId="77777777" w:rsidR="00D75179" w:rsidRPr="00510203" w:rsidRDefault="00D75179" w:rsidP="00303804">
            <w:pPr>
              <w:jc w:val="center"/>
              <w:rPr>
                <w:bCs/>
                <w:sz w:val="20"/>
                <w:szCs w:val="20"/>
              </w:rPr>
            </w:pPr>
            <w:r w:rsidRPr="00510203">
              <w:rPr>
                <w:bCs/>
                <w:sz w:val="20"/>
                <w:szCs w:val="20"/>
              </w:rPr>
              <w:t>78.6 (74.2 – 83.0)</w:t>
            </w:r>
          </w:p>
        </w:tc>
        <w:tc>
          <w:tcPr>
            <w:tcW w:w="1117" w:type="pct"/>
          </w:tcPr>
          <w:p w14:paraId="5B863812" w14:textId="77777777" w:rsidR="00D75179" w:rsidRPr="00510203" w:rsidRDefault="00D75179" w:rsidP="00303804">
            <w:pPr>
              <w:jc w:val="center"/>
              <w:rPr>
                <w:bCs/>
                <w:sz w:val="20"/>
                <w:szCs w:val="20"/>
              </w:rPr>
            </w:pPr>
            <w:r w:rsidRPr="00510203">
              <w:rPr>
                <w:bCs/>
                <w:sz w:val="20"/>
                <w:szCs w:val="20"/>
              </w:rPr>
              <w:t>65.7 (57.2 – 74.2)</w:t>
            </w:r>
          </w:p>
        </w:tc>
        <w:tc>
          <w:tcPr>
            <w:tcW w:w="1118" w:type="pct"/>
          </w:tcPr>
          <w:p w14:paraId="4721F037" w14:textId="77777777" w:rsidR="00D75179" w:rsidRPr="00510203" w:rsidRDefault="00D75179" w:rsidP="00303804">
            <w:pPr>
              <w:jc w:val="center"/>
              <w:rPr>
                <w:bCs/>
                <w:sz w:val="20"/>
                <w:szCs w:val="20"/>
              </w:rPr>
            </w:pPr>
            <w:r w:rsidRPr="00510203">
              <w:rPr>
                <w:bCs/>
                <w:sz w:val="20"/>
                <w:szCs w:val="20"/>
              </w:rPr>
              <w:t>74.3 (69.7 – 78.8)</w:t>
            </w:r>
          </w:p>
        </w:tc>
      </w:tr>
      <w:tr w:rsidR="00D75179" w:rsidRPr="00510203" w14:paraId="14310E54" w14:textId="77777777" w:rsidTr="00303804">
        <w:trPr>
          <w:jc w:val="center"/>
        </w:trPr>
        <w:tc>
          <w:tcPr>
            <w:tcW w:w="1648" w:type="pct"/>
          </w:tcPr>
          <w:p w14:paraId="0DE0D4C3" w14:textId="77777777" w:rsidR="00D75179" w:rsidRPr="00510203" w:rsidRDefault="00D75179" w:rsidP="00303804">
            <w:pPr>
              <w:jc w:val="right"/>
              <w:rPr>
                <w:bCs/>
                <w:sz w:val="20"/>
                <w:szCs w:val="20"/>
              </w:rPr>
            </w:pPr>
            <w:r w:rsidRPr="00510203">
              <w:rPr>
                <w:bCs/>
                <w:sz w:val="20"/>
                <w:szCs w:val="20"/>
              </w:rPr>
              <w:t>Ages 15-64 years</w:t>
            </w:r>
          </w:p>
        </w:tc>
        <w:tc>
          <w:tcPr>
            <w:tcW w:w="1117" w:type="pct"/>
          </w:tcPr>
          <w:p w14:paraId="054EF99C" w14:textId="77777777" w:rsidR="00D75179" w:rsidRPr="00510203" w:rsidRDefault="00D75179" w:rsidP="00303804">
            <w:pPr>
              <w:jc w:val="center"/>
              <w:rPr>
                <w:bCs/>
                <w:sz w:val="20"/>
                <w:szCs w:val="20"/>
              </w:rPr>
            </w:pPr>
            <w:r w:rsidRPr="00510203">
              <w:rPr>
                <w:bCs/>
                <w:sz w:val="20"/>
                <w:szCs w:val="20"/>
              </w:rPr>
              <w:t>79.1 (74.9 – 83.2)</w:t>
            </w:r>
          </w:p>
        </w:tc>
        <w:tc>
          <w:tcPr>
            <w:tcW w:w="1117" w:type="pct"/>
          </w:tcPr>
          <w:p w14:paraId="41CA9510" w14:textId="77777777" w:rsidR="00D75179" w:rsidRPr="00510203" w:rsidRDefault="00D75179" w:rsidP="00303804">
            <w:pPr>
              <w:jc w:val="center"/>
              <w:rPr>
                <w:bCs/>
                <w:sz w:val="20"/>
                <w:szCs w:val="20"/>
              </w:rPr>
            </w:pPr>
            <w:r w:rsidRPr="00510203">
              <w:rPr>
                <w:bCs/>
                <w:sz w:val="20"/>
                <w:szCs w:val="20"/>
              </w:rPr>
              <w:t>70.5 (63.8 – 77.2)</w:t>
            </w:r>
          </w:p>
        </w:tc>
        <w:tc>
          <w:tcPr>
            <w:tcW w:w="1118" w:type="pct"/>
          </w:tcPr>
          <w:p w14:paraId="13C553EB" w14:textId="77777777" w:rsidR="00D75179" w:rsidRPr="00510203" w:rsidRDefault="00D75179" w:rsidP="00303804">
            <w:pPr>
              <w:jc w:val="center"/>
              <w:rPr>
                <w:bCs/>
                <w:sz w:val="20"/>
                <w:szCs w:val="20"/>
              </w:rPr>
            </w:pPr>
            <w:r w:rsidRPr="00510203">
              <w:rPr>
                <w:bCs/>
                <w:sz w:val="20"/>
                <w:szCs w:val="20"/>
              </w:rPr>
              <w:t>76.0 (72.0 – 80.0)</w:t>
            </w:r>
          </w:p>
        </w:tc>
      </w:tr>
      <w:tr w:rsidR="00D75179" w:rsidRPr="00510203" w14:paraId="39825464" w14:textId="77777777" w:rsidTr="00303804">
        <w:trPr>
          <w:jc w:val="center"/>
        </w:trPr>
        <w:tc>
          <w:tcPr>
            <w:tcW w:w="5000" w:type="pct"/>
            <w:gridSpan w:val="4"/>
          </w:tcPr>
          <w:p w14:paraId="38FF6995" w14:textId="77777777" w:rsidR="00D75179" w:rsidRPr="00510203" w:rsidRDefault="00D75179" w:rsidP="00303804">
            <w:pPr>
              <w:rPr>
                <w:b/>
                <w:sz w:val="20"/>
                <w:szCs w:val="20"/>
              </w:rPr>
            </w:pPr>
            <w:r w:rsidRPr="00510203">
              <w:rPr>
                <w:b/>
                <w:sz w:val="20"/>
                <w:szCs w:val="20"/>
              </w:rPr>
              <w:t>Viral Load Suppression conditional on ART (%)</w:t>
            </w:r>
          </w:p>
        </w:tc>
      </w:tr>
      <w:tr w:rsidR="00D75179" w:rsidRPr="00510203" w14:paraId="0C17DBD3" w14:textId="77777777" w:rsidTr="00303804">
        <w:trPr>
          <w:jc w:val="center"/>
        </w:trPr>
        <w:tc>
          <w:tcPr>
            <w:tcW w:w="1648" w:type="pct"/>
          </w:tcPr>
          <w:p w14:paraId="57EC634F" w14:textId="77777777" w:rsidR="00D75179" w:rsidRPr="00510203" w:rsidRDefault="00D75179" w:rsidP="00303804">
            <w:pPr>
              <w:jc w:val="right"/>
              <w:rPr>
                <w:bCs/>
                <w:sz w:val="20"/>
                <w:szCs w:val="20"/>
              </w:rPr>
            </w:pPr>
            <w:r w:rsidRPr="00510203">
              <w:rPr>
                <w:bCs/>
                <w:sz w:val="20"/>
                <w:szCs w:val="20"/>
              </w:rPr>
              <w:t>Ages 15-64 years</w:t>
            </w:r>
          </w:p>
        </w:tc>
        <w:tc>
          <w:tcPr>
            <w:tcW w:w="1117" w:type="pct"/>
          </w:tcPr>
          <w:p w14:paraId="22AAA584" w14:textId="77777777" w:rsidR="00D75179" w:rsidRPr="00510203" w:rsidRDefault="00D75179" w:rsidP="00303804">
            <w:pPr>
              <w:jc w:val="center"/>
              <w:rPr>
                <w:bCs/>
                <w:sz w:val="20"/>
                <w:szCs w:val="20"/>
              </w:rPr>
            </w:pPr>
            <w:r w:rsidRPr="00510203">
              <w:rPr>
                <w:bCs/>
                <w:sz w:val="20"/>
                <w:szCs w:val="20"/>
              </w:rPr>
              <w:t>92.4</w:t>
            </w:r>
          </w:p>
        </w:tc>
        <w:tc>
          <w:tcPr>
            <w:tcW w:w="1117" w:type="pct"/>
          </w:tcPr>
          <w:p w14:paraId="079C8E4D" w14:textId="77777777" w:rsidR="00D75179" w:rsidRPr="00510203" w:rsidRDefault="00D75179" w:rsidP="00303804">
            <w:pPr>
              <w:jc w:val="center"/>
              <w:rPr>
                <w:bCs/>
                <w:sz w:val="20"/>
                <w:szCs w:val="20"/>
              </w:rPr>
            </w:pPr>
            <w:r w:rsidRPr="00510203">
              <w:rPr>
                <w:bCs/>
                <w:sz w:val="20"/>
                <w:szCs w:val="20"/>
              </w:rPr>
              <w:t>85.4</w:t>
            </w:r>
          </w:p>
        </w:tc>
        <w:tc>
          <w:tcPr>
            <w:tcW w:w="1118" w:type="pct"/>
          </w:tcPr>
          <w:p w14:paraId="1C0BCF2E" w14:textId="77777777" w:rsidR="00D75179" w:rsidRPr="00510203" w:rsidRDefault="00D75179" w:rsidP="00303804">
            <w:pPr>
              <w:jc w:val="center"/>
              <w:rPr>
                <w:bCs/>
                <w:sz w:val="20"/>
                <w:szCs w:val="20"/>
              </w:rPr>
            </w:pPr>
            <w:r w:rsidRPr="00510203">
              <w:rPr>
                <w:bCs/>
                <w:sz w:val="20"/>
                <w:szCs w:val="20"/>
              </w:rPr>
              <w:t>90.1</w:t>
            </w:r>
          </w:p>
        </w:tc>
      </w:tr>
    </w:tbl>
    <w:p w14:paraId="0A58E567" w14:textId="5D6DF7C8" w:rsidR="00D75179" w:rsidRPr="00B11A6B" w:rsidRDefault="00D75179" w:rsidP="002E50FA">
      <w:pPr>
        <w:pStyle w:val="ListParagraph"/>
        <w:numPr>
          <w:ilvl w:val="0"/>
          <w:numId w:val="32"/>
        </w:numPr>
      </w:pPr>
      <w:r w:rsidRPr="00B11A6B">
        <w:t>On treatment is defined as proportion of people diagnosed with HIV that were on antiretroviral therapy.</w:t>
      </w:r>
    </w:p>
    <w:p w14:paraId="0F65594B" w14:textId="04FCA806" w:rsidR="00D75179" w:rsidRPr="00B11A6B" w:rsidRDefault="00D75179" w:rsidP="002E50FA">
      <w:pPr>
        <w:pStyle w:val="ListParagraph"/>
        <w:numPr>
          <w:ilvl w:val="0"/>
          <w:numId w:val="32"/>
        </w:numPr>
      </w:pPr>
      <w:r w:rsidRPr="00B11A6B">
        <w:t xml:space="preserve">Viral load suppression is defined as HIV ribonucleic acid (RNA) &lt;1,000 copies per milliliter (mL) of plasma among HIV-positive individuals regardless of knowledge of HIV status and treatment stat. Confidence bounds for age groups were not reported in the report. These bounds were visually estimated from error bars in the graph. </w:t>
      </w:r>
    </w:p>
    <w:p w14:paraId="3E1F408D" w14:textId="60268381" w:rsidR="00D75179" w:rsidRDefault="00D75179" w:rsidP="00D75179"/>
    <w:p w14:paraId="408FE0E7" w14:textId="6AB3CD1D" w:rsidR="001856A1" w:rsidRDefault="001856A1" w:rsidP="00D75179"/>
    <w:p w14:paraId="7C0271B7" w14:textId="77777777" w:rsidR="001856A1" w:rsidRPr="00CF5A05" w:rsidRDefault="001856A1" w:rsidP="001856A1">
      <w:pPr>
        <w:pStyle w:val="Heading2"/>
        <w:rPr>
          <w:rFonts w:cs="Times New Roman"/>
          <w:szCs w:val="24"/>
        </w:rPr>
      </w:pPr>
      <w:bookmarkStart w:id="343" w:name="_Toc82592753"/>
      <w:r>
        <w:rPr>
          <w:rFonts w:cs="Times New Roman"/>
          <w:szCs w:val="24"/>
        </w:rPr>
        <w:t>Approach: P</w:t>
      </w:r>
      <w:r w:rsidRPr="003060F6">
        <w:rPr>
          <w:rFonts w:cs="Times New Roman"/>
          <w:szCs w:val="24"/>
        </w:rPr>
        <w:t xml:space="preserve">arameters </w:t>
      </w:r>
      <w:r>
        <w:rPr>
          <w:rFonts w:cs="Times New Roman"/>
          <w:szCs w:val="24"/>
        </w:rPr>
        <w:t xml:space="preserve">used in the </w:t>
      </w:r>
      <w:r w:rsidRPr="003060F6">
        <w:rPr>
          <w:rFonts w:cs="Times New Roman"/>
          <w:szCs w:val="24"/>
        </w:rPr>
        <w:t>calibration process</w:t>
      </w:r>
      <w:bookmarkEnd w:id="343"/>
    </w:p>
    <w:p w14:paraId="04D1859A" w14:textId="77777777" w:rsidR="001856A1" w:rsidRPr="00502955" w:rsidRDefault="001856A1" w:rsidP="001856A1">
      <w:r>
        <w:t xml:space="preserve">We will use all parameters to estimate through calibration process since all parameters will contribute to the outcomes of the model. For each sub-group, we will have approximately 60 parameter inputs to calibrate and we will have 25 sub-groups, suggesting that the number of parameter inputs to calibrate could be more than 1500. </w:t>
      </w:r>
      <w:commentRangeStart w:id="344"/>
      <w:r>
        <w:t xml:space="preserve">An alternative option </w:t>
      </w:r>
      <w:commentRangeEnd w:id="344"/>
      <w:r>
        <w:rPr>
          <w:rStyle w:val="CommentReference"/>
        </w:rPr>
        <w:commentReference w:id="344"/>
      </w:r>
      <w:r>
        <w:t>is that we will use parameters that we have less confidence in when calibrating the model (</w:t>
      </w:r>
      <w:proofErr w:type="gramStart"/>
      <w:r>
        <w:t>e.g.</w:t>
      </w:r>
      <w:proofErr w:type="gramEnd"/>
      <w:r>
        <w:t xml:space="preserve"> parameters extracted from literature) so that the calibration process is less computational intense.</w:t>
      </w:r>
    </w:p>
    <w:p w14:paraId="3AC9586B" w14:textId="58DB573F" w:rsidR="00260B6D" w:rsidRPr="008741B0" w:rsidRDefault="008741B0" w:rsidP="003060F6">
      <w:pPr>
        <w:pStyle w:val="Heading2"/>
        <w:rPr>
          <w:rFonts w:cs="Times New Roman"/>
          <w:i/>
          <w:iCs/>
        </w:rPr>
      </w:pPr>
      <w:bookmarkStart w:id="345" w:name="_Toc82592754"/>
      <w:r>
        <w:rPr>
          <w:rFonts w:cs="Times New Roman"/>
          <w:szCs w:val="24"/>
        </w:rPr>
        <w:t>Approach: G</w:t>
      </w:r>
      <w:r w:rsidR="00260B6D" w:rsidRPr="008741B0">
        <w:rPr>
          <w:rFonts w:cs="Times New Roman"/>
          <w:szCs w:val="24"/>
        </w:rPr>
        <w:t>oodness of fit</w:t>
      </w:r>
      <w:bookmarkEnd w:id="345"/>
    </w:p>
    <w:p w14:paraId="5951D70A" w14:textId="77777777" w:rsidR="00260B6D" w:rsidRDefault="00260B6D">
      <w:r w:rsidRPr="008741B0">
        <w:t>The g</w:t>
      </w:r>
      <w:r w:rsidRPr="00993FCB">
        <w:t>oodness of fit is to evaluate how close the model predictions are to the target data. In statistics, the most commonly used measure for goodness of fit are least squares,</w:t>
      </w:r>
      <w:r w:rsidRPr="001E2251">
        <w:t xml:space="preserve"> </w:t>
      </w:r>
      <w:r w:rsidRPr="00993FCB">
        <w:t>weighted least squares</w:t>
      </w:r>
      <w:r>
        <w:t xml:space="preserve">, </w:t>
      </w:r>
      <w:r w:rsidRPr="00993FCB">
        <w:t>chi-square, the likelihood method</w:t>
      </w:r>
      <w:r>
        <w:t>, and multiple goodness of fit estimation approaches</w:t>
      </w:r>
      <w:r w:rsidRPr="00993FCB">
        <w:t xml:space="preserve">. </w:t>
      </w:r>
    </w:p>
    <w:p w14:paraId="33B37021" w14:textId="77777777" w:rsidR="00260B6D" w:rsidRDefault="00260B6D"/>
    <w:p w14:paraId="05E15F22" w14:textId="63BBA9E8" w:rsidR="00260B6D" w:rsidRPr="00967FB3" w:rsidRDefault="00260B6D">
      <w:r>
        <w:t>In our analysis, we will use weighted sum of least squares and weighted percentage deviation to measure the goodness of fit for multiple targets similar to other mathematical modeling studies.</w:t>
      </w:r>
      <w:r>
        <w:fldChar w:fldCharType="begin" w:fldLock="1"/>
      </w:r>
      <w:r w:rsidR="007527CC">
        <w:instrText>ADDIN CSL_CITATION {"citationItems":[{"id":"ITEM-1","itemData":{"DOI":"10.1111/j.1524-4733.2008.00484.x","ISSN":"15244733","PMID":"19900254","abstract":"Objectives: Calibrating a disease simulation model's outputs to existing clinical data is vital to generate confidence in the model's predictive ability. Calibration involves two challenges: 1) defining a total goodness-of-fit (GOF) score for multiple targets if simultaneous fitting is required, and 2) searching for the optimal parameter set that minimizes the total GOF score (i.e., yields the best fit). To address these two prominent challenges, we have applied an engineering approach to calibrate a microsimulation model, the Lung Cancer Policy Model (LCPM). Methods: First, 11 targets derived from clinical and epidemiologic data were combined into a total GOF score by a weighted-sum approach, accounting for the user-defined relative importance of the calibration targets. Second, two automated parameter search algorithms, simulated annealing (SA) and genetic algorithm (GA), were independently applied to a simultaneous search of 28 natural history parameters to minimize the total GOF score. Algorithm performance metrics were defined for speed and model fit. Results: Both search algorithms obtained total GOF scores below 95 within 1000 search iterations. Our results show that SA outperformed GA in locating a lower GOF. After calibrating our LCPM, the predicted natural history of lung cancer was consistent with other mathematical models of lung cancer development. Conclusion: An engineering-based calibration method was able to simultaneously fit LCPM output to multiple calibration targets, with the benefits of fast computational speed and reduced the need for human input and its potential bias. © 2009, International Society for Pharmacoeconomics and Outcomes Research (ISPOR).","author":[{"dropping-particle":"","family":"Kong","given":"Chung Yin","non-dropping-particle":"","parse-names":false,"suffix":""},{"dropping-particle":"","family":"McMahon","given":"Pamela M.","non-dropping-particle":"","parse-names":false,"suffix":""},{"dropping-particle":"","family":"Gazelle","given":"G. Scott","non-dropping-particle":"","parse-names":false,"suffix":""}],"container-title":"Value in Health","id":"ITEM-1","issued":{"date-parts":[["2009"]]},"title":"Calibration of disease simulation model using an engineering approach","type":"article-journal"},"uris":["http://www.mendeley.com/documents/?uuid=a571b02b-a8b8-423c-9bf7-be2d8c25fbfb","http://www.mendeley.com/documents/?uuid=89ed3466-d2d0-4ade-b338-8aeb43b87e8b"]},{"id":"ITEM-2","itemData":{"DOI":"10.1177/0272989X14528382","ISSN":"1552681X","PMID":"24799456","abstract":"Background. To identify best-fitting input sets using model calibration, individual calibration target fits are often combined into a single goodness-of-fit (GOF) measure using a set of weights. Decisions in the calibration process, such as which weights to use, influence which sets of model inputs are identified as best-fitting, potentially leading to different health economic conclusions. We present an alternative approach to identifying best-fitting input sets based on the concept of Pareto-optimality. A set of model inputs is on the Pareto frontier if no other input set simultaneously fits all calibration targets as well or better. Methods. We demonstrate the Pareto frontier approach in the calibration of 2 models: a simple, illustrative Markov model and a previously published cost-effectiveness model of transcatheter aortic valve replacement (TAVR). For each model, we compare the input sets on the Pareto frontier to an equal number of best-fitting input sets according to 2 possible weighted-sum GOF scoring systems, and we compare the health economic conclusions arising from these different definitions of best-fitting. Results. For the simple model, outcomes evaluated over the best-fitting input sets according to the 2 weighted-sum GOF schemes were virtually nonoverlapping on the cost-effectiveness plane and resulted in very different incremental cost-effectiveness ratios ($79,300 [95% CI 72,500-87,600] v. $139,700 [95% CI 79,900-182,800] per quality-adjusted life-year [QALY] gained). Input sets on the Pareto frontier spanned both regions ($79,000 [95% CI 64,900-156,200] per QALY gained). The TAVR model yielded similar results. Conclusions. Choices in generating a summary GOF score may result in different health economic conclusions. The Pareto frontier approach eliminates the need to make these choices by using an intuitive and transparent notion of optimality as the basis for identifying best-fitting input sets.","author":[{"dropping-particle":"","family":"Enns","given":"Eva A.","non-dropping-particle":"","parse-names":false,"suffix":""},{"dropping-particle":"","family":"Cipriano","given":"Lauren E.","non-dropping-particle":"","parse-names":false,"suffix":""},{"dropping-particle":"","family":"Simons","given":"Cyrena T.","non-dropping-particle":"","parse-names":false,"suffix":""},{"dropping-particle":"","family":"Kong","given":"Chung Yin","non-dropping-particle":"","parse-names":false,"suffix":""}],"container-title":"Medical Decision Making","id":"ITEM-2","issued":{"date-parts":[["2015"]]},"title":"Identifying best-fitting inputs in health-economic model calibration: A pareto frontier approach","type":"article-journal"},"uris":["http://www.mendeley.com/documents/?uuid=da89b399-e886-418f-afdb-90a3fbdc1a77","http://www.mendeley.com/documents/?uuid=1f7b2c4d-accb-4e84-b26e-5336126b3e25"]}],"mendeley":{"formattedCitation":"&lt;sup&gt;72,73&lt;/sup&gt;","plainTextFormattedCitation":"72,73","previouslyFormattedCitation":"&lt;sup&gt;72,73&lt;/sup&gt;"},"properties":{"noteIndex":0},"schema":"https://github.com/citation-style-language/schema/raw/master/csl-citation.json"}</w:instrText>
      </w:r>
      <w:r>
        <w:fldChar w:fldCharType="separate"/>
      </w:r>
      <w:r w:rsidR="00036C3E" w:rsidRPr="00036C3E">
        <w:rPr>
          <w:noProof/>
          <w:vertAlign w:val="superscript"/>
        </w:rPr>
        <w:t>72,73</w:t>
      </w:r>
      <w:r>
        <w:fldChar w:fldCharType="end"/>
      </w:r>
      <w:r>
        <w:t xml:space="preserve"> The methods are intuitive and empirically feasible given the calibration targets we have since we have limited micro-level data and lack variation in some targets. We will assume equal weight in the initial attempts but apply weights to adjust difference in the importance of each </w:t>
      </w:r>
      <w:proofErr w:type="gramStart"/>
      <w:r>
        <w:t>targets</w:t>
      </w:r>
      <w:proofErr w:type="gramEnd"/>
      <w:r>
        <w:t>. The comparison between methods can be found in</w:t>
      </w:r>
      <w:r w:rsidR="000E59D9">
        <w:t xml:space="preserve"> </w:t>
      </w:r>
      <w:r w:rsidR="000E59D9">
        <w:rPr>
          <w:b/>
          <w:bCs/>
        </w:rPr>
        <w:t xml:space="preserve">Section </w:t>
      </w:r>
      <w:r w:rsidR="00BC788D">
        <w:rPr>
          <w:b/>
          <w:bCs/>
        </w:rPr>
        <w:fldChar w:fldCharType="begin"/>
      </w:r>
      <w:r w:rsidR="00BC788D">
        <w:rPr>
          <w:b/>
          <w:bCs/>
        </w:rPr>
        <w:instrText xml:space="preserve"> REF _Ref82442914 \r \h </w:instrText>
      </w:r>
      <w:r w:rsidR="00BC788D">
        <w:rPr>
          <w:b/>
          <w:bCs/>
        </w:rPr>
      </w:r>
      <w:r w:rsidR="00BC788D">
        <w:rPr>
          <w:b/>
          <w:bCs/>
        </w:rPr>
        <w:fldChar w:fldCharType="separate"/>
      </w:r>
      <w:r w:rsidR="001E49BE">
        <w:rPr>
          <w:b/>
          <w:bCs/>
        </w:rPr>
        <w:t>11.6</w:t>
      </w:r>
      <w:r w:rsidR="00BC788D">
        <w:rPr>
          <w:b/>
          <w:bCs/>
        </w:rPr>
        <w:fldChar w:fldCharType="end"/>
      </w:r>
      <w:r>
        <w:t xml:space="preserve">. </w:t>
      </w:r>
    </w:p>
    <w:p w14:paraId="320B5738" w14:textId="77777777" w:rsidR="00260B6D" w:rsidRDefault="00260B6D"/>
    <w:p w14:paraId="781DDE33" w14:textId="20183357" w:rsidR="00260B6D" w:rsidRPr="008142CB" w:rsidRDefault="008741B0" w:rsidP="008142CB">
      <w:pPr>
        <w:pStyle w:val="Heading2"/>
        <w:rPr>
          <w:rFonts w:cs="Times New Roman"/>
          <w:szCs w:val="24"/>
        </w:rPr>
      </w:pPr>
      <w:bookmarkStart w:id="346" w:name="_Toc82592755"/>
      <w:r>
        <w:rPr>
          <w:rFonts w:cs="Times New Roman"/>
          <w:szCs w:val="24"/>
        </w:rPr>
        <w:lastRenderedPageBreak/>
        <w:t xml:space="preserve">Approach: Method for identifying </w:t>
      </w:r>
      <w:r w:rsidR="00260B6D" w:rsidRPr="008142CB">
        <w:rPr>
          <w:rFonts w:cs="Times New Roman"/>
          <w:szCs w:val="24"/>
        </w:rPr>
        <w:t>appropriate values for parameters inputs</w:t>
      </w:r>
      <w:bookmarkEnd w:id="346"/>
      <w:r w:rsidR="00260B6D" w:rsidRPr="008142CB">
        <w:rPr>
          <w:rFonts w:cs="Times New Roman"/>
          <w:szCs w:val="24"/>
        </w:rPr>
        <w:t xml:space="preserve"> </w:t>
      </w:r>
    </w:p>
    <w:p w14:paraId="2CE24915" w14:textId="77777777" w:rsidR="00260B6D" w:rsidRPr="00993FCB" w:rsidRDefault="00260B6D">
      <w:r>
        <w:t>We will search</w:t>
      </w:r>
      <w:r w:rsidRPr="00993FCB">
        <w:t xml:space="preserve"> for parameters or a set of parameter values that produce model outputs that match specified calibration targets </w:t>
      </w:r>
      <w:r>
        <w:t xml:space="preserve">from external data </w:t>
      </w:r>
      <w:r w:rsidRPr="00993FCB">
        <w:t xml:space="preserve">most closely. </w:t>
      </w:r>
      <w:r>
        <w:t>A</w:t>
      </w:r>
      <w:r w:rsidRPr="00993FCB">
        <w:t xml:space="preserve"> number of alternative strategies that can be used to search for parameters</w:t>
      </w:r>
      <w:r>
        <w:t>, which can be</w:t>
      </w:r>
      <w:r w:rsidRPr="00556830">
        <w:t xml:space="preserve"> classified according to the existence of constraints, the nature</w:t>
      </w:r>
      <w:r>
        <w:t xml:space="preserve"> </w:t>
      </w:r>
      <w:r w:rsidRPr="00556830">
        <w:t>of the design variables, the physical structure of</w:t>
      </w:r>
      <w:r>
        <w:t xml:space="preserve"> </w:t>
      </w:r>
      <w:r w:rsidRPr="00556830">
        <w:t>the problem, the nature of the equations involved, the deterministic nature of the variables, the number of objective functions, and others.</w:t>
      </w:r>
    </w:p>
    <w:p w14:paraId="001A7C88" w14:textId="77777777" w:rsidR="00260B6D" w:rsidRDefault="00260B6D"/>
    <w:p w14:paraId="13280EFA" w14:textId="77777777" w:rsidR="00260B6D" w:rsidRDefault="00260B6D">
      <w:pPr>
        <w:rPr>
          <w:bCs/>
        </w:rPr>
      </w:pPr>
      <w:r w:rsidRPr="00386BC7">
        <w:t>In our analysis, we will use mixed approaches that includes random search and grid search approaches for out model in the external calibration process.</w:t>
      </w:r>
      <w:r w:rsidRPr="00572F70">
        <w:rPr>
          <w:b/>
        </w:rPr>
        <w:t xml:space="preserve"> </w:t>
      </w:r>
      <w:r w:rsidRPr="00572F70">
        <w:rPr>
          <w:bCs/>
        </w:rPr>
        <w:t>Random search method, which assigns a distribution to each parameter input, is better since it is intuitive and commonly found in literatures that calibrate epidemiological model. Grid search will be used for the parameters describing initial distribution of population across CD4 stratum since the probabilities are correlated with each other (i.e.</w:t>
      </w:r>
      <w:r>
        <w:rPr>
          <w:bCs/>
        </w:rPr>
        <w:t>,</w:t>
      </w:r>
      <w:r w:rsidRPr="00572F70">
        <w:rPr>
          <w:bCs/>
        </w:rPr>
        <w:t xml:space="preserve"> sum up to 1) and it is difficult to find a joint probability distribution to describe the pattern of probabilities in random search. Grid search </w:t>
      </w:r>
      <w:r>
        <w:rPr>
          <w:bCs/>
        </w:rPr>
        <w:t>will not be used for other parameter inputs since the number of combinations of parameter values increases quickly with more parameter inputs. G</w:t>
      </w:r>
      <w:r w:rsidRPr="00572F70">
        <w:rPr>
          <w:bCs/>
        </w:rPr>
        <w:t xml:space="preserve">iven that we have </w:t>
      </w:r>
      <w:r>
        <w:rPr>
          <w:bCs/>
        </w:rPr>
        <w:t>thousand</w:t>
      </w:r>
      <w:r w:rsidRPr="00572F70">
        <w:rPr>
          <w:bCs/>
        </w:rPr>
        <w:t>s of parameter inputs</w:t>
      </w:r>
      <w:r>
        <w:rPr>
          <w:bCs/>
        </w:rPr>
        <w:t>, the calibration process will become extremely computational intense</w:t>
      </w:r>
      <w:r w:rsidRPr="00572F70">
        <w:rPr>
          <w:bCs/>
        </w:rPr>
        <w:t xml:space="preserve">. </w:t>
      </w:r>
    </w:p>
    <w:p w14:paraId="02D34EB0" w14:textId="77777777" w:rsidR="00260B6D" w:rsidRDefault="00260B6D">
      <w:pPr>
        <w:rPr>
          <w:bCs/>
        </w:rPr>
      </w:pPr>
    </w:p>
    <w:p w14:paraId="7F7E6AD1" w14:textId="317224FD" w:rsidR="00260B6D" w:rsidRPr="00A4596E" w:rsidRDefault="00260B6D">
      <w:pPr>
        <w:rPr>
          <w:bCs/>
        </w:rPr>
      </w:pPr>
      <w:r>
        <w:rPr>
          <w:bCs/>
        </w:rPr>
        <w:t>O</w:t>
      </w:r>
      <w:r w:rsidRPr="00572F70">
        <w:rPr>
          <w:bCs/>
        </w:rPr>
        <w:t xml:space="preserve">ther methods have major limitations in identifying appropriate values for parameter inputs. </w:t>
      </w:r>
      <w:commentRangeStart w:id="347"/>
      <w:r w:rsidRPr="00572F70">
        <w:rPr>
          <w:bCs/>
        </w:rPr>
        <w:t xml:space="preserve">The Bayesian calibration method </w:t>
      </w:r>
      <w:commentRangeEnd w:id="347"/>
      <w:r>
        <w:rPr>
          <w:rStyle w:val="Heading2Char"/>
        </w:rPr>
        <w:commentReference w:id="347"/>
      </w:r>
      <w:r w:rsidRPr="00572F70">
        <w:rPr>
          <w:bCs/>
        </w:rPr>
        <w:t>might not be applicable given the limited information on our calibration targets identified. The optimization methods (</w:t>
      </w:r>
      <w:proofErr w:type="gramStart"/>
      <w:r w:rsidRPr="00572F70">
        <w:rPr>
          <w:bCs/>
        </w:rPr>
        <w:t>i.e.</w:t>
      </w:r>
      <w:proofErr w:type="gramEnd"/>
      <w:r w:rsidRPr="00572F70">
        <w:rPr>
          <w:bCs/>
        </w:rPr>
        <w:t xml:space="preserve"> reduced gradient method, </w:t>
      </w:r>
      <w:proofErr w:type="spellStart"/>
      <w:r w:rsidRPr="00572F70">
        <w:rPr>
          <w:bCs/>
        </w:rPr>
        <w:t>Nelder</w:t>
      </w:r>
      <w:proofErr w:type="spellEnd"/>
      <w:r w:rsidRPr="00572F70">
        <w:rPr>
          <w:bCs/>
        </w:rPr>
        <w:t xml:space="preserve">-Mead method, Simulated Annealing method) are not used since they generate only one set of parameters that best-fit the objective function(s) based on the initial value chosen to search for the optimum. In our calibration process, we would like to identify multiple sets of parameters that can fit our model. In addition, the optimization methods are seen in engineering modeling but less commonly used in calibrating epidemiological models. </w:t>
      </w:r>
      <w:r>
        <w:rPr>
          <w:bCs/>
        </w:rPr>
        <w:t xml:space="preserve">The comparison between different methods to identify parameter values are presented in </w:t>
      </w:r>
      <w:r w:rsidR="00BC788D">
        <w:rPr>
          <w:b/>
        </w:rPr>
        <w:t xml:space="preserve">Section </w:t>
      </w:r>
      <w:r w:rsidR="00BC788D">
        <w:rPr>
          <w:b/>
        </w:rPr>
        <w:fldChar w:fldCharType="begin"/>
      </w:r>
      <w:r w:rsidR="00BC788D">
        <w:rPr>
          <w:b/>
        </w:rPr>
        <w:instrText xml:space="preserve"> REF _Ref82443794 \r \h </w:instrText>
      </w:r>
      <w:r w:rsidR="00BC788D">
        <w:rPr>
          <w:b/>
        </w:rPr>
      </w:r>
      <w:r w:rsidR="00BC788D">
        <w:rPr>
          <w:b/>
        </w:rPr>
        <w:fldChar w:fldCharType="separate"/>
      </w:r>
      <w:r w:rsidR="001E49BE">
        <w:rPr>
          <w:b/>
        </w:rPr>
        <w:t>11.7</w:t>
      </w:r>
      <w:r w:rsidR="00BC788D">
        <w:rPr>
          <w:b/>
        </w:rPr>
        <w:fldChar w:fldCharType="end"/>
      </w:r>
      <w:r>
        <w:rPr>
          <w:bCs/>
        </w:rPr>
        <w:t xml:space="preserve">. </w:t>
      </w:r>
    </w:p>
    <w:p w14:paraId="2FD4BEC2" w14:textId="77777777" w:rsidR="00260B6D" w:rsidRDefault="00260B6D"/>
    <w:p w14:paraId="0FA6EB93" w14:textId="4DA2BABF" w:rsidR="00260B6D" w:rsidRPr="008142CB" w:rsidRDefault="008741B0" w:rsidP="008142CB">
      <w:pPr>
        <w:pStyle w:val="Heading2"/>
        <w:rPr>
          <w:rFonts w:cs="Times New Roman"/>
          <w:szCs w:val="24"/>
        </w:rPr>
      </w:pPr>
      <w:bookmarkStart w:id="348" w:name="_Toc82592756"/>
      <w:r>
        <w:rPr>
          <w:rFonts w:cs="Times New Roman"/>
          <w:szCs w:val="24"/>
        </w:rPr>
        <w:t xml:space="preserve">Approach: </w:t>
      </w:r>
      <w:r w:rsidR="00260B6D" w:rsidRPr="008142CB">
        <w:rPr>
          <w:rFonts w:cs="Times New Roman"/>
          <w:szCs w:val="24"/>
        </w:rPr>
        <w:t>Defin</w:t>
      </w:r>
      <w:r>
        <w:rPr>
          <w:rFonts w:cs="Times New Roman"/>
          <w:szCs w:val="24"/>
        </w:rPr>
        <w:t>ing</w:t>
      </w:r>
      <w:r w:rsidR="00260B6D" w:rsidRPr="008142CB">
        <w:rPr>
          <w:rFonts w:cs="Times New Roman"/>
          <w:szCs w:val="24"/>
        </w:rPr>
        <w:t xml:space="preserve"> convergence criteria</w:t>
      </w:r>
      <w:bookmarkEnd w:id="348"/>
    </w:p>
    <w:p w14:paraId="11A82ABD" w14:textId="77777777" w:rsidR="00260B6D" w:rsidRPr="00A73ABB" w:rsidRDefault="00260B6D">
      <w:r w:rsidRPr="00A73ABB">
        <w:t>Convergence criteria describe</w:t>
      </w:r>
      <w:r>
        <w:t>s</w:t>
      </w:r>
      <w:r w:rsidRPr="00A73ABB">
        <w:t xml:space="preserve"> the process of defining acceptable sets of input parameter values.</w:t>
      </w:r>
      <w:r>
        <w:t xml:space="preserve"> The possible approaches to define convergence criteria include</w:t>
      </w:r>
      <w:r w:rsidRPr="00A73ABB">
        <w:t xml:space="preserve"> </w:t>
      </w:r>
      <w:r>
        <w:t xml:space="preserve">following. </w:t>
      </w:r>
    </w:p>
    <w:p w14:paraId="7B7C614F" w14:textId="77777777" w:rsidR="00260B6D" w:rsidRDefault="00260B6D" w:rsidP="002E50FA">
      <w:pPr>
        <w:pStyle w:val="BodyText"/>
        <w:numPr>
          <w:ilvl w:val="0"/>
          <w:numId w:val="20"/>
        </w:numPr>
        <w:spacing w:before="0" w:after="0"/>
      </w:pPr>
      <w:r>
        <w:t xml:space="preserve">Optimization of the GOF. The predicted output will minimize (or maximize) the goodness of fit measures so that the set of parameters are optimal. The method ignores the potential uncertainty of the parameters. </w:t>
      </w:r>
    </w:p>
    <w:p w14:paraId="6DAE0CEE" w14:textId="77777777" w:rsidR="00260B6D" w:rsidRPr="003F0422" w:rsidRDefault="00260B6D" w:rsidP="002E50FA">
      <w:pPr>
        <w:pStyle w:val="BodyText"/>
        <w:numPr>
          <w:ilvl w:val="0"/>
          <w:numId w:val="20"/>
        </w:numPr>
        <w:spacing w:before="0" w:after="0"/>
      </w:pPr>
      <w:r>
        <w:t>V</w:t>
      </w:r>
      <w:r w:rsidRPr="003F0422">
        <w:t>isual observ</w:t>
      </w:r>
      <w:r>
        <w:t>e</w:t>
      </w:r>
      <w:r w:rsidRPr="003F0422">
        <w:t xml:space="preserve"> the model fit. The predicted output parameters of many parameter sets are plotted and the worst fitting set that is acceptable is identified. </w:t>
      </w:r>
    </w:p>
    <w:p w14:paraId="493302C4" w14:textId="77777777" w:rsidR="00260B6D" w:rsidRPr="003F0422" w:rsidRDefault="00260B6D" w:rsidP="002E50FA">
      <w:pPr>
        <w:pStyle w:val="BodyText"/>
        <w:numPr>
          <w:ilvl w:val="0"/>
          <w:numId w:val="20"/>
        </w:numPr>
        <w:spacing w:before="0" w:after="0"/>
      </w:pPr>
      <w:r>
        <w:t>Targeted</w:t>
      </w:r>
      <w:r w:rsidRPr="003F0422">
        <w:t xml:space="preserve"> ranges</w:t>
      </w:r>
      <w:r>
        <w:t>. The targeted ranges are set</w:t>
      </w:r>
      <w:r w:rsidRPr="003F0422">
        <w:t xml:space="preserve"> based on the data informing the calibration target(s) and select those parameter sets that produce model output within those ranges. </w:t>
      </w:r>
    </w:p>
    <w:p w14:paraId="44FE003B" w14:textId="77777777" w:rsidR="00260B6D" w:rsidRDefault="00260B6D" w:rsidP="002E50FA">
      <w:pPr>
        <w:pStyle w:val="BodyText"/>
        <w:numPr>
          <w:ilvl w:val="0"/>
          <w:numId w:val="20"/>
        </w:numPr>
        <w:spacing w:before="0" w:after="0"/>
      </w:pPr>
      <w:r>
        <w:t>Define</w:t>
      </w:r>
      <w:r w:rsidRPr="003F0422">
        <w:rPr>
          <w:rFonts w:hint="eastAsia"/>
        </w:rPr>
        <w:t xml:space="preserve"> </w:t>
      </w:r>
      <w:r w:rsidRPr="003F0422">
        <w:t>confidence interval around the GOF</w:t>
      </w:r>
      <w:r>
        <w:t>. Confidence interval will be defined around the goodness of fit</w:t>
      </w:r>
      <w:r w:rsidRPr="003F0422">
        <w:t xml:space="preserve"> of the best-fit parameter set and to deem acceptable all the parameter sets with GOF estimates within that interval.</w:t>
      </w:r>
    </w:p>
    <w:p w14:paraId="5F5BA7E8" w14:textId="5A87F638" w:rsidR="00260B6D" w:rsidRDefault="00260B6D">
      <w:r>
        <w:t xml:space="preserve">I would propose to use the combination of optimization of goodness of fit method and the targeted ranges method given that not all of our calibration targets would have a range or confidence interval. The acceptable sets of input parameter values will include the sets of </w:t>
      </w:r>
      <w:r>
        <w:lastRenderedPageBreak/>
        <w:t xml:space="preserve">parameter inputs that produces outputs within the range of calibration targets and minimize the GOF when calibration targets are not available. </w:t>
      </w:r>
    </w:p>
    <w:p w14:paraId="2CFDB609" w14:textId="77777777" w:rsidR="004F6186" w:rsidRPr="00433822" w:rsidRDefault="004F6186"/>
    <w:p w14:paraId="5A454C44" w14:textId="28D06541" w:rsidR="00260B6D" w:rsidRPr="008142CB" w:rsidRDefault="008741B0" w:rsidP="008142CB">
      <w:pPr>
        <w:pStyle w:val="Heading2"/>
        <w:rPr>
          <w:rFonts w:cs="Times New Roman"/>
          <w:szCs w:val="24"/>
        </w:rPr>
      </w:pPr>
      <w:bookmarkStart w:id="349" w:name="_Toc82592757"/>
      <w:r>
        <w:rPr>
          <w:rFonts w:cs="Times New Roman"/>
          <w:szCs w:val="24"/>
        </w:rPr>
        <w:t>Approach: S</w:t>
      </w:r>
      <w:r w:rsidR="00260B6D" w:rsidRPr="008142CB">
        <w:rPr>
          <w:rFonts w:cs="Times New Roman"/>
          <w:szCs w:val="24"/>
        </w:rPr>
        <w:t>topping rule (</w:t>
      </w:r>
      <w:proofErr w:type="gramStart"/>
      <w:r w:rsidR="00260B6D" w:rsidRPr="008142CB">
        <w:rPr>
          <w:rFonts w:cs="Times New Roman"/>
          <w:szCs w:val="24"/>
        </w:rPr>
        <w:t>i.e.</w:t>
      </w:r>
      <w:proofErr w:type="gramEnd"/>
      <w:r w:rsidR="00260B6D" w:rsidRPr="008142CB">
        <w:rPr>
          <w:rFonts w:cs="Times New Roman"/>
          <w:szCs w:val="24"/>
        </w:rPr>
        <w:t xml:space="preserve"> when calibration process is complete)</w:t>
      </w:r>
      <w:bookmarkEnd w:id="349"/>
    </w:p>
    <w:p w14:paraId="2F8BB681" w14:textId="77777777" w:rsidR="00260B6D" w:rsidRDefault="00260B6D">
      <w:pPr>
        <w:pStyle w:val="NormalWeb"/>
        <w:shd w:val="clear" w:color="auto" w:fill="FCFCFC"/>
        <w:spacing w:before="0" w:beforeAutospacing="0" w:after="0" w:afterAutospacing="0"/>
        <w:rPr>
          <w:color w:val="333333"/>
        </w:rPr>
      </w:pPr>
      <w:r w:rsidRPr="000B4C70">
        <w:rPr>
          <w:color w:val="333333"/>
        </w:rPr>
        <w:t>The stopping rule determine</w:t>
      </w:r>
      <w:r>
        <w:rPr>
          <w:color w:val="333333"/>
        </w:rPr>
        <w:t>s</w:t>
      </w:r>
      <w:r w:rsidRPr="000B4C70">
        <w:rPr>
          <w:color w:val="333333"/>
        </w:rPr>
        <w:t xml:space="preserve"> whether the calibration process is complete. There are two broad criteria that can be used: </w:t>
      </w:r>
    </w:p>
    <w:p w14:paraId="1DE538A0" w14:textId="77777777" w:rsidR="00260B6D" w:rsidRDefault="00260B6D" w:rsidP="002E50FA">
      <w:pPr>
        <w:pStyle w:val="NormalWeb"/>
        <w:numPr>
          <w:ilvl w:val="0"/>
          <w:numId w:val="21"/>
        </w:numPr>
        <w:shd w:val="clear" w:color="auto" w:fill="FCFCFC"/>
        <w:spacing w:before="0" w:beforeAutospacing="0" w:after="0" w:afterAutospacing="0"/>
        <w:rPr>
          <w:color w:val="333333"/>
        </w:rPr>
      </w:pPr>
      <w:r>
        <w:rPr>
          <w:color w:val="333333"/>
        </w:rPr>
        <w:t>A</w:t>
      </w:r>
      <w:r w:rsidRPr="000B4C70">
        <w:rPr>
          <w:color w:val="333333"/>
        </w:rPr>
        <w:t>cceptability of the convergence of the model outputs to the observed calibration targets</w:t>
      </w:r>
      <w:r>
        <w:rPr>
          <w:color w:val="333333"/>
        </w:rPr>
        <w:t>, and/or</w:t>
      </w:r>
    </w:p>
    <w:p w14:paraId="7DBA09B8" w14:textId="77777777" w:rsidR="00260B6D" w:rsidRPr="000B4C70" w:rsidRDefault="00260B6D" w:rsidP="002E50FA">
      <w:pPr>
        <w:pStyle w:val="NormalWeb"/>
        <w:numPr>
          <w:ilvl w:val="0"/>
          <w:numId w:val="21"/>
        </w:numPr>
        <w:shd w:val="clear" w:color="auto" w:fill="FCFCFC"/>
        <w:spacing w:before="0" w:beforeAutospacing="0" w:after="0" w:afterAutospacing="0"/>
        <w:rPr>
          <w:color w:val="333333"/>
        </w:rPr>
      </w:pPr>
      <w:r>
        <w:rPr>
          <w:color w:val="333333"/>
        </w:rPr>
        <w:t>C</w:t>
      </w:r>
      <w:r w:rsidRPr="000B4C70">
        <w:rPr>
          <w:color w:val="333333"/>
        </w:rPr>
        <w:t>ompletion of a specified number of searches (or iterations within the parameter space).</w:t>
      </w:r>
    </w:p>
    <w:p w14:paraId="6513CF81" w14:textId="77777777" w:rsidR="00260B6D" w:rsidRDefault="00260B6D">
      <w:pPr>
        <w:pStyle w:val="NormalWeb"/>
        <w:shd w:val="clear" w:color="auto" w:fill="FCFCFC"/>
        <w:spacing w:before="0" w:beforeAutospacing="0" w:after="0" w:afterAutospacing="0"/>
        <w:rPr>
          <w:color w:val="333333"/>
        </w:rPr>
      </w:pPr>
    </w:p>
    <w:p w14:paraId="60B09070" w14:textId="77777777" w:rsidR="00260B6D" w:rsidRDefault="00260B6D" w:rsidP="008142CB">
      <w:pPr>
        <w:pStyle w:val="NormalWeb"/>
        <w:shd w:val="clear" w:color="auto" w:fill="FCFCFC"/>
        <w:spacing w:before="0" w:beforeAutospacing="0" w:after="0" w:afterAutospacing="0"/>
        <w:rPr>
          <w:color w:val="333333"/>
        </w:rPr>
      </w:pPr>
      <w:r>
        <w:rPr>
          <w:color w:val="333333"/>
        </w:rPr>
        <w:t>Given the convergence criterion chosen, I would propose to use the C</w:t>
      </w:r>
      <w:r w:rsidRPr="000B4C70">
        <w:rPr>
          <w:color w:val="333333"/>
        </w:rPr>
        <w:t>ompletion of a specified number of searches</w:t>
      </w:r>
      <w:r>
        <w:rPr>
          <w:color w:val="333333"/>
        </w:rPr>
        <w:t xml:space="preserve">. We will complete a specific number of searches. Among the outputs generates, the first 100 set of parameter inputs that have lowest sum of least squares will be identified. </w:t>
      </w:r>
    </w:p>
    <w:p w14:paraId="586AA875" w14:textId="77777777" w:rsidR="00044274" w:rsidRDefault="00044274" w:rsidP="008142CB">
      <w:pPr>
        <w:pStyle w:val="NormalWeb"/>
        <w:shd w:val="clear" w:color="auto" w:fill="FCFCFC"/>
        <w:spacing w:before="0" w:beforeAutospacing="0" w:after="0" w:afterAutospacing="0"/>
        <w:rPr>
          <w:color w:val="333333"/>
        </w:rPr>
      </w:pPr>
    </w:p>
    <w:p w14:paraId="7AF0F291" w14:textId="77777777" w:rsidR="00044274" w:rsidRDefault="00044274" w:rsidP="008142CB">
      <w:pPr>
        <w:pStyle w:val="NormalWeb"/>
        <w:shd w:val="clear" w:color="auto" w:fill="FCFCFC"/>
        <w:spacing w:before="0" w:beforeAutospacing="0" w:after="0" w:afterAutospacing="0"/>
        <w:rPr>
          <w:color w:val="333333"/>
        </w:rPr>
      </w:pPr>
    </w:p>
    <w:p w14:paraId="71B192B7" w14:textId="33DF615A" w:rsidR="00260B6D" w:rsidRPr="00EC234A" w:rsidRDefault="008741B0">
      <w:pPr>
        <w:pStyle w:val="Heading2"/>
        <w:spacing w:before="0"/>
        <w:rPr>
          <w:rFonts w:cs="Times New Roman"/>
          <w:szCs w:val="24"/>
        </w:rPr>
      </w:pPr>
      <w:bookmarkStart w:id="350" w:name="_Calibration_approach:_Probabilistic"/>
      <w:bookmarkStart w:id="351" w:name="_Toc82592758"/>
      <w:bookmarkEnd w:id="350"/>
      <w:r>
        <w:rPr>
          <w:rFonts w:cs="Times New Roman"/>
          <w:szCs w:val="24"/>
        </w:rPr>
        <w:t xml:space="preserve">Calibration approach: </w:t>
      </w:r>
      <w:r w:rsidR="00CD341C">
        <w:rPr>
          <w:rFonts w:cs="Times New Roman"/>
          <w:szCs w:val="24"/>
        </w:rPr>
        <w:t xml:space="preserve">Probabilistic </w:t>
      </w:r>
      <w:r w:rsidR="00260B6D" w:rsidRPr="00EC234A">
        <w:rPr>
          <w:rFonts w:cs="Times New Roman"/>
          <w:szCs w:val="24"/>
        </w:rPr>
        <w:t>distribution</w:t>
      </w:r>
      <w:r w:rsidR="00CD341C">
        <w:rPr>
          <w:rFonts w:cs="Times New Roman"/>
          <w:szCs w:val="24"/>
        </w:rPr>
        <w:t>s</w:t>
      </w:r>
      <w:r w:rsidR="00527179">
        <w:rPr>
          <w:rFonts w:cs="Times New Roman"/>
          <w:szCs w:val="24"/>
        </w:rPr>
        <w:t xml:space="preserve"> </w:t>
      </w:r>
      <w:r w:rsidR="00260B6D" w:rsidRPr="00EC234A">
        <w:rPr>
          <w:rFonts w:cs="Times New Roman"/>
          <w:szCs w:val="24"/>
        </w:rPr>
        <w:t xml:space="preserve">for </w:t>
      </w:r>
      <w:r w:rsidR="00CD341C">
        <w:rPr>
          <w:rFonts w:cs="Times New Roman"/>
          <w:szCs w:val="24"/>
        </w:rPr>
        <w:t xml:space="preserve">model </w:t>
      </w:r>
      <w:r w:rsidR="00260B6D" w:rsidRPr="00EC234A">
        <w:rPr>
          <w:rFonts w:cs="Times New Roman"/>
          <w:szCs w:val="24"/>
        </w:rPr>
        <w:t>parameter</w:t>
      </w:r>
      <w:r w:rsidR="00CD341C">
        <w:rPr>
          <w:rFonts w:cs="Times New Roman"/>
          <w:szCs w:val="24"/>
        </w:rPr>
        <w:t>s</w:t>
      </w:r>
      <w:bookmarkEnd w:id="351"/>
      <w:r w:rsidR="00260B6D" w:rsidRPr="00EC234A">
        <w:rPr>
          <w:rFonts w:cs="Times New Roman"/>
          <w:szCs w:val="24"/>
        </w:rPr>
        <w:t xml:space="preserve"> </w:t>
      </w:r>
    </w:p>
    <w:p w14:paraId="44565950" w14:textId="781AD9CA" w:rsidR="00260B6D" w:rsidRPr="00283811" w:rsidRDefault="00260B6D" w:rsidP="00527179">
      <w:pPr>
        <w:rPr>
          <w:b/>
          <w:bCs/>
        </w:rPr>
      </w:pPr>
      <w:r>
        <w:t xml:space="preserve">As we have decided to use a random search approach to identify parameter inputs, we will </w:t>
      </w:r>
      <w:r w:rsidR="00EC234A">
        <w:t>estimate</w:t>
      </w:r>
      <w:r>
        <w:t xml:space="preserve"> distributions to each parameter input based on the information collected from the survey or literature. The assigned distribution as well as the justification and the data availability for each parameter input of the model is described in</w:t>
      </w:r>
      <w:r w:rsidR="00BC788D">
        <w:t xml:space="preserve"> </w:t>
      </w:r>
      <w:r w:rsidR="00BC788D">
        <w:rPr>
          <w:b/>
          <w:bCs/>
        </w:rPr>
        <w:t xml:space="preserve">Section </w:t>
      </w:r>
      <w:r w:rsidR="00BC788D">
        <w:rPr>
          <w:b/>
          <w:bCs/>
        </w:rPr>
        <w:fldChar w:fldCharType="begin"/>
      </w:r>
      <w:r w:rsidR="00BC788D">
        <w:rPr>
          <w:b/>
          <w:bCs/>
        </w:rPr>
        <w:instrText xml:space="preserve"> REF _Ref82443812 \r \h </w:instrText>
      </w:r>
      <w:r w:rsidR="00BC788D">
        <w:rPr>
          <w:b/>
          <w:bCs/>
        </w:rPr>
      </w:r>
      <w:r w:rsidR="00BC788D">
        <w:rPr>
          <w:b/>
          <w:bCs/>
        </w:rPr>
        <w:fldChar w:fldCharType="separate"/>
      </w:r>
      <w:r w:rsidR="001E49BE">
        <w:rPr>
          <w:b/>
          <w:bCs/>
        </w:rPr>
        <w:t>11.8</w:t>
      </w:r>
      <w:r w:rsidR="00BC788D">
        <w:rPr>
          <w:b/>
          <w:bCs/>
        </w:rPr>
        <w:fldChar w:fldCharType="end"/>
      </w:r>
      <w:r>
        <w:rPr>
          <w:b/>
          <w:bCs/>
        </w:rPr>
        <w:t xml:space="preserve">. </w:t>
      </w:r>
    </w:p>
    <w:p w14:paraId="2C775D5B" w14:textId="77777777" w:rsidR="00527179" w:rsidRDefault="00527179" w:rsidP="00527179">
      <w:pPr>
        <w:pStyle w:val="BodyText"/>
        <w:spacing w:before="0" w:after="0"/>
        <w:rPr>
          <w:b/>
          <w:bCs/>
          <w:i/>
          <w:iCs/>
        </w:rPr>
      </w:pPr>
    </w:p>
    <w:p w14:paraId="2151E329" w14:textId="072EE0EB" w:rsidR="00260B6D" w:rsidRDefault="00260B6D" w:rsidP="00527179">
      <w:pPr>
        <w:pStyle w:val="BodyText"/>
        <w:spacing w:before="0" w:after="0"/>
        <w:rPr>
          <w:b/>
          <w:bCs/>
          <w:i/>
          <w:iCs/>
        </w:rPr>
      </w:pPr>
      <w:r w:rsidRPr="00036CCB">
        <w:rPr>
          <w:b/>
          <w:bCs/>
          <w:i/>
          <w:iCs/>
        </w:rPr>
        <w:t>Probability of HIV diagnosis</w:t>
      </w:r>
    </w:p>
    <w:p w14:paraId="5D845A4F" w14:textId="77777777" w:rsidR="00260B6D" w:rsidRDefault="00260B6D" w:rsidP="00527179">
      <w:r w:rsidRPr="00036CCB">
        <w:t xml:space="preserve">We assigned a beta distribution to the parameter inputs for probability of HIV diagnosis in the Rwanda model with a range </w:t>
      </w:r>
      <w:r>
        <w:t>from</w:t>
      </w:r>
      <w:r w:rsidRPr="00036CCB">
        <w:t xml:space="preserve"> 0 to 1. </w:t>
      </w:r>
    </w:p>
    <w:p w14:paraId="39896E4D" w14:textId="77777777" w:rsidR="00260B6D" w:rsidRDefault="00260B6D" w:rsidP="001D10D4"/>
    <w:p w14:paraId="68596580" w14:textId="77777777" w:rsidR="00260B6D" w:rsidRPr="00036CCB" w:rsidRDefault="00260B6D" w:rsidP="00527179">
      <w:r>
        <w:rPr>
          <w:i/>
          <w:iCs/>
        </w:rPr>
        <w:t xml:space="preserve">Low-risk population: </w:t>
      </w:r>
      <w:r w:rsidRPr="00036CCB">
        <w:t xml:space="preserve">Since the original data is a survey data </w:t>
      </w:r>
      <w:r>
        <w:t>that</w:t>
      </w:r>
      <w:r w:rsidRPr="00036CCB">
        <w:t xml:space="preserve"> includes weighting, we cannot estimate the beta distribution </w:t>
      </w:r>
      <w:r>
        <w:t xml:space="preserve">simply </w:t>
      </w:r>
      <w:r w:rsidRPr="00036CCB">
        <w:t xml:space="preserve">by </w:t>
      </w:r>
      <w:r>
        <w:t xml:space="preserve">multiplying </w:t>
      </w:r>
      <w:r w:rsidRPr="00036CCB">
        <w:t xml:space="preserve">sample size and </w:t>
      </w:r>
      <w:r>
        <w:t xml:space="preserve">the </w:t>
      </w:r>
      <w:r w:rsidRPr="00036CCB">
        <w:t xml:space="preserve">number of HIV diagnosis. Instead, we will use the weighted mean </w:t>
      </w:r>
      <m:oMath>
        <m:r>
          <w:rPr>
            <w:rFonts w:ascii="Cambria Math" w:hAnsi="Cambria Math"/>
          </w:rPr>
          <m:t>(μ)</m:t>
        </m:r>
      </m:oMath>
      <w:r w:rsidRPr="00036CCB">
        <w:t xml:space="preserve"> and standard error </w:t>
      </w:r>
      <m:oMath>
        <m:r>
          <w:rPr>
            <w:rFonts w:ascii="Cambria Math" w:hAnsi="Cambria Math"/>
          </w:rPr>
          <m:t>(σ)</m:t>
        </m:r>
      </m:oMath>
      <w:r w:rsidRPr="00036CCB">
        <w:t xml:space="preserve"> to estimate the shape (</w:t>
      </w:r>
      <m:oMath>
        <m:r>
          <w:rPr>
            <w:rFonts w:ascii="Cambria Math" w:hAnsi="Cambria Math"/>
          </w:rPr>
          <m:t>α)</m:t>
        </m:r>
      </m:oMath>
      <w:r w:rsidRPr="00036CCB">
        <w:t xml:space="preserve"> and scale </w:t>
      </w:r>
      <m:oMath>
        <m:r>
          <w:rPr>
            <w:rFonts w:ascii="Cambria Math" w:hAnsi="Cambria Math"/>
          </w:rPr>
          <m:t>(β)</m:t>
        </m:r>
      </m:oMath>
      <w:r w:rsidRPr="00036CCB">
        <w:t xml:space="preserve">  parameters for the beta distribution. </w:t>
      </w:r>
      <w:r>
        <w:t xml:space="preserve">The annual probability will be transformed to monthly probability before we estimate the distribution. </w:t>
      </w:r>
    </w:p>
    <w:p w14:paraId="4897BE0F" w14:textId="77777777" w:rsidR="00260B6D" w:rsidRPr="00036CCB" w:rsidRDefault="00260B6D" w:rsidP="00527179"/>
    <w:p w14:paraId="77075C4B" w14:textId="39221EDC" w:rsidR="00260B6D" w:rsidRPr="00036CCB" w:rsidRDefault="00260B6D" w:rsidP="00E71320">
      <w:pPr>
        <w:jc w:val="both"/>
        <w:rPr>
          <w:color w:val="000000" w:themeColor="text1"/>
        </w:rPr>
      </w:pPr>
      <w:r w:rsidRPr="00036CCB">
        <w:rPr>
          <w:color w:val="000000" w:themeColor="text1"/>
        </w:rPr>
        <w:t xml:space="preserve">Since the mean and standard </w:t>
      </w:r>
      <w:r>
        <w:rPr>
          <w:color w:val="000000" w:themeColor="text1"/>
        </w:rPr>
        <w:t>error</w:t>
      </w:r>
      <w:r w:rsidRPr="00036CCB">
        <w:rPr>
          <w:color w:val="000000" w:themeColor="text1"/>
        </w:rPr>
        <w:t xml:space="preserve"> of the beta distribution can be calculated as follows.  </w:t>
      </w:r>
    </w:p>
    <w:p w14:paraId="706C8F13" w14:textId="6D06ADDE" w:rsidR="00260B6D" w:rsidRPr="00036CCB" w:rsidRDefault="00260B6D" w:rsidP="00E71320">
      <w:pPr>
        <w:jc w:val="both"/>
        <w:rPr>
          <w:color w:val="000000" w:themeColor="text1"/>
        </w:rPr>
      </w:pPr>
      <m:oMathPara>
        <m:oMath>
          <m:r>
            <w:rPr>
              <w:rFonts w:ascii="Cambria Math" w:hAnsi="Cambria Math"/>
              <w:color w:val="000000" w:themeColor="text1"/>
            </w:rPr>
            <m:t>μ=</m:t>
          </m:r>
          <m:f>
            <m:fPr>
              <m:ctrlPr>
                <w:rPr>
                  <w:rFonts w:ascii="Cambria Math" w:hAnsi="Cambria Math"/>
                  <w:i/>
                  <w:color w:val="000000" w:themeColor="text1"/>
                </w:rPr>
              </m:ctrlPr>
            </m:fPr>
            <m:num>
              <m:r>
                <w:rPr>
                  <w:rFonts w:ascii="Cambria Math" w:hAnsi="Cambria Math"/>
                  <w:color w:val="000000" w:themeColor="text1"/>
                </w:rPr>
                <m:t>α</m:t>
              </m:r>
            </m:num>
            <m:den>
              <m:r>
                <w:rPr>
                  <w:rFonts w:ascii="Cambria Math" w:hAnsi="Cambria Math"/>
                  <w:color w:val="000000" w:themeColor="text1"/>
                </w:rPr>
                <m:t>α+β</m:t>
              </m:r>
            </m:den>
          </m:f>
          <m:r>
            <w:rPr>
              <w:rFonts w:ascii="Cambria Math" w:hAnsi="Cambria Math"/>
              <w:color w:val="000000" w:themeColor="text1"/>
            </w:rPr>
            <m:t xml:space="preserve">                                                        (18)</m:t>
          </m:r>
        </m:oMath>
      </m:oMathPara>
    </w:p>
    <w:p w14:paraId="0FB9AE70" w14:textId="34491695" w:rsidR="00260B6D" w:rsidRPr="00036CCB" w:rsidRDefault="00000000" w:rsidP="00E71320">
      <w:pPr>
        <w:jc w:val="both"/>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αβ</m:t>
              </m: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α+β</m:t>
                      </m:r>
                    </m:e>
                  </m:d>
                </m:e>
                <m:sup>
                  <m:r>
                    <w:rPr>
                      <w:rFonts w:ascii="Cambria Math" w:hAnsi="Cambria Math"/>
                      <w:color w:val="000000" w:themeColor="text1"/>
                    </w:rPr>
                    <m:t>2</m:t>
                  </m:r>
                </m:sup>
              </m:sSup>
              <m:r>
                <w:rPr>
                  <w:rFonts w:ascii="Cambria Math" w:hAnsi="Cambria Math"/>
                  <w:color w:val="000000" w:themeColor="text1"/>
                </w:rPr>
                <m:t>(1+α+β)</m:t>
              </m:r>
            </m:den>
          </m:f>
          <m:r>
            <w:rPr>
              <w:rFonts w:ascii="Cambria Math" w:hAnsi="Cambria Math"/>
              <w:color w:val="000000" w:themeColor="text1"/>
            </w:rPr>
            <m:t xml:space="preserve">                         (19)</m:t>
          </m:r>
        </m:oMath>
      </m:oMathPara>
    </w:p>
    <w:p w14:paraId="6165ACC4" w14:textId="77777777" w:rsidR="00260B6D" w:rsidRPr="00036CCB" w:rsidRDefault="00260B6D" w:rsidP="00E71320">
      <w:pPr>
        <w:jc w:val="both"/>
        <w:rPr>
          <w:color w:val="000000" w:themeColor="text1"/>
        </w:rPr>
      </w:pPr>
    </w:p>
    <w:p w14:paraId="14A1D03E" w14:textId="77777777" w:rsidR="00260B6D" w:rsidRPr="00036CCB" w:rsidRDefault="00260B6D" w:rsidP="00E71320">
      <w:pPr>
        <w:jc w:val="both"/>
        <w:rPr>
          <w:color w:val="000000" w:themeColor="text1"/>
        </w:rPr>
      </w:pPr>
      <w:r w:rsidRPr="00036CCB">
        <w:rPr>
          <w:color w:val="000000" w:themeColor="text1"/>
        </w:rPr>
        <w:t>Thus,</w:t>
      </w:r>
      <w:r>
        <w:rPr>
          <w:color w:val="000000" w:themeColor="text1"/>
        </w:rPr>
        <w:t xml:space="preserve"> the parameters for the beta distribution can be estimates as: </w:t>
      </w:r>
    </w:p>
    <w:p w14:paraId="1EBEA9BA" w14:textId="72F4328F" w:rsidR="00260B6D" w:rsidRPr="00036CCB" w:rsidRDefault="00260B6D" w:rsidP="00E71320">
      <w:pPr>
        <w:jc w:val="both"/>
        <w:rPr>
          <w:color w:val="000000" w:themeColor="text1"/>
        </w:rPr>
      </w:pPr>
      <m:oMathPara>
        <m:oMath>
          <m:r>
            <w:rPr>
              <w:rFonts w:ascii="Cambria Math" w:hAnsi="Cambria Math"/>
              <w:color w:val="000000" w:themeColor="text1"/>
            </w:rPr>
            <m:t>α=μ</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μ</m:t>
                  </m:r>
                  <m:d>
                    <m:dPr>
                      <m:ctrlPr>
                        <w:rPr>
                          <w:rFonts w:ascii="Cambria Math" w:hAnsi="Cambria Math"/>
                          <w:i/>
                          <w:color w:val="000000" w:themeColor="text1"/>
                        </w:rPr>
                      </m:ctrlPr>
                    </m:dPr>
                    <m:e>
                      <m:r>
                        <w:rPr>
                          <w:rFonts w:ascii="Cambria Math" w:hAnsi="Cambria Math"/>
                          <w:color w:val="000000" w:themeColor="text1"/>
                        </w:rPr>
                        <m:t>1-μ</m:t>
                      </m:r>
                    </m:e>
                  </m:d>
                </m:num>
                <m:den>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r>
                <w:rPr>
                  <w:rFonts w:ascii="Cambria Math" w:hAnsi="Cambria Math"/>
                  <w:color w:val="000000" w:themeColor="text1"/>
                </w:rPr>
                <m:t>-1</m:t>
              </m:r>
            </m:e>
          </m:d>
          <m:r>
            <w:rPr>
              <w:rFonts w:ascii="Cambria Math" w:hAnsi="Cambria Math"/>
              <w:color w:val="000000" w:themeColor="text1"/>
            </w:rPr>
            <m:t xml:space="preserve">                                  (20)</m:t>
          </m:r>
        </m:oMath>
      </m:oMathPara>
    </w:p>
    <w:p w14:paraId="1381F7D3" w14:textId="1D448F63" w:rsidR="00260B6D" w:rsidRPr="00036CCB" w:rsidRDefault="00260B6D" w:rsidP="002C3EFA">
      <m:oMathPara>
        <m:oMath>
          <m:r>
            <w:rPr>
              <w:rFonts w:ascii="Cambria Math" w:hAnsi="Cambria Math"/>
              <w:color w:val="000000" w:themeColor="text1"/>
            </w:rPr>
            <m:t>β=</m:t>
          </m:r>
          <m:d>
            <m:dPr>
              <m:ctrlPr>
                <w:rPr>
                  <w:rFonts w:ascii="Cambria Math" w:hAnsi="Cambria Math"/>
                  <w:i/>
                  <w:color w:val="000000" w:themeColor="text1"/>
                </w:rPr>
              </m:ctrlPr>
            </m:dPr>
            <m:e>
              <m:r>
                <w:rPr>
                  <w:rFonts w:ascii="Cambria Math" w:hAnsi="Cambria Math"/>
                  <w:color w:val="000000" w:themeColor="text1"/>
                </w:rPr>
                <m:t>1-μ</m:t>
              </m:r>
            </m:e>
          </m:d>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μ</m:t>
                  </m:r>
                  <m:d>
                    <m:dPr>
                      <m:ctrlPr>
                        <w:rPr>
                          <w:rFonts w:ascii="Cambria Math" w:hAnsi="Cambria Math"/>
                          <w:i/>
                          <w:color w:val="000000" w:themeColor="text1"/>
                        </w:rPr>
                      </m:ctrlPr>
                    </m:dPr>
                    <m:e>
                      <m:r>
                        <w:rPr>
                          <w:rFonts w:ascii="Cambria Math" w:hAnsi="Cambria Math"/>
                          <w:color w:val="000000" w:themeColor="text1"/>
                        </w:rPr>
                        <m:t>1-μ</m:t>
                      </m:r>
                    </m:e>
                  </m:d>
                </m:num>
                <m:den>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r>
                <w:rPr>
                  <w:rFonts w:ascii="Cambria Math" w:hAnsi="Cambria Math"/>
                  <w:color w:val="000000" w:themeColor="text1"/>
                </w:rPr>
                <m:t>-1</m:t>
              </m:r>
            </m:e>
          </m:d>
          <m:r>
            <w:rPr>
              <w:rFonts w:ascii="Cambria Math" w:hAnsi="Cambria Math"/>
              <w:color w:val="000000" w:themeColor="text1"/>
            </w:rPr>
            <m:t xml:space="preserve">                       (21)</m:t>
          </m:r>
        </m:oMath>
      </m:oMathPara>
    </w:p>
    <w:p w14:paraId="7C0D166A" w14:textId="77777777" w:rsidR="00260B6D" w:rsidRDefault="00260B6D" w:rsidP="00550A15">
      <w:pPr>
        <w:rPr>
          <w:b/>
          <w:bCs/>
          <w:i/>
          <w:iCs/>
        </w:rPr>
      </w:pPr>
    </w:p>
    <w:p w14:paraId="1D21ECA0" w14:textId="77777777" w:rsidR="00260B6D" w:rsidRDefault="00260B6D" w:rsidP="00550A15">
      <w:pPr>
        <w:rPr>
          <w:b/>
          <w:bCs/>
          <w:i/>
          <w:iCs/>
        </w:rPr>
      </w:pPr>
    </w:p>
    <w:p w14:paraId="397F8360" w14:textId="77777777" w:rsidR="00260B6D" w:rsidRDefault="00260B6D" w:rsidP="00550A15">
      <w:r>
        <w:rPr>
          <w:i/>
          <w:iCs/>
        </w:rPr>
        <w:lastRenderedPageBreak/>
        <w:t>High-risk population</w:t>
      </w:r>
      <w:r w:rsidRPr="00AA5A05">
        <w:rPr>
          <w:i/>
          <w:iCs/>
        </w:rPr>
        <w:t xml:space="preserve">: </w:t>
      </w:r>
      <w:r w:rsidRPr="00AA5A05">
        <w:t xml:space="preserve"> No original data is available for high-risk population. According to the report where we extract data, the sample size and the proportion of high-risk population who received HIV testing </w:t>
      </w:r>
      <w:r>
        <w:t xml:space="preserve">in past 12 month </w:t>
      </w:r>
      <w:r w:rsidRPr="00AA5A05">
        <w:t xml:space="preserve">is available. </w:t>
      </w:r>
      <w:r>
        <w:t xml:space="preserve"> We will first estimate the shape and scale parameter for the distribution of annual probability assume that the annual probability of HIV testing follows beta distribution as well and estimate the standard error for annual probability of HIV testing using the equation (2) above. Then, the annual probability and standard deviation will be converted to monthly probability and standard error to estimate the </w:t>
      </w:r>
      <w:r w:rsidRPr="00036CCB">
        <w:t>shape (</w:t>
      </w:r>
      <m:oMath>
        <m:r>
          <w:rPr>
            <w:rFonts w:ascii="Cambria Math" w:hAnsi="Cambria Math"/>
          </w:rPr>
          <m:t>α)</m:t>
        </m:r>
      </m:oMath>
      <w:r w:rsidRPr="00036CCB">
        <w:t xml:space="preserve"> and scale </w:t>
      </w:r>
      <m:oMath>
        <m:r>
          <w:rPr>
            <w:rFonts w:ascii="Cambria Math" w:hAnsi="Cambria Math"/>
          </w:rPr>
          <m:t>(β)</m:t>
        </m:r>
      </m:oMath>
      <w:r w:rsidRPr="00036CCB">
        <w:t xml:space="preserve">  parameters for the beta distribution</w:t>
      </w:r>
      <w:r>
        <w:t xml:space="preserve"> assigned to monthly probabilities</w:t>
      </w:r>
      <w:r w:rsidRPr="00036CCB">
        <w:t xml:space="preserve">. </w:t>
      </w:r>
    </w:p>
    <w:p w14:paraId="6BDFDE20" w14:textId="77777777" w:rsidR="00260B6D" w:rsidRDefault="00260B6D"/>
    <w:p w14:paraId="0659732E" w14:textId="7935A0E8" w:rsidR="00260B6D" w:rsidRDefault="00260B6D">
      <w:r>
        <w:rPr>
          <w:i/>
          <w:iCs/>
        </w:rPr>
        <w:t xml:space="preserve">Population with CD4 &lt;200: </w:t>
      </w:r>
      <w:r>
        <w:t xml:space="preserve">For individuals with CD4 &lt; 200, the probability of HIV diagnosis is calculated based on the baseline probability of HIV diagnosis and a multiplier extracted from literature. Since the multiplier comes from cox proportional hazard regression, the logarithm of the multiplier follows a normal distribution, which suggests that the multiplier follows a log-normal distribution. With the baseline value and confidence interval, we can calculate the mean and standard error for the log-normal distribution. </w:t>
      </w:r>
    </w:p>
    <w:p w14:paraId="30A46170" w14:textId="77777777" w:rsidR="00260B6D" w:rsidRPr="00E23392" w:rsidRDefault="00260B6D">
      <w:r w:rsidRPr="00BE2F4A">
        <w:rPr>
          <w:u w:val="single"/>
        </w:rPr>
        <w:t>Note:</w:t>
      </w:r>
      <w:r>
        <w:t xml:space="preserve"> We will calibrate the baseline probability of HIV diagnosis and the multiplier so that the calibration process is less computational intense. However, it is possible that a single multiplier does not apply to all parameter inputs. Thus, we may further calibrate the parameters independently based on the calculated baseline and confidence interval independently. </w:t>
      </w:r>
    </w:p>
    <w:p w14:paraId="423A2248" w14:textId="77777777" w:rsidR="00260B6D" w:rsidRDefault="00260B6D"/>
    <w:p w14:paraId="2766A485" w14:textId="5E0269C5" w:rsidR="00260B6D" w:rsidRDefault="00260B6D" w:rsidP="00E71320">
      <w:pPr>
        <w:rPr>
          <w:color w:val="000000" w:themeColor="text1"/>
        </w:rPr>
      </w:pPr>
      <w:r>
        <w:t xml:space="preserve">The estimates are presented in </w:t>
      </w:r>
      <w:r w:rsidR="00BC788D">
        <w:rPr>
          <w:b/>
          <w:bCs/>
        </w:rPr>
        <w:fldChar w:fldCharType="begin"/>
      </w:r>
      <w:r w:rsidR="00BC788D">
        <w:instrText xml:space="preserve"> REF _Ref82443891 \h </w:instrText>
      </w:r>
      <w:r w:rsidR="00BC788D">
        <w:rPr>
          <w:b/>
          <w:bCs/>
        </w:rPr>
      </w:r>
      <w:r w:rsidR="00BC788D">
        <w:rPr>
          <w:b/>
          <w:bCs/>
        </w:rPr>
        <w:fldChar w:fldCharType="separate"/>
      </w:r>
      <w:r w:rsidR="001E49BE" w:rsidRPr="00E71320">
        <w:rPr>
          <w:b/>
          <w:bCs/>
        </w:rPr>
        <w:t xml:space="preserve">Table </w:t>
      </w:r>
      <w:r w:rsidR="001E49BE">
        <w:rPr>
          <w:b/>
          <w:bCs/>
          <w:noProof/>
        </w:rPr>
        <w:t>21</w:t>
      </w:r>
      <w:r w:rsidR="00BC788D">
        <w:rPr>
          <w:b/>
          <w:bCs/>
        </w:rPr>
        <w:fldChar w:fldCharType="end"/>
      </w:r>
      <w:r>
        <w:rPr>
          <w:b/>
          <w:bCs/>
        </w:rPr>
        <w:t xml:space="preserve"> </w:t>
      </w:r>
      <w:r>
        <w:t xml:space="preserve">and </w:t>
      </w:r>
      <w:r w:rsidR="00BC788D">
        <w:rPr>
          <w:b/>
          <w:bCs/>
        </w:rPr>
        <w:fldChar w:fldCharType="begin"/>
      </w:r>
      <w:r w:rsidR="00BC788D">
        <w:instrText xml:space="preserve"> REF _Ref82443899 \h </w:instrText>
      </w:r>
      <w:r w:rsidR="00BC788D">
        <w:rPr>
          <w:b/>
          <w:bCs/>
        </w:rPr>
      </w:r>
      <w:r w:rsidR="00BC788D">
        <w:rPr>
          <w:b/>
          <w:bCs/>
        </w:rPr>
        <w:fldChar w:fldCharType="separate"/>
      </w:r>
      <w:r w:rsidR="001E49BE" w:rsidRPr="004F6186">
        <w:rPr>
          <w:b/>
          <w:bCs/>
        </w:rPr>
        <w:t xml:space="preserve">Table </w:t>
      </w:r>
      <w:r w:rsidR="001E49BE">
        <w:rPr>
          <w:b/>
          <w:bCs/>
          <w:noProof/>
        </w:rPr>
        <w:t>22</w:t>
      </w:r>
      <w:r w:rsidR="00BC788D">
        <w:rPr>
          <w:b/>
          <w:bCs/>
        </w:rPr>
        <w:fldChar w:fldCharType="end"/>
      </w:r>
      <w:r>
        <w:t xml:space="preserve">. </w:t>
      </w:r>
      <w:r w:rsidRPr="00985071">
        <w:t>The</w:t>
      </w:r>
      <w:r>
        <w:t xml:space="preserve"> process for calculating parameters for beta distributions in </w:t>
      </w:r>
      <w:r w:rsidR="00BC788D">
        <w:rPr>
          <w:b/>
          <w:bCs/>
        </w:rPr>
        <w:fldChar w:fldCharType="begin"/>
      </w:r>
      <w:r w:rsidR="00BC788D">
        <w:instrText xml:space="preserve"> REF _Ref82443891 \h </w:instrText>
      </w:r>
      <w:r w:rsidR="00BC788D">
        <w:rPr>
          <w:b/>
          <w:bCs/>
        </w:rPr>
      </w:r>
      <w:r w:rsidR="00BC788D">
        <w:rPr>
          <w:b/>
          <w:bCs/>
        </w:rPr>
        <w:fldChar w:fldCharType="separate"/>
      </w:r>
      <w:r w:rsidR="001E49BE" w:rsidRPr="00E71320">
        <w:rPr>
          <w:b/>
          <w:bCs/>
        </w:rPr>
        <w:t xml:space="preserve">Table </w:t>
      </w:r>
      <w:r w:rsidR="001E49BE">
        <w:rPr>
          <w:b/>
          <w:bCs/>
          <w:noProof/>
        </w:rPr>
        <w:t>21</w:t>
      </w:r>
      <w:r w:rsidR="00BC788D">
        <w:rPr>
          <w:b/>
          <w:bCs/>
        </w:rPr>
        <w:fldChar w:fldCharType="end"/>
      </w:r>
      <w:r>
        <w:t xml:space="preserve"> </w:t>
      </w:r>
      <w:r w:rsidRPr="00E71320">
        <w:t xml:space="preserve">is </w:t>
      </w:r>
      <w:r w:rsidRPr="00E71320">
        <w:rPr>
          <w:color w:val="000000" w:themeColor="text1"/>
        </w:rPr>
        <w:t xml:space="preserve">stored in </w:t>
      </w:r>
      <w:hyperlink r:id="rId79" w:history="1">
        <w:commentRangeStart w:id="352"/>
        <w:commentRangeStart w:id="353"/>
        <w:r w:rsidRPr="00DD48C3">
          <w:rPr>
            <w:rStyle w:val="Hyperlink"/>
            <w:szCs w:val="24"/>
          </w:rPr>
          <w:t>the excel</w:t>
        </w:r>
        <w:commentRangeEnd w:id="352"/>
        <w:r w:rsidR="009D0E63" w:rsidRPr="00DD48C3">
          <w:rPr>
            <w:rStyle w:val="Hyperlink"/>
            <w:rFonts w:eastAsia="Times New Roman"/>
            <w:sz w:val="16"/>
            <w:szCs w:val="16"/>
          </w:rPr>
          <w:commentReference w:id="352"/>
        </w:r>
        <w:commentRangeEnd w:id="353"/>
        <w:r w:rsidR="00DD48C3">
          <w:rPr>
            <w:rStyle w:val="CommentReference"/>
          </w:rPr>
          <w:commentReference w:id="353"/>
        </w:r>
        <w:r w:rsidRPr="00DD48C3">
          <w:rPr>
            <w:rStyle w:val="Hyperlink"/>
            <w:rFonts w:eastAsia="Times New Roman"/>
            <w:szCs w:val="24"/>
          </w:rPr>
          <w:t>.</w:t>
        </w:r>
      </w:hyperlink>
    </w:p>
    <w:p w14:paraId="636814F5" w14:textId="31D81077" w:rsidR="009D0E63" w:rsidRDefault="009D0E63" w:rsidP="00E71320"/>
    <w:p w14:paraId="48FC71A8" w14:textId="17A11E5D" w:rsidR="006B1E94" w:rsidRDefault="006B1E94" w:rsidP="00E71320"/>
    <w:p w14:paraId="4BDBB2A8" w14:textId="77777777" w:rsidR="006B1E94" w:rsidRPr="000452A4" w:rsidRDefault="006B1E94" w:rsidP="006B1E94">
      <w:pPr>
        <w:pStyle w:val="BodyText"/>
        <w:spacing w:before="0" w:after="0"/>
        <w:rPr>
          <w:b/>
          <w:bCs/>
        </w:rPr>
      </w:pPr>
      <w:r w:rsidRPr="000452A4">
        <w:rPr>
          <w:b/>
          <w:bCs/>
          <w:i/>
          <w:iCs/>
        </w:rPr>
        <w:t>Probability of link to care</w:t>
      </w:r>
    </w:p>
    <w:p w14:paraId="4661B358" w14:textId="77777777" w:rsidR="006B1E94" w:rsidRDefault="006B1E94" w:rsidP="006B1E94">
      <w:r w:rsidRPr="00EB3831">
        <w:t xml:space="preserve">We assigned a beta distribution to the parameter inputs for probability of </w:t>
      </w:r>
      <w:r>
        <w:t>linkage to care</w:t>
      </w:r>
      <w:r w:rsidRPr="00EB3831">
        <w:t xml:space="preserve"> in the Rwanda model with a range from 0 to 1. </w:t>
      </w:r>
    </w:p>
    <w:p w14:paraId="2D2A086B" w14:textId="77777777" w:rsidR="006B1E94" w:rsidRDefault="006B1E94" w:rsidP="006B1E94"/>
    <w:p w14:paraId="4091B55B" w14:textId="33B947CC" w:rsidR="006B1E94" w:rsidRPr="00316262" w:rsidRDefault="006B1E94" w:rsidP="006B1E94">
      <w:pPr>
        <w:rPr>
          <w:b/>
          <w:bCs/>
        </w:rPr>
      </w:pPr>
      <w:r>
        <w:rPr>
          <w:i/>
          <w:iCs/>
        </w:rPr>
        <w:t xml:space="preserve">Low-risk /high-risk population: </w:t>
      </w:r>
      <w:r>
        <w:t xml:space="preserve">No original data is available for linkage to care. </w:t>
      </w:r>
      <w:r w:rsidRPr="00AA5A05">
        <w:t xml:space="preserve">According to the report where we extract data, the sample size and the proportion of population who </w:t>
      </w:r>
      <w:r>
        <w:t xml:space="preserve">linked to care </w:t>
      </w:r>
      <w:r w:rsidRPr="00AA5A05">
        <w:t xml:space="preserve">is available. </w:t>
      </w:r>
      <w:r>
        <w:t xml:space="preserve">Without further information, we will estimate the beta distribution parameters for the annual probability of linkage to care. The standard error will then be estimated based on sample size and the probability of linkage to care. The annual probabilities and standard error will be converted to monthly probability and standard error to estimate the </w:t>
      </w:r>
      <w:r w:rsidRPr="00036CCB">
        <w:t>shape (</w:t>
      </w:r>
      <m:oMath>
        <m:r>
          <w:rPr>
            <w:rFonts w:ascii="Cambria Math" w:hAnsi="Cambria Math"/>
          </w:rPr>
          <m:t>α)</m:t>
        </m:r>
      </m:oMath>
      <w:r w:rsidRPr="00036CCB">
        <w:t xml:space="preserve"> and scale </w:t>
      </w:r>
      <m:oMath>
        <m:r>
          <w:rPr>
            <w:rFonts w:ascii="Cambria Math" w:hAnsi="Cambria Math"/>
          </w:rPr>
          <m:t>(β)</m:t>
        </m:r>
      </m:oMath>
      <w:r w:rsidRPr="00036CCB">
        <w:t xml:space="preserve">  parameters for the beta distribution</w:t>
      </w:r>
      <w:r>
        <w:t xml:space="preserve"> assigned to monthly probabilities</w:t>
      </w:r>
      <w:r w:rsidRPr="00036CCB">
        <w:t xml:space="preserve">. </w:t>
      </w:r>
      <w:r>
        <w:rPr>
          <w:b/>
          <w:bCs/>
        </w:rPr>
        <w:t>(</w:t>
      </w:r>
      <w:r w:rsidR="00DD48C3">
        <w:rPr>
          <w:b/>
          <w:bCs/>
        </w:rPr>
        <w:fldChar w:fldCharType="begin"/>
      </w:r>
      <w:r w:rsidR="00DD48C3">
        <w:rPr>
          <w:b/>
          <w:bCs/>
        </w:rPr>
        <w:instrText xml:space="preserve"> REF _Ref82444108 \h </w:instrText>
      </w:r>
      <w:r w:rsidR="00DD48C3">
        <w:rPr>
          <w:b/>
          <w:bCs/>
        </w:rPr>
      </w:r>
      <w:r w:rsidR="00DD48C3">
        <w:rPr>
          <w:b/>
          <w:bCs/>
        </w:rPr>
        <w:fldChar w:fldCharType="separate"/>
      </w:r>
      <w:r w:rsidR="001E49BE" w:rsidRPr="00316262">
        <w:rPr>
          <w:b/>
          <w:bCs/>
        </w:rPr>
        <w:t xml:space="preserve">Table </w:t>
      </w:r>
      <w:r w:rsidR="001E49BE">
        <w:rPr>
          <w:b/>
          <w:bCs/>
          <w:noProof/>
        </w:rPr>
        <w:t>23</w:t>
      </w:r>
      <w:r w:rsidR="00DD48C3">
        <w:rPr>
          <w:b/>
          <w:bCs/>
        </w:rPr>
        <w:fldChar w:fldCharType="end"/>
      </w:r>
      <w:r>
        <w:rPr>
          <w:b/>
          <w:bCs/>
        </w:rPr>
        <w:t>)</w:t>
      </w:r>
    </w:p>
    <w:p w14:paraId="30E73EA6" w14:textId="77777777" w:rsidR="006B1E94" w:rsidRDefault="006B1E94" w:rsidP="006B1E94"/>
    <w:p w14:paraId="325B30EF" w14:textId="660429E9" w:rsidR="006B1E94" w:rsidRDefault="006B1E94" w:rsidP="006B1E94">
      <w:r>
        <w:rPr>
          <w:i/>
          <w:iCs/>
        </w:rPr>
        <w:t xml:space="preserve">Population with CD4 &lt;200: </w:t>
      </w:r>
      <w:r>
        <w:t>For individuals with CD4 &lt; 200, the probability of linkage is calculated based on the baseline probability of HIV diagnosis and a multiplier extracted from literature. Since the multiplier comes from cox proportional hazard regression, the logarithm of the multiplier follows a normal distribution, which suggests that the multiplier follows a log-normal distribution. With the baseline value and confidence interval, we can calculate the mean and standard error for the log-normal distribution. (</w:t>
      </w:r>
      <w:r w:rsidR="00DD48C3">
        <w:rPr>
          <w:b/>
          <w:bCs/>
        </w:rPr>
        <w:fldChar w:fldCharType="begin"/>
      </w:r>
      <w:r w:rsidR="00DD48C3">
        <w:instrText xml:space="preserve"> REF _Ref82443899 \h </w:instrText>
      </w:r>
      <w:r w:rsidR="00DD48C3">
        <w:rPr>
          <w:b/>
          <w:bCs/>
        </w:rPr>
      </w:r>
      <w:r w:rsidR="00DD48C3">
        <w:rPr>
          <w:b/>
          <w:bCs/>
        </w:rPr>
        <w:fldChar w:fldCharType="separate"/>
      </w:r>
      <w:r w:rsidR="001E49BE" w:rsidRPr="004F6186">
        <w:rPr>
          <w:b/>
          <w:bCs/>
        </w:rPr>
        <w:t xml:space="preserve">Table </w:t>
      </w:r>
      <w:r w:rsidR="001E49BE">
        <w:rPr>
          <w:b/>
          <w:bCs/>
          <w:noProof/>
        </w:rPr>
        <w:t>22</w:t>
      </w:r>
      <w:r w:rsidR="00DD48C3">
        <w:rPr>
          <w:b/>
          <w:bCs/>
        </w:rPr>
        <w:fldChar w:fldCharType="end"/>
      </w:r>
      <w:r>
        <w:t>)</w:t>
      </w:r>
    </w:p>
    <w:p w14:paraId="6F71175D" w14:textId="77777777" w:rsidR="006B1E94" w:rsidRDefault="006B1E94" w:rsidP="006B1E94"/>
    <w:p w14:paraId="1B169195" w14:textId="609A431E" w:rsidR="006B1E94" w:rsidRDefault="006B1E94" w:rsidP="006B1E94">
      <w:r w:rsidRPr="00BE2F4A">
        <w:rPr>
          <w:u w:val="single"/>
        </w:rPr>
        <w:t>Note:</w:t>
      </w:r>
      <w:r>
        <w:t xml:space="preserve"> We will calibrate the baseline probability of HIV diagnosis and the multiplier so that the calibration process is less computational intense. However, it is possible that a single multiplier </w:t>
      </w:r>
      <w:r>
        <w:lastRenderedPageBreak/>
        <w:t>does not apply to all parameter inputs. Thus, we may further calibrate the parameters independently based on the calculated baseline and confidence interval independently.</w:t>
      </w:r>
    </w:p>
    <w:p w14:paraId="263C96B3" w14:textId="77777777" w:rsidR="006B1E94" w:rsidRDefault="006B1E94" w:rsidP="006B1E94">
      <w:pPr>
        <w:pStyle w:val="BodyText"/>
        <w:spacing w:before="0" w:after="0"/>
        <w:rPr>
          <w:b/>
          <w:bCs/>
          <w:i/>
          <w:iCs/>
        </w:rPr>
      </w:pPr>
    </w:p>
    <w:p w14:paraId="13FADA6B" w14:textId="40841594" w:rsidR="006B1E94" w:rsidRDefault="006B1E94" w:rsidP="006B1E94">
      <w:pPr>
        <w:pStyle w:val="BodyText"/>
        <w:spacing w:before="0" w:after="0"/>
      </w:pPr>
      <w:r>
        <w:rPr>
          <w:b/>
          <w:bCs/>
          <w:i/>
          <w:iCs/>
        </w:rPr>
        <w:t>Probability of HIV transmission per sex act</w:t>
      </w:r>
    </w:p>
    <w:p w14:paraId="1999E881" w14:textId="77777777" w:rsidR="006B1E94" w:rsidRDefault="006B1E94" w:rsidP="006B1E94">
      <w:r>
        <w:t xml:space="preserve">The original data source for extracting probability of HIV transmission per sex act shows that the probability is estimated based on the assumption that the logarithm of the probability is normally distributed. Thus, we assume that it follows a log-normal distribution. </w:t>
      </w:r>
    </w:p>
    <w:p w14:paraId="40796817" w14:textId="77777777" w:rsidR="006B1E94" w:rsidRDefault="006B1E94" w:rsidP="006B1E94"/>
    <w:p w14:paraId="5E253235" w14:textId="48C8B074" w:rsidR="009D0E63" w:rsidRDefault="006B1E94" w:rsidP="006B1E94">
      <w:pPr>
        <w:rPr>
          <w:bCs/>
        </w:rPr>
      </w:pPr>
      <w:r>
        <w:rPr>
          <w:i/>
          <w:iCs/>
        </w:rPr>
        <w:t>Low-risk/high-risk population</w:t>
      </w:r>
      <w:r>
        <w:t xml:space="preserve">: For each sub-population, the data has presented the baseline probability of HIV transmission and the 95% confidence interval. According to the methods supplement, the reported estimates will be log-transformed to derive the pooled estimated as well as the 95% confidence interval. The mean and standard error can be calculated and used in the log-normal distribution for the probability of HIV transmission. </w:t>
      </w:r>
      <w:r>
        <w:rPr>
          <w:b/>
          <w:bCs/>
        </w:rPr>
        <w:t>(</w:t>
      </w:r>
      <w:r w:rsidR="00DD48C3">
        <w:rPr>
          <w:b/>
          <w:bCs/>
        </w:rPr>
        <w:fldChar w:fldCharType="begin"/>
      </w:r>
      <w:r w:rsidR="00DD48C3">
        <w:rPr>
          <w:b/>
          <w:bCs/>
        </w:rPr>
        <w:instrText xml:space="preserve"> REF _Ref82444134 \h </w:instrText>
      </w:r>
      <w:r w:rsidR="00DD48C3">
        <w:rPr>
          <w:b/>
          <w:bCs/>
        </w:rPr>
      </w:r>
      <w:r w:rsidR="00DD48C3">
        <w:rPr>
          <w:b/>
          <w:bCs/>
        </w:rPr>
        <w:fldChar w:fldCharType="separate"/>
      </w:r>
      <w:r w:rsidR="001E49BE" w:rsidRPr="00316262">
        <w:rPr>
          <w:b/>
          <w:bCs/>
        </w:rPr>
        <w:t xml:space="preserve">Table </w:t>
      </w:r>
      <w:r w:rsidR="001E49BE">
        <w:rPr>
          <w:b/>
          <w:bCs/>
          <w:noProof/>
        </w:rPr>
        <w:t>24</w:t>
      </w:r>
      <w:r w:rsidR="00DD48C3">
        <w:rPr>
          <w:b/>
          <w:bCs/>
        </w:rPr>
        <w:fldChar w:fldCharType="end"/>
      </w:r>
      <w:r>
        <w:rPr>
          <w:b/>
          <w:bCs/>
        </w:rPr>
        <w:t>)</w:t>
      </w:r>
      <w:r w:rsidR="00510203">
        <w:rPr>
          <w:bCs/>
        </w:rPr>
        <w:t>.</w:t>
      </w:r>
    </w:p>
    <w:p w14:paraId="42A9F6C5" w14:textId="0D6CBFCF" w:rsidR="00510203" w:rsidRDefault="00510203" w:rsidP="006B1E94"/>
    <w:p w14:paraId="200717C8" w14:textId="4B28143E" w:rsidR="00510203" w:rsidRDefault="00510203" w:rsidP="006B1E94"/>
    <w:p w14:paraId="4406A36F" w14:textId="77777777" w:rsidR="00510203" w:rsidRDefault="00510203" w:rsidP="00510203">
      <w:pPr>
        <w:pStyle w:val="BodyText"/>
        <w:spacing w:before="0" w:after="0"/>
        <w:rPr>
          <w:b/>
          <w:bCs/>
          <w:i/>
          <w:iCs/>
        </w:rPr>
      </w:pPr>
      <w:r w:rsidRPr="00AE1D62">
        <w:rPr>
          <w:b/>
          <w:bCs/>
          <w:i/>
          <w:iCs/>
        </w:rPr>
        <w:t>Proportion of condom use</w:t>
      </w:r>
    </w:p>
    <w:p w14:paraId="4DB8C2BF" w14:textId="77777777" w:rsidR="00510203" w:rsidRDefault="00510203" w:rsidP="00510203">
      <w:r w:rsidRPr="00AE1D62">
        <w:t xml:space="preserve">We assigned a beta distribution to the parameter inputs for </w:t>
      </w:r>
      <w:r>
        <w:t>proportion of condom use</w:t>
      </w:r>
      <w:r w:rsidRPr="00AE1D62">
        <w:t xml:space="preserve"> in the</w:t>
      </w:r>
      <w:r>
        <w:t xml:space="preserve"> </w:t>
      </w:r>
      <w:r w:rsidRPr="00AE1D62">
        <w:t xml:space="preserve">Rwanda model with a range from 0 to 1. </w:t>
      </w:r>
    </w:p>
    <w:p w14:paraId="44140908" w14:textId="77777777" w:rsidR="00510203" w:rsidRDefault="00510203" w:rsidP="00510203"/>
    <w:p w14:paraId="4FAB441C" w14:textId="56261FB1" w:rsidR="00510203" w:rsidRPr="00316262" w:rsidRDefault="00510203" w:rsidP="00510203">
      <w:pPr>
        <w:rPr>
          <w:b/>
          <w:bCs/>
        </w:rPr>
      </w:pPr>
      <w:r>
        <w:rPr>
          <w:i/>
          <w:iCs/>
        </w:rPr>
        <w:t xml:space="preserve">Low-risk population: </w:t>
      </w:r>
      <w:r w:rsidRPr="00036CCB">
        <w:t xml:space="preserve">Since the original data is a survey data </w:t>
      </w:r>
      <w:r>
        <w:t>that</w:t>
      </w:r>
      <w:r w:rsidRPr="00036CCB">
        <w:t xml:space="preserve"> includes weighting, we cannot estimate the beta distribution </w:t>
      </w:r>
      <w:r>
        <w:t xml:space="preserve">simply </w:t>
      </w:r>
      <w:r w:rsidRPr="00036CCB">
        <w:t xml:space="preserve">by sample size and </w:t>
      </w:r>
      <w:r>
        <w:t xml:space="preserve">the </w:t>
      </w:r>
      <w:r w:rsidRPr="00036CCB">
        <w:t xml:space="preserve">number of </w:t>
      </w:r>
      <w:r>
        <w:t>consistent condom use</w:t>
      </w:r>
      <w:r w:rsidRPr="00036CCB">
        <w:t xml:space="preserve">. Instead, we will use the weighted mean </w:t>
      </w:r>
      <m:oMath>
        <m:r>
          <w:rPr>
            <w:rFonts w:ascii="Cambria Math" w:hAnsi="Cambria Math"/>
          </w:rPr>
          <m:t>(μ)</m:t>
        </m:r>
      </m:oMath>
      <w:r w:rsidRPr="00036CCB">
        <w:t xml:space="preserve"> and standard error </w:t>
      </w:r>
      <m:oMath>
        <m:r>
          <w:rPr>
            <w:rFonts w:ascii="Cambria Math" w:hAnsi="Cambria Math"/>
          </w:rPr>
          <m:t>(σ)</m:t>
        </m:r>
      </m:oMath>
      <w:r w:rsidRPr="00036CCB">
        <w:t xml:space="preserve"> to estimate the shape (</w:t>
      </w:r>
      <m:oMath>
        <m:r>
          <w:rPr>
            <w:rFonts w:ascii="Cambria Math" w:hAnsi="Cambria Math"/>
          </w:rPr>
          <m:t>α)</m:t>
        </m:r>
      </m:oMath>
      <w:r w:rsidRPr="00036CCB">
        <w:t xml:space="preserve"> and scale </w:t>
      </w:r>
      <m:oMath>
        <m:r>
          <w:rPr>
            <w:rFonts w:ascii="Cambria Math" w:hAnsi="Cambria Math"/>
          </w:rPr>
          <m:t>(β)</m:t>
        </m:r>
      </m:oMath>
      <w:r w:rsidRPr="00036CCB">
        <w:t xml:space="preserve">  parameters for the beta distribution. </w:t>
      </w:r>
      <w:r>
        <w:rPr>
          <w:b/>
          <w:bCs/>
        </w:rPr>
        <w:t>(</w:t>
      </w:r>
      <w:r w:rsidR="00DD48C3">
        <w:rPr>
          <w:b/>
          <w:bCs/>
        </w:rPr>
        <w:fldChar w:fldCharType="begin"/>
      </w:r>
      <w:r w:rsidR="00DD48C3">
        <w:rPr>
          <w:b/>
          <w:bCs/>
        </w:rPr>
        <w:instrText xml:space="preserve"> REF _Ref82444144 \h </w:instrText>
      </w:r>
      <w:r w:rsidR="00DD48C3">
        <w:rPr>
          <w:b/>
          <w:bCs/>
        </w:rPr>
      </w:r>
      <w:r w:rsidR="00DD48C3">
        <w:rPr>
          <w:b/>
          <w:bCs/>
        </w:rPr>
        <w:fldChar w:fldCharType="separate"/>
      </w:r>
      <w:r w:rsidR="001E49BE" w:rsidRPr="004F6186">
        <w:rPr>
          <w:b/>
          <w:bCs/>
        </w:rPr>
        <w:t xml:space="preserve">Table </w:t>
      </w:r>
      <w:r w:rsidR="001E49BE">
        <w:rPr>
          <w:b/>
          <w:bCs/>
          <w:noProof/>
        </w:rPr>
        <w:t>25</w:t>
      </w:r>
      <w:r w:rsidR="00DD48C3">
        <w:rPr>
          <w:b/>
          <w:bCs/>
        </w:rPr>
        <w:fldChar w:fldCharType="end"/>
      </w:r>
      <w:r>
        <w:rPr>
          <w:b/>
          <w:bCs/>
        </w:rPr>
        <w:t>)</w:t>
      </w:r>
    </w:p>
    <w:p w14:paraId="7860B598" w14:textId="77777777" w:rsidR="00510203" w:rsidRPr="00036CCB" w:rsidRDefault="00510203" w:rsidP="00510203"/>
    <w:p w14:paraId="312376BD" w14:textId="3E45CE40" w:rsidR="00510203" w:rsidRPr="00036CCB" w:rsidRDefault="00510203" w:rsidP="00510203">
      <w:pPr>
        <w:jc w:val="both"/>
        <w:rPr>
          <w:color w:val="000000" w:themeColor="text1"/>
        </w:rPr>
      </w:pPr>
      <w:r w:rsidRPr="00036CCB">
        <w:rPr>
          <w:color w:val="000000" w:themeColor="text1"/>
        </w:rPr>
        <w:t xml:space="preserve">Since the mean and standard deviation of the beta distribution </w:t>
      </w:r>
      <w:r w:rsidR="00626DD9">
        <w:rPr>
          <w:color w:val="000000" w:themeColor="text1"/>
        </w:rPr>
        <w:t xml:space="preserve">is </w:t>
      </w:r>
      <w:r w:rsidRPr="00036CCB">
        <w:rPr>
          <w:color w:val="000000" w:themeColor="text1"/>
        </w:rPr>
        <w:t xml:space="preserve">calculated </w:t>
      </w:r>
      <w:r w:rsidR="00626DD9">
        <w:rPr>
          <w:color w:val="000000" w:themeColor="text1"/>
        </w:rPr>
        <w:t>using the same function as for HIV diagnosis</w:t>
      </w:r>
      <w:r w:rsidRPr="00036CCB">
        <w:rPr>
          <w:color w:val="000000" w:themeColor="text1"/>
        </w:rPr>
        <w:t xml:space="preserve">.  </w:t>
      </w:r>
    </w:p>
    <w:p w14:paraId="277684FC" w14:textId="77777777" w:rsidR="00510203" w:rsidRPr="00AE1D62" w:rsidRDefault="00510203" w:rsidP="00510203"/>
    <w:p w14:paraId="08D87704" w14:textId="433A89E9" w:rsidR="00510203" w:rsidRPr="00316262" w:rsidRDefault="00510203" w:rsidP="00510203">
      <w:pPr>
        <w:rPr>
          <w:b/>
          <w:bCs/>
          <w:color w:val="000000" w:themeColor="text1"/>
        </w:rPr>
      </w:pPr>
      <w:r>
        <w:rPr>
          <w:i/>
          <w:iCs/>
        </w:rPr>
        <w:t>High-risk population</w:t>
      </w:r>
      <w:r w:rsidRPr="00AA5A05">
        <w:rPr>
          <w:i/>
          <w:iCs/>
        </w:rPr>
        <w:t xml:space="preserve">: </w:t>
      </w:r>
      <w:r w:rsidRPr="00AA5A05">
        <w:t xml:space="preserve"> No original data is available for high-risk population. According to the report where we extract data, the sample size and the proportion of high-risk population who </w:t>
      </w:r>
      <w:r>
        <w:t>consistently used condom is available</w:t>
      </w:r>
      <w:r w:rsidRPr="00AA5A05">
        <w:t xml:space="preserve">. </w:t>
      </w:r>
      <w:r>
        <w:t xml:space="preserve"> Since we assume consistent proportion of consistent condom use over year. The annual proportion will be used as an approximation for the monthly proportion of population consistently used condom. T</w:t>
      </w:r>
      <w:r w:rsidRPr="00AA5A05">
        <w:t xml:space="preserve">he sample size and the proportion of high-risk population who </w:t>
      </w:r>
      <w:r>
        <w:t xml:space="preserve">consistently used condom will be used to estimate </w:t>
      </w:r>
      <m:oMath>
        <m:r>
          <w:rPr>
            <w:rFonts w:ascii="Cambria Math" w:hAnsi="Cambria Math"/>
            <w:color w:val="000000" w:themeColor="text1"/>
          </w:rPr>
          <m:t>α, β</m:t>
        </m:r>
      </m:oMath>
      <w:r>
        <w:rPr>
          <w:color w:val="000000" w:themeColor="text1"/>
        </w:rPr>
        <w:t xml:space="preserve"> for the beta distribution. (</w:t>
      </w:r>
      <w:r w:rsidR="00DD48C3">
        <w:rPr>
          <w:b/>
          <w:bCs/>
          <w:color w:val="000000" w:themeColor="text1"/>
        </w:rPr>
        <w:fldChar w:fldCharType="begin"/>
      </w:r>
      <w:r w:rsidR="00DD48C3">
        <w:rPr>
          <w:color w:val="000000" w:themeColor="text1"/>
        </w:rPr>
        <w:instrText xml:space="preserve"> REF _Ref82444144 \h </w:instrText>
      </w:r>
      <w:r w:rsidR="00DD48C3">
        <w:rPr>
          <w:b/>
          <w:bCs/>
          <w:color w:val="000000" w:themeColor="text1"/>
        </w:rPr>
      </w:r>
      <w:r w:rsidR="00DD48C3">
        <w:rPr>
          <w:b/>
          <w:bCs/>
          <w:color w:val="000000" w:themeColor="text1"/>
        </w:rPr>
        <w:fldChar w:fldCharType="separate"/>
      </w:r>
      <w:r w:rsidR="001E49BE" w:rsidRPr="004F6186">
        <w:rPr>
          <w:b/>
          <w:bCs/>
        </w:rPr>
        <w:t xml:space="preserve">Table </w:t>
      </w:r>
      <w:r w:rsidR="001E49BE">
        <w:rPr>
          <w:b/>
          <w:bCs/>
          <w:noProof/>
        </w:rPr>
        <w:t>25</w:t>
      </w:r>
      <w:r w:rsidR="00DD48C3">
        <w:rPr>
          <w:b/>
          <w:bCs/>
          <w:color w:val="000000" w:themeColor="text1"/>
        </w:rPr>
        <w:fldChar w:fldCharType="end"/>
      </w:r>
      <w:r>
        <w:rPr>
          <w:b/>
          <w:bCs/>
          <w:color w:val="000000" w:themeColor="text1"/>
        </w:rPr>
        <w:t>)</w:t>
      </w:r>
    </w:p>
    <w:p w14:paraId="735A8228" w14:textId="77777777" w:rsidR="00510203" w:rsidRDefault="00510203" w:rsidP="00510203"/>
    <w:p w14:paraId="5B9D7E64" w14:textId="37C99805" w:rsidR="00510203" w:rsidRPr="00510203" w:rsidRDefault="00510203" w:rsidP="00510203">
      <w:r>
        <w:t xml:space="preserve">The process for calculating parameters for beta distributions in </w:t>
      </w:r>
      <w:r w:rsidR="00DD48C3">
        <w:fldChar w:fldCharType="begin"/>
      </w:r>
      <w:r w:rsidR="00DD48C3">
        <w:instrText xml:space="preserve"> REF _Ref82444144 \h </w:instrText>
      </w:r>
      <w:r w:rsidR="00DD48C3">
        <w:fldChar w:fldCharType="separate"/>
      </w:r>
      <w:r w:rsidR="001E49BE" w:rsidRPr="004F6186">
        <w:rPr>
          <w:b/>
          <w:bCs/>
        </w:rPr>
        <w:t xml:space="preserve">Table </w:t>
      </w:r>
      <w:r w:rsidR="001E49BE">
        <w:rPr>
          <w:b/>
          <w:bCs/>
          <w:noProof/>
        </w:rPr>
        <w:t>25</w:t>
      </w:r>
      <w:r w:rsidR="00DD48C3">
        <w:fldChar w:fldCharType="end"/>
      </w:r>
      <w:r w:rsidR="00DD48C3">
        <w:t xml:space="preserve"> </w:t>
      </w:r>
      <w:r>
        <w:t xml:space="preserve">is stored in the </w:t>
      </w:r>
      <w:hyperlink r:id="rId80" w:history="1">
        <w:commentRangeStart w:id="354"/>
        <w:commentRangeStart w:id="355"/>
        <w:r w:rsidRPr="00DD48C3">
          <w:rPr>
            <w:rStyle w:val="Hyperlink"/>
            <w:rFonts w:eastAsia="Times New Roman"/>
            <w:szCs w:val="24"/>
          </w:rPr>
          <w:t>excel</w:t>
        </w:r>
        <w:commentRangeEnd w:id="354"/>
        <w:r w:rsidR="000C0C05" w:rsidRPr="00DD48C3">
          <w:rPr>
            <w:rStyle w:val="Hyperlink"/>
            <w:rFonts w:eastAsia="Times New Roman"/>
            <w:sz w:val="16"/>
            <w:szCs w:val="16"/>
          </w:rPr>
          <w:commentReference w:id="354"/>
        </w:r>
        <w:commentRangeEnd w:id="355"/>
        <w:r w:rsidR="00DD48C3">
          <w:rPr>
            <w:rStyle w:val="CommentReference"/>
          </w:rPr>
          <w:commentReference w:id="355"/>
        </w:r>
        <w:r w:rsidRPr="00DD48C3">
          <w:rPr>
            <w:rStyle w:val="Hyperlink"/>
            <w:rFonts w:eastAsia="Times New Roman"/>
            <w:szCs w:val="24"/>
          </w:rPr>
          <w:t>.</w:t>
        </w:r>
      </w:hyperlink>
    </w:p>
    <w:p w14:paraId="4B41FD9F" w14:textId="2AF8F31E" w:rsidR="009D0E63" w:rsidRPr="00AA5A05" w:rsidRDefault="009D0E63" w:rsidP="00E71320">
      <w:pPr>
        <w:sectPr w:rsidR="009D0E63" w:rsidRPr="00AA5A05" w:rsidSect="008142CB">
          <w:headerReference w:type="even" r:id="rId81"/>
          <w:headerReference w:type="default" r:id="rId82"/>
          <w:footerReference w:type="even" r:id="rId83"/>
          <w:headerReference w:type="first" r:id="rId84"/>
          <w:pgSz w:w="12240" w:h="15840"/>
          <w:pgMar w:top="1440" w:right="1440" w:bottom="1440" w:left="1440" w:header="720" w:footer="720" w:gutter="0"/>
          <w:cols w:space="720"/>
          <w:docGrid w:linePitch="360"/>
        </w:sectPr>
      </w:pPr>
    </w:p>
    <w:p w14:paraId="5CB701C8" w14:textId="4BD9D2A1" w:rsidR="00260B6D" w:rsidRDefault="00260B6D" w:rsidP="00122CDD">
      <w:pPr>
        <w:keepNext/>
        <w:rPr>
          <w:b/>
          <w:bCs/>
        </w:rPr>
      </w:pPr>
      <w:r w:rsidRPr="00E71320">
        <w:rPr>
          <w:b/>
          <w:bCs/>
        </w:rPr>
        <w:lastRenderedPageBreak/>
        <w:t xml:space="preserve"> </w:t>
      </w:r>
      <w:bookmarkStart w:id="356" w:name="_Ref82443891"/>
      <w:bookmarkStart w:id="357" w:name="_Toc82448084"/>
      <w:bookmarkStart w:id="358" w:name="_Toc82592515"/>
      <w:bookmarkStart w:id="359" w:name="_Toc82599280"/>
      <w:r w:rsidRPr="00E71320">
        <w:rPr>
          <w:b/>
          <w:bCs/>
        </w:rPr>
        <w:t xml:space="preserve">Table </w:t>
      </w:r>
      <w:r w:rsidRPr="00E71320">
        <w:rPr>
          <w:b/>
          <w:bCs/>
        </w:rPr>
        <w:fldChar w:fldCharType="begin"/>
      </w:r>
      <w:r w:rsidRPr="00E71320">
        <w:rPr>
          <w:b/>
          <w:bCs/>
        </w:rPr>
        <w:instrText xml:space="preserve"> SEQ Table \* ARABIC </w:instrText>
      </w:r>
      <w:r w:rsidRPr="00E71320">
        <w:rPr>
          <w:b/>
          <w:bCs/>
        </w:rPr>
        <w:fldChar w:fldCharType="separate"/>
      </w:r>
      <w:r w:rsidR="001E49BE">
        <w:rPr>
          <w:b/>
          <w:bCs/>
          <w:noProof/>
        </w:rPr>
        <w:t>21</w:t>
      </w:r>
      <w:r w:rsidRPr="00E71320">
        <w:rPr>
          <w:b/>
          <w:bCs/>
        </w:rPr>
        <w:fldChar w:fldCharType="end"/>
      </w:r>
      <w:bookmarkEnd w:id="356"/>
      <w:r w:rsidRPr="00E71320">
        <w:rPr>
          <w:b/>
          <w:bCs/>
        </w:rPr>
        <w:t xml:space="preserve">. </w:t>
      </w:r>
      <w:bookmarkStart w:id="360" w:name="_Hlk74742188"/>
      <w:r w:rsidR="009D0E63">
        <w:rPr>
          <w:b/>
          <w:bCs/>
        </w:rPr>
        <w:t xml:space="preserve">Calibration: </w:t>
      </w:r>
      <w:r w:rsidRPr="00E71320">
        <w:rPr>
          <w:b/>
          <w:bCs/>
        </w:rPr>
        <w:t>Parameter estimates for beta distribution assigned to probabilities of HIV diagnosis</w:t>
      </w:r>
      <w:bookmarkEnd w:id="357"/>
      <w:bookmarkEnd w:id="358"/>
      <w:bookmarkEnd w:id="359"/>
      <w:bookmarkEnd w:id="3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048"/>
        <w:gridCol w:w="1292"/>
        <w:gridCol w:w="3298"/>
        <w:gridCol w:w="1983"/>
        <w:gridCol w:w="3278"/>
        <w:gridCol w:w="2121"/>
      </w:tblGrid>
      <w:tr w:rsidR="006B1E94" w:rsidRPr="008741B0" w14:paraId="37285A0F" w14:textId="77777777" w:rsidTr="008F61DC">
        <w:trPr>
          <w:cantSplit/>
          <w:trHeight w:val="298"/>
        </w:trPr>
        <w:tc>
          <w:tcPr>
            <w:tcW w:w="476" w:type="pct"/>
            <w:vMerge w:val="restart"/>
          </w:tcPr>
          <w:p w14:paraId="1A995D61" w14:textId="77777777" w:rsidR="006B1E94" w:rsidRPr="008741B0" w:rsidRDefault="006B1E94" w:rsidP="008F61DC">
            <w:pPr>
              <w:jc w:val="both"/>
              <w:rPr>
                <w:b/>
                <w:bCs/>
                <w:sz w:val="20"/>
                <w:szCs w:val="20"/>
              </w:rPr>
            </w:pPr>
            <w:r w:rsidRPr="008741B0">
              <w:rPr>
                <w:b/>
                <w:bCs/>
                <w:sz w:val="20"/>
                <w:szCs w:val="20"/>
              </w:rPr>
              <w:t>Sub-group</w:t>
            </w:r>
          </w:p>
        </w:tc>
        <w:tc>
          <w:tcPr>
            <w:tcW w:w="364" w:type="pct"/>
            <w:vMerge w:val="restart"/>
          </w:tcPr>
          <w:p w14:paraId="08A0111B" w14:textId="77777777" w:rsidR="006B1E94" w:rsidRPr="008741B0" w:rsidRDefault="006B1E94" w:rsidP="008F61DC">
            <w:pPr>
              <w:jc w:val="both"/>
              <w:rPr>
                <w:b/>
                <w:bCs/>
                <w:sz w:val="20"/>
                <w:szCs w:val="20"/>
              </w:rPr>
            </w:pPr>
            <w:r w:rsidRPr="008741B0">
              <w:rPr>
                <w:b/>
                <w:bCs/>
                <w:sz w:val="20"/>
                <w:szCs w:val="20"/>
              </w:rPr>
              <w:t>Year of data collection</w:t>
            </w:r>
          </w:p>
        </w:tc>
        <w:tc>
          <w:tcPr>
            <w:tcW w:w="449" w:type="pct"/>
            <w:vMerge w:val="restart"/>
          </w:tcPr>
          <w:p w14:paraId="7FBCFB7E" w14:textId="77777777" w:rsidR="006B1E94" w:rsidRPr="008741B0" w:rsidRDefault="006B1E94" w:rsidP="008F61DC">
            <w:pPr>
              <w:jc w:val="both"/>
              <w:rPr>
                <w:b/>
                <w:bCs/>
                <w:sz w:val="20"/>
                <w:szCs w:val="20"/>
              </w:rPr>
            </w:pPr>
            <w:r w:rsidRPr="008741B0">
              <w:rPr>
                <w:b/>
                <w:bCs/>
                <w:sz w:val="20"/>
                <w:szCs w:val="20"/>
              </w:rPr>
              <w:t>Age group (Years)</w:t>
            </w:r>
          </w:p>
        </w:tc>
        <w:tc>
          <w:tcPr>
            <w:tcW w:w="1835" w:type="pct"/>
            <w:gridSpan w:val="2"/>
          </w:tcPr>
          <w:p w14:paraId="100903F1" w14:textId="77777777" w:rsidR="006B1E94" w:rsidRPr="008741B0" w:rsidRDefault="006B1E94" w:rsidP="008F61DC">
            <w:pPr>
              <w:jc w:val="both"/>
              <w:rPr>
                <w:b/>
                <w:bCs/>
                <w:sz w:val="20"/>
                <w:szCs w:val="20"/>
              </w:rPr>
            </w:pPr>
            <w:r w:rsidRPr="008741B0">
              <w:rPr>
                <w:b/>
                <w:bCs/>
                <w:sz w:val="20"/>
                <w:szCs w:val="20"/>
              </w:rPr>
              <w:t>Monthly probabilities (SE)</w:t>
            </w:r>
          </w:p>
        </w:tc>
        <w:tc>
          <w:tcPr>
            <w:tcW w:w="1876" w:type="pct"/>
            <w:gridSpan w:val="2"/>
          </w:tcPr>
          <w:p w14:paraId="44E8EF12" w14:textId="77777777" w:rsidR="006B1E94" w:rsidRPr="008741B0" w:rsidRDefault="006B1E94" w:rsidP="008F61DC">
            <w:pPr>
              <w:jc w:val="both"/>
              <w:rPr>
                <w:b/>
                <w:bCs/>
                <w:sz w:val="20"/>
                <w:szCs w:val="20"/>
              </w:rPr>
            </w:pPr>
            <w:r w:rsidRPr="008741B0">
              <w:rPr>
                <w:b/>
                <w:bCs/>
                <w:sz w:val="20"/>
                <w:szCs w:val="20"/>
              </w:rPr>
              <w:t>Parameters for beta distribution (</w:t>
            </w:r>
            <m:oMath>
              <m:r>
                <m:rPr>
                  <m:sty m:val="bi"/>
                </m:rPr>
                <w:rPr>
                  <w:rFonts w:ascii="Cambria Math" w:hAnsi="Cambria Math"/>
                  <w:sz w:val="20"/>
                  <w:szCs w:val="20"/>
                </w:rPr>
                <m:t>α, β)</m:t>
              </m:r>
            </m:oMath>
          </w:p>
        </w:tc>
      </w:tr>
      <w:tr w:rsidR="006B1E94" w:rsidRPr="008741B0" w14:paraId="5B819406" w14:textId="77777777" w:rsidTr="008F61DC">
        <w:trPr>
          <w:cantSplit/>
          <w:trHeight w:val="404"/>
        </w:trPr>
        <w:tc>
          <w:tcPr>
            <w:tcW w:w="476" w:type="pct"/>
            <w:vMerge/>
          </w:tcPr>
          <w:p w14:paraId="2213C718" w14:textId="77777777" w:rsidR="006B1E94" w:rsidRPr="008741B0" w:rsidRDefault="006B1E94" w:rsidP="008F61DC">
            <w:pPr>
              <w:jc w:val="both"/>
              <w:rPr>
                <w:b/>
                <w:bCs/>
                <w:sz w:val="20"/>
                <w:szCs w:val="20"/>
              </w:rPr>
            </w:pPr>
          </w:p>
        </w:tc>
        <w:tc>
          <w:tcPr>
            <w:tcW w:w="364" w:type="pct"/>
            <w:vMerge/>
          </w:tcPr>
          <w:p w14:paraId="6BC9AECB" w14:textId="77777777" w:rsidR="006B1E94" w:rsidRPr="008741B0" w:rsidRDefault="006B1E94" w:rsidP="008F61DC">
            <w:pPr>
              <w:jc w:val="both"/>
              <w:rPr>
                <w:b/>
                <w:bCs/>
                <w:sz w:val="20"/>
                <w:szCs w:val="20"/>
              </w:rPr>
            </w:pPr>
          </w:p>
        </w:tc>
        <w:tc>
          <w:tcPr>
            <w:tcW w:w="449" w:type="pct"/>
            <w:vMerge/>
          </w:tcPr>
          <w:p w14:paraId="3343A219" w14:textId="77777777" w:rsidR="006B1E94" w:rsidRPr="008741B0" w:rsidRDefault="006B1E94" w:rsidP="008F61DC">
            <w:pPr>
              <w:jc w:val="both"/>
              <w:rPr>
                <w:b/>
                <w:bCs/>
                <w:sz w:val="20"/>
                <w:szCs w:val="20"/>
              </w:rPr>
            </w:pPr>
          </w:p>
        </w:tc>
        <w:tc>
          <w:tcPr>
            <w:tcW w:w="1146" w:type="pct"/>
          </w:tcPr>
          <w:p w14:paraId="44AE78C4" w14:textId="77777777" w:rsidR="006B1E94" w:rsidRPr="008741B0" w:rsidRDefault="006B1E94" w:rsidP="008F61DC">
            <w:pPr>
              <w:jc w:val="both"/>
              <w:rPr>
                <w:b/>
                <w:bCs/>
                <w:sz w:val="20"/>
                <w:szCs w:val="20"/>
              </w:rPr>
            </w:pPr>
            <w:r w:rsidRPr="008741B0">
              <w:rPr>
                <w:b/>
                <w:bCs/>
                <w:sz w:val="20"/>
                <w:szCs w:val="20"/>
              </w:rPr>
              <w:t xml:space="preserve">CD4&gt;500, &gt;350–500, </w:t>
            </w:r>
            <w:r>
              <w:rPr>
                <w:b/>
                <w:bCs/>
                <w:sz w:val="20"/>
                <w:szCs w:val="20"/>
              </w:rPr>
              <w:t xml:space="preserve">and </w:t>
            </w:r>
            <w:r w:rsidRPr="008741B0">
              <w:rPr>
                <w:b/>
                <w:bCs/>
                <w:sz w:val="20"/>
                <w:szCs w:val="20"/>
              </w:rPr>
              <w:t>&gt;200</w:t>
            </w:r>
            <w:r>
              <w:rPr>
                <w:b/>
                <w:bCs/>
                <w:sz w:val="20"/>
                <w:szCs w:val="20"/>
              </w:rPr>
              <w:t>–</w:t>
            </w:r>
            <w:r w:rsidRPr="008741B0">
              <w:rPr>
                <w:b/>
                <w:bCs/>
                <w:sz w:val="20"/>
                <w:szCs w:val="20"/>
              </w:rPr>
              <w:t>350</w:t>
            </w:r>
          </w:p>
        </w:tc>
        <w:tc>
          <w:tcPr>
            <w:tcW w:w="689" w:type="pct"/>
          </w:tcPr>
          <w:p w14:paraId="745BCF51" w14:textId="77777777" w:rsidR="006B1E94" w:rsidRPr="008741B0" w:rsidRDefault="006B1E94" w:rsidP="008F61DC">
            <w:pPr>
              <w:jc w:val="both"/>
              <w:rPr>
                <w:b/>
                <w:bCs/>
                <w:sz w:val="20"/>
                <w:szCs w:val="20"/>
              </w:rPr>
            </w:pPr>
            <w:r w:rsidRPr="008741B0">
              <w:rPr>
                <w:b/>
                <w:bCs/>
                <w:sz w:val="20"/>
                <w:szCs w:val="20"/>
              </w:rPr>
              <w:t>CD4≤200</w:t>
            </w:r>
          </w:p>
        </w:tc>
        <w:tc>
          <w:tcPr>
            <w:tcW w:w="1139" w:type="pct"/>
          </w:tcPr>
          <w:p w14:paraId="012D47A6" w14:textId="77777777" w:rsidR="006B1E94" w:rsidRPr="008741B0" w:rsidRDefault="006B1E94" w:rsidP="008F61DC">
            <w:pPr>
              <w:jc w:val="both"/>
              <w:rPr>
                <w:b/>
                <w:bCs/>
                <w:sz w:val="20"/>
                <w:szCs w:val="20"/>
              </w:rPr>
            </w:pPr>
            <w:r w:rsidRPr="008741B0">
              <w:rPr>
                <w:b/>
                <w:bCs/>
                <w:sz w:val="20"/>
                <w:szCs w:val="20"/>
              </w:rPr>
              <w:t xml:space="preserve">CD4&gt;500, &gt;350–500, </w:t>
            </w:r>
            <w:r>
              <w:rPr>
                <w:b/>
                <w:bCs/>
                <w:sz w:val="20"/>
                <w:szCs w:val="20"/>
              </w:rPr>
              <w:t xml:space="preserve">and </w:t>
            </w:r>
            <w:r w:rsidRPr="008741B0">
              <w:rPr>
                <w:b/>
                <w:bCs/>
                <w:sz w:val="20"/>
                <w:szCs w:val="20"/>
              </w:rPr>
              <w:t>&gt;200</w:t>
            </w:r>
            <w:r>
              <w:rPr>
                <w:b/>
                <w:bCs/>
                <w:sz w:val="20"/>
                <w:szCs w:val="20"/>
              </w:rPr>
              <w:t>–</w:t>
            </w:r>
            <w:r w:rsidRPr="008741B0">
              <w:rPr>
                <w:b/>
                <w:bCs/>
                <w:sz w:val="20"/>
                <w:szCs w:val="20"/>
              </w:rPr>
              <w:t>350</w:t>
            </w:r>
          </w:p>
        </w:tc>
        <w:tc>
          <w:tcPr>
            <w:tcW w:w="736" w:type="pct"/>
          </w:tcPr>
          <w:p w14:paraId="41224A1A" w14:textId="77777777" w:rsidR="006B1E94" w:rsidRPr="008741B0" w:rsidRDefault="006B1E94" w:rsidP="008F61DC">
            <w:pPr>
              <w:jc w:val="both"/>
              <w:rPr>
                <w:b/>
                <w:bCs/>
                <w:sz w:val="20"/>
                <w:szCs w:val="20"/>
              </w:rPr>
            </w:pPr>
            <w:r w:rsidRPr="008741B0">
              <w:rPr>
                <w:b/>
                <w:bCs/>
                <w:sz w:val="20"/>
                <w:szCs w:val="20"/>
              </w:rPr>
              <w:t>CD4≤200</w:t>
            </w:r>
          </w:p>
        </w:tc>
      </w:tr>
      <w:tr w:rsidR="006B1E94" w:rsidRPr="008741B0" w14:paraId="371B676E" w14:textId="77777777" w:rsidTr="008F61DC">
        <w:trPr>
          <w:cantSplit/>
          <w:trHeight w:val="298"/>
        </w:trPr>
        <w:tc>
          <w:tcPr>
            <w:tcW w:w="476" w:type="pct"/>
            <w:vMerge w:val="restart"/>
          </w:tcPr>
          <w:p w14:paraId="1518818D" w14:textId="77777777" w:rsidR="006B1E94" w:rsidRPr="008741B0" w:rsidRDefault="006B1E94" w:rsidP="008F61DC">
            <w:pPr>
              <w:jc w:val="both"/>
              <w:rPr>
                <w:sz w:val="20"/>
                <w:szCs w:val="20"/>
              </w:rPr>
            </w:pPr>
            <w:r w:rsidRPr="008741B0">
              <w:rPr>
                <w:sz w:val="20"/>
                <w:szCs w:val="20"/>
              </w:rPr>
              <w:t>Low-risk women</w:t>
            </w:r>
          </w:p>
        </w:tc>
        <w:tc>
          <w:tcPr>
            <w:tcW w:w="364" w:type="pct"/>
            <w:vMerge w:val="restart"/>
          </w:tcPr>
          <w:p w14:paraId="682EA9C1" w14:textId="77777777" w:rsidR="006B1E94" w:rsidRPr="008741B0" w:rsidRDefault="006B1E94" w:rsidP="008F61DC">
            <w:pPr>
              <w:jc w:val="both"/>
              <w:rPr>
                <w:sz w:val="20"/>
                <w:szCs w:val="20"/>
              </w:rPr>
            </w:pPr>
          </w:p>
          <w:p w14:paraId="61333F68" w14:textId="77777777" w:rsidR="006B1E94" w:rsidRPr="008741B0" w:rsidRDefault="006B1E94" w:rsidP="008F61DC">
            <w:pPr>
              <w:jc w:val="both"/>
              <w:rPr>
                <w:sz w:val="20"/>
                <w:szCs w:val="20"/>
              </w:rPr>
            </w:pPr>
          </w:p>
          <w:p w14:paraId="06146103" w14:textId="77777777" w:rsidR="006B1E94" w:rsidRPr="008741B0" w:rsidRDefault="006B1E94" w:rsidP="008F61DC">
            <w:pPr>
              <w:jc w:val="both"/>
              <w:rPr>
                <w:sz w:val="20"/>
                <w:szCs w:val="20"/>
              </w:rPr>
            </w:pPr>
            <w:r w:rsidRPr="008741B0">
              <w:rPr>
                <w:sz w:val="20"/>
                <w:szCs w:val="20"/>
              </w:rPr>
              <w:t>2005</w:t>
            </w:r>
          </w:p>
        </w:tc>
        <w:tc>
          <w:tcPr>
            <w:tcW w:w="449" w:type="pct"/>
          </w:tcPr>
          <w:p w14:paraId="56DA569A" w14:textId="77777777" w:rsidR="006B1E94" w:rsidRPr="008741B0" w:rsidRDefault="006B1E94" w:rsidP="008F61DC">
            <w:pPr>
              <w:jc w:val="both"/>
              <w:rPr>
                <w:sz w:val="20"/>
                <w:szCs w:val="20"/>
              </w:rPr>
            </w:pPr>
            <w:r w:rsidRPr="008741B0">
              <w:rPr>
                <w:sz w:val="20"/>
                <w:szCs w:val="20"/>
              </w:rPr>
              <w:t>15-24</w:t>
            </w:r>
          </w:p>
        </w:tc>
        <w:tc>
          <w:tcPr>
            <w:tcW w:w="1146" w:type="pct"/>
          </w:tcPr>
          <w:p w14:paraId="113939B9" w14:textId="77777777" w:rsidR="006B1E94" w:rsidRPr="008741B0" w:rsidRDefault="006B1E94" w:rsidP="008F61DC">
            <w:pPr>
              <w:jc w:val="both"/>
              <w:rPr>
                <w:sz w:val="20"/>
                <w:szCs w:val="20"/>
              </w:rPr>
            </w:pPr>
            <w:r w:rsidRPr="008741B0">
              <w:rPr>
                <w:sz w:val="20"/>
                <w:szCs w:val="20"/>
              </w:rPr>
              <w:t>0.0163 (0.0059)</w:t>
            </w:r>
          </w:p>
        </w:tc>
        <w:tc>
          <w:tcPr>
            <w:tcW w:w="689" w:type="pct"/>
          </w:tcPr>
          <w:p w14:paraId="5B6837A3" w14:textId="77777777" w:rsidR="006B1E94" w:rsidRPr="008741B0" w:rsidRDefault="006B1E94" w:rsidP="008F61DC">
            <w:pPr>
              <w:jc w:val="both"/>
              <w:rPr>
                <w:sz w:val="20"/>
                <w:szCs w:val="20"/>
              </w:rPr>
            </w:pPr>
            <w:r w:rsidRPr="008741B0">
              <w:rPr>
                <w:sz w:val="20"/>
                <w:szCs w:val="20"/>
              </w:rPr>
              <w:t>0.0243 (0.0089)</w:t>
            </w:r>
          </w:p>
        </w:tc>
        <w:tc>
          <w:tcPr>
            <w:tcW w:w="1139" w:type="pct"/>
          </w:tcPr>
          <w:p w14:paraId="482B425A" w14:textId="77777777" w:rsidR="006B1E94" w:rsidRPr="008741B0" w:rsidRDefault="006B1E94" w:rsidP="008F61DC">
            <w:pPr>
              <w:jc w:val="both"/>
              <w:rPr>
                <w:sz w:val="20"/>
                <w:szCs w:val="20"/>
              </w:rPr>
            </w:pPr>
            <w:r w:rsidRPr="008741B0">
              <w:rPr>
                <w:sz w:val="20"/>
                <w:szCs w:val="20"/>
              </w:rPr>
              <w:t>(7.43, 448.48)</w:t>
            </w:r>
          </w:p>
        </w:tc>
        <w:tc>
          <w:tcPr>
            <w:tcW w:w="736" w:type="pct"/>
          </w:tcPr>
          <w:p w14:paraId="3E9D643E" w14:textId="77777777" w:rsidR="006B1E94" w:rsidRPr="008741B0" w:rsidRDefault="006B1E94" w:rsidP="008F61DC">
            <w:pPr>
              <w:jc w:val="both"/>
              <w:rPr>
                <w:sz w:val="20"/>
                <w:szCs w:val="20"/>
              </w:rPr>
            </w:pPr>
            <w:r w:rsidRPr="008741B0">
              <w:rPr>
                <w:sz w:val="20"/>
                <w:szCs w:val="20"/>
              </w:rPr>
              <w:t>(7.32, 293.45)</w:t>
            </w:r>
          </w:p>
        </w:tc>
      </w:tr>
      <w:tr w:rsidR="006B1E94" w:rsidRPr="008741B0" w14:paraId="5D32109A" w14:textId="77777777" w:rsidTr="008F61DC">
        <w:trPr>
          <w:cantSplit/>
          <w:trHeight w:val="298"/>
        </w:trPr>
        <w:tc>
          <w:tcPr>
            <w:tcW w:w="476" w:type="pct"/>
            <w:vMerge/>
          </w:tcPr>
          <w:p w14:paraId="315BB6B0" w14:textId="77777777" w:rsidR="006B1E94" w:rsidRPr="008741B0" w:rsidRDefault="006B1E94" w:rsidP="008F61DC">
            <w:pPr>
              <w:jc w:val="both"/>
              <w:rPr>
                <w:sz w:val="20"/>
                <w:szCs w:val="20"/>
              </w:rPr>
            </w:pPr>
          </w:p>
        </w:tc>
        <w:tc>
          <w:tcPr>
            <w:tcW w:w="364" w:type="pct"/>
            <w:vMerge/>
          </w:tcPr>
          <w:p w14:paraId="267C3B9B" w14:textId="77777777" w:rsidR="006B1E94" w:rsidRPr="008741B0" w:rsidRDefault="006B1E94" w:rsidP="008F61DC">
            <w:pPr>
              <w:jc w:val="both"/>
              <w:rPr>
                <w:sz w:val="20"/>
                <w:szCs w:val="20"/>
              </w:rPr>
            </w:pPr>
          </w:p>
        </w:tc>
        <w:tc>
          <w:tcPr>
            <w:tcW w:w="449" w:type="pct"/>
          </w:tcPr>
          <w:p w14:paraId="07076F98" w14:textId="77777777" w:rsidR="006B1E94" w:rsidRPr="008741B0" w:rsidRDefault="006B1E94" w:rsidP="008F61DC">
            <w:pPr>
              <w:jc w:val="both"/>
              <w:rPr>
                <w:sz w:val="20"/>
                <w:szCs w:val="20"/>
              </w:rPr>
            </w:pPr>
            <w:r w:rsidRPr="008741B0">
              <w:rPr>
                <w:sz w:val="20"/>
                <w:szCs w:val="20"/>
              </w:rPr>
              <w:t>25-34</w:t>
            </w:r>
          </w:p>
        </w:tc>
        <w:tc>
          <w:tcPr>
            <w:tcW w:w="1146" w:type="pct"/>
          </w:tcPr>
          <w:p w14:paraId="4350DC3B" w14:textId="77777777" w:rsidR="006B1E94" w:rsidRPr="008741B0" w:rsidRDefault="006B1E94" w:rsidP="008F61DC">
            <w:pPr>
              <w:jc w:val="both"/>
              <w:rPr>
                <w:sz w:val="20"/>
                <w:szCs w:val="20"/>
              </w:rPr>
            </w:pPr>
            <w:r w:rsidRPr="008741B0">
              <w:rPr>
                <w:sz w:val="20"/>
                <w:szCs w:val="20"/>
              </w:rPr>
              <w:t>0.0266 (0.0051)</w:t>
            </w:r>
          </w:p>
        </w:tc>
        <w:tc>
          <w:tcPr>
            <w:tcW w:w="689" w:type="pct"/>
          </w:tcPr>
          <w:p w14:paraId="101D9E40" w14:textId="77777777" w:rsidR="006B1E94" w:rsidRPr="008741B0" w:rsidRDefault="006B1E94" w:rsidP="008F61DC">
            <w:pPr>
              <w:jc w:val="both"/>
              <w:rPr>
                <w:sz w:val="20"/>
                <w:szCs w:val="20"/>
              </w:rPr>
            </w:pPr>
            <w:r w:rsidRPr="008741B0">
              <w:rPr>
                <w:sz w:val="20"/>
                <w:szCs w:val="20"/>
              </w:rPr>
              <w:t xml:space="preserve">0.0396 (0.0076) </w:t>
            </w:r>
          </w:p>
        </w:tc>
        <w:tc>
          <w:tcPr>
            <w:tcW w:w="1139" w:type="pct"/>
          </w:tcPr>
          <w:p w14:paraId="5B4CB66B" w14:textId="77777777" w:rsidR="006B1E94" w:rsidRPr="008741B0" w:rsidRDefault="006B1E94" w:rsidP="008F61DC">
            <w:pPr>
              <w:jc w:val="both"/>
              <w:rPr>
                <w:sz w:val="20"/>
                <w:szCs w:val="20"/>
              </w:rPr>
            </w:pPr>
            <w:r w:rsidRPr="008741B0">
              <w:rPr>
                <w:sz w:val="20"/>
                <w:szCs w:val="20"/>
              </w:rPr>
              <w:t>(26.60, 974.38)</w:t>
            </w:r>
          </w:p>
        </w:tc>
        <w:tc>
          <w:tcPr>
            <w:tcW w:w="736" w:type="pct"/>
          </w:tcPr>
          <w:p w14:paraId="28FF176A" w14:textId="77777777" w:rsidR="006B1E94" w:rsidRPr="008741B0" w:rsidRDefault="006B1E94" w:rsidP="008F61DC">
            <w:pPr>
              <w:jc w:val="both"/>
              <w:rPr>
                <w:sz w:val="20"/>
                <w:szCs w:val="20"/>
              </w:rPr>
            </w:pPr>
            <w:r w:rsidRPr="008741B0">
              <w:rPr>
                <w:sz w:val="20"/>
                <w:szCs w:val="20"/>
              </w:rPr>
              <w:t>(25.95, 629.37)</w:t>
            </w:r>
          </w:p>
        </w:tc>
      </w:tr>
      <w:tr w:rsidR="006B1E94" w:rsidRPr="008741B0" w14:paraId="2289A177" w14:textId="77777777" w:rsidTr="008F61DC">
        <w:trPr>
          <w:cantSplit/>
          <w:trHeight w:val="279"/>
        </w:trPr>
        <w:tc>
          <w:tcPr>
            <w:tcW w:w="476" w:type="pct"/>
            <w:vMerge/>
          </w:tcPr>
          <w:p w14:paraId="64B3CEA4" w14:textId="77777777" w:rsidR="006B1E94" w:rsidRPr="008741B0" w:rsidRDefault="006B1E94" w:rsidP="008F61DC">
            <w:pPr>
              <w:jc w:val="both"/>
              <w:rPr>
                <w:sz w:val="20"/>
                <w:szCs w:val="20"/>
              </w:rPr>
            </w:pPr>
          </w:p>
        </w:tc>
        <w:tc>
          <w:tcPr>
            <w:tcW w:w="364" w:type="pct"/>
            <w:vMerge/>
          </w:tcPr>
          <w:p w14:paraId="610B5C97" w14:textId="77777777" w:rsidR="006B1E94" w:rsidRPr="008741B0" w:rsidRDefault="006B1E94" w:rsidP="008F61DC">
            <w:pPr>
              <w:jc w:val="both"/>
              <w:rPr>
                <w:sz w:val="20"/>
                <w:szCs w:val="20"/>
              </w:rPr>
            </w:pPr>
          </w:p>
        </w:tc>
        <w:tc>
          <w:tcPr>
            <w:tcW w:w="449" w:type="pct"/>
          </w:tcPr>
          <w:p w14:paraId="0BEC0618" w14:textId="77777777" w:rsidR="006B1E94" w:rsidRPr="008741B0" w:rsidRDefault="006B1E94" w:rsidP="008F61DC">
            <w:pPr>
              <w:jc w:val="both"/>
              <w:rPr>
                <w:sz w:val="20"/>
                <w:szCs w:val="20"/>
              </w:rPr>
            </w:pPr>
            <w:r w:rsidRPr="008741B0">
              <w:rPr>
                <w:sz w:val="20"/>
                <w:szCs w:val="20"/>
              </w:rPr>
              <w:t>35+</w:t>
            </w:r>
          </w:p>
        </w:tc>
        <w:tc>
          <w:tcPr>
            <w:tcW w:w="1146" w:type="pct"/>
          </w:tcPr>
          <w:p w14:paraId="78B27625" w14:textId="77777777" w:rsidR="006B1E94" w:rsidRPr="008741B0" w:rsidRDefault="006B1E94" w:rsidP="008F61DC">
            <w:pPr>
              <w:jc w:val="both"/>
              <w:rPr>
                <w:sz w:val="20"/>
                <w:szCs w:val="20"/>
              </w:rPr>
            </w:pPr>
            <w:r w:rsidRPr="008741B0">
              <w:rPr>
                <w:sz w:val="20"/>
                <w:szCs w:val="20"/>
              </w:rPr>
              <w:t>0.0274 (0.0045)</w:t>
            </w:r>
          </w:p>
        </w:tc>
        <w:tc>
          <w:tcPr>
            <w:tcW w:w="689" w:type="pct"/>
          </w:tcPr>
          <w:p w14:paraId="716B68D1" w14:textId="77777777" w:rsidR="006B1E94" w:rsidRPr="008741B0" w:rsidRDefault="006B1E94" w:rsidP="008F61DC">
            <w:pPr>
              <w:jc w:val="both"/>
              <w:rPr>
                <w:sz w:val="20"/>
                <w:szCs w:val="20"/>
              </w:rPr>
            </w:pPr>
            <w:r w:rsidRPr="008741B0">
              <w:rPr>
                <w:sz w:val="20"/>
                <w:szCs w:val="20"/>
              </w:rPr>
              <w:t>0.0408 (0.0068)</w:t>
            </w:r>
          </w:p>
        </w:tc>
        <w:tc>
          <w:tcPr>
            <w:tcW w:w="1139" w:type="pct"/>
          </w:tcPr>
          <w:p w14:paraId="40A11209" w14:textId="77777777" w:rsidR="006B1E94" w:rsidRPr="008741B0" w:rsidRDefault="006B1E94" w:rsidP="008F61DC">
            <w:pPr>
              <w:jc w:val="both"/>
              <w:rPr>
                <w:sz w:val="20"/>
                <w:szCs w:val="20"/>
              </w:rPr>
            </w:pPr>
            <w:r w:rsidRPr="008741B0">
              <w:rPr>
                <w:sz w:val="20"/>
                <w:szCs w:val="20"/>
              </w:rPr>
              <w:t>(35.89, 1273.64)</w:t>
            </w:r>
          </w:p>
        </w:tc>
        <w:tc>
          <w:tcPr>
            <w:tcW w:w="736" w:type="pct"/>
          </w:tcPr>
          <w:p w14:paraId="7E3DC3B3" w14:textId="77777777" w:rsidR="006B1E94" w:rsidRPr="008741B0" w:rsidRDefault="006B1E94" w:rsidP="008F61DC">
            <w:pPr>
              <w:jc w:val="both"/>
              <w:rPr>
                <w:sz w:val="20"/>
                <w:szCs w:val="20"/>
              </w:rPr>
            </w:pPr>
            <w:r w:rsidRPr="008741B0">
              <w:rPr>
                <w:sz w:val="20"/>
                <w:szCs w:val="20"/>
              </w:rPr>
              <w:t>(34.98, 821.66)</w:t>
            </w:r>
          </w:p>
        </w:tc>
      </w:tr>
      <w:tr w:rsidR="006B1E94" w:rsidRPr="008741B0" w14:paraId="50F80944" w14:textId="77777777" w:rsidTr="008F61DC">
        <w:trPr>
          <w:cantSplit/>
          <w:trHeight w:val="298"/>
        </w:trPr>
        <w:tc>
          <w:tcPr>
            <w:tcW w:w="476" w:type="pct"/>
            <w:vMerge/>
          </w:tcPr>
          <w:p w14:paraId="15041A64" w14:textId="77777777" w:rsidR="006B1E94" w:rsidRPr="008741B0" w:rsidRDefault="006B1E94" w:rsidP="008F61DC">
            <w:pPr>
              <w:jc w:val="both"/>
              <w:rPr>
                <w:sz w:val="20"/>
                <w:szCs w:val="20"/>
              </w:rPr>
            </w:pPr>
          </w:p>
        </w:tc>
        <w:tc>
          <w:tcPr>
            <w:tcW w:w="364" w:type="pct"/>
            <w:vMerge w:val="restart"/>
          </w:tcPr>
          <w:p w14:paraId="59751EBB" w14:textId="77777777" w:rsidR="006B1E94" w:rsidRPr="008741B0" w:rsidRDefault="006B1E94" w:rsidP="008F61DC">
            <w:pPr>
              <w:jc w:val="both"/>
              <w:rPr>
                <w:sz w:val="20"/>
                <w:szCs w:val="20"/>
              </w:rPr>
            </w:pPr>
          </w:p>
          <w:p w14:paraId="7D28D2CF" w14:textId="77777777" w:rsidR="006B1E94" w:rsidRPr="008741B0" w:rsidRDefault="006B1E94" w:rsidP="008F61DC">
            <w:pPr>
              <w:jc w:val="both"/>
              <w:rPr>
                <w:sz w:val="20"/>
                <w:szCs w:val="20"/>
              </w:rPr>
            </w:pPr>
          </w:p>
          <w:p w14:paraId="222C381A" w14:textId="77777777" w:rsidR="006B1E94" w:rsidRPr="008741B0" w:rsidRDefault="006B1E94" w:rsidP="008F61DC">
            <w:pPr>
              <w:jc w:val="both"/>
              <w:rPr>
                <w:sz w:val="20"/>
                <w:szCs w:val="20"/>
              </w:rPr>
            </w:pPr>
            <w:r w:rsidRPr="008741B0">
              <w:rPr>
                <w:sz w:val="20"/>
                <w:szCs w:val="20"/>
              </w:rPr>
              <w:t>2010</w:t>
            </w:r>
          </w:p>
        </w:tc>
        <w:tc>
          <w:tcPr>
            <w:tcW w:w="449" w:type="pct"/>
          </w:tcPr>
          <w:p w14:paraId="1570FC50" w14:textId="77777777" w:rsidR="006B1E94" w:rsidRPr="008741B0" w:rsidRDefault="006B1E94" w:rsidP="008F61DC">
            <w:pPr>
              <w:jc w:val="both"/>
              <w:rPr>
                <w:sz w:val="20"/>
                <w:szCs w:val="20"/>
              </w:rPr>
            </w:pPr>
            <w:r w:rsidRPr="008741B0">
              <w:rPr>
                <w:sz w:val="20"/>
                <w:szCs w:val="20"/>
              </w:rPr>
              <w:t>15-24</w:t>
            </w:r>
          </w:p>
        </w:tc>
        <w:tc>
          <w:tcPr>
            <w:tcW w:w="1146" w:type="pct"/>
          </w:tcPr>
          <w:p w14:paraId="2A8C4BC0" w14:textId="77777777" w:rsidR="006B1E94" w:rsidRPr="008741B0" w:rsidRDefault="006B1E94" w:rsidP="008F61DC">
            <w:pPr>
              <w:jc w:val="both"/>
              <w:rPr>
                <w:sz w:val="20"/>
                <w:szCs w:val="20"/>
              </w:rPr>
            </w:pPr>
            <w:r w:rsidRPr="008741B0">
              <w:rPr>
                <w:sz w:val="20"/>
                <w:szCs w:val="20"/>
              </w:rPr>
              <w:t>0.1446 (0.0087)</w:t>
            </w:r>
          </w:p>
        </w:tc>
        <w:tc>
          <w:tcPr>
            <w:tcW w:w="689" w:type="pct"/>
          </w:tcPr>
          <w:p w14:paraId="6342D18D" w14:textId="77777777" w:rsidR="006B1E94" w:rsidRPr="008741B0" w:rsidRDefault="006B1E94" w:rsidP="008F61DC">
            <w:pPr>
              <w:jc w:val="both"/>
              <w:rPr>
                <w:sz w:val="20"/>
                <w:szCs w:val="20"/>
              </w:rPr>
            </w:pPr>
            <w:r w:rsidRPr="008741B0">
              <w:rPr>
                <w:sz w:val="20"/>
                <w:szCs w:val="20"/>
              </w:rPr>
              <w:t>0.2089 (0.0130)</w:t>
            </w:r>
          </w:p>
        </w:tc>
        <w:tc>
          <w:tcPr>
            <w:tcW w:w="1139" w:type="pct"/>
          </w:tcPr>
          <w:p w14:paraId="156DEF08" w14:textId="77777777" w:rsidR="006B1E94" w:rsidRPr="008741B0" w:rsidRDefault="006B1E94" w:rsidP="008F61DC">
            <w:pPr>
              <w:jc w:val="both"/>
              <w:rPr>
                <w:sz w:val="20"/>
                <w:szCs w:val="20"/>
              </w:rPr>
            </w:pPr>
            <w:r w:rsidRPr="008741B0">
              <w:rPr>
                <w:sz w:val="20"/>
                <w:szCs w:val="20"/>
              </w:rPr>
              <w:t>(236.99, 1401.57)</w:t>
            </w:r>
          </w:p>
        </w:tc>
        <w:tc>
          <w:tcPr>
            <w:tcW w:w="736" w:type="pct"/>
          </w:tcPr>
          <w:p w14:paraId="3577D375" w14:textId="77777777" w:rsidR="006B1E94" w:rsidRPr="008741B0" w:rsidRDefault="006B1E94" w:rsidP="008F61DC">
            <w:pPr>
              <w:jc w:val="both"/>
              <w:rPr>
                <w:sz w:val="20"/>
                <w:szCs w:val="20"/>
              </w:rPr>
            </w:pPr>
            <w:r w:rsidRPr="008741B0">
              <w:rPr>
                <w:sz w:val="20"/>
                <w:szCs w:val="20"/>
              </w:rPr>
              <w:t>(204.03, 772.64)</w:t>
            </w:r>
          </w:p>
        </w:tc>
      </w:tr>
      <w:tr w:rsidR="006B1E94" w:rsidRPr="008741B0" w14:paraId="2F96FB68" w14:textId="77777777" w:rsidTr="008F61DC">
        <w:trPr>
          <w:cantSplit/>
          <w:trHeight w:val="298"/>
        </w:trPr>
        <w:tc>
          <w:tcPr>
            <w:tcW w:w="476" w:type="pct"/>
            <w:vMerge/>
          </w:tcPr>
          <w:p w14:paraId="568866C5" w14:textId="77777777" w:rsidR="006B1E94" w:rsidRPr="008741B0" w:rsidRDefault="006B1E94" w:rsidP="008F61DC">
            <w:pPr>
              <w:jc w:val="both"/>
              <w:rPr>
                <w:sz w:val="20"/>
                <w:szCs w:val="20"/>
              </w:rPr>
            </w:pPr>
          </w:p>
        </w:tc>
        <w:tc>
          <w:tcPr>
            <w:tcW w:w="364" w:type="pct"/>
            <w:vMerge/>
          </w:tcPr>
          <w:p w14:paraId="49DB7114" w14:textId="77777777" w:rsidR="006B1E94" w:rsidRPr="008741B0" w:rsidRDefault="006B1E94" w:rsidP="008F61DC">
            <w:pPr>
              <w:jc w:val="both"/>
              <w:rPr>
                <w:sz w:val="20"/>
                <w:szCs w:val="20"/>
              </w:rPr>
            </w:pPr>
          </w:p>
        </w:tc>
        <w:tc>
          <w:tcPr>
            <w:tcW w:w="449" w:type="pct"/>
          </w:tcPr>
          <w:p w14:paraId="028DDA1F" w14:textId="77777777" w:rsidR="006B1E94" w:rsidRPr="008741B0" w:rsidRDefault="006B1E94" w:rsidP="008F61DC">
            <w:pPr>
              <w:jc w:val="both"/>
              <w:rPr>
                <w:sz w:val="20"/>
                <w:szCs w:val="20"/>
              </w:rPr>
            </w:pPr>
            <w:r w:rsidRPr="008741B0">
              <w:rPr>
                <w:sz w:val="20"/>
                <w:szCs w:val="20"/>
              </w:rPr>
              <w:t>25-34</w:t>
            </w:r>
          </w:p>
        </w:tc>
        <w:tc>
          <w:tcPr>
            <w:tcW w:w="1146" w:type="pct"/>
          </w:tcPr>
          <w:p w14:paraId="16F5802D" w14:textId="77777777" w:rsidR="006B1E94" w:rsidRPr="008741B0" w:rsidRDefault="006B1E94" w:rsidP="008F61DC">
            <w:pPr>
              <w:jc w:val="both"/>
              <w:rPr>
                <w:sz w:val="20"/>
                <w:szCs w:val="20"/>
              </w:rPr>
            </w:pPr>
            <w:r w:rsidRPr="008741B0">
              <w:rPr>
                <w:sz w:val="20"/>
                <w:szCs w:val="20"/>
              </w:rPr>
              <w:t>0.1460 (0.0068)</w:t>
            </w:r>
          </w:p>
        </w:tc>
        <w:tc>
          <w:tcPr>
            <w:tcW w:w="689" w:type="pct"/>
          </w:tcPr>
          <w:p w14:paraId="6342F891" w14:textId="77777777" w:rsidR="006B1E94" w:rsidRPr="008741B0" w:rsidRDefault="006B1E94" w:rsidP="008F61DC">
            <w:pPr>
              <w:jc w:val="both"/>
              <w:rPr>
                <w:sz w:val="20"/>
                <w:szCs w:val="20"/>
              </w:rPr>
            </w:pPr>
            <w:r w:rsidRPr="008741B0">
              <w:rPr>
                <w:sz w:val="20"/>
                <w:szCs w:val="20"/>
              </w:rPr>
              <w:t>0.2109 (0.0102)</w:t>
            </w:r>
          </w:p>
        </w:tc>
        <w:tc>
          <w:tcPr>
            <w:tcW w:w="1139" w:type="pct"/>
          </w:tcPr>
          <w:p w14:paraId="1B46C8B1" w14:textId="77777777" w:rsidR="006B1E94" w:rsidRPr="008741B0" w:rsidRDefault="006B1E94" w:rsidP="008F61DC">
            <w:pPr>
              <w:jc w:val="both"/>
              <w:rPr>
                <w:sz w:val="20"/>
                <w:szCs w:val="20"/>
              </w:rPr>
            </w:pPr>
            <w:r w:rsidRPr="008741B0">
              <w:rPr>
                <w:sz w:val="20"/>
                <w:szCs w:val="20"/>
              </w:rPr>
              <w:t>(396.00, 2315.55)</w:t>
            </w:r>
          </w:p>
        </w:tc>
        <w:tc>
          <w:tcPr>
            <w:tcW w:w="736" w:type="pct"/>
          </w:tcPr>
          <w:p w14:paraId="058DE501" w14:textId="77777777" w:rsidR="006B1E94" w:rsidRPr="008741B0" w:rsidRDefault="006B1E94" w:rsidP="008F61DC">
            <w:pPr>
              <w:jc w:val="both"/>
              <w:rPr>
                <w:sz w:val="20"/>
                <w:szCs w:val="20"/>
              </w:rPr>
            </w:pPr>
            <w:r w:rsidRPr="008741B0">
              <w:rPr>
                <w:sz w:val="20"/>
                <w:szCs w:val="20"/>
              </w:rPr>
              <w:t>(340.11, 1272.89)</w:t>
            </w:r>
          </w:p>
        </w:tc>
      </w:tr>
      <w:tr w:rsidR="006B1E94" w:rsidRPr="008741B0" w14:paraId="002C1371" w14:textId="77777777" w:rsidTr="008F61DC">
        <w:trPr>
          <w:cantSplit/>
          <w:trHeight w:val="298"/>
        </w:trPr>
        <w:tc>
          <w:tcPr>
            <w:tcW w:w="476" w:type="pct"/>
            <w:vMerge/>
          </w:tcPr>
          <w:p w14:paraId="4E37866B" w14:textId="77777777" w:rsidR="006B1E94" w:rsidRPr="008741B0" w:rsidRDefault="006B1E94" w:rsidP="008F61DC">
            <w:pPr>
              <w:jc w:val="both"/>
              <w:rPr>
                <w:sz w:val="20"/>
                <w:szCs w:val="20"/>
              </w:rPr>
            </w:pPr>
          </w:p>
        </w:tc>
        <w:tc>
          <w:tcPr>
            <w:tcW w:w="364" w:type="pct"/>
            <w:vMerge/>
          </w:tcPr>
          <w:p w14:paraId="432C9535" w14:textId="77777777" w:rsidR="006B1E94" w:rsidRPr="008741B0" w:rsidRDefault="006B1E94" w:rsidP="008F61DC">
            <w:pPr>
              <w:jc w:val="both"/>
              <w:rPr>
                <w:sz w:val="20"/>
                <w:szCs w:val="20"/>
              </w:rPr>
            </w:pPr>
          </w:p>
        </w:tc>
        <w:tc>
          <w:tcPr>
            <w:tcW w:w="449" w:type="pct"/>
          </w:tcPr>
          <w:p w14:paraId="2064E008" w14:textId="77777777" w:rsidR="006B1E94" w:rsidRPr="008741B0" w:rsidRDefault="006B1E94" w:rsidP="008F61DC">
            <w:pPr>
              <w:jc w:val="both"/>
              <w:rPr>
                <w:sz w:val="20"/>
                <w:szCs w:val="20"/>
              </w:rPr>
            </w:pPr>
            <w:r w:rsidRPr="008741B0">
              <w:rPr>
                <w:sz w:val="20"/>
                <w:szCs w:val="20"/>
              </w:rPr>
              <w:t>35+</w:t>
            </w:r>
          </w:p>
        </w:tc>
        <w:tc>
          <w:tcPr>
            <w:tcW w:w="1146" w:type="pct"/>
          </w:tcPr>
          <w:p w14:paraId="58F35B36" w14:textId="77777777" w:rsidR="006B1E94" w:rsidRPr="008741B0" w:rsidRDefault="006B1E94" w:rsidP="008F61DC">
            <w:pPr>
              <w:jc w:val="both"/>
              <w:rPr>
                <w:sz w:val="20"/>
                <w:szCs w:val="20"/>
              </w:rPr>
            </w:pPr>
            <w:r w:rsidRPr="008741B0">
              <w:rPr>
                <w:sz w:val="20"/>
                <w:szCs w:val="20"/>
              </w:rPr>
              <w:t>0.1112 (0.0064)</w:t>
            </w:r>
          </w:p>
        </w:tc>
        <w:tc>
          <w:tcPr>
            <w:tcW w:w="689" w:type="pct"/>
          </w:tcPr>
          <w:p w14:paraId="0AFF0B53" w14:textId="77777777" w:rsidR="006B1E94" w:rsidRPr="008741B0" w:rsidRDefault="006B1E94" w:rsidP="008F61DC">
            <w:pPr>
              <w:jc w:val="both"/>
              <w:rPr>
                <w:sz w:val="20"/>
                <w:szCs w:val="20"/>
              </w:rPr>
            </w:pPr>
            <w:r w:rsidRPr="008741B0">
              <w:rPr>
                <w:sz w:val="20"/>
                <w:szCs w:val="20"/>
              </w:rPr>
              <w:t>0.1621 (0.0096)</w:t>
            </w:r>
          </w:p>
        </w:tc>
        <w:tc>
          <w:tcPr>
            <w:tcW w:w="1139" w:type="pct"/>
          </w:tcPr>
          <w:p w14:paraId="7562276C" w14:textId="77777777" w:rsidR="006B1E94" w:rsidRPr="008741B0" w:rsidRDefault="006B1E94" w:rsidP="008F61DC">
            <w:pPr>
              <w:jc w:val="both"/>
              <w:rPr>
                <w:sz w:val="20"/>
                <w:szCs w:val="20"/>
              </w:rPr>
            </w:pPr>
            <w:r w:rsidRPr="008741B0">
              <w:rPr>
                <w:sz w:val="20"/>
                <w:szCs w:val="20"/>
              </w:rPr>
              <w:t>(265.06, 2117.76)</w:t>
            </w:r>
          </w:p>
        </w:tc>
        <w:tc>
          <w:tcPr>
            <w:tcW w:w="736" w:type="pct"/>
          </w:tcPr>
          <w:p w14:paraId="518F43E2" w14:textId="77777777" w:rsidR="006B1E94" w:rsidRPr="008741B0" w:rsidRDefault="006B1E94" w:rsidP="008F61DC">
            <w:pPr>
              <w:jc w:val="both"/>
              <w:rPr>
                <w:sz w:val="20"/>
                <w:szCs w:val="20"/>
              </w:rPr>
            </w:pPr>
            <w:r w:rsidRPr="008741B0">
              <w:rPr>
                <w:sz w:val="20"/>
                <w:szCs w:val="20"/>
              </w:rPr>
              <w:t>(236.62, 1222.84)</w:t>
            </w:r>
          </w:p>
        </w:tc>
      </w:tr>
      <w:tr w:rsidR="006B1E94" w:rsidRPr="008741B0" w14:paraId="70086B06" w14:textId="77777777" w:rsidTr="008F61DC">
        <w:trPr>
          <w:cantSplit/>
          <w:trHeight w:val="298"/>
        </w:trPr>
        <w:tc>
          <w:tcPr>
            <w:tcW w:w="476" w:type="pct"/>
            <w:vMerge/>
          </w:tcPr>
          <w:p w14:paraId="35F27D77" w14:textId="77777777" w:rsidR="006B1E94" w:rsidRPr="008741B0" w:rsidRDefault="006B1E94" w:rsidP="008F61DC">
            <w:pPr>
              <w:jc w:val="both"/>
              <w:rPr>
                <w:sz w:val="20"/>
                <w:szCs w:val="20"/>
              </w:rPr>
            </w:pPr>
          </w:p>
        </w:tc>
        <w:tc>
          <w:tcPr>
            <w:tcW w:w="364" w:type="pct"/>
            <w:vMerge w:val="restart"/>
          </w:tcPr>
          <w:p w14:paraId="32C4068A" w14:textId="77777777" w:rsidR="006B1E94" w:rsidRPr="008741B0" w:rsidRDefault="006B1E94" w:rsidP="008F61DC">
            <w:pPr>
              <w:jc w:val="both"/>
              <w:rPr>
                <w:sz w:val="20"/>
                <w:szCs w:val="20"/>
              </w:rPr>
            </w:pPr>
          </w:p>
          <w:p w14:paraId="253BA8DD" w14:textId="77777777" w:rsidR="006B1E94" w:rsidRPr="008741B0" w:rsidRDefault="006B1E94" w:rsidP="008F61DC">
            <w:pPr>
              <w:jc w:val="both"/>
              <w:rPr>
                <w:sz w:val="20"/>
                <w:szCs w:val="20"/>
              </w:rPr>
            </w:pPr>
          </w:p>
          <w:p w14:paraId="7CC9D9C2" w14:textId="77777777" w:rsidR="006B1E94" w:rsidRPr="008741B0" w:rsidRDefault="006B1E94" w:rsidP="008F61DC">
            <w:pPr>
              <w:jc w:val="both"/>
              <w:rPr>
                <w:sz w:val="20"/>
                <w:szCs w:val="20"/>
              </w:rPr>
            </w:pPr>
            <w:r w:rsidRPr="008741B0">
              <w:rPr>
                <w:sz w:val="20"/>
                <w:szCs w:val="20"/>
              </w:rPr>
              <w:t>2015</w:t>
            </w:r>
          </w:p>
        </w:tc>
        <w:tc>
          <w:tcPr>
            <w:tcW w:w="449" w:type="pct"/>
          </w:tcPr>
          <w:p w14:paraId="66B3DF82" w14:textId="77777777" w:rsidR="006B1E94" w:rsidRPr="008741B0" w:rsidRDefault="006B1E94" w:rsidP="008F61DC">
            <w:pPr>
              <w:jc w:val="both"/>
              <w:rPr>
                <w:sz w:val="20"/>
                <w:szCs w:val="20"/>
              </w:rPr>
            </w:pPr>
            <w:r w:rsidRPr="008741B0">
              <w:rPr>
                <w:sz w:val="20"/>
                <w:szCs w:val="20"/>
              </w:rPr>
              <w:t>15-24</w:t>
            </w:r>
          </w:p>
        </w:tc>
        <w:tc>
          <w:tcPr>
            <w:tcW w:w="1146" w:type="pct"/>
          </w:tcPr>
          <w:p w14:paraId="1D927E22" w14:textId="77777777" w:rsidR="006B1E94" w:rsidRPr="008741B0" w:rsidRDefault="006B1E94" w:rsidP="008F61DC">
            <w:pPr>
              <w:jc w:val="both"/>
              <w:rPr>
                <w:sz w:val="20"/>
                <w:szCs w:val="20"/>
              </w:rPr>
            </w:pPr>
            <w:r w:rsidRPr="008741B0">
              <w:rPr>
                <w:sz w:val="20"/>
                <w:szCs w:val="20"/>
              </w:rPr>
              <w:t>0.1255 (0.0078)</w:t>
            </w:r>
          </w:p>
        </w:tc>
        <w:tc>
          <w:tcPr>
            <w:tcW w:w="689" w:type="pct"/>
          </w:tcPr>
          <w:p w14:paraId="17FD9427" w14:textId="77777777" w:rsidR="006B1E94" w:rsidRPr="008741B0" w:rsidRDefault="006B1E94" w:rsidP="008F61DC">
            <w:pPr>
              <w:jc w:val="both"/>
              <w:rPr>
                <w:sz w:val="20"/>
                <w:szCs w:val="20"/>
              </w:rPr>
            </w:pPr>
            <w:r w:rsidRPr="008741B0">
              <w:rPr>
                <w:sz w:val="20"/>
                <w:szCs w:val="20"/>
              </w:rPr>
              <w:t>0.1822 (0.0117)</w:t>
            </w:r>
          </w:p>
        </w:tc>
        <w:tc>
          <w:tcPr>
            <w:tcW w:w="1139" w:type="pct"/>
          </w:tcPr>
          <w:p w14:paraId="76295FAD" w14:textId="77777777" w:rsidR="006B1E94" w:rsidRPr="008741B0" w:rsidRDefault="006B1E94" w:rsidP="008F61DC">
            <w:pPr>
              <w:jc w:val="both"/>
              <w:rPr>
                <w:sz w:val="20"/>
                <w:szCs w:val="20"/>
              </w:rPr>
            </w:pPr>
            <w:r w:rsidRPr="008741B0">
              <w:rPr>
                <w:sz w:val="20"/>
                <w:szCs w:val="20"/>
              </w:rPr>
              <w:t>(224.03, 1561.39)</w:t>
            </w:r>
          </w:p>
        </w:tc>
        <w:tc>
          <w:tcPr>
            <w:tcW w:w="736" w:type="pct"/>
          </w:tcPr>
          <w:p w14:paraId="2C4862F0" w14:textId="77777777" w:rsidR="006B1E94" w:rsidRPr="008741B0" w:rsidRDefault="006B1E94" w:rsidP="008F61DC">
            <w:pPr>
              <w:jc w:val="both"/>
              <w:rPr>
                <w:sz w:val="20"/>
                <w:szCs w:val="20"/>
              </w:rPr>
            </w:pPr>
            <w:r w:rsidRPr="008741B0">
              <w:rPr>
                <w:sz w:val="20"/>
                <w:szCs w:val="20"/>
              </w:rPr>
              <w:t>(196.99, 884.27)</w:t>
            </w:r>
          </w:p>
        </w:tc>
      </w:tr>
      <w:tr w:rsidR="006B1E94" w:rsidRPr="008741B0" w14:paraId="055B5E52" w14:textId="77777777" w:rsidTr="008F61DC">
        <w:trPr>
          <w:cantSplit/>
          <w:trHeight w:val="298"/>
        </w:trPr>
        <w:tc>
          <w:tcPr>
            <w:tcW w:w="476" w:type="pct"/>
            <w:vMerge/>
          </w:tcPr>
          <w:p w14:paraId="0DFEBD38" w14:textId="77777777" w:rsidR="006B1E94" w:rsidRPr="008741B0" w:rsidRDefault="006B1E94" w:rsidP="008F61DC">
            <w:pPr>
              <w:jc w:val="both"/>
              <w:rPr>
                <w:sz w:val="20"/>
                <w:szCs w:val="20"/>
              </w:rPr>
            </w:pPr>
          </w:p>
        </w:tc>
        <w:tc>
          <w:tcPr>
            <w:tcW w:w="364" w:type="pct"/>
            <w:vMerge/>
          </w:tcPr>
          <w:p w14:paraId="00ADC086" w14:textId="77777777" w:rsidR="006B1E94" w:rsidRPr="008741B0" w:rsidRDefault="006B1E94" w:rsidP="008F61DC">
            <w:pPr>
              <w:jc w:val="both"/>
              <w:rPr>
                <w:sz w:val="20"/>
                <w:szCs w:val="20"/>
              </w:rPr>
            </w:pPr>
          </w:p>
        </w:tc>
        <w:tc>
          <w:tcPr>
            <w:tcW w:w="449" w:type="pct"/>
          </w:tcPr>
          <w:p w14:paraId="24BF8A7B" w14:textId="77777777" w:rsidR="006B1E94" w:rsidRPr="008741B0" w:rsidRDefault="006B1E94" w:rsidP="008F61DC">
            <w:pPr>
              <w:jc w:val="both"/>
              <w:rPr>
                <w:sz w:val="20"/>
                <w:szCs w:val="20"/>
              </w:rPr>
            </w:pPr>
            <w:r w:rsidRPr="008741B0">
              <w:rPr>
                <w:sz w:val="20"/>
                <w:szCs w:val="20"/>
              </w:rPr>
              <w:t>25-34</w:t>
            </w:r>
          </w:p>
        </w:tc>
        <w:tc>
          <w:tcPr>
            <w:tcW w:w="1146" w:type="pct"/>
          </w:tcPr>
          <w:p w14:paraId="63305431" w14:textId="77777777" w:rsidR="006B1E94" w:rsidRPr="008741B0" w:rsidRDefault="006B1E94" w:rsidP="008F61DC">
            <w:pPr>
              <w:jc w:val="both"/>
              <w:rPr>
                <w:sz w:val="20"/>
                <w:szCs w:val="20"/>
              </w:rPr>
            </w:pPr>
            <w:r w:rsidRPr="008741B0">
              <w:rPr>
                <w:sz w:val="20"/>
                <w:szCs w:val="20"/>
              </w:rPr>
              <w:t>0.1327 (0.0059)</w:t>
            </w:r>
          </w:p>
        </w:tc>
        <w:tc>
          <w:tcPr>
            <w:tcW w:w="689" w:type="pct"/>
          </w:tcPr>
          <w:p w14:paraId="501ADA64" w14:textId="77777777" w:rsidR="006B1E94" w:rsidRPr="008741B0" w:rsidRDefault="006B1E94" w:rsidP="008F61DC">
            <w:pPr>
              <w:jc w:val="both"/>
              <w:rPr>
                <w:sz w:val="20"/>
                <w:szCs w:val="20"/>
              </w:rPr>
            </w:pPr>
            <w:r w:rsidRPr="008741B0">
              <w:rPr>
                <w:sz w:val="20"/>
                <w:szCs w:val="20"/>
              </w:rPr>
              <w:t>0.1923 (0.0089)</w:t>
            </w:r>
          </w:p>
        </w:tc>
        <w:tc>
          <w:tcPr>
            <w:tcW w:w="1139" w:type="pct"/>
          </w:tcPr>
          <w:p w14:paraId="313916C8" w14:textId="77777777" w:rsidR="006B1E94" w:rsidRPr="008741B0" w:rsidRDefault="006B1E94" w:rsidP="008F61DC">
            <w:pPr>
              <w:jc w:val="both"/>
              <w:rPr>
                <w:sz w:val="20"/>
                <w:szCs w:val="20"/>
              </w:rPr>
            </w:pPr>
            <w:r w:rsidRPr="008741B0">
              <w:rPr>
                <w:sz w:val="20"/>
                <w:szCs w:val="20"/>
              </w:rPr>
              <w:t>(436.71, 2853.76)</w:t>
            </w:r>
          </w:p>
        </w:tc>
        <w:tc>
          <w:tcPr>
            <w:tcW w:w="736" w:type="pct"/>
          </w:tcPr>
          <w:p w14:paraId="762BB212" w14:textId="77777777" w:rsidR="006B1E94" w:rsidRPr="008741B0" w:rsidRDefault="006B1E94" w:rsidP="008F61DC">
            <w:pPr>
              <w:jc w:val="both"/>
              <w:rPr>
                <w:sz w:val="20"/>
                <w:szCs w:val="20"/>
              </w:rPr>
            </w:pPr>
            <w:r w:rsidRPr="008741B0">
              <w:rPr>
                <w:sz w:val="20"/>
                <w:szCs w:val="20"/>
              </w:rPr>
              <w:t>(380.60, 1598.39)</w:t>
            </w:r>
          </w:p>
        </w:tc>
      </w:tr>
      <w:tr w:rsidR="006B1E94" w:rsidRPr="008741B0" w14:paraId="2C5A693F" w14:textId="77777777" w:rsidTr="008F61DC">
        <w:trPr>
          <w:cantSplit/>
          <w:trHeight w:val="298"/>
        </w:trPr>
        <w:tc>
          <w:tcPr>
            <w:tcW w:w="476" w:type="pct"/>
            <w:vMerge/>
          </w:tcPr>
          <w:p w14:paraId="1D3E13FB" w14:textId="77777777" w:rsidR="006B1E94" w:rsidRPr="008741B0" w:rsidRDefault="006B1E94" w:rsidP="008F61DC">
            <w:pPr>
              <w:jc w:val="both"/>
              <w:rPr>
                <w:sz w:val="20"/>
                <w:szCs w:val="20"/>
              </w:rPr>
            </w:pPr>
          </w:p>
        </w:tc>
        <w:tc>
          <w:tcPr>
            <w:tcW w:w="364" w:type="pct"/>
            <w:vMerge/>
          </w:tcPr>
          <w:p w14:paraId="719153C1" w14:textId="77777777" w:rsidR="006B1E94" w:rsidRPr="008741B0" w:rsidRDefault="006B1E94" w:rsidP="008F61DC">
            <w:pPr>
              <w:jc w:val="both"/>
              <w:rPr>
                <w:sz w:val="20"/>
                <w:szCs w:val="20"/>
              </w:rPr>
            </w:pPr>
          </w:p>
        </w:tc>
        <w:tc>
          <w:tcPr>
            <w:tcW w:w="449" w:type="pct"/>
          </w:tcPr>
          <w:p w14:paraId="6F470F91" w14:textId="77777777" w:rsidR="006B1E94" w:rsidRPr="008741B0" w:rsidRDefault="006B1E94" w:rsidP="008F61DC">
            <w:pPr>
              <w:jc w:val="both"/>
              <w:rPr>
                <w:sz w:val="20"/>
                <w:szCs w:val="20"/>
              </w:rPr>
            </w:pPr>
            <w:r w:rsidRPr="008741B0">
              <w:rPr>
                <w:sz w:val="20"/>
                <w:szCs w:val="20"/>
              </w:rPr>
              <w:t>35+</w:t>
            </w:r>
          </w:p>
        </w:tc>
        <w:tc>
          <w:tcPr>
            <w:tcW w:w="1146" w:type="pct"/>
          </w:tcPr>
          <w:p w14:paraId="142D22A4" w14:textId="77777777" w:rsidR="006B1E94" w:rsidRPr="008741B0" w:rsidRDefault="006B1E94" w:rsidP="008F61DC">
            <w:pPr>
              <w:jc w:val="both"/>
              <w:rPr>
                <w:sz w:val="20"/>
                <w:szCs w:val="20"/>
              </w:rPr>
            </w:pPr>
            <w:r w:rsidRPr="008741B0">
              <w:rPr>
                <w:sz w:val="20"/>
                <w:szCs w:val="20"/>
              </w:rPr>
              <w:t>0.1147 (0.0072)</w:t>
            </w:r>
          </w:p>
        </w:tc>
        <w:tc>
          <w:tcPr>
            <w:tcW w:w="689" w:type="pct"/>
          </w:tcPr>
          <w:p w14:paraId="2296B5E3" w14:textId="77777777" w:rsidR="006B1E94" w:rsidRPr="008741B0" w:rsidRDefault="006B1E94" w:rsidP="008F61DC">
            <w:pPr>
              <w:jc w:val="both"/>
              <w:rPr>
                <w:sz w:val="20"/>
                <w:szCs w:val="20"/>
              </w:rPr>
            </w:pPr>
            <w:r w:rsidRPr="008741B0">
              <w:rPr>
                <w:sz w:val="20"/>
                <w:szCs w:val="20"/>
              </w:rPr>
              <w:t>0.1670 (0.0108)</w:t>
            </w:r>
          </w:p>
        </w:tc>
        <w:tc>
          <w:tcPr>
            <w:tcW w:w="1139" w:type="pct"/>
          </w:tcPr>
          <w:p w14:paraId="0ACC83CF" w14:textId="77777777" w:rsidR="006B1E94" w:rsidRPr="008741B0" w:rsidRDefault="006B1E94" w:rsidP="008F61DC">
            <w:pPr>
              <w:jc w:val="both"/>
              <w:rPr>
                <w:sz w:val="20"/>
                <w:szCs w:val="20"/>
              </w:rPr>
            </w:pPr>
            <w:r w:rsidRPr="008741B0">
              <w:rPr>
                <w:sz w:val="20"/>
                <w:szCs w:val="20"/>
              </w:rPr>
              <w:t>(223.19, 1722.77)</w:t>
            </w:r>
          </w:p>
        </w:tc>
        <w:tc>
          <w:tcPr>
            <w:tcW w:w="736" w:type="pct"/>
          </w:tcPr>
          <w:p w14:paraId="62E95478" w14:textId="77777777" w:rsidR="006B1E94" w:rsidRPr="008741B0" w:rsidRDefault="006B1E94" w:rsidP="008F61DC">
            <w:pPr>
              <w:jc w:val="both"/>
              <w:rPr>
                <w:sz w:val="20"/>
                <w:szCs w:val="20"/>
              </w:rPr>
            </w:pPr>
            <w:r w:rsidRPr="008741B0">
              <w:rPr>
                <w:sz w:val="20"/>
                <w:szCs w:val="20"/>
              </w:rPr>
              <w:t>(198.55, 990.30)</w:t>
            </w:r>
          </w:p>
        </w:tc>
      </w:tr>
      <w:tr w:rsidR="006B1E94" w:rsidRPr="008741B0" w14:paraId="205CFCBE" w14:textId="77777777" w:rsidTr="008F61DC">
        <w:trPr>
          <w:cantSplit/>
          <w:trHeight w:val="298"/>
        </w:trPr>
        <w:tc>
          <w:tcPr>
            <w:tcW w:w="476" w:type="pct"/>
            <w:vMerge w:val="restart"/>
          </w:tcPr>
          <w:p w14:paraId="23844DB6" w14:textId="77777777" w:rsidR="006B1E94" w:rsidRPr="008741B0" w:rsidRDefault="006B1E94" w:rsidP="008F61DC">
            <w:pPr>
              <w:jc w:val="both"/>
              <w:rPr>
                <w:sz w:val="20"/>
                <w:szCs w:val="20"/>
              </w:rPr>
            </w:pPr>
            <w:r w:rsidRPr="008741B0">
              <w:rPr>
                <w:sz w:val="20"/>
                <w:szCs w:val="20"/>
              </w:rPr>
              <w:t>Men</w:t>
            </w:r>
          </w:p>
        </w:tc>
        <w:tc>
          <w:tcPr>
            <w:tcW w:w="364" w:type="pct"/>
          </w:tcPr>
          <w:p w14:paraId="25A5FEF5" w14:textId="77777777" w:rsidR="006B1E94" w:rsidRPr="008741B0" w:rsidRDefault="006B1E94" w:rsidP="008F61DC">
            <w:pPr>
              <w:jc w:val="both"/>
              <w:rPr>
                <w:sz w:val="20"/>
                <w:szCs w:val="20"/>
              </w:rPr>
            </w:pPr>
            <w:r w:rsidRPr="008741B0">
              <w:rPr>
                <w:sz w:val="20"/>
                <w:szCs w:val="20"/>
              </w:rPr>
              <w:t>2005</w:t>
            </w:r>
          </w:p>
        </w:tc>
        <w:tc>
          <w:tcPr>
            <w:tcW w:w="449" w:type="pct"/>
          </w:tcPr>
          <w:p w14:paraId="6C32CD8D" w14:textId="77777777" w:rsidR="006B1E94" w:rsidRPr="008741B0" w:rsidRDefault="006B1E94" w:rsidP="008F61DC">
            <w:pPr>
              <w:jc w:val="both"/>
              <w:rPr>
                <w:sz w:val="20"/>
                <w:szCs w:val="20"/>
              </w:rPr>
            </w:pPr>
            <w:r w:rsidRPr="008741B0">
              <w:rPr>
                <w:sz w:val="20"/>
                <w:szCs w:val="20"/>
              </w:rPr>
              <w:t>15-34</w:t>
            </w:r>
          </w:p>
        </w:tc>
        <w:tc>
          <w:tcPr>
            <w:tcW w:w="1146" w:type="pct"/>
          </w:tcPr>
          <w:p w14:paraId="74047E2D" w14:textId="77777777" w:rsidR="006B1E94" w:rsidRPr="008741B0" w:rsidRDefault="006B1E94" w:rsidP="008F61DC">
            <w:pPr>
              <w:jc w:val="both"/>
              <w:rPr>
                <w:sz w:val="20"/>
                <w:szCs w:val="20"/>
              </w:rPr>
            </w:pPr>
            <w:r w:rsidRPr="008741B0">
              <w:rPr>
                <w:sz w:val="20"/>
                <w:szCs w:val="20"/>
              </w:rPr>
              <w:t>0.0180 (0.0059)</w:t>
            </w:r>
          </w:p>
        </w:tc>
        <w:tc>
          <w:tcPr>
            <w:tcW w:w="689" w:type="pct"/>
          </w:tcPr>
          <w:p w14:paraId="6B696A2C" w14:textId="77777777" w:rsidR="006B1E94" w:rsidRPr="008741B0" w:rsidRDefault="006B1E94" w:rsidP="008F61DC">
            <w:pPr>
              <w:jc w:val="both"/>
              <w:rPr>
                <w:sz w:val="20"/>
                <w:szCs w:val="20"/>
              </w:rPr>
            </w:pPr>
            <w:r w:rsidRPr="008741B0">
              <w:rPr>
                <w:sz w:val="20"/>
                <w:szCs w:val="20"/>
              </w:rPr>
              <w:t>0.0269 (0.0089)</w:t>
            </w:r>
          </w:p>
        </w:tc>
        <w:tc>
          <w:tcPr>
            <w:tcW w:w="1139" w:type="pct"/>
          </w:tcPr>
          <w:p w14:paraId="461B147E" w14:textId="77777777" w:rsidR="006B1E94" w:rsidRPr="008741B0" w:rsidRDefault="006B1E94" w:rsidP="008F61DC">
            <w:pPr>
              <w:jc w:val="both"/>
              <w:rPr>
                <w:sz w:val="20"/>
                <w:szCs w:val="20"/>
              </w:rPr>
            </w:pPr>
            <w:r w:rsidRPr="008741B0">
              <w:rPr>
                <w:sz w:val="20"/>
                <w:szCs w:val="20"/>
              </w:rPr>
              <w:t>(9.09, 495.51)</w:t>
            </w:r>
          </w:p>
        </w:tc>
        <w:tc>
          <w:tcPr>
            <w:tcW w:w="736" w:type="pct"/>
          </w:tcPr>
          <w:p w14:paraId="17EDFF04" w14:textId="77777777" w:rsidR="006B1E94" w:rsidRPr="008741B0" w:rsidRDefault="006B1E94" w:rsidP="008F61DC">
            <w:pPr>
              <w:jc w:val="both"/>
              <w:rPr>
                <w:sz w:val="20"/>
                <w:szCs w:val="20"/>
              </w:rPr>
            </w:pPr>
            <w:r w:rsidRPr="008741B0">
              <w:rPr>
                <w:sz w:val="20"/>
                <w:szCs w:val="20"/>
              </w:rPr>
              <w:t>(8.94, 323.56)</w:t>
            </w:r>
          </w:p>
        </w:tc>
      </w:tr>
      <w:tr w:rsidR="006B1E94" w:rsidRPr="008741B0" w14:paraId="34B9F889" w14:textId="77777777" w:rsidTr="008F61DC">
        <w:trPr>
          <w:cantSplit/>
          <w:trHeight w:val="291"/>
        </w:trPr>
        <w:tc>
          <w:tcPr>
            <w:tcW w:w="476" w:type="pct"/>
            <w:vMerge/>
          </w:tcPr>
          <w:p w14:paraId="2A58D905" w14:textId="77777777" w:rsidR="006B1E94" w:rsidRPr="008741B0" w:rsidRDefault="006B1E94" w:rsidP="008F61DC">
            <w:pPr>
              <w:jc w:val="both"/>
              <w:rPr>
                <w:sz w:val="20"/>
                <w:szCs w:val="20"/>
              </w:rPr>
            </w:pPr>
          </w:p>
        </w:tc>
        <w:tc>
          <w:tcPr>
            <w:tcW w:w="364" w:type="pct"/>
          </w:tcPr>
          <w:p w14:paraId="2D8A600C" w14:textId="77777777" w:rsidR="006B1E94" w:rsidRPr="008741B0" w:rsidRDefault="006B1E94" w:rsidP="008F61DC">
            <w:pPr>
              <w:jc w:val="both"/>
              <w:rPr>
                <w:sz w:val="20"/>
                <w:szCs w:val="20"/>
              </w:rPr>
            </w:pPr>
          </w:p>
        </w:tc>
        <w:tc>
          <w:tcPr>
            <w:tcW w:w="449" w:type="pct"/>
          </w:tcPr>
          <w:p w14:paraId="30936DEC" w14:textId="77777777" w:rsidR="006B1E94" w:rsidRPr="008741B0" w:rsidRDefault="006B1E94" w:rsidP="008F61DC">
            <w:pPr>
              <w:jc w:val="both"/>
              <w:rPr>
                <w:sz w:val="20"/>
                <w:szCs w:val="20"/>
              </w:rPr>
            </w:pPr>
            <w:r w:rsidRPr="008741B0">
              <w:rPr>
                <w:sz w:val="20"/>
                <w:szCs w:val="20"/>
              </w:rPr>
              <w:t>35+</w:t>
            </w:r>
          </w:p>
        </w:tc>
        <w:tc>
          <w:tcPr>
            <w:tcW w:w="1146" w:type="pct"/>
          </w:tcPr>
          <w:p w14:paraId="22ECCE1A" w14:textId="77777777" w:rsidR="006B1E94" w:rsidRPr="008741B0" w:rsidRDefault="006B1E94" w:rsidP="008F61DC">
            <w:pPr>
              <w:jc w:val="both"/>
              <w:rPr>
                <w:sz w:val="20"/>
                <w:szCs w:val="20"/>
              </w:rPr>
            </w:pPr>
            <w:r w:rsidRPr="008741B0">
              <w:rPr>
                <w:sz w:val="20"/>
                <w:szCs w:val="20"/>
              </w:rPr>
              <w:t>0.0214 (0.0049)</w:t>
            </w:r>
          </w:p>
        </w:tc>
        <w:tc>
          <w:tcPr>
            <w:tcW w:w="689" w:type="pct"/>
          </w:tcPr>
          <w:p w14:paraId="71AB8D57" w14:textId="77777777" w:rsidR="006B1E94" w:rsidRPr="008741B0" w:rsidRDefault="006B1E94" w:rsidP="008F61DC">
            <w:pPr>
              <w:jc w:val="both"/>
              <w:rPr>
                <w:sz w:val="20"/>
                <w:szCs w:val="20"/>
              </w:rPr>
            </w:pPr>
            <w:r w:rsidRPr="008741B0">
              <w:rPr>
                <w:sz w:val="20"/>
                <w:szCs w:val="20"/>
              </w:rPr>
              <w:t>0.0319 (0.0074)</w:t>
            </w:r>
          </w:p>
        </w:tc>
        <w:tc>
          <w:tcPr>
            <w:tcW w:w="1139" w:type="pct"/>
          </w:tcPr>
          <w:p w14:paraId="5D5A30E6" w14:textId="77777777" w:rsidR="006B1E94" w:rsidRPr="008741B0" w:rsidRDefault="006B1E94" w:rsidP="008F61DC">
            <w:pPr>
              <w:jc w:val="both"/>
              <w:rPr>
                <w:sz w:val="20"/>
                <w:szCs w:val="20"/>
              </w:rPr>
            </w:pPr>
            <w:r w:rsidRPr="008741B0">
              <w:rPr>
                <w:sz w:val="20"/>
                <w:szCs w:val="20"/>
              </w:rPr>
              <w:t>(18.43, 843.77)</w:t>
            </w:r>
          </w:p>
        </w:tc>
        <w:tc>
          <w:tcPr>
            <w:tcW w:w="736" w:type="pct"/>
          </w:tcPr>
          <w:p w14:paraId="6812CFC7" w14:textId="77777777" w:rsidR="006B1E94" w:rsidRPr="008741B0" w:rsidRDefault="006B1E94" w:rsidP="008F61DC">
            <w:pPr>
              <w:jc w:val="both"/>
              <w:rPr>
                <w:sz w:val="20"/>
                <w:szCs w:val="20"/>
              </w:rPr>
            </w:pPr>
            <w:r w:rsidRPr="008741B0">
              <w:rPr>
                <w:sz w:val="20"/>
                <w:szCs w:val="20"/>
              </w:rPr>
              <w:t>(18.07, 548.56)</w:t>
            </w:r>
          </w:p>
        </w:tc>
      </w:tr>
      <w:tr w:rsidR="006B1E94" w:rsidRPr="008741B0" w14:paraId="65A3B6AD" w14:textId="77777777" w:rsidTr="008F61DC">
        <w:trPr>
          <w:cantSplit/>
          <w:trHeight w:val="311"/>
        </w:trPr>
        <w:tc>
          <w:tcPr>
            <w:tcW w:w="476" w:type="pct"/>
            <w:vMerge/>
          </w:tcPr>
          <w:p w14:paraId="5D80612E" w14:textId="77777777" w:rsidR="006B1E94" w:rsidRPr="008741B0" w:rsidRDefault="006B1E94" w:rsidP="008F61DC">
            <w:pPr>
              <w:jc w:val="both"/>
              <w:rPr>
                <w:sz w:val="20"/>
                <w:szCs w:val="20"/>
              </w:rPr>
            </w:pPr>
          </w:p>
        </w:tc>
        <w:tc>
          <w:tcPr>
            <w:tcW w:w="364" w:type="pct"/>
          </w:tcPr>
          <w:p w14:paraId="211D1182" w14:textId="77777777" w:rsidR="006B1E94" w:rsidRPr="008741B0" w:rsidRDefault="006B1E94" w:rsidP="008F61DC">
            <w:pPr>
              <w:jc w:val="both"/>
              <w:rPr>
                <w:sz w:val="20"/>
                <w:szCs w:val="20"/>
              </w:rPr>
            </w:pPr>
            <w:r w:rsidRPr="008741B0">
              <w:rPr>
                <w:sz w:val="20"/>
                <w:szCs w:val="20"/>
              </w:rPr>
              <w:t>2010</w:t>
            </w:r>
          </w:p>
        </w:tc>
        <w:tc>
          <w:tcPr>
            <w:tcW w:w="449" w:type="pct"/>
          </w:tcPr>
          <w:p w14:paraId="73355C00" w14:textId="77777777" w:rsidR="006B1E94" w:rsidRPr="008741B0" w:rsidRDefault="006B1E94" w:rsidP="008F61DC">
            <w:pPr>
              <w:jc w:val="both"/>
              <w:rPr>
                <w:sz w:val="20"/>
                <w:szCs w:val="20"/>
              </w:rPr>
            </w:pPr>
            <w:r w:rsidRPr="008741B0">
              <w:rPr>
                <w:sz w:val="20"/>
                <w:szCs w:val="20"/>
              </w:rPr>
              <w:t>15-34</w:t>
            </w:r>
          </w:p>
        </w:tc>
        <w:tc>
          <w:tcPr>
            <w:tcW w:w="1146" w:type="pct"/>
          </w:tcPr>
          <w:p w14:paraId="6117598B" w14:textId="77777777" w:rsidR="006B1E94" w:rsidRPr="008741B0" w:rsidRDefault="006B1E94" w:rsidP="008F61DC">
            <w:pPr>
              <w:jc w:val="both"/>
              <w:rPr>
                <w:sz w:val="20"/>
                <w:szCs w:val="20"/>
              </w:rPr>
            </w:pPr>
            <w:r w:rsidRPr="008741B0">
              <w:rPr>
                <w:sz w:val="20"/>
                <w:szCs w:val="20"/>
              </w:rPr>
              <w:t>0.0711 (0.0138)</w:t>
            </w:r>
          </w:p>
        </w:tc>
        <w:tc>
          <w:tcPr>
            <w:tcW w:w="689" w:type="pct"/>
          </w:tcPr>
          <w:p w14:paraId="57D318EA" w14:textId="77777777" w:rsidR="006B1E94" w:rsidRPr="008741B0" w:rsidRDefault="006B1E94" w:rsidP="008F61DC">
            <w:pPr>
              <w:jc w:val="both"/>
              <w:rPr>
                <w:sz w:val="20"/>
                <w:szCs w:val="20"/>
              </w:rPr>
            </w:pPr>
            <w:r w:rsidRPr="008741B0">
              <w:rPr>
                <w:sz w:val="20"/>
                <w:szCs w:val="20"/>
              </w:rPr>
              <w:t>0.1047 (0.0207)</w:t>
            </w:r>
          </w:p>
        </w:tc>
        <w:tc>
          <w:tcPr>
            <w:tcW w:w="1139" w:type="pct"/>
          </w:tcPr>
          <w:p w14:paraId="586FA6AB" w14:textId="77777777" w:rsidR="006B1E94" w:rsidRPr="008741B0" w:rsidRDefault="006B1E94" w:rsidP="008F61DC">
            <w:pPr>
              <w:jc w:val="both"/>
              <w:rPr>
                <w:sz w:val="20"/>
                <w:szCs w:val="20"/>
              </w:rPr>
            </w:pPr>
            <w:r w:rsidRPr="008741B0">
              <w:rPr>
                <w:sz w:val="20"/>
                <w:szCs w:val="20"/>
              </w:rPr>
              <w:t>(24.41, 318.92)</w:t>
            </w:r>
          </w:p>
        </w:tc>
        <w:tc>
          <w:tcPr>
            <w:tcW w:w="736" w:type="pct"/>
          </w:tcPr>
          <w:p w14:paraId="4E59C9E8" w14:textId="77777777" w:rsidR="006B1E94" w:rsidRPr="008741B0" w:rsidRDefault="006B1E94" w:rsidP="008F61DC">
            <w:pPr>
              <w:jc w:val="both"/>
              <w:rPr>
                <w:sz w:val="20"/>
                <w:szCs w:val="20"/>
              </w:rPr>
            </w:pPr>
            <w:r w:rsidRPr="008741B0">
              <w:rPr>
                <w:sz w:val="20"/>
                <w:szCs w:val="20"/>
              </w:rPr>
              <w:t>(22.81, 194.97)</w:t>
            </w:r>
          </w:p>
        </w:tc>
      </w:tr>
      <w:tr w:rsidR="006B1E94" w:rsidRPr="008741B0" w14:paraId="3913CC3B" w14:textId="77777777" w:rsidTr="008F61DC">
        <w:trPr>
          <w:cantSplit/>
          <w:trHeight w:val="311"/>
        </w:trPr>
        <w:tc>
          <w:tcPr>
            <w:tcW w:w="476" w:type="pct"/>
            <w:vMerge/>
          </w:tcPr>
          <w:p w14:paraId="54A3EC2E" w14:textId="77777777" w:rsidR="006B1E94" w:rsidRPr="008741B0" w:rsidRDefault="006B1E94" w:rsidP="008F61DC">
            <w:pPr>
              <w:jc w:val="both"/>
              <w:rPr>
                <w:sz w:val="20"/>
                <w:szCs w:val="20"/>
              </w:rPr>
            </w:pPr>
          </w:p>
        </w:tc>
        <w:tc>
          <w:tcPr>
            <w:tcW w:w="364" w:type="pct"/>
          </w:tcPr>
          <w:p w14:paraId="2FA878AE" w14:textId="77777777" w:rsidR="006B1E94" w:rsidRPr="008741B0" w:rsidRDefault="006B1E94" w:rsidP="008F61DC">
            <w:pPr>
              <w:jc w:val="both"/>
              <w:rPr>
                <w:sz w:val="20"/>
                <w:szCs w:val="20"/>
              </w:rPr>
            </w:pPr>
          </w:p>
        </w:tc>
        <w:tc>
          <w:tcPr>
            <w:tcW w:w="449" w:type="pct"/>
          </w:tcPr>
          <w:p w14:paraId="6D2A6820" w14:textId="77777777" w:rsidR="006B1E94" w:rsidRPr="008741B0" w:rsidRDefault="006B1E94" w:rsidP="008F61DC">
            <w:pPr>
              <w:jc w:val="both"/>
              <w:rPr>
                <w:sz w:val="20"/>
                <w:szCs w:val="20"/>
              </w:rPr>
            </w:pPr>
            <w:r w:rsidRPr="008741B0">
              <w:rPr>
                <w:sz w:val="20"/>
                <w:szCs w:val="20"/>
              </w:rPr>
              <w:t>35+</w:t>
            </w:r>
          </w:p>
        </w:tc>
        <w:tc>
          <w:tcPr>
            <w:tcW w:w="1146" w:type="pct"/>
          </w:tcPr>
          <w:p w14:paraId="0EE98751" w14:textId="77777777" w:rsidR="006B1E94" w:rsidRPr="008741B0" w:rsidRDefault="006B1E94" w:rsidP="008F61DC">
            <w:pPr>
              <w:jc w:val="both"/>
              <w:rPr>
                <w:sz w:val="20"/>
                <w:szCs w:val="20"/>
              </w:rPr>
            </w:pPr>
            <w:r w:rsidRPr="008741B0">
              <w:rPr>
                <w:sz w:val="20"/>
                <w:szCs w:val="20"/>
              </w:rPr>
              <w:t>0.1392 (0.0067)</w:t>
            </w:r>
          </w:p>
        </w:tc>
        <w:tc>
          <w:tcPr>
            <w:tcW w:w="689" w:type="pct"/>
          </w:tcPr>
          <w:p w14:paraId="2FF8F349" w14:textId="77777777" w:rsidR="006B1E94" w:rsidRPr="008741B0" w:rsidRDefault="006B1E94" w:rsidP="008F61DC">
            <w:pPr>
              <w:jc w:val="both"/>
              <w:rPr>
                <w:sz w:val="20"/>
                <w:szCs w:val="20"/>
              </w:rPr>
            </w:pPr>
            <w:r w:rsidRPr="008741B0">
              <w:rPr>
                <w:sz w:val="20"/>
                <w:szCs w:val="20"/>
              </w:rPr>
              <w:t>0.2013 (0.0100)</w:t>
            </w:r>
          </w:p>
        </w:tc>
        <w:tc>
          <w:tcPr>
            <w:tcW w:w="1139" w:type="pct"/>
          </w:tcPr>
          <w:p w14:paraId="7C9A0E95" w14:textId="77777777" w:rsidR="006B1E94" w:rsidRPr="008741B0" w:rsidRDefault="006B1E94" w:rsidP="008F61DC">
            <w:pPr>
              <w:jc w:val="both"/>
              <w:rPr>
                <w:sz w:val="20"/>
                <w:szCs w:val="20"/>
              </w:rPr>
            </w:pPr>
            <w:r w:rsidRPr="008741B0">
              <w:rPr>
                <w:sz w:val="20"/>
                <w:szCs w:val="20"/>
              </w:rPr>
              <w:t>(372.25, 2302.73)</w:t>
            </w:r>
          </w:p>
        </w:tc>
        <w:tc>
          <w:tcPr>
            <w:tcW w:w="736" w:type="pct"/>
          </w:tcPr>
          <w:p w14:paraId="3D2E6CE1" w14:textId="77777777" w:rsidR="006B1E94" w:rsidRPr="008741B0" w:rsidRDefault="006B1E94" w:rsidP="008F61DC">
            <w:pPr>
              <w:jc w:val="both"/>
              <w:rPr>
                <w:sz w:val="20"/>
                <w:szCs w:val="20"/>
              </w:rPr>
            </w:pPr>
            <w:r w:rsidRPr="008741B0">
              <w:rPr>
                <w:sz w:val="20"/>
                <w:szCs w:val="20"/>
              </w:rPr>
              <w:t>(322.20, 1278.37)</w:t>
            </w:r>
          </w:p>
        </w:tc>
      </w:tr>
      <w:tr w:rsidR="006B1E94" w:rsidRPr="008741B0" w14:paraId="36E2A617" w14:textId="77777777" w:rsidTr="008F61DC">
        <w:trPr>
          <w:cantSplit/>
          <w:trHeight w:val="311"/>
        </w:trPr>
        <w:tc>
          <w:tcPr>
            <w:tcW w:w="476" w:type="pct"/>
            <w:vMerge/>
          </w:tcPr>
          <w:p w14:paraId="478EBAC4" w14:textId="77777777" w:rsidR="006B1E94" w:rsidRPr="008741B0" w:rsidRDefault="006B1E94" w:rsidP="008F61DC">
            <w:pPr>
              <w:jc w:val="both"/>
              <w:rPr>
                <w:sz w:val="20"/>
                <w:szCs w:val="20"/>
              </w:rPr>
            </w:pPr>
          </w:p>
        </w:tc>
        <w:tc>
          <w:tcPr>
            <w:tcW w:w="364" w:type="pct"/>
          </w:tcPr>
          <w:p w14:paraId="499FC80B" w14:textId="77777777" w:rsidR="006B1E94" w:rsidRPr="008741B0" w:rsidRDefault="006B1E94" w:rsidP="008F61DC">
            <w:pPr>
              <w:jc w:val="both"/>
              <w:rPr>
                <w:sz w:val="20"/>
                <w:szCs w:val="20"/>
              </w:rPr>
            </w:pPr>
            <w:r w:rsidRPr="008741B0">
              <w:rPr>
                <w:sz w:val="20"/>
                <w:szCs w:val="20"/>
              </w:rPr>
              <w:t>2015</w:t>
            </w:r>
          </w:p>
        </w:tc>
        <w:tc>
          <w:tcPr>
            <w:tcW w:w="449" w:type="pct"/>
          </w:tcPr>
          <w:p w14:paraId="11CA3BD8" w14:textId="77777777" w:rsidR="006B1E94" w:rsidRPr="008741B0" w:rsidRDefault="006B1E94" w:rsidP="008F61DC">
            <w:pPr>
              <w:jc w:val="both"/>
              <w:rPr>
                <w:sz w:val="20"/>
                <w:szCs w:val="20"/>
              </w:rPr>
            </w:pPr>
            <w:r w:rsidRPr="008741B0">
              <w:rPr>
                <w:sz w:val="20"/>
                <w:szCs w:val="20"/>
              </w:rPr>
              <w:t>15-34</w:t>
            </w:r>
          </w:p>
        </w:tc>
        <w:tc>
          <w:tcPr>
            <w:tcW w:w="1146" w:type="pct"/>
          </w:tcPr>
          <w:p w14:paraId="16668BE3" w14:textId="77777777" w:rsidR="006B1E94" w:rsidRPr="008741B0" w:rsidRDefault="006B1E94" w:rsidP="008F61DC">
            <w:pPr>
              <w:jc w:val="both"/>
              <w:rPr>
                <w:sz w:val="20"/>
                <w:szCs w:val="20"/>
              </w:rPr>
            </w:pPr>
            <w:r w:rsidRPr="008741B0">
              <w:rPr>
                <w:sz w:val="20"/>
                <w:szCs w:val="20"/>
              </w:rPr>
              <w:t>0.0683 (0.0087)</w:t>
            </w:r>
          </w:p>
        </w:tc>
        <w:tc>
          <w:tcPr>
            <w:tcW w:w="689" w:type="pct"/>
          </w:tcPr>
          <w:p w14:paraId="771142B4" w14:textId="77777777" w:rsidR="006B1E94" w:rsidRPr="008741B0" w:rsidRDefault="006B1E94" w:rsidP="008F61DC">
            <w:pPr>
              <w:jc w:val="both"/>
              <w:rPr>
                <w:sz w:val="20"/>
                <w:szCs w:val="20"/>
              </w:rPr>
            </w:pPr>
            <w:r w:rsidRPr="008741B0">
              <w:rPr>
                <w:sz w:val="20"/>
                <w:szCs w:val="20"/>
              </w:rPr>
              <w:t>0.1007 (0.0131)</w:t>
            </w:r>
          </w:p>
        </w:tc>
        <w:tc>
          <w:tcPr>
            <w:tcW w:w="1139" w:type="pct"/>
          </w:tcPr>
          <w:p w14:paraId="6C38D8EB" w14:textId="77777777" w:rsidR="006B1E94" w:rsidRPr="008741B0" w:rsidRDefault="006B1E94" w:rsidP="008F61DC">
            <w:pPr>
              <w:jc w:val="both"/>
              <w:rPr>
                <w:sz w:val="20"/>
                <w:szCs w:val="20"/>
              </w:rPr>
            </w:pPr>
            <w:r w:rsidRPr="008741B0">
              <w:rPr>
                <w:sz w:val="20"/>
                <w:szCs w:val="20"/>
              </w:rPr>
              <w:t>(56.95, 776.70)</w:t>
            </w:r>
          </w:p>
        </w:tc>
        <w:tc>
          <w:tcPr>
            <w:tcW w:w="736" w:type="pct"/>
          </w:tcPr>
          <w:p w14:paraId="5BE68E01" w14:textId="77777777" w:rsidR="006B1E94" w:rsidRPr="008741B0" w:rsidRDefault="006B1E94" w:rsidP="008F61DC">
            <w:pPr>
              <w:jc w:val="both"/>
              <w:rPr>
                <w:sz w:val="20"/>
                <w:szCs w:val="20"/>
              </w:rPr>
            </w:pPr>
            <w:r w:rsidRPr="008741B0">
              <w:rPr>
                <w:sz w:val="20"/>
                <w:szCs w:val="20"/>
              </w:rPr>
              <w:t>(53.28, 475.84)</w:t>
            </w:r>
          </w:p>
        </w:tc>
      </w:tr>
      <w:tr w:rsidR="006B1E94" w:rsidRPr="008741B0" w14:paraId="52496844" w14:textId="77777777" w:rsidTr="008F61DC">
        <w:trPr>
          <w:cantSplit/>
          <w:trHeight w:val="311"/>
        </w:trPr>
        <w:tc>
          <w:tcPr>
            <w:tcW w:w="476" w:type="pct"/>
            <w:vMerge/>
          </w:tcPr>
          <w:p w14:paraId="300A7F26" w14:textId="77777777" w:rsidR="006B1E94" w:rsidRPr="008741B0" w:rsidRDefault="006B1E94" w:rsidP="008F61DC">
            <w:pPr>
              <w:jc w:val="both"/>
              <w:rPr>
                <w:sz w:val="20"/>
                <w:szCs w:val="20"/>
              </w:rPr>
            </w:pPr>
          </w:p>
        </w:tc>
        <w:tc>
          <w:tcPr>
            <w:tcW w:w="364" w:type="pct"/>
          </w:tcPr>
          <w:p w14:paraId="1DBC9086" w14:textId="77777777" w:rsidR="006B1E94" w:rsidRPr="008741B0" w:rsidRDefault="006B1E94" w:rsidP="008F61DC">
            <w:pPr>
              <w:jc w:val="both"/>
              <w:rPr>
                <w:sz w:val="20"/>
                <w:szCs w:val="20"/>
              </w:rPr>
            </w:pPr>
          </w:p>
        </w:tc>
        <w:tc>
          <w:tcPr>
            <w:tcW w:w="449" w:type="pct"/>
          </w:tcPr>
          <w:p w14:paraId="6601359A" w14:textId="77777777" w:rsidR="006B1E94" w:rsidRPr="008741B0" w:rsidRDefault="006B1E94" w:rsidP="008F61DC">
            <w:pPr>
              <w:jc w:val="both"/>
              <w:rPr>
                <w:sz w:val="20"/>
                <w:szCs w:val="20"/>
              </w:rPr>
            </w:pPr>
            <w:r w:rsidRPr="008741B0">
              <w:rPr>
                <w:sz w:val="20"/>
                <w:szCs w:val="20"/>
              </w:rPr>
              <w:t>35+</w:t>
            </w:r>
          </w:p>
        </w:tc>
        <w:tc>
          <w:tcPr>
            <w:tcW w:w="1146" w:type="pct"/>
          </w:tcPr>
          <w:p w14:paraId="57723560" w14:textId="77777777" w:rsidR="006B1E94" w:rsidRPr="008741B0" w:rsidRDefault="006B1E94" w:rsidP="008F61DC">
            <w:pPr>
              <w:jc w:val="both"/>
              <w:rPr>
                <w:sz w:val="20"/>
                <w:szCs w:val="20"/>
              </w:rPr>
            </w:pPr>
            <w:r w:rsidRPr="008741B0">
              <w:rPr>
                <w:sz w:val="20"/>
                <w:szCs w:val="20"/>
              </w:rPr>
              <w:t>0.1463 (0.0045)</w:t>
            </w:r>
          </w:p>
        </w:tc>
        <w:tc>
          <w:tcPr>
            <w:tcW w:w="689" w:type="pct"/>
          </w:tcPr>
          <w:p w14:paraId="53769B4F" w14:textId="77777777" w:rsidR="006B1E94" w:rsidRPr="008741B0" w:rsidRDefault="006B1E94" w:rsidP="008F61DC">
            <w:pPr>
              <w:jc w:val="both"/>
              <w:rPr>
                <w:sz w:val="20"/>
                <w:szCs w:val="20"/>
              </w:rPr>
            </w:pPr>
            <w:r w:rsidRPr="008741B0">
              <w:rPr>
                <w:sz w:val="20"/>
                <w:szCs w:val="20"/>
              </w:rPr>
              <w:t>0.2113 (0.0068)</w:t>
            </w:r>
          </w:p>
        </w:tc>
        <w:tc>
          <w:tcPr>
            <w:tcW w:w="1139" w:type="pct"/>
          </w:tcPr>
          <w:p w14:paraId="08311413" w14:textId="77777777" w:rsidR="006B1E94" w:rsidRPr="008741B0" w:rsidRDefault="006B1E94" w:rsidP="008F61DC">
            <w:pPr>
              <w:jc w:val="both"/>
              <w:rPr>
                <w:sz w:val="20"/>
                <w:szCs w:val="20"/>
              </w:rPr>
            </w:pPr>
            <w:r w:rsidRPr="008741B0">
              <w:rPr>
                <w:sz w:val="20"/>
                <w:szCs w:val="20"/>
              </w:rPr>
              <w:t>(888.01, 5180.73)</w:t>
            </w:r>
          </w:p>
        </w:tc>
        <w:tc>
          <w:tcPr>
            <w:tcW w:w="736" w:type="pct"/>
          </w:tcPr>
          <w:p w14:paraId="5DDBBF5E" w14:textId="77777777" w:rsidR="006B1E94" w:rsidRPr="008741B0" w:rsidRDefault="006B1E94" w:rsidP="008F61DC">
            <w:pPr>
              <w:jc w:val="both"/>
              <w:rPr>
                <w:sz w:val="20"/>
                <w:szCs w:val="20"/>
              </w:rPr>
            </w:pPr>
            <w:r w:rsidRPr="008741B0">
              <w:rPr>
                <w:sz w:val="20"/>
                <w:szCs w:val="20"/>
              </w:rPr>
              <w:t>(761.69, 2843.94)</w:t>
            </w:r>
          </w:p>
        </w:tc>
      </w:tr>
      <w:tr w:rsidR="006B1E94" w:rsidRPr="008741B0" w14:paraId="10315C20" w14:textId="77777777" w:rsidTr="008F61DC">
        <w:trPr>
          <w:cantSplit/>
          <w:trHeight w:val="298"/>
        </w:trPr>
        <w:tc>
          <w:tcPr>
            <w:tcW w:w="476" w:type="pct"/>
          </w:tcPr>
          <w:p w14:paraId="6531E0DA" w14:textId="77777777" w:rsidR="006B1E94" w:rsidRPr="008741B0" w:rsidRDefault="006B1E94" w:rsidP="008F61DC">
            <w:pPr>
              <w:jc w:val="both"/>
              <w:rPr>
                <w:sz w:val="20"/>
                <w:szCs w:val="20"/>
              </w:rPr>
            </w:pPr>
            <w:r w:rsidRPr="008741B0">
              <w:rPr>
                <w:sz w:val="20"/>
                <w:szCs w:val="20"/>
              </w:rPr>
              <w:t>High-risk urban women</w:t>
            </w:r>
          </w:p>
        </w:tc>
        <w:tc>
          <w:tcPr>
            <w:tcW w:w="364" w:type="pct"/>
          </w:tcPr>
          <w:p w14:paraId="458BF777" w14:textId="77777777" w:rsidR="006B1E94" w:rsidRPr="008741B0" w:rsidRDefault="006B1E94" w:rsidP="008F61DC">
            <w:pPr>
              <w:jc w:val="both"/>
              <w:rPr>
                <w:sz w:val="20"/>
                <w:szCs w:val="20"/>
              </w:rPr>
            </w:pPr>
            <w:r w:rsidRPr="008741B0">
              <w:rPr>
                <w:sz w:val="20"/>
                <w:szCs w:val="20"/>
              </w:rPr>
              <w:t>2010</w:t>
            </w:r>
          </w:p>
        </w:tc>
        <w:tc>
          <w:tcPr>
            <w:tcW w:w="449" w:type="pct"/>
          </w:tcPr>
          <w:p w14:paraId="25A17C21" w14:textId="77777777" w:rsidR="006B1E94" w:rsidRPr="008741B0" w:rsidRDefault="006B1E94" w:rsidP="008F61DC">
            <w:pPr>
              <w:jc w:val="both"/>
              <w:rPr>
                <w:sz w:val="20"/>
                <w:szCs w:val="20"/>
              </w:rPr>
            </w:pPr>
            <w:r w:rsidRPr="008741B0">
              <w:rPr>
                <w:sz w:val="20"/>
                <w:szCs w:val="20"/>
              </w:rPr>
              <w:t>15-55+</w:t>
            </w:r>
          </w:p>
        </w:tc>
        <w:tc>
          <w:tcPr>
            <w:tcW w:w="1146" w:type="pct"/>
          </w:tcPr>
          <w:p w14:paraId="3F23C70B" w14:textId="77777777" w:rsidR="006B1E94" w:rsidRPr="008741B0" w:rsidRDefault="006B1E94" w:rsidP="008F61DC">
            <w:pPr>
              <w:jc w:val="both"/>
              <w:rPr>
                <w:sz w:val="20"/>
                <w:szCs w:val="20"/>
              </w:rPr>
            </w:pPr>
            <w:r w:rsidRPr="008741B0">
              <w:rPr>
                <w:sz w:val="20"/>
                <w:szCs w:val="20"/>
              </w:rPr>
              <w:t>0.154 (0.077 – 0.231)</w:t>
            </w:r>
          </w:p>
        </w:tc>
        <w:tc>
          <w:tcPr>
            <w:tcW w:w="689" w:type="pct"/>
          </w:tcPr>
          <w:p w14:paraId="5A97CEA8" w14:textId="77777777" w:rsidR="006B1E94" w:rsidRPr="008741B0" w:rsidRDefault="006B1E94" w:rsidP="008F61DC">
            <w:pPr>
              <w:jc w:val="both"/>
              <w:rPr>
                <w:sz w:val="20"/>
                <w:szCs w:val="20"/>
              </w:rPr>
            </w:pPr>
            <w:r w:rsidRPr="008741B0">
              <w:rPr>
                <w:sz w:val="20"/>
                <w:szCs w:val="20"/>
              </w:rPr>
              <w:t>0.222 (0.111–0.333)</w:t>
            </w:r>
          </w:p>
        </w:tc>
        <w:tc>
          <w:tcPr>
            <w:tcW w:w="1139" w:type="pct"/>
          </w:tcPr>
          <w:p w14:paraId="0CDFDED2" w14:textId="77777777" w:rsidR="006B1E94" w:rsidRPr="008741B0" w:rsidRDefault="006B1E94" w:rsidP="008F61DC">
            <w:pPr>
              <w:jc w:val="both"/>
              <w:rPr>
                <w:sz w:val="20"/>
                <w:szCs w:val="20"/>
              </w:rPr>
            </w:pPr>
            <w:r w:rsidRPr="008741B0">
              <w:rPr>
                <w:sz w:val="20"/>
                <w:szCs w:val="20"/>
              </w:rPr>
              <w:t>(31967.81, 175326.00)</w:t>
            </w:r>
          </w:p>
        </w:tc>
        <w:tc>
          <w:tcPr>
            <w:tcW w:w="736" w:type="pct"/>
          </w:tcPr>
          <w:p w14:paraId="0373E553" w14:textId="77777777" w:rsidR="006B1E94" w:rsidRPr="008741B0" w:rsidRDefault="006B1E94" w:rsidP="008F61DC">
            <w:pPr>
              <w:jc w:val="both"/>
              <w:rPr>
                <w:sz w:val="20"/>
                <w:szCs w:val="20"/>
              </w:rPr>
            </w:pPr>
            <w:r w:rsidRPr="008741B0">
              <w:rPr>
                <w:sz w:val="20"/>
                <w:szCs w:val="20"/>
              </w:rPr>
              <w:t>(27127.63, 94980.61)</w:t>
            </w:r>
          </w:p>
        </w:tc>
      </w:tr>
    </w:tbl>
    <w:p w14:paraId="07A7D6C9" w14:textId="77777777" w:rsidR="004F6186" w:rsidRDefault="004F6186" w:rsidP="001D10D4">
      <w:pPr>
        <w:rPr>
          <w:b/>
          <w:bCs/>
        </w:rPr>
      </w:pPr>
    </w:p>
    <w:p w14:paraId="2491A218" w14:textId="77777777" w:rsidR="009D0E63" w:rsidRDefault="009D0E63" w:rsidP="00097E3F">
      <w:pPr>
        <w:keepNext/>
        <w:rPr>
          <w:b/>
          <w:bCs/>
        </w:rPr>
      </w:pPr>
    </w:p>
    <w:p w14:paraId="6710D259" w14:textId="77777777" w:rsidR="00510203" w:rsidRDefault="00510203">
      <w:pPr>
        <w:rPr>
          <w:b/>
          <w:bCs/>
        </w:rPr>
      </w:pPr>
      <w:r>
        <w:rPr>
          <w:b/>
          <w:bCs/>
        </w:rPr>
        <w:br w:type="page"/>
      </w:r>
    </w:p>
    <w:p w14:paraId="4CBCA622" w14:textId="7E724A05" w:rsidR="00260B6D" w:rsidRPr="004F6186" w:rsidRDefault="00260B6D" w:rsidP="00097E3F">
      <w:pPr>
        <w:keepNext/>
        <w:rPr>
          <w:b/>
          <w:bCs/>
        </w:rPr>
      </w:pPr>
      <w:bookmarkStart w:id="361" w:name="_Ref82443899"/>
      <w:bookmarkStart w:id="362" w:name="_Toc82448085"/>
      <w:bookmarkStart w:id="363" w:name="_Toc82592516"/>
      <w:bookmarkStart w:id="364" w:name="_Toc82599281"/>
      <w:r w:rsidRPr="004F6186">
        <w:rPr>
          <w:b/>
          <w:bCs/>
        </w:rPr>
        <w:lastRenderedPageBreak/>
        <w:t xml:space="preserve">Table </w:t>
      </w:r>
      <w:r w:rsidRPr="004F6186">
        <w:rPr>
          <w:b/>
          <w:bCs/>
        </w:rPr>
        <w:fldChar w:fldCharType="begin"/>
      </w:r>
      <w:r w:rsidRPr="004F6186">
        <w:rPr>
          <w:b/>
          <w:bCs/>
        </w:rPr>
        <w:instrText xml:space="preserve"> SEQ Table \* ARABIC </w:instrText>
      </w:r>
      <w:r w:rsidRPr="004F6186">
        <w:rPr>
          <w:b/>
          <w:bCs/>
        </w:rPr>
        <w:fldChar w:fldCharType="separate"/>
      </w:r>
      <w:r w:rsidR="001E49BE">
        <w:rPr>
          <w:b/>
          <w:bCs/>
          <w:noProof/>
        </w:rPr>
        <w:t>22</w:t>
      </w:r>
      <w:r w:rsidRPr="004F6186">
        <w:rPr>
          <w:b/>
          <w:bCs/>
        </w:rPr>
        <w:fldChar w:fldCharType="end"/>
      </w:r>
      <w:bookmarkEnd w:id="361"/>
      <w:r w:rsidRPr="004F6186">
        <w:rPr>
          <w:b/>
          <w:bCs/>
        </w:rPr>
        <w:t xml:space="preserve">. </w:t>
      </w:r>
      <w:bookmarkStart w:id="365" w:name="_Hlk74742196"/>
      <w:r w:rsidR="009D0E63">
        <w:rPr>
          <w:b/>
          <w:bCs/>
        </w:rPr>
        <w:t xml:space="preserve">Calibration: </w:t>
      </w:r>
      <w:r w:rsidRPr="004F6186">
        <w:rPr>
          <w:b/>
          <w:bCs/>
        </w:rPr>
        <w:t>Parameter estimates for multiplier applied to probability of HIV diagnosis and linkage to care</w:t>
      </w:r>
      <w:bookmarkEnd w:id="362"/>
      <w:bookmarkEnd w:id="363"/>
      <w:bookmarkEnd w:id="364"/>
      <w:bookmarkEnd w:id="365"/>
    </w:p>
    <w:tbl>
      <w:tblPr>
        <w:tblW w:w="106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790"/>
        <w:gridCol w:w="2430"/>
        <w:gridCol w:w="3330"/>
      </w:tblGrid>
      <w:tr w:rsidR="00260B6D" w:rsidRPr="006B1E94" w14:paraId="613839B1" w14:textId="77777777" w:rsidTr="004F6186">
        <w:trPr>
          <w:trHeight w:val="264"/>
        </w:trPr>
        <w:tc>
          <w:tcPr>
            <w:tcW w:w="2070" w:type="dxa"/>
          </w:tcPr>
          <w:p w14:paraId="7C3E4C2D" w14:textId="77777777" w:rsidR="00260B6D" w:rsidRPr="006B1E94" w:rsidRDefault="00260B6D" w:rsidP="00527179">
            <w:pPr>
              <w:rPr>
                <w:b/>
                <w:bCs/>
                <w:sz w:val="20"/>
                <w:szCs w:val="20"/>
              </w:rPr>
            </w:pPr>
            <w:r w:rsidRPr="006B1E94">
              <w:rPr>
                <w:b/>
                <w:bCs/>
                <w:sz w:val="20"/>
                <w:szCs w:val="20"/>
              </w:rPr>
              <w:t>Sub-population</w:t>
            </w:r>
          </w:p>
        </w:tc>
        <w:tc>
          <w:tcPr>
            <w:tcW w:w="2790" w:type="dxa"/>
          </w:tcPr>
          <w:p w14:paraId="7CFD54C7" w14:textId="77777777" w:rsidR="00260B6D" w:rsidRPr="006B1E94" w:rsidRDefault="00260B6D" w:rsidP="00527179">
            <w:pPr>
              <w:rPr>
                <w:b/>
                <w:bCs/>
                <w:sz w:val="20"/>
                <w:szCs w:val="20"/>
              </w:rPr>
            </w:pPr>
            <w:r w:rsidRPr="006B1E94">
              <w:rPr>
                <w:b/>
                <w:bCs/>
                <w:sz w:val="20"/>
                <w:szCs w:val="20"/>
              </w:rPr>
              <w:t>Multiplier (95% CI)</w:t>
            </w:r>
          </w:p>
        </w:tc>
        <w:tc>
          <w:tcPr>
            <w:tcW w:w="2430" w:type="dxa"/>
          </w:tcPr>
          <w:p w14:paraId="1DAA4F01" w14:textId="77777777" w:rsidR="00260B6D" w:rsidRPr="006B1E94" w:rsidRDefault="00260B6D" w:rsidP="00527179">
            <w:pPr>
              <w:rPr>
                <w:b/>
                <w:bCs/>
                <w:sz w:val="20"/>
                <w:szCs w:val="20"/>
              </w:rPr>
            </w:pPr>
            <w:r w:rsidRPr="006B1E94">
              <w:rPr>
                <w:b/>
                <w:bCs/>
                <w:sz w:val="20"/>
                <w:szCs w:val="20"/>
              </w:rPr>
              <w:t>Log-transformation</w:t>
            </w:r>
          </w:p>
        </w:tc>
        <w:tc>
          <w:tcPr>
            <w:tcW w:w="3330" w:type="dxa"/>
          </w:tcPr>
          <w:p w14:paraId="29A5A4D1" w14:textId="77777777" w:rsidR="00260B6D" w:rsidRPr="006B1E94" w:rsidRDefault="00260B6D" w:rsidP="00E71320">
            <w:pPr>
              <w:rPr>
                <w:b/>
                <w:bCs/>
                <w:sz w:val="20"/>
                <w:szCs w:val="20"/>
              </w:rPr>
            </w:pPr>
            <w:r w:rsidRPr="006B1E94">
              <w:rPr>
                <w:b/>
                <w:bCs/>
                <w:sz w:val="20"/>
                <w:szCs w:val="20"/>
              </w:rPr>
              <w:t>Log-normal distribution</w:t>
            </w:r>
          </w:p>
          <w:p w14:paraId="52B0BC64" w14:textId="77777777" w:rsidR="00260B6D" w:rsidRPr="006B1E94" w:rsidRDefault="00260B6D" w:rsidP="00E71320">
            <w:pPr>
              <w:rPr>
                <w:b/>
                <w:bCs/>
                <w:sz w:val="20"/>
                <w:szCs w:val="20"/>
              </w:rPr>
            </w:pPr>
            <w:r w:rsidRPr="006B1E94">
              <w:rPr>
                <w:b/>
                <w:bCs/>
                <w:sz w:val="20"/>
                <w:szCs w:val="20"/>
              </w:rPr>
              <w:t>(</w:t>
            </w:r>
            <w:proofErr w:type="gramStart"/>
            <w:r w:rsidRPr="006B1E94">
              <w:rPr>
                <w:b/>
                <w:bCs/>
                <w:sz w:val="20"/>
                <w:szCs w:val="20"/>
              </w:rPr>
              <w:t>mean</w:t>
            </w:r>
            <w:proofErr w:type="gramEnd"/>
            <w:r w:rsidRPr="006B1E94">
              <w:rPr>
                <w:b/>
                <w:bCs/>
                <w:sz w:val="20"/>
                <w:szCs w:val="20"/>
              </w:rPr>
              <w:t>, standard error)</w:t>
            </w:r>
          </w:p>
        </w:tc>
      </w:tr>
      <w:tr w:rsidR="00260B6D" w:rsidRPr="006B1E94" w14:paraId="09133B70" w14:textId="77777777" w:rsidTr="004F6186">
        <w:trPr>
          <w:trHeight w:val="264"/>
        </w:trPr>
        <w:tc>
          <w:tcPr>
            <w:tcW w:w="2070" w:type="dxa"/>
            <w:vAlign w:val="center"/>
          </w:tcPr>
          <w:p w14:paraId="450A34AF" w14:textId="77777777" w:rsidR="00260B6D" w:rsidRPr="006B1E94" w:rsidRDefault="00260B6D" w:rsidP="00122CDD">
            <w:pPr>
              <w:rPr>
                <w:sz w:val="20"/>
                <w:szCs w:val="20"/>
              </w:rPr>
            </w:pPr>
            <w:r w:rsidRPr="006B1E94">
              <w:rPr>
                <w:sz w:val="20"/>
                <w:szCs w:val="20"/>
              </w:rPr>
              <w:t xml:space="preserve">Any </w:t>
            </w:r>
          </w:p>
        </w:tc>
        <w:tc>
          <w:tcPr>
            <w:tcW w:w="2790" w:type="dxa"/>
            <w:vAlign w:val="center"/>
          </w:tcPr>
          <w:p w14:paraId="3394014E" w14:textId="77777777" w:rsidR="00260B6D" w:rsidRPr="006B1E94" w:rsidRDefault="00260B6D" w:rsidP="001D10D4">
            <w:pPr>
              <w:rPr>
                <w:sz w:val="20"/>
                <w:szCs w:val="20"/>
                <w:vertAlign w:val="superscript"/>
              </w:rPr>
            </w:pPr>
            <w:r w:rsidRPr="006B1E94">
              <w:rPr>
                <w:sz w:val="20"/>
                <w:szCs w:val="20"/>
              </w:rPr>
              <w:t>1.56 (1.11 – 2.20)</w:t>
            </w:r>
          </w:p>
        </w:tc>
        <w:tc>
          <w:tcPr>
            <w:tcW w:w="2430" w:type="dxa"/>
          </w:tcPr>
          <w:p w14:paraId="5002DE1C" w14:textId="77777777" w:rsidR="00260B6D" w:rsidRPr="006B1E94" w:rsidRDefault="00260B6D" w:rsidP="00527179">
            <w:pPr>
              <w:rPr>
                <w:sz w:val="20"/>
                <w:szCs w:val="20"/>
              </w:rPr>
            </w:pPr>
            <w:r w:rsidRPr="006B1E94">
              <w:rPr>
                <w:sz w:val="20"/>
                <w:szCs w:val="20"/>
              </w:rPr>
              <w:t>0.445 (0.104, 0.788)</w:t>
            </w:r>
          </w:p>
        </w:tc>
        <w:tc>
          <w:tcPr>
            <w:tcW w:w="3330" w:type="dxa"/>
          </w:tcPr>
          <w:p w14:paraId="190FAAAC" w14:textId="77777777" w:rsidR="00260B6D" w:rsidRPr="006B1E94" w:rsidRDefault="00260B6D" w:rsidP="00527179">
            <w:pPr>
              <w:rPr>
                <w:sz w:val="20"/>
                <w:szCs w:val="20"/>
              </w:rPr>
            </w:pPr>
            <w:r w:rsidRPr="006B1E94">
              <w:rPr>
                <w:sz w:val="20"/>
                <w:szCs w:val="20"/>
              </w:rPr>
              <w:t>(0.445, 0.175)</w:t>
            </w:r>
          </w:p>
        </w:tc>
      </w:tr>
    </w:tbl>
    <w:p w14:paraId="3DD88F74" w14:textId="77777777" w:rsidR="00260B6D" w:rsidRDefault="00260B6D" w:rsidP="00122CDD"/>
    <w:p w14:paraId="120CD60F" w14:textId="77777777" w:rsidR="006B1E94" w:rsidRDefault="006B1E94" w:rsidP="00122CDD"/>
    <w:p w14:paraId="1C08AFF5" w14:textId="018E925D" w:rsidR="00260B6D" w:rsidRDefault="00260B6D" w:rsidP="002C3EFA">
      <w:pPr>
        <w:rPr>
          <w:b/>
          <w:bCs/>
        </w:rPr>
      </w:pPr>
      <w:bookmarkStart w:id="366" w:name="_Ref82444108"/>
      <w:bookmarkStart w:id="367" w:name="_Toc82448086"/>
      <w:bookmarkStart w:id="368" w:name="_Toc82592517"/>
      <w:bookmarkStart w:id="369" w:name="_Toc82599282"/>
      <w:r w:rsidRPr="00316262">
        <w:rPr>
          <w:b/>
          <w:bCs/>
        </w:rPr>
        <w:t xml:space="preserve">Table </w:t>
      </w:r>
      <w:r w:rsidRPr="00316262">
        <w:rPr>
          <w:b/>
          <w:bCs/>
        </w:rPr>
        <w:fldChar w:fldCharType="begin"/>
      </w:r>
      <w:r w:rsidRPr="00316262">
        <w:rPr>
          <w:b/>
          <w:bCs/>
        </w:rPr>
        <w:instrText xml:space="preserve"> SEQ Table \* ARABIC </w:instrText>
      </w:r>
      <w:r w:rsidRPr="00316262">
        <w:rPr>
          <w:b/>
          <w:bCs/>
        </w:rPr>
        <w:fldChar w:fldCharType="separate"/>
      </w:r>
      <w:r w:rsidR="001E49BE">
        <w:rPr>
          <w:b/>
          <w:bCs/>
          <w:noProof/>
        </w:rPr>
        <w:t>23</w:t>
      </w:r>
      <w:r w:rsidRPr="00316262">
        <w:rPr>
          <w:b/>
          <w:bCs/>
        </w:rPr>
        <w:fldChar w:fldCharType="end"/>
      </w:r>
      <w:bookmarkEnd w:id="366"/>
      <w:r>
        <w:rPr>
          <w:b/>
          <w:bCs/>
        </w:rPr>
        <w:t>.</w:t>
      </w:r>
      <w:r w:rsidRPr="00316262">
        <w:rPr>
          <w:b/>
          <w:bCs/>
        </w:rPr>
        <w:t xml:space="preserve"> </w:t>
      </w:r>
      <w:bookmarkStart w:id="370" w:name="_Hlk74742208"/>
      <w:r w:rsidR="0089750E">
        <w:rPr>
          <w:b/>
          <w:bCs/>
        </w:rPr>
        <w:t xml:space="preserve">Calibration: </w:t>
      </w:r>
      <w:r>
        <w:rPr>
          <w:b/>
          <w:bCs/>
        </w:rPr>
        <w:t>Parameter estimates for beta distribution assigned to probabilities of linkage to care</w:t>
      </w:r>
      <w:bookmarkEnd w:id="367"/>
      <w:bookmarkEnd w:id="368"/>
      <w:bookmarkEnd w:id="369"/>
      <w:bookmarkEnd w:id="370"/>
    </w:p>
    <w:tbl>
      <w:tblPr>
        <w:tblW w:w="50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1215"/>
        <w:gridCol w:w="3121"/>
        <w:gridCol w:w="2080"/>
        <w:gridCol w:w="3207"/>
        <w:gridCol w:w="2526"/>
      </w:tblGrid>
      <w:tr w:rsidR="00260B6D" w:rsidRPr="006B1E94" w14:paraId="256903CC" w14:textId="77777777" w:rsidTr="006B1E94">
        <w:trPr>
          <w:trHeight w:val="298"/>
        </w:trPr>
        <w:tc>
          <w:tcPr>
            <w:tcW w:w="806" w:type="pct"/>
            <w:vMerge w:val="restart"/>
          </w:tcPr>
          <w:p w14:paraId="14531935" w14:textId="58593359" w:rsidR="00260B6D" w:rsidRPr="006B1E94" w:rsidRDefault="00260B6D" w:rsidP="006B1E94">
            <w:pPr>
              <w:jc w:val="both"/>
              <w:rPr>
                <w:b/>
                <w:bCs/>
                <w:sz w:val="20"/>
                <w:szCs w:val="20"/>
              </w:rPr>
            </w:pPr>
            <w:r w:rsidRPr="006B1E94">
              <w:rPr>
                <w:b/>
                <w:bCs/>
                <w:sz w:val="20"/>
                <w:szCs w:val="20"/>
              </w:rPr>
              <w:t>Sub-</w:t>
            </w:r>
            <w:r w:rsidR="006B1E94">
              <w:rPr>
                <w:b/>
                <w:bCs/>
                <w:sz w:val="20"/>
                <w:szCs w:val="20"/>
              </w:rPr>
              <w:t>population</w:t>
            </w:r>
          </w:p>
        </w:tc>
        <w:tc>
          <w:tcPr>
            <w:tcW w:w="419" w:type="pct"/>
            <w:vMerge w:val="restart"/>
          </w:tcPr>
          <w:p w14:paraId="52FAB981" w14:textId="77777777" w:rsidR="00260B6D" w:rsidRPr="006B1E94" w:rsidRDefault="00260B6D" w:rsidP="006B1E94">
            <w:pPr>
              <w:jc w:val="both"/>
              <w:rPr>
                <w:b/>
                <w:bCs/>
                <w:sz w:val="20"/>
                <w:szCs w:val="20"/>
              </w:rPr>
            </w:pPr>
            <w:r w:rsidRPr="006B1E94">
              <w:rPr>
                <w:b/>
                <w:bCs/>
                <w:sz w:val="20"/>
                <w:szCs w:val="20"/>
              </w:rPr>
              <w:t>Year of data collection</w:t>
            </w:r>
          </w:p>
        </w:tc>
        <w:tc>
          <w:tcPr>
            <w:tcW w:w="1795" w:type="pct"/>
            <w:gridSpan w:val="2"/>
          </w:tcPr>
          <w:p w14:paraId="77AB6CFE" w14:textId="77777777" w:rsidR="00260B6D" w:rsidRPr="006B1E94" w:rsidRDefault="00260B6D" w:rsidP="006B1E94">
            <w:pPr>
              <w:jc w:val="both"/>
              <w:rPr>
                <w:b/>
                <w:bCs/>
                <w:sz w:val="20"/>
                <w:szCs w:val="20"/>
              </w:rPr>
            </w:pPr>
            <w:r w:rsidRPr="006B1E94">
              <w:rPr>
                <w:b/>
                <w:bCs/>
                <w:sz w:val="20"/>
                <w:szCs w:val="20"/>
              </w:rPr>
              <w:t>Monthly probabilities (CIs)</w:t>
            </w:r>
          </w:p>
        </w:tc>
        <w:tc>
          <w:tcPr>
            <w:tcW w:w="1979" w:type="pct"/>
            <w:gridSpan w:val="2"/>
          </w:tcPr>
          <w:p w14:paraId="06813208" w14:textId="77777777" w:rsidR="00260B6D" w:rsidRPr="006B1E94" w:rsidRDefault="00260B6D" w:rsidP="006B1E94">
            <w:pPr>
              <w:jc w:val="both"/>
              <w:rPr>
                <w:b/>
                <w:bCs/>
                <w:sz w:val="20"/>
                <w:szCs w:val="20"/>
              </w:rPr>
            </w:pPr>
            <w:r w:rsidRPr="006B1E94">
              <w:rPr>
                <w:b/>
                <w:bCs/>
                <w:sz w:val="20"/>
                <w:szCs w:val="20"/>
              </w:rPr>
              <w:t>Parameters for beta distribution (</w:t>
            </w:r>
            <m:oMath>
              <m:r>
                <m:rPr>
                  <m:sty m:val="bi"/>
                </m:rPr>
                <w:rPr>
                  <w:rFonts w:ascii="Cambria Math" w:hAnsi="Cambria Math"/>
                  <w:sz w:val="20"/>
                  <w:szCs w:val="20"/>
                </w:rPr>
                <m:t>α, β)</m:t>
              </m:r>
            </m:oMath>
          </w:p>
        </w:tc>
      </w:tr>
      <w:tr w:rsidR="006B1E94" w:rsidRPr="006B1E94" w14:paraId="7853485C" w14:textId="77777777" w:rsidTr="006B1E94">
        <w:trPr>
          <w:trHeight w:val="404"/>
        </w:trPr>
        <w:tc>
          <w:tcPr>
            <w:tcW w:w="806" w:type="pct"/>
            <w:vMerge/>
          </w:tcPr>
          <w:p w14:paraId="48C36700" w14:textId="77777777" w:rsidR="006B1E94" w:rsidRPr="006B1E94" w:rsidRDefault="006B1E94" w:rsidP="006B1E94">
            <w:pPr>
              <w:jc w:val="both"/>
              <w:rPr>
                <w:b/>
                <w:bCs/>
                <w:sz w:val="20"/>
                <w:szCs w:val="20"/>
              </w:rPr>
            </w:pPr>
          </w:p>
        </w:tc>
        <w:tc>
          <w:tcPr>
            <w:tcW w:w="419" w:type="pct"/>
            <w:vMerge/>
          </w:tcPr>
          <w:p w14:paraId="0B534631" w14:textId="77777777" w:rsidR="006B1E94" w:rsidRPr="006B1E94" w:rsidRDefault="006B1E94" w:rsidP="006B1E94">
            <w:pPr>
              <w:jc w:val="both"/>
              <w:rPr>
                <w:b/>
                <w:bCs/>
                <w:sz w:val="20"/>
                <w:szCs w:val="20"/>
              </w:rPr>
            </w:pPr>
          </w:p>
        </w:tc>
        <w:tc>
          <w:tcPr>
            <w:tcW w:w="1077" w:type="pct"/>
          </w:tcPr>
          <w:p w14:paraId="14B87B74" w14:textId="7AE65B4F" w:rsidR="006B1E94" w:rsidRPr="006B1E94" w:rsidRDefault="006B1E94" w:rsidP="006B1E94">
            <w:pPr>
              <w:jc w:val="both"/>
              <w:rPr>
                <w:b/>
                <w:bCs/>
                <w:sz w:val="20"/>
                <w:szCs w:val="20"/>
              </w:rPr>
            </w:pPr>
            <w:r w:rsidRPr="008741B0">
              <w:rPr>
                <w:b/>
                <w:bCs/>
                <w:sz w:val="20"/>
                <w:szCs w:val="20"/>
              </w:rPr>
              <w:t xml:space="preserve">CD4&gt;500, &gt;350–500, </w:t>
            </w:r>
            <w:r>
              <w:rPr>
                <w:b/>
                <w:bCs/>
                <w:sz w:val="20"/>
                <w:szCs w:val="20"/>
              </w:rPr>
              <w:t xml:space="preserve">and </w:t>
            </w:r>
            <w:r w:rsidRPr="008741B0">
              <w:rPr>
                <w:b/>
                <w:bCs/>
                <w:sz w:val="20"/>
                <w:szCs w:val="20"/>
              </w:rPr>
              <w:t>&gt;200</w:t>
            </w:r>
            <w:r>
              <w:rPr>
                <w:b/>
                <w:bCs/>
                <w:sz w:val="20"/>
                <w:szCs w:val="20"/>
              </w:rPr>
              <w:t>–</w:t>
            </w:r>
            <w:r w:rsidRPr="008741B0">
              <w:rPr>
                <w:b/>
                <w:bCs/>
                <w:sz w:val="20"/>
                <w:szCs w:val="20"/>
              </w:rPr>
              <w:t>350</w:t>
            </w:r>
          </w:p>
        </w:tc>
        <w:tc>
          <w:tcPr>
            <w:tcW w:w="718" w:type="pct"/>
          </w:tcPr>
          <w:p w14:paraId="0464C6B8" w14:textId="77777777" w:rsidR="006B1E94" w:rsidRPr="006B1E94" w:rsidRDefault="006B1E94" w:rsidP="006B1E94">
            <w:pPr>
              <w:jc w:val="both"/>
              <w:rPr>
                <w:b/>
                <w:bCs/>
                <w:sz w:val="20"/>
                <w:szCs w:val="20"/>
              </w:rPr>
            </w:pPr>
            <w:r w:rsidRPr="006B1E94">
              <w:rPr>
                <w:b/>
                <w:bCs/>
                <w:sz w:val="20"/>
                <w:szCs w:val="20"/>
              </w:rPr>
              <w:t>CD4≤200</w:t>
            </w:r>
          </w:p>
        </w:tc>
        <w:tc>
          <w:tcPr>
            <w:tcW w:w="1107" w:type="pct"/>
          </w:tcPr>
          <w:p w14:paraId="29282F73" w14:textId="23B885E1" w:rsidR="006B1E94" w:rsidRPr="006B1E94" w:rsidRDefault="006B1E94" w:rsidP="006B1E94">
            <w:pPr>
              <w:jc w:val="both"/>
              <w:rPr>
                <w:b/>
                <w:bCs/>
                <w:sz w:val="20"/>
                <w:szCs w:val="20"/>
              </w:rPr>
            </w:pPr>
            <w:r w:rsidRPr="008741B0">
              <w:rPr>
                <w:b/>
                <w:bCs/>
                <w:sz w:val="20"/>
                <w:szCs w:val="20"/>
              </w:rPr>
              <w:t xml:space="preserve">CD4&gt;500, &gt;350–500, </w:t>
            </w:r>
            <w:r>
              <w:rPr>
                <w:b/>
                <w:bCs/>
                <w:sz w:val="20"/>
                <w:szCs w:val="20"/>
              </w:rPr>
              <w:t xml:space="preserve">and </w:t>
            </w:r>
            <w:r w:rsidRPr="008741B0">
              <w:rPr>
                <w:b/>
                <w:bCs/>
                <w:sz w:val="20"/>
                <w:szCs w:val="20"/>
              </w:rPr>
              <w:t>&gt;200</w:t>
            </w:r>
            <w:r>
              <w:rPr>
                <w:b/>
                <w:bCs/>
                <w:sz w:val="20"/>
                <w:szCs w:val="20"/>
              </w:rPr>
              <w:t>–</w:t>
            </w:r>
            <w:r w:rsidRPr="008741B0">
              <w:rPr>
                <w:b/>
                <w:bCs/>
                <w:sz w:val="20"/>
                <w:szCs w:val="20"/>
              </w:rPr>
              <w:t>350</w:t>
            </w:r>
          </w:p>
        </w:tc>
        <w:tc>
          <w:tcPr>
            <w:tcW w:w="872" w:type="pct"/>
          </w:tcPr>
          <w:p w14:paraId="05B127DF" w14:textId="77777777" w:rsidR="006B1E94" w:rsidRPr="006B1E94" w:rsidRDefault="006B1E94" w:rsidP="006B1E94">
            <w:pPr>
              <w:jc w:val="both"/>
              <w:rPr>
                <w:b/>
                <w:bCs/>
                <w:sz w:val="20"/>
                <w:szCs w:val="20"/>
              </w:rPr>
            </w:pPr>
            <w:r w:rsidRPr="006B1E94">
              <w:rPr>
                <w:b/>
                <w:bCs/>
                <w:sz w:val="20"/>
                <w:szCs w:val="20"/>
              </w:rPr>
              <w:t>CD4≤200</w:t>
            </w:r>
          </w:p>
        </w:tc>
      </w:tr>
      <w:tr w:rsidR="006B1E94" w:rsidRPr="006B1E94" w14:paraId="00B4529D" w14:textId="77777777" w:rsidTr="006B1E94">
        <w:trPr>
          <w:trHeight w:val="298"/>
        </w:trPr>
        <w:tc>
          <w:tcPr>
            <w:tcW w:w="806" w:type="pct"/>
          </w:tcPr>
          <w:p w14:paraId="2E0BF406" w14:textId="77777777" w:rsidR="00260B6D" w:rsidRPr="006B1E94" w:rsidRDefault="00260B6D" w:rsidP="006B1E94">
            <w:pPr>
              <w:jc w:val="both"/>
              <w:rPr>
                <w:sz w:val="20"/>
                <w:szCs w:val="20"/>
              </w:rPr>
            </w:pPr>
            <w:r w:rsidRPr="006B1E94">
              <w:rPr>
                <w:sz w:val="20"/>
                <w:szCs w:val="20"/>
              </w:rPr>
              <w:t>Low-risk women and men</w:t>
            </w:r>
          </w:p>
        </w:tc>
        <w:tc>
          <w:tcPr>
            <w:tcW w:w="419" w:type="pct"/>
          </w:tcPr>
          <w:p w14:paraId="1B9D54BC" w14:textId="77777777" w:rsidR="00260B6D" w:rsidRPr="006B1E94" w:rsidRDefault="00260B6D" w:rsidP="006B1E94">
            <w:pPr>
              <w:jc w:val="both"/>
              <w:rPr>
                <w:sz w:val="20"/>
                <w:szCs w:val="20"/>
              </w:rPr>
            </w:pPr>
            <w:r w:rsidRPr="006B1E94">
              <w:rPr>
                <w:sz w:val="20"/>
                <w:szCs w:val="20"/>
              </w:rPr>
              <w:t>2013</w:t>
            </w:r>
          </w:p>
        </w:tc>
        <w:tc>
          <w:tcPr>
            <w:tcW w:w="1077" w:type="pct"/>
          </w:tcPr>
          <w:p w14:paraId="7DC87FDE" w14:textId="77777777" w:rsidR="00260B6D" w:rsidRPr="006B1E94" w:rsidRDefault="00260B6D" w:rsidP="006B1E94">
            <w:pPr>
              <w:jc w:val="both"/>
              <w:rPr>
                <w:sz w:val="20"/>
                <w:szCs w:val="20"/>
              </w:rPr>
            </w:pPr>
            <w:r w:rsidRPr="006B1E94">
              <w:rPr>
                <w:sz w:val="20"/>
                <w:szCs w:val="20"/>
              </w:rPr>
              <w:t>0.175 (0.092 – 0.250)</w:t>
            </w:r>
          </w:p>
        </w:tc>
        <w:tc>
          <w:tcPr>
            <w:tcW w:w="718" w:type="pct"/>
          </w:tcPr>
          <w:p w14:paraId="0FDE641C" w14:textId="77777777" w:rsidR="00260B6D" w:rsidRPr="006B1E94" w:rsidRDefault="00260B6D" w:rsidP="006B1E94">
            <w:pPr>
              <w:jc w:val="both"/>
              <w:rPr>
                <w:sz w:val="20"/>
                <w:szCs w:val="20"/>
              </w:rPr>
            </w:pPr>
            <w:r w:rsidRPr="006B1E94">
              <w:rPr>
                <w:sz w:val="20"/>
                <w:szCs w:val="20"/>
              </w:rPr>
              <w:t>0.259 (0.139 – 0.362)</w:t>
            </w:r>
          </w:p>
        </w:tc>
        <w:tc>
          <w:tcPr>
            <w:tcW w:w="1107" w:type="pct"/>
          </w:tcPr>
          <w:p w14:paraId="61B32E68" w14:textId="77777777" w:rsidR="00260B6D" w:rsidRPr="006B1E94" w:rsidRDefault="00260B6D" w:rsidP="006B1E94">
            <w:pPr>
              <w:jc w:val="both"/>
              <w:rPr>
                <w:sz w:val="20"/>
                <w:szCs w:val="20"/>
              </w:rPr>
            </w:pPr>
            <w:r w:rsidRPr="006B1E94">
              <w:rPr>
                <w:sz w:val="20"/>
                <w:szCs w:val="20"/>
              </w:rPr>
              <w:t>(7699609.36, 37156115.76)</w:t>
            </w:r>
          </w:p>
        </w:tc>
        <w:tc>
          <w:tcPr>
            <w:tcW w:w="872" w:type="pct"/>
          </w:tcPr>
          <w:p w14:paraId="32083A60" w14:textId="77777777" w:rsidR="00260B6D" w:rsidRPr="006B1E94" w:rsidRDefault="00260B6D" w:rsidP="006B1E94">
            <w:pPr>
              <w:jc w:val="both"/>
              <w:rPr>
                <w:sz w:val="20"/>
                <w:szCs w:val="20"/>
              </w:rPr>
            </w:pPr>
            <w:r w:rsidRPr="006B1E94">
              <w:rPr>
                <w:sz w:val="20"/>
                <w:szCs w:val="20"/>
              </w:rPr>
              <w:t>(6401713.31, 19611835.49)</w:t>
            </w:r>
          </w:p>
        </w:tc>
      </w:tr>
      <w:tr w:rsidR="006B1E94" w:rsidRPr="006B1E94" w14:paraId="27489382" w14:textId="77777777" w:rsidTr="006B1E94">
        <w:trPr>
          <w:trHeight w:val="298"/>
        </w:trPr>
        <w:tc>
          <w:tcPr>
            <w:tcW w:w="806" w:type="pct"/>
          </w:tcPr>
          <w:p w14:paraId="20D20D6E" w14:textId="77777777" w:rsidR="00260B6D" w:rsidRPr="006B1E94" w:rsidRDefault="00260B6D" w:rsidP="006B1E94">
            <w:pPr>
              <w:jc w:val="both"/>
              <w:rPr>
                <w:sz w:val="20"/>
                <w:szCs w:val="20"/>
              </w:rPr>
            </w:pPr>
            <w:r w:rsidRPr="006B1E94">
              <w:rPr>
                <w:sz w:val="20"/>
                <w:szCs w:val="20"/>
              </w:rPr>
              <w:t>High-risk urban women</w:t>
            </w:r>
          </w:p>
        </w:tc>
        <w:tc>
          <w:tcPr>
            <w:tcW w:w="419" w:type="pct"/>
          </w:tcPr>
          <w:p w14:paraId="3559F7E0" w14:textId="77777777" w:rsidR="00260B6D" w:rsidRPr="006B1E94" w:rsidRDefault="00260B6D" w:rsidP="006B1E94">
            <w:pPr>
              <w:jc w:val="both"/>
              <w:rPr>
                <w:sz w:val="20"/>
                <w:szCs w:val="20"/>
              </w:rPr>
            </w:pPr>
            <w:r w:rsidRPr="006B1E94">
              <w:rPr>
                <w:sz w:val="20"/>
                <w:szCs w:val="20"/>
              </w:rPr>
              <w:t>2007-2008</w:t>
            </w:r>
          </w:p>
        </w:tc>
        <w:tc>
          <w:tcPr>
            <w:tcW w:w="1077" w:type="pct"/>
          </w:tcPr>
          <w:p w14:paraId="57871338" w14:textId="77777777" w:rsidR="00260B6D" w:rsidRPr="006B1E94" w:rsidRDefault="00260B6D" w:rsidP="006B1E94">
            <w:pPr>
              <w:jc w:val="both"/>
              <w:rPr>
                <w:sz w:val="20"/>
                <w:szCs w:val="20"/>
              </w:rPr>
            </w:pPr>
            <w:r w:rsidRPr="006B1E94">
              <w:rPr>
                <w:sz w:val="20"/>
                <w:szCs w:val="20"/>
              </w:rPr>
              <w:t>0.1153 (0.059 – 0.168)</w:t>
            </w:r>
          </w:p>
        </w:tc>
        <w:tc>
          <w:tcPr>
            <w:tcW w:w="718" w:type="pct"/>
          </w:tcPr>
          <w:p w14:paraId="73F92E6F" w14:textId="77777777" w:rsidR="00260B6D" w:rsidRPr="006B1E94" w:rsidRDefault="00260B6D" w:rsidP="006B1E94">
            <w:pPr>
              <w:jc w:val="both"/>
              <w:rPr>
                <w:sz w:val="20"/>
                <w:szCs w:val="20"/>
              </w:rPr>
            </w:pPr>
            <w:r w:rsidRPr="006B1E94">
              <w:rPr>
                <w:sz w:val="20"/>
                <w:szCs w:val="20"/>
              </w:rPr>
              <w:t>0.1678(0.091 – 0.249)</w:t>
            </w:r>
          </w:p>
        </w:tc>
        <w:tc>
          <w:tcPr>
            <w:tcW w:w="1107" w:type="pct"/>
          </w:tcPr>
          <w:p w14:paraId="39774DD0" w14:textId="77777777" w:rsidR="00260B6D" w:rsidRPr="006B1E94" w:rsidRDefault="00260B6D" w:rsidP="006B1E94">
            <w:pPr>
              <w:jc w:val="both"/>
              <w:rPr>
                <w:sz w:val="20"/>
                <w:szCs w:val="20"/>
              </w:rPr>
            </w:pPr>
            <w:r w:rsidRPr="006B1E94">
              <w:rPr>
                <w:sz w:val="20"/>
                <w:szCs w:val="20"/>
              </w:rPr>
              <w:t>(1313.32, 10080.12)</w:t>
            </w:r>
          </w:p>
        </w:tc>
        <w:tc>
          <w:tcPr>
            <w:tcW w:w="872" w:type="pct"/>
          </w:tcPr>
          <w:p w14:paraId="30F0F736" w14:textId="77777777" w:rsidR="00260B6D" w:rsidRPr="006B1E94" w:rsidRDefault="00260B6D" w:rsidP="006B1E94">
            <w:pPr>
              <w:jc w:val="both"/>
              <w:rPr>
                <w:sz w:val="20"/>
                <w:szCs w:val="20"/>
              </w:rPr>
            </w:pPr>
            <w:r w:rsidRPr="006B1E94">
              <w:rPr>
                <w:sz w:val="20"/>
                <w:szCs w:val="20"/>
              </w:rPr>
              <w:t>(1165.43, 5779.00)</w:t>
            </w:r>
          </w:p>
        </w:tc>
      </w:tr>
    </w:tbl>
    <w:p w14:paraId="264FA13E" w14:textId="0B629A18" w:rsidR="00260B6D" w:rsidRDefault="00260B6D" w:rsidP="00122CDD"/>
    <w:p w14:paraId="60BE4490" w14:textId="77777777" w:rsidR="00510203" w:rsidRPr="00036CCB" w:rsidRDefault="00510203" w:rsidP="00122CDD"/>
    <w:p w14:paraId="2BDE077F" w14:textId="5591A6AB" w:rsidR="00260B6D" w:rsidRPr="00316262" w:rsidRDefault="00260B6D">
      <w:pPr>
        <w:rPr>
          <w:b/>
          <w:bCs/>
        </w:rPr>
      </w:pPr>
      <w:bookmarkStart w:id="371" w:name="_Ref82444134"/>
      <w:bookmarkStart w:id="372" w:name="_Toc82448087"/>
      <w:bookmarkStart w:id="373" w:name="_Toc82592518"/>
      <w:bookmarkStart w:id="374" w:name="_Toc82599283"/>
      <w:r w:rsidRPr="00316262">
        <w:rPr>
          <w:b/>
          <w:bCs/>
        </w:rPr>
        <w:t xml:space="preserve">Table </w:t>
      </w:r>
      <w:r w:rsidRPr="00316262">
        <w:rPr>
          <w:b/>
          <w:bCs/>
        </w:rPr>
        <w:fldChar w:fldCharType="begin"/>
      </w:r>
      <w:r w:rsidRPr="00316262">
        <w:rPr>
          <w:b/>
          <w:bCs/>
        </w:rPr>
        <w:instrText xml:space="preserve"> SEQ Table \* ARABIC </w:instrText>
      </w:r>
      <w:r w:rsidRPr="00316262">
        <w:rPr>
          <w:b/>
          <w:bCs/>
        </w:rPr>
        <w:fldChar w:fldCharType="separate"/>
      </w:r>
      <w:r w:rsidR="001E49BE">
        <w:rPr>
          <w:b/>
          <w:bCs/>
          <w:noProof/>
        </w:rPr>
        <w:t>24</w:t>
      </w:r>
      <w:r w:rsidRPr="00316262">
        <w:rPr>
          <w:b/>
          <w:bCs/>
        </w:rPr>
        <w:fldChar w:fldCharType="end"/>
      </w:r>
      <w:bookmarkEnd w:id="371"/>
      <w:r w:rsidRPr="00316262">
        <w:rPr>
          <w:b/>
          <w:bCs/>
        </w:rPr>
        <w:t xml:space="preserve">. </w:t>
      </w:r>
      <w:bookmarkStart w:id="375" w:name="_Hlk74742230"/>
      <w:r w:rsidR="0089750E">
        <w:rPr>
          <w:b/>
          <w:bCs/>
        </w:rPr>
        <w:t xml:space="preserve">Calibration: </w:t>
      </w:r>
      <w:r>
        <w:rPr>
          <w:b/>
          <w:bCs/>
        </w:rPr>
        <w:t>Parameter estimates for distribution</w:t>
      </w:r>
      <w:r w:rsidR="0089750E">
        <w:rPr>
          <w:b/>
          <w:bCs/>
        </w:rPr>
        <w:t>s</w:t>
      </w:r>
      <w:r>
        <w:rPr>
          <w:b/>
          <w:bCs/>
        </w:rPr>
        <w:t xml:space="preserve"> assigned to </w:t>
      </w:r>
      <w:r w:rsidR="0089750E">
        <w:rPr>
          <w:b/>
          <w:bCs/>
        </w:rPr>
        <w:t xml:space="preserve">the </w:t>
      </w:r>
      <w:r>
        <w:rPr>
          <w:b/>
          <w:bCs/>
        </w:rPr>
        <w:t>probabilities of HIV transmission</w:t>
      </w:r>
      <w:bookmarkEnd w:id="372"/>
      <w:bookmarkEnd w:id="373"/>
      <w:bookmarkEnd w:id="374"/>
      <w:bookmarkEnd w:id="375"/>
    </w:p>
    <w:tbl>
      <w:tblPr>
        <w:tblW w:w="136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060"/>
        <w:gridCol w:w="2790"/>
        <w:gridCol w:w="2430"/>
        <w:gridCol w:w="3330"/>
      </w:tblGrid>
      <w:tr w:rsidR="00260B6D" w:rsidRPr="006B1E94" w14:paraId="3AC325C8" w14:textId="77777777" w:rsidTr="004F6186">
        <w:trPr>
          <w:trHeight w:val="264"/>
        </w:trPr>
        <w:tc>
          <w:tcPr>
            <w:tcW w:w="2070" w:type="dxa"/>
          </w:tcPr>
          <w:p w14:paraId="7FD24EC7" w14:textId="77777777" w:rsidR="00260B6D" w:rsidRPr="006B1E94" w:rsidRDefault="00260B6D">
            <w:pPr>
              <w:rPr>
                <w:b/>
                <w:bCs/>
                <w:sz w:val="20"/>
                <w:szCs w:val="20"/>
              </w:rPr>
            </w:pPr>
            <w:r w:rsidRPr="006B1E94">
              <w:rPr>
                <w:b/>
                <w:bCs/>
                <w:sz w:val="20"/>
                <w:szCs w:val="20"/>
              </w:rPr>
              <w:t>Sub-population</w:t>
            </w:r>
          </w:p>
        </w:tc>
        <w:tc>
          <w:tcPr>
            <w:tcW w:w="3060" w:type="dxa"/>
          </w:tcPr>
          <w:p w14:paraId="4225189C" w14:textId="77777777" w:rsidR="00260B6D" w:rsidRPr="006B1E94" w:rsidRDefault="00260B6D">
            <w:pPr>
              <w:rPr>
                <w:b/>
                <w:bCs/>
                <w:sz w:val="20"/>
                <w:szCs w:val="20"/>
              </w:rPr>
            </w:pPr>
            <w:r w:rsidRPr="006B1E94">
              <w:rPr>
                <w:b/>
                <w:bCs/>
                <w:sz w:val="20"/>
                <w:szCs w:val="20"/>
              </w:rPr>
              <w:t>Direction</w:t>
            </w:r>
          </w:p>
        </w:tc>
        <w:tc>
          <w:tcPr>
            <w:tcW w:w="2790" w:type="dxa"/>
          </w:tcPr>
          <w:p w14:paraId="242DFD4D" w14:textId="77777777" w:rsidR="00260B6D" w:rsidRPr="006B1E94" w:rsidRDefault="00260B6D">
            <w:pPr>
              <w:rPr>
                <w:b/>
                <w:bCs/>
                <w:sz w:val="20"/>
                <w:szCs w:val="20"/>
              </w:rPr>
            </w:pPr>
            <w:r w:rsidRPr="006B1E94">
              <w:rPr>
                <w:b/>
                <w:bCs/>
                <w:sz w:val="20"/>
                <w:szCs w:val="20"/>
              </w:rPr>
              <w:t>Probabilities (95% CI)</w:t>
            </w:r>
          </w:p>
        </w:tc>
        <w:tc>
          <w:tcPr>
            <w:tcW w:w="2430" w:type="dxa"/>
          </w:tcPr>
          <w:p w14:paraId="135B4AA4" w14:textId="77777777" w:rsidR="00260B6D" w:rsidRPr="006B1E94" w:rsidRDefault="00260B6D">
            <w:pPr>
              <w:rPr>
                <w:b/>
                <w:bCs/>
                <w:sz w:val="20"/>
                <w:szCs w:val="20"/>
              </w:rPr>
            </w:pPr>
            <w:r w:rsidRPr="006B1E94">
              <w:rPr>
                <w:b/>
                <w:bCs/>
                <w:sz w:val="20"/>
                <w:szCs w:val="20"/>
              </w:rPr>
              <w:t>Log-transformation</w:t>
            </w:r>
          </w:p>
        </w:tc>
        <w:tc>
          <w:tcPr>
            <w:tcW w:w="3330" w:type="dxa"/>
          </w:tcPr>
          <w:p w14:paraId="304B3CFC" w14:textId="77777777" w:rsidR="00260B6D" w:rsidRPr="006B1E94" w:rsidRDefault="00260B6D">
            <w:pPr>
              <w:rPr>
                <w:b/>
                <w:bCs/>
                <w:sz w:val="20"/>
                <w:szCs w:val="20"/>
              </w:rPr>
            </w:pPr>
            <w:r w:rsidRPr="006B1E94">
              <w:rPr>
                <w:b/>
                <w:bCs/>
                <w:sz w:val="20"/>
                <w:szCs w:val="20"/>
              </w:rPr>
              <w:t>Log-normal distribution</w:t>
            </w:r>
          </w:p>
          <w:p w14:paraId="516F6D5B" w14:textId="77777777" w:rsidR="00260B6D" w:rsidRPr="006B1E94" w:rsidRDefault="00260B6D">
            <w:pPr>
              <w:rPr>
                <w:b/>
                <w:bCs/>
                <w:sz w:val="20"/>
                <w:szCs w:val="20"/>
              </w:rPr>
            </w:pPr>
            <w:r w:rsidRPr="006B1E94">
              <w:rPr>
                <w:b/>
                <w:bCs/>
                <w:sz w:val="20"/>
                <w:szCs w:val="20"/>
              </w:rPr>
              <w:t>(</w:t>
            </w:r>
            <w:proofErr w:type="gramStart"/>
            <w:r w:rsidRPr="006B1E94">
              <w:rPr>
                <w:b/>
                <w:bCs/>
                <w:sz w:val="20"/>
                <w:szCs w:val="20"/>
              </w:rPr>
              <w:t>mean</w:t>
            </w:r>
            <w:proofErr w:type="gramEnd"/>
            <w:r w:rsidRPr="006B1E94">
              <w:rPr>
                <w:b/>
                <w:bCs/>
                <w:sz w:val="20"/>
                <w:szCs w:val="20"/>
              </w:rPr>
              <w:t>, standard error)</w:t>
            </w:r>
          </w:p>
        </w:tc>
      </w:tr>
      <w:tr w:rsidR="00260B6D" w:rsidRPr="006B1E94" w14:paraId="03A47CA8" w14:textId="77777777" w:rsidTr="004F6186">
        <w:trPr>
          <w:trHeight w:val="264"/>
        </w:trPr>
        <w:tc>
          <w:tcPr>
            <w:tcW w:w="2070" w:type="dxa"/>
            <w:vAlign w:val="center"/>
          </w:tcPr>
          <w:p w14:paraId="6B8D4ECF" w14:textId="77777777" w:rsidR="00260B6D" w:rsidRPr="006B1E94" w:rsidRDefault="00260B6D" w:rsidP="00122CDD">
            <w:pPr>
              <w:rPr>
                <w:sz w:val="20"/>
                <w:szCs w:val="20"/>
              </w:rPr>
            </w:pPr>
            <w:r w:rsidRPr="006B1E94">
              <w:rPr>
                <w:sz w:val="20"/>
                <w:szCs w:val="20"/>
              </w:rPr>
              <w:t xml:space="preserve">High-risk women </w:t>
            </w:r>
          </w:p>
        </w:tc>
        <w:tc>
          <w:tcPr>
            <w:tcW w:w="3060" w:type="dxa"/>
            <w:vAlign w:val="center"/>
          </w:tcPr>
          <w:p w14:paraId="27153D48" w14:textId="77777777" w:rsidR="00260B6D" w:rsidRPr="006B1E94" w:rsidRDefault="00260B6D" w:rsidP="001D10D4">
            <w:pPr>
              <w:rPr>
                <w:sz w:val="20"/>
                <w:szCs w:val="20"/>
              </w:rPr>
            </w:pPr>
            <w:r w:rsidRPr="006B1E94">
              <w:rPr>
                <w:sz w:val="20"/>
                <w:szCs w:val="20"/>
              </w:rPr>
              <w:t>Male-to-female</w:t>
            </w:r>
          </w:p>
        </w:tc>
        <w:tc>
          <w:tcPr>
            <w:tcW w:w="2790" w:type="dxa"/>
            <w:vAlign w:val="center"/>
          </w:tcPr>
          <w:p w14:paraId="74DCC427" w14:textId="77777777" w:rsidR="00260B6D" w:rsidRPr="006B1E94" w:rsidRDefault="00260B6D" w:rsidP="00527179">
            <w:pPr>
              <w:rPr>
                <w:sz w:val="20"/>
                <w:szCs w:val="20"/>
                <w:vertAlign w:val="superscript"/>
              </w:rPr>
            </w:pPr>
            <w:r w:rsidRPr="006B1E94">
              <w:rPr>
                <w:sz w:val="20"/>
                <w:szCs w:val="20"/>
              </w:rPr>
              <w:t>0.0005 (0.0002 – 0.0013)</w:t>
            </w:r>
          </w:p>
        </w:tc>
        <w:tc>
          <w:tcPr>
            <w:tcW w:w="2430" w:type="dxa"/>
          </w:tcPr>
          <w:p w14:paraId="545DF391" w14:textId="77777777" w:rsidR="00260B6D" w:rsidRPr="006B1E94" w:rsidRDefault="00260B6D" w:rsidP="00527179">
            <w:pPr>
              <w:rPr>
                <w:sz w:val="20"/>
                <w:szCs w:val="20"/>
              </w:rPr>
            </w:pPr>
            <w:r w:rsidRPr="006B1E94">
              <w:rPr>
                <w:sz w:val="20"/>
                <w:szCs w:val="20"/>
              </w:rPr>
              <w:t>-7.600 (-8.517, -6.645)</w:t>
            </w:r>
          </w:p>
        </w:tc>
        <w:tc>
          <w:tcPr>
            <w:tcW w:w="3330" w:type="dxa"/>
          </w:tcPr>
          <w:p w14:paraId="3355F4FE" w14:textId="77777777" w:rsidR="00260B6D" w:rsidRPr="006B1E94" w:rsidRDefault="00260B6D" w:rsidP="00527179">
            <w:pPr>
              <w:rPr>
                <w:sz w:val="20"/>
                <w:szCs w:val="20"/>
              </w:rPr>
            </w:pPr>
            <w:r w:rsidRPr="006B1E94">
              <w:rPr>
                <w:sz w:val="20"/>
                <w:szCs w:val="20"/>
              </w:rPr>
              <w:t>(-7.600, 0.478)</w:t>
            </w:r>
          </w:p>
        </w:tc>
      </w:tr>
      <w:tr w:rsidR="00260B6D" w:rsidRPr="006B1E94" w14:paraId="259054D5" w14:textId="77777777" w:rsidTr="004F6186">
        <w:trPr>
          <w:trHeight w:val="264"/>
        </w:trPr>
        <w:tc>
          <w:tcPr>
            <w:tcW w:w="2070" w:type="dxa"/>
            <w:vAlign w:val="center"/>
          </w:tcPr>
          <w:p w14:paraId="584EFE57" w14:textId="77777777" w:rsidR="00260B6D" w:rsidRPr="006B1E94" w:rsidRDefault="00260B6D" w:rsidP="00122CDD">
            <w:pPr>
              <w:rPr>
                <w:sz w:val="20"/>
                <w:szCs w:val="20"/>
              </w:rPr>
            </w:pPr>
            <w:r w:rsidRPr="006B1E94">
              <w:rPr>
                <w:sz w:val="20"/>
                <w:szCs w:val="20"/>
              </w:rPr>
              <w:t>Low-risk women</w:t>
            </w:r>
          </w:p>
        </w:tc>
        <w:tc>
          <w:tcPr>
            <w:tcW w:w="3060" w:type="dxa"/>
            <w:vAlign w:val="center"/>
          </w:tcPr>
          <w:p w14:paraId="69802A1E" w14:textId="77777777" w:rsidR="00260B6D" w:rsidRPr="006B1E94" w:rsidRDefault="00260B6D" w:rsidP="001D10D4">
            <w:pPr>
              <w:rPr>
                <w:sz w:val="20"/>
                <w:szCs w:val="20"/>
              </w:rPr>
            </w:pPr>
            <w:r w:rsidRPr="006B1E94">
              <w:rPr>
                <w:sz w:val="20"/>
                <w:szCs w:val="20"/>
              </w:rPr>
              <w:t>Male-to-female</w:t>
            </w:r>
          </w:p>
        </w:tc>
        <w:tc>
          <w:tcPr>
            <w:tcW w:w="2790" w:type="dxa"/>
            <w:vAlign w:val="center"/>
          </w:tcPr>
          <w:p w14:paraId="74DCAAEB" w14:textId="77777777" w:rsidR="00260B6D" w:rsidRPr="006B1E94" w:rsidRDefault="00260B6D" w:rsidP="00527179">
            <w:pPr>
              <w:rPr>
                <w:sz w:val="20"/>
                <w:szCs w:val="20"/>
              </w:rPr>
            </w:pPr>
            <w:r w:rsidRPr="006B1E94">
              <w:rPr>
                <w:sz w:val="20"/>
                <w:szCs w:val="20"/>
              </w:rPr>
              <w:t>0.0030 (0.0014 – 0.0063)</w:t>
            </w:r>
          </w:p>
        </w:tc>
        <w:tc>
          <w:tcPr>
            <w:tcW w:w="2430" w:type="dxa"/>
          </w:tcPr>
          <w:p w14:paraId="5095FA66" w14:textId="77777777" w:rsidR="00260B6D" w:rsidRPr="006B1E94" w:rsidRDefault="00260B6D" w:rsidP="00527179">
            <w:pPr>
              <w:rPr>
                <w:sz w:val="20"/>
                <w:szCs w:val="20"/>
              </w:rPr>
            </w:pPr>
            <w:r w:rsidRPr="006B1E94">
              <w:rPr>
                <w:sz w:val="20"/>
                <w:szCs w:val="20"/>
              </w:rPr>
              <w:t>-5.809 (-6.571, -5.067)</w:t>
            </w:r>
          </w:p>
        </w:tc>
        <w:tc>
          <w:tcPr>
            <w:tcW w:w="3330" w:type="dxa"/>
          </w:tcPr>
          <w:p w14:paraId="24B3ECCE" w14:textId="77777777" w:rsidR="00260B6D" w:rsidRPr="006B1E94" w:rsidRDefault="00260B6D" w:rsidP="00527179">
            <w:pPr>
              <w:rPr>
                <w:sz w:val="20"/>
                <w:szCs w:val="20"/>
              </w:rPr>
            </w:pPr>
            <w:r w:rsidRPr="006B1E94">
              <w:rPr>
                <w:sz w:val="20"/>
                <w:szCs w:val="20"/>
              </w:rPr>
              <w:t>(-5.809, 0.384)</w:t>
            </w:r>
          </w:p>
        </w:tc>
      </w:tr>
      <w:tr w:rsidR="00260B6D" w:rsidRPr="006B1E94" w14:paraId="71450E47" w14:textId="77777777" w:rsidTr="004F6186">
        <w:trPr>
          <w:trHeight w:val="264"/>
        </w:trPr>
        <w:tc>
          <w:tcPr>
            <w:tcW w:w="2070" w:type="dxa"/>
            <w:vAlign w:val="center"/>
          </w:tcPr>
          <w:p w14:paraId="2D13397C" w14:textId="77777777" w:rsidR="00260B6D" w:rsidRPr="006B1E94" w:rsidRDefault="00260B6D" w:rsidP="00122CDD">
            <w:pPr>
              <w:rPr>
                <w:sz w:val="20"/>
                <w:szCs w:val="20"/>
              </w:rPr>
            </w:pPr>
            <w:r w:rsidRPr="006B1E94">
              <w:rPr>
                <w:sz w:val="20"/>
                <w:szCs w:val="20"/>
              </w:rPr>
              <w:t>Men</w:t>
            </w:r>
          </w:p>
        </w:tc>
        <w:tc>
          <w:tcPr>
            <w:tcW w:w="3060" w:type="dxa"/>
            <w:vAlign w:val="center"/>
          </w:tcPr>
          <w:p w14:paraId="5591162C" w14:textId="77777777" w:rsidR="00260B6D" w:rsidRPr="006B1E94" w:rsidRDefault="00260B6D" w:rsidP="001D10D4">
            <w:pPr>
              <w:rPr>
                <w:sz w:val="20"/>
                <w:szCs w:val="20"/>
              </w:rPr>
            </w:pPr>
            <w:r w:rsidRPr="006B1E94">
              <w:rPr>
                <w:sz w:val="20"/>
                <w:szCs w:val="20"/>
              </w:rPr>
              <w:t xml:space="preserve">Female-to-male </w:t>
            </w:r>
          </w:p>
          <w:p w14:paraId="3A0C84CE" w14:textId="77777777" w:rsidR="00260B6D" w:rsidRPr="006B1E94" w:rsidRDefault="00260B6D" w:rsidP="00527179">
            <w:pPr>
              <w:rPr>
                <w:sz w:val="20"/>
                <w:szCs w:val="20"/>
              </w:rPr>
            </w:pPr>
            <w:r w:rsidRPr="006B1E94">
              <w:rPr>
                <w:sz w:val="20"/>
                <w:szCs w:val="20"/>
              </w:rPr>
              <w:t>(Pooled estimate for all men)</w:t>
            </w:r>
          </w:p>
        </w:tc>
        <w:tc>
          <w:tcPr>
            <w:tcW w:w="2790" w:type="dxa"/>
            <w:vAlign w:val="center"/>
          </w:tcPr>
          <w:p w14:paraId="0D4F9F1E" w14:textId="77777777" w:rsidR="00260B6D" w:rsidRPr="006B1E94" w:rsidRDefault="00260B6D" w:rsidP="00527179">
            <w:pPr>
              <w:rPr>
                <w:sz w:val="20"/>
                <w:szCs w:val="20"/>
              </w:rPr>
            </w:pPr>
            <w:r w:rsidRPr="006B1E94">
              <w:rPr>
                <w:sz w:val="20"/>
                <w:szCs w:val="20"/>
              </w:rPr>
              <w:t>0.0087 (0.0028 – 0.0270)</w:t>
            </w:r>
          </w:p>
        </w:tc>
        <w:tc>
          <w:tcPr>
            <w:tcW w:w="2430" w:type="dxa"/>
          </w:tcPr>
          <w:p w14:paraId="4297F1ED" w14:textId="77777777" w:rsidR="00260B6D" w:rsidRPr="006B1E94" w:rsidRDefault="00260B6D" w:rsidP="00527179">
            <w:pPr>
              <w:rPr>
                <w:sz w:val="20"/>
                <w:szCs w:val="20"/>
              </w:rPr>
            </w:pPr>
            <w:r w:rsidRPr="006B1E94">
              <w:rPr>
                <w:sz w:val="20"/>
                <w:szCs w:val="20"/>
              </w:rPr>
              <w:t>-4.744 (-5.878, -3.612)</w:t>
            </w:r>
          </w:p>
        </w:tc>
        <w:tc>
          <w:tcPr>
            <w:tcW w:w="3330" w:type="dxa"/>
          </w:tcPr>
          <w:p w14:paraId="5A28FB7F" w14:textId="77777777" w:rsidR="00260B6D" w:rsidRPr="006B1E94" w:rsidRDefault="00260B6D" w:rsidP="00E71320">
            <w:pPr>
              <w:rPr>
                <w:sz w:val="20"/>
                <w:szCs w:val="20"/>
              </w:rPr>
            </w:pPr>
            <w:r w:rsidRPr="006B1E94">
              <w:rPr>
                <w:sz w:val="20"/>
                <w:szCs w:val="20"/>
              </w:rPr>
              <w:t>(-4.744, 0.578)</w:t>
            </w:r>
          </w:p>
        </w:tc>
      </w:tr>
    </w:tbl>
    <w:p w14:paraId="62B7EBF9" w14:textId="77777777" w:rsidR="00260B6D" w:rsidRDefault="00260B6D" w:rsidP="00122CDD">
      <w:r>
        <w:t xml:space="preserve"> </w:t>
      </w:r>
    </w:p>
    <w:p w14:paraId="12A9E9C9" w14:textId="77777777" w:rsidR="00510203" w:rsidRDefault="00510203" w:rsidP="00122CDD"/>
    <w:p w14:paraId="2CC26F88" w14:textId="77777777" w:rsidR="00510203" w:rsidRDefault="00510203">
      <w:pPr>
        <w:rPr>
          <w:b/>
          <w:bCs/>
        </w:rPr>
      </w:pPr>
      <w:r>
        <w:rPr>
          <w:b/>
          <w:bCs/>
        </w:rPr>
        <w:br w:type="page"/>
      </w:r>
    </w:p>
    <w:p w14:paraId="0847D383" w14:textId="4FB3C065" w:rsidR="00260B6D" w:rsidRPr="004F6186" w:rsidRDefault="00260B6D">
      <w:pPr>
        <w:keepNext/>
        <w:rPr>
          <w:b/>
          <w:bCs/>
        </w:rPr>
      </w:pPr>
      <w:bookmarkStart w:id="376" w:name="_Ref82444144"/>
      <w:bookmarkStart w:id="377" w:name="_Toc82448088"/>
      <w:bookmarkStart w:id="378" w:name="_Toc82592519"/>
      <w:bookmarkStart w:id="379" w:name="_Toc82599284"/>
      <w:r w:rsidRPr="004F6186">
        <w:rPr>
          <w:b/>
          <w:bCs/>
        </w:rPr>
        <w:lastRenderedPageBreak/>
        <w:t xml:space="preserve">Table </w:t>
      </w:r>
      <w:r w:rsidRPr="004F6186">
        <w:rPr>
          <w:b/>
          <w:bCs/>
        </w:rPr>
        <w:fldChar w:fldCharType="begin"/>
      </w:r>
      <w:r w:rsidRPr="004F6186">
        <w:rPr>
          <w:b/>
          <w:bCs/>
        </w:rPr>
        <w:instrText xml:space="preserve"> SEQ Table \* ARABIC </w:instrText>
      </w:r>
      <w:r w:rsidRPr="004F6186">
        <w:rPr>
          <w:b/>
          <w:bCs/>
        </w:rPr>
        <w:fldChar w:fldCharType="separate"/>
      </w:r>
      <w:r w:rsidR="001E49BE">
        <w:rPr>
          <w:b/>
          <w:bCs/>
          <w:noProof/>
        </w:rPr>
        <w:t>25</w:t>
      </w:r>
      <w:r w:rsidRPr="004F6186">
        <w:rPr>
          <w:b/>
          <w:bCs/>
        </w:rPr>
        <w:fldChar w:fldCharType="end"/>
      </w:r>
      <w:bookmarkEnd w:id="376"/>
      <w:r w:rsidRPr="004F6186">
        <w:rPr>
          <w:b/>
          <w:bCs/>
        </w:rPr>
        <w:t xml:space="preserve">. </w:t>
      </w:r>
      <w:bookmarkStart w:id="380" w:name="_Hlk74742239"/>
      <w:r w:rsidR="0089750E">
        <w:rPr>
          <w:b/>
          <w:bCs/>
        </w:rPr>
        <w:t xml:space="preserve">Calibration: </w:t>
      </w:r>
      <w:r w:rsidRPr="004F6186">
        <w:rPr>
          <w:b/>
          <w:bCs/>
        </w:rPr>
        <w:t>Parameter estimates for beta distribution assigned to proportion of condom use</w:t>
      </w:r>
      <w:bookmarkEnd w:id="377"/>
      <w:bookmarkEnd w:id="378"/>
      <w:bookmarkEnd w:id="379"/>
      <w:bookmarkEnd w:id="380"/>
    </w:p>
    <w:tbl>
      <w:tblPr>
        <w:tblW w:w="14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710"/>
        <w:gridCol w:w="1710"/>
        <w:gridCol w:w="1710"/>
        <w:gridCol w:w="2970"/>
        <w:gridCol w:w="2790"/>
      </w:tblGrid>
      <w:tr w:rsidR="00260B6D" w:rsidRPr="00510203" w14:paraId="05276715" w14:textId="77777777" w:rsidTr="004F6186">
        <w:trPr>
          <w:trHeight w:val="298"/>
        </w:trPr>
        <w:tc>
          <w:tcPr>
            <w:tcW w:w="3505" w:type="dxa"/>
          </w:tcPr>
          <w:p w14:paraId="4689F4DF" w14:textId="77777777" w:rsidR="00260B6D" w:rsidRPr="00510203" w:rsidRDefault="00260B6D">
            <w:pPr>
              <w:jc w:val="both"/>
              <w:rPr>
                <w:sz w:val="20"/>
                <w:szCs w:val="20"/>
              </w:rPr>
            </w:pPr>
            <w:r w:rsidRPr="00510203">
              <w:rPr>
                <w:b/>
                <w:bCs/>
                <w:sz w:val="20"/>
                <w:szCs w:val="20"/>
              </w:rPr>
              <w:t>Sub-group</w:t>
            </w:r>
          </w:p>
        </w:tc>
        <w:tc>
          <w:tcPr>
            <w:tcW w:w="1710" w:type="dxa"/>
          </w:tcPr>
          <w:p w14:paraId="3583F644" w14:textId="77777777" w:rsidR="00260B6D" w:rsidRPr="00510203" w:rsidRDefault="00260B6D">
            <w:pPr>
              <w:jc w:val="both"/>
              <w:rPr>
                <w:sz w:val="20"/>
                <w:szCs w:val="20"/>
              </w:rPr>
            </w:pPr>
            <w:r w:rsidRPr="00510203">
              <w:rPr>
                <w:b/>
                <w:bCs/>
                <w:sz w:val="20"/>
                <w:szCs w:val="20"/>
              </w:rPr>
              <w:t>Year of data collection</w:t>
            </w:r>
          </w:p>
        </w:tc>
        <w:tc>
          <w:tcPr>
            <w:tcW w:w="1710" w:type="dxa"/>
          </w:tcPr>
          <w:p w14:paraId="228B4DB8" w14:textId="77777777" w:rsidR="00260B6D" w:rsidRPr="00510203" w:rsidRDefault="00260B6D">
            <w:pPr>
              <w:jc w:val="both"/>
              <w:rPr>
                <w:sz w:val="20"/>
                <w:szCs w:val="20"/>
              </w:rPr>
            </w:pPr>
            <w:r w:rsidRPr="00510203">
              <w:rPr>
                <w:b/>
                <w:bCs/>
                <w:sz w:val="20"/>
                <w:szCs w:val="20"/>
              </w:rPr>
              <w:t>Age group (Years)</w:t>
            </w:r>
          </w:p>
        </w:tc>
        <w:tc>
          <w:tcPr>
            <w:tcW w:w="1710" w:type="dxa"/>
          </w:tcPr>
          <w:p w14:paraId="55315C77" w14:textId="77777777" w:rsidR="00260B6D" w:rsidRPr="00510203" w:rsidRDefault="00260B6D">
            <w:pPr>
              <w:jc w:val="center"/>
              <w:rPr>
                <w:b/>
                <w:bCs/>
                <w:sz w:val="20"/>
                <w:szCs w:val="20"/>
                <w:vertAlign w:val="superscript"/>
              </w:rPr>
            </w:pPr>
            <w:r w:rsidRPr="00510203">
              <w:rPr>
                <w:b/>
                <w:bCs/>
                <w:sz w:val="20"/>
                <w:szCs w:val="20"/>
              </w:rPr>
              <w:t xml:space="preserve">Sample </w:t>
            </w:r>
            <w:proofErr w:type="spellStart"/>
            <w:r w:rsidRPr="00510203">
              <w:rPr>
                <w:b/>
                <w:bCs/>
                <w:sz w:val="20"/>
                <w:szCs w:val="20"/>
              </w:rPr>
              <w:t>size</w:t>
            </w:r>
            <w:r w:rsidRPr="00510203">
              <w:rPr>
                <w:b/>
                <w:bCs/>
                <w:sz w:val="20"/>
                <w:szCs w:val="20"/>
                <w:vertAlign w:val="superscript"/>
              </w:rPr>
              <w:t>a</w:t>
            </w:r>
            <w:proofErr w:type="spellEnd"/>
          </w:p>
        </w:tc>
        <w:tc>
          <w:tcPr>
            <w:tcW w:w="2970" w:type="dxa"/>
          </w:tcPr>
          <w:p w14:paraId="61B52C27" w14:textId="77777777" w:rsidR="00260B6D" w:rsidRPr="00510203" w:rsidRDefault="00260B6D">
            <w:pPr>
              <w:jc w:val="both"/>
              <w:rPr>
                <w:sz w:val="20"/>
                <w:szCs w:val="20"/>
              </w:rPr>
            </w:pPr>
            <w:r w:rsidRPr="00510203">
              <w:rPr>
                <w:b/>
                <w:bCs/>
                <w:sz w:val="20"/>
                <w:szCs w:val="20"/>
              </w:rPr>
              <w:t>Proportion of consistent condom use (SE)</w:t>
            </w:r>
          </w:p>
        </w:tc>
        <w:tc>
          <w:tcPr>
            <w:tcW w:w="2790" w:type="dxa"/>
          </w:tcPr>
          <w:p w14:paraId="7E6BB5B9" w14:textId="77777777" w:rsidR="00260B6D" w:rsidRPr="00510203" w:rsidRDefault="00260B6D">
            <w:pPr>
              <w:jc w:val="both"/>
              <w:rPr>
                <w:b/>
                <w:bCs/>
                <w:sz w:val="20"/>
                <w:szCs w:val="20"/>
              </w:rPr>
            </w:pPr>
            <w:r w:rsidRPr="00510203">
              <w:rPr>
                <w:b/>
                <w:bCs/>
                <w:sz w:val="20"/>
                <w:szCs w:val="20"/>
              </w:rPr>
              <w:t>Parameters for beta distribution (</w:t>
            </w:r>
            <m:oMath>
              <m:r>
                <m:rPr>
                  <m:sty m:val="bi"/>
                </m:rPr>
                <w:rPr>
                  <w:rFonts w:ascii="Cambria Math" w:hAnsi="Cambria Math"/>
                  <w:sz w:val="20"/>
                  <w:szCs w:val="20"/>
                </w:rPr>
                <m:t>α, β)</m:t>
              </m:r>
            </m:oMath>
          </w:p>
        </w:tc>
      </w:tr>
      <w:tr w:rsidR="00260B6D" w:rsidRPr="00510203" w14:paraId="7E186D8A" w14:textId="77777777" w:rsidTr="004F6186">
        <w:trPr>
          <w:trHeight w:val="298"/>
        </w:trPr>
        <w:tc>
          <w:tcPr>
            <w:tcW w:w="3505" w:type="dxa"/>
            <w:vMerge w:val="restart"/>
          </w:tcPr>
          <w:p w14:paraId="53AA4142" w14:textId="77777777" w:rsidR="00260B6D" w:rsidRPr="00510203" w:rsidRDefault="00260B6D" w:rsidP="00122CDD">
            <w:pPr>
              <w:jc w:val="both"/>
              <w:rPr>
                <w:sz w:val="20"/>
                <w:szCs w:val="20"/>
              </w:rPr>
            </w:pPr>
            <w:r w:rsidRPr="00510203">
              <w:rPr>
                <w:sz w:val="20"/>
                <w:szCs w:val="20"/>
              </w:rPr>
              <w:t>Low-risk urban women</w:t>
            </w:r>
          </w:p>
        </w:tc>
        <w:tc>
          <w:tcPr>
            <w:tcW w:w="1710" w:type="dxa"/>
            <w:vMerge w:val="restart"/>
          </w:tcPr>
          <w:p w14:paraId="45965665" w14:textId="77777777" w:rsidR="00260B6D" w:rsidRPr="00510203" w:rsidRDefault="00260B6D" w:rsidP="001D10D4">
            <w:pPr>
              <w:jc w:val="both"/>
              <w:rPr>
                <w:sz w:val="20"/>
                <w:szCs w:val="20"/>
              </w:rPr>
            </w:pPr>
          </w:p>
          <w:p w14:paraId="337D3D3B" w14:textId="77777777" w:rsidR="00260B6D" w:rsidRPr="00510203" w:rsidRDefault="00260B6D" w:rsidP="00527179">
            <w:pPr>
              <w:jc w:val="both"/>
              <w:rPr>
                <w:sz w:val="20"/>
                <w:szCs w:val="20"/>
              </w:rPr>
            </w:pPr>
            <w:r w:rsidRPr="00510203">
              <w:rPr>
                <w:sz w:val="20"/>
                <w:szCs w:val="20"/>
              </w:rPr>
              <w:t>2005</w:t>
            </w:r>
          </w:p>
        </w:tc>
        <w:tc>
          <w:tcPr>
            <w:tcW w:w="1710" w:type="dxa"/>
          </w:tcPr>
          <w:p w14:paraId="66A2C06C" w14:textId="77777777" w:rsidR="00260B6D" w:rsidRPr="00510203" w:rsidRDefault="00260B6D" w:rsidP="00527179">
            <w:pPr>
              <w:jc w:val="both"/>
              <w:rPr>
                <w:sz w:val="20"/>
                <w:szCs w:val="20"/>
              </w:rPr>
            </w:pPr>
            <w:r w:rsidRPr="00510203">
              <w:rPr>
                <w:sz w:val="20"/>
                <w:szCs w:val="20"/>
              </w:rPr>
              <w:t>15-24</w:t>
            </w:r>
          </w:p>
        </w:tc>
        <w:tc>
          <w:tcPr>
            <w:tcW w:w="1710" w:type="dxa"/>
          </w:tcPr>
          <w:p w14:paraId="0CBCCDB9" w14:textId="77777777" w:rsidR="00260B6D" w:rsidRPr="00510203" w:rsidRDefault="00260B6D" w:rsidP="00527179">
            <w:pPr>
              <w:jc w:val="center"/>
              <w:rPr>
                <w:sz w:val="20"/>
                <w:szCs w:val="20"/>
              </w:rPr>
            </w:pPr>
            <w:r w:rsidRPr="00510203">
              <w:rPr>
                <w:sz w:val="20"/>
                <w:szCs w:val="20"/>
              </w:rPr>
              <w:t>175</w:t>
            </w:r>
          </w:p>
        </w:tc>
        <w:tc>
          <w:tcPr>
            <w:tcW w:w="2970" w:type="dxa"/>
          </w:tcPr>
          <w:p w14:paraId="422CE78E" w14:textId="77777777" w:rsidR="00260B6D" w:rsidRPr="00510203" w:rsidRDefault="00260B6D" w:rsidP="00E71320">
            <w:pPr>
              <w:jc w:val="both"/>
              <w:rPr>
                <w:sz w:val="20"/>
                <w:szCs w:val="20"/>
              </w:rPr>
            </w:pPr>
            <w:r w:rsidRPr="00510203">
              <w:rPr>
                <w:sz w:val="20"/>
                <w:szCs w:val="20"/>
              </w:rPr>
              <w:t>0.1392 (0.0262)</w:t>
            </w:r>
          </w:p>
        </w:tc>
        <w:tc>
          <w:tcPr>
            <w:tcW w:w="2790" w:type="dxa"/>
          </w:tcPr>
          <w:p w14:paraId="4FBC1903" w14:textId="77777777" w:rsidR="00260B6D" w:rsidRPr="00510203" w:rsidRDefault="00260B6D" w:rsidP="00E71320">
            <w:pPr>
              <w:jc w:val="both"/>
              <w:rPr>
                <w:sz w:val="20"/>
                <w:szCs w:val="20"/>
              </w:rPr>
            </w:pPr>
            <w:r w:rsidRPr="00510203">
              <w:rPr>
                <w:sz w:val="20"/>
                <w:szCs w:val="20"/>
              </w:rPr>
              <w:t>(24.16, 149.40)</w:t>
            </w:r>
          </w:p>
        </w:tc>
      </w:tr>
      <w:tr w:rsidR="00260B6D" w:rsidRPr="00510203" w14:paraId="080C9DEC" w14:textId="77777777" w:rsidTr="004F6186">
        <w:trPr>
          <w:trHeight w:val="298"/>
        </w:trPr>
        <w:tc>
          <w:tcPr>
            <w:tcW w:w="3505" w:type="dxa"/>
            <w:vMerge/>
          </w:tcPr>
          <w:p w14:paraId="0A2F4517" w14:textId="77777777" w:rsidR="00260B6D" w:rsidRPr="00510203" w:rsidRDefault="00260B6D">
            <w:pPr>
              <w:jc w:val="both"/>
              <w:rPr>
                <w:sz w:val="20"/>
                <w:szCs w:val="20"/>
              </w:rPr>
            </w:pPr>
          </w:p>
        </w:tc>
        <w:tc>
          <w:tcPr>
            <w:tcW w:w="1710" w:type="dxa"/>
            <w:vMerge/>
          </w:tcPr>
          <w:p w14:paraId="527A43DE" w14:textId="77777777" w:rsidR="00260B6D" w:rsidRPr="00510203" w:rsidRDefault="00260B6D">
            <w:pPr>
              <w:jc w:val="both"/>
              <w:rPr>
                <w:sz w:val="20"/>
                <w:szCs w:val="20"/>
              </w:rPr>
            </w:pPr>
          </w:p>
        </w:tc>
        <w:tc>
          <w:tcPr>
            <w:tcW w:w="1710" w:type="dxa"/>
          </w:tcPr>
          <w:p w14:paraId="378A848D" w14:textId="77777777" w:rsidR="00260B6D" w:rsidRPr="00510203" w:rsidRDefault="00260B6D">
            <w:pPr>
              <w:jc w:val="both"/>
              <w:rPr>
                <w:sz w:val="20"/>
                <w:szCs w:val="20"/>
                <w:vertAlign w:val="superscript"/>
              </w:rPr>
            </w:pPr>
            <w:r w:rsidRPr="00510203">
              <w:rPr>
                <w:sz w:val="20"/>
                <w:szCs w:val="20"/>
              </w:rPr>
              <w:t>25+</w:t>
            </w:r>
            <w:r w:rsidRPr="00510203">
              <w:rPr>
                <w:sz w:val="20"/>
                <w:szCs w:val="20"/>
                <w:vertAlign w:val="superscript"/>
              </w:rPr>
              <w:t>b</w:t>
            </w:r>
          </w:p>
        </w:tc>
        <w:tc>
          <w:tcPr>
            <w:tcW w:w="1710" w:type="dxa"/>
          </w:tcPr>
          <w:p w14:paraId="580BD416" w14:textId="77777777" w:rsidR="00260B6D" w:rsidRPr="00510203" w:rsidRDefault="00260B6D">
            <w:pPr>
              <w:jc w:val="center"/>
              <w:rPr>
                <w:sz w:val="20"/>
                <w:szCs w:val="20"/>
              </w:rPr>
            </w:pPr>
            <w:r w:rsidRPr="00510203">
              <w:rPr>
                <w:sz w:val="20"/>
                <w:szCs w:val="20"/>
              </w:rPr>
              <w:t>598</w:t>
            </w:r>
          </w:p>
        </w:tc>
        <w:tc>
          <w:tcPr>
            <w:tcW w:w="2970" w:type="dxa"/>
          </w:tcPr>
          <w:p w14:paraId="58D4390A" w14:textId="77777777" w:rsidR="00260B6D" w:rsidRPr="00510203" w:rsidRDefault="00260B6D">
            <w:pPr>
              <w:jc w:val="both"/>
              <w:rPr>
                <w:sz w:val="20"/>
                <w:szCs w:val="20"/>
              </w:rPr>
            </w:pPr>
            <w:r w:rsidRPr="00510203">
              <w:rPr>
                <w:sz w:val="20"/>
                <w:szCs w:val="20"/>
              </w:rPr>
              <w:t>0.0445 (0.0084)</w:t>
            </w:r>
          </w:p>
        </w:tc>
        <w:tc>
          <w:tcPr>
            <w:tcW w:w="2790" w:type="dxa"/>
          </w:tcPr>
          <w:p w14:paraId="609D27CC" w14:textId="77777777" w:rsidR="00260B6D" w:rsidRPr="00510203" w:rsidRDefault="00260B6D">
            <w:pPr>
              <w:jc w:val="both"/>
              <w:rPr>
                <w:sz w:val="20"/>
                <w:szCs w:val="20"/>
              </w:rPr>
            </w:pPr>
            <w:r w:rsidRPr="00510203">
              <w:rPr>
                <w:sz w:val="20"/>
                <w:szCs w:val="20"/>
              </w:rPr>
              <w:t>(26.77, 574.83)</w:t>
            </w:r>
          </w:p>
        </w:tc>
      </w:tr>
      <w:tr w:rsidR="00260B6D" w:rsidRPr="00510203" w14:paraId="5E8D3685" w14:textId="77777777" w:rsidTr="004F6186">
        <w:trPr>
          <w:trHeight w:val="298"/>
        </w:trPr>
        <w:tc>
          <w:tcPr>
            <w:tcW w:w="3505" w:type="dxa"/>
            <w:vMerge/>
          </w:tcPr>
          <w:p w14:paraId="67130DEB" w14:textId="77777777" w:rsidR="00260B6D" w:rsidRPr="00510203" w:rsidRDefault="00260B6D">
            <w:pPr>
              <w:jc w:val="both"/>
              <w:rPr>
                <w:sz w:val="20"/>
                <w:szCs w:val="20"/>
              </w:rPr>
            </w:pPr>
          </w:p>
        </w:tc>
        <w:tc>
          <w:tcPr>
            <w:tcW w:w="1710" w:type="dxa"/>
            <w:vMerge w:val="restart"/>
          </w:tcPr>
          <w:p w14:paraId="6109F07F" w14:textId="77777777" w:rsidR="00260B6D" w:rsidRPr="00510203" w:rsidRDefault="00260B6D">
            <w:pPr>
              <w:jc w:val="both"/>
              <w:rPr>
                <w:sz w:val="20"/>
                <w:szCs w:val="20"/>
              </w:rPr>
            </w:pPr>
          </w:p>
          <w:p w14:paraId="555C2934" w14:textId="77777777" w:rsidR="00260B6D" w:rsidRPr="00510203" w:rsidRDefault="00260B6D">
            <w:pPr>
              <w:jc w:val="both"/>
              <w:rPr>
                <w:sz w:val="20"/>
                <w:szCs w:val="20"/>
              </w:rPr>
            </w:pPr>
            <w:r w:rsidRPr="00510203">
              <w:rPr>
                <w:sz w:val="20"/>
                <w:szCs w:val="20"/>
              </w:rPr>
              <w:t>2010</w:t>
            </w:r>
          </w:p>
        </w:tc>
        <w:tc>
          <w:tcPr>
            <w:tcW w:w="1710" w:type="dxa"/>
          </w:tcPr>
          <w:p w14:paraId="4BA58D67" w14:textId="77777777" w:rsidR="00260B6D" w:rsidRPr="00510203" w:rsidRDefault="00260B6D">
            <w:pPr>
              <w:jc w:val="both"/>
              <w:rPr>
                <w:sz w:val="20"/>
                <w:szCs w:val="20"/>
              </w:rPr>
            </w:pPr>
            <w:r w:rsidRPr="00510203">
              <w:rPr>
                <w:sz w:val="20"/>
                <w:szCs w:val="20"/>
              </w:rPr>
              <w:t>15-24</w:t>
            </w:r>
          </w:p>
        </w:tc>
        <w:tc>
          <w:tcPr>
            <w:tcW w:w="1710" w:type="dxa"/>
          </w:tcPr>
          <w:p w14:paraId="292E7645" w14:textId="77777777" w:rsidR="00260B6D" w:rsidRPr="00510203" w:rsidRDefault="00260B6D">
            <w:pPr>
              <w:jc w:val="center"/>
              <w:rPr>
                <w:sz w:val="20"/>
                <w:szCs w:val="20"/>
              </w:rPr>
            </w:pPr>
            <w:r w:rsidRPr="00510203">
              <w:rPr>
                <w:sz w:val="20"/>
                <w:szCs w:val="20"/>
              </w:rPr>
              <w:t>243</w:t>
            </w:r>
          </w:p>
        </w:tc>
        <w:tc>
          <w:tcPr>
            <w:tcW w:w="2970" w:type="dxa"/>
          </w:tcPr>
          <w:p w14:paraId="767C0456" w14:textId="77777777" w:rsidR="00260B6D" w:rsidRPr="00510203" w:rsidRDefault="00260B6D">
            <w:pPr>
              <w:jc w:val="both"/>
              <w:rPr>
                <w:sz w:val="20"/>
                <w:szCs w:val="20"/>
              </w:rPr>
            </w:pPr>
            <w:r w:rsidRPr="00510203">
              <w:rPr>
                <w:sz w:val="20"/>
                <w:szCs w:val="20"/>
              </w:rPr>
              <w:t>0.1651 (0.0239)</w:t>
            </w:r>
          </w:p>
        </w:tc>
        <w:tc>
          <w:tcPr>
            <w:tcW w:w="2790" w:type="dxa"/>
          </w:tcPr>
          <w:p w14:paraId="0EBF5E31" w14:textId="77777777" w:rsidR="00260B6D" w:rsidRPr="00510203" w:rsidRDefault="00260B6D">
            <w:pPr>
              <w:jc w:val="both"/>
              <w:rPr>
                <w:sz w:val="20"/>
                <w:szCs w:val="20"/>
              </w:rPr>
            </w:pPr>
            <w:r w:rsidRPr="00510203">
              <w:rPr>
                <w:sz w:val="20"/>
                <w:szCs w:val="20"/>
              </w:rPr>
              <w:t>(39.68, 200.64)</w:t>
            </w:r>
          </w:p>
        </w:tc>
      </w:tr>
      <w:tr w:rsidR="00260B6D" w:rsidRPr="00510203" w14:paraId="368369D9" w14:textId="77777777" w:rsidTr="004F6186">
        <w:trPr>
          <w:trHeight w:val="298"/>
        </w:trPr>
        <w:tc>
          <w:tcPr>
            <w:tcW w:w="3505" w:type="dxa"/>
            <w:vMerge/>
          </w:tcPr>
          <w:p w14:paraId="6A717969" w14:textId="77777777" w:rsidR="00260B6D" w:rsidRPr="00510203" w:rsidRDefault="00260B6D">
            <w:pPr>
              <w:jc w:val="both"/>
              <w:rPr>
                <w:sz w:val="20"/>
                <w:szCs w:val="20"/>
              </w:rPr>
            </w:pPr>
          </w:p>
        </w:tc>
        <w:tc>
          <w:tcPr>
            <w:tcW w:w="1710" w:type="dxa"/>
            <w:vMerge/>
          </w:tcPr>
          <w:p w14:paraId="1E4B9CF8" w14:textId="77777777" w:rsidR="00260B6D" w:rsidRPr="00510203" w:rsidRDefault="00260B6D">
            <w:pPr>
              <w:jc w:val="both"/>
              <w:rPr>
                <w:sz w:val="20"/>
                <w:szCs w:val="20"/>
              </w:rPr>
            </w:pPr>
          </w:p>
        </w:tc>
        <w:tc>
          <w:tcPr>
            <w:tcW w:w="1710" w:type="dxa"/>
          </w:tcPr>
          <w:p w14:paraId="55D1982E" w14:textId="77777777" w:rsidR="00260B6D" w:rsidRPr="00510203" w:rsidRDefault="00260B6D">
            <w:pPr>
              <w:jc w:val="both"/>
              <w:rPr>
                <w:sz w:val="20"/>
                <w:szCs w:val="20"/>
                <w:vertAlign w:val="superscript"/>
              </w:rPr>
            </w:pPr>
            <w:r w:rsidRPr="00510203">
              <w:rPr>
                <w:sz w:val="20"/>
                <w:szCs w:val="20"/>
              </w:rPr>
              <w:t>25+</w:t>
            </w:r>
            <w:r w:rsidRPr="00510203">
              <w:rPr>
                <w:sz w:val="20"/>
                <w:szCs w:val="20"/>
                <w:vertAlign w:val="superscript"/>
              </w:rPr>
              <w:t>b</w:t>
            </w:r>
          </w:p>
        </w:tc>
        <w:tc>
          <w:tcPr>
            <w:tcW w:w="1710" w:type="dxa"/>
          </w:tcPr>
          <w:p w14:paraId="64C7FE7E" w14:textId="77777777" w:rsidR="00260B6D" w:rsidRPr="00510203" w:rsidRDefault="00260B6D">
            <w:pPr>
              <w:jc w:val="center"/>
              <w:rPr>
                <w:sz w:val="20"/>
                <w:szCs w:val="20"/>
              </w:rPr>
            </w:pPr>
            <w:r w:rsidRPr="00510203">
              <w:rPr>
                <w:sz w:val="20"/>
                <w:szCs w:val="20"/>
              </w:rPr>
              <w:t>814</w:t>
            </w:r>
          </w:p>
        </w:tc>
        <w:tc>
          <w:tcPr>
            <w:tcW w:w="2970" w:type="dxa"/>
          </w:tcPr>
          <w:p w14:paraId="677B032F" w14:textId="77777777" w:rsidR="00260B6D" w:rsidRPr="00510203" w:rsidRDefault="00260B6D">
            <w:pPr>
              <w:jc w:val="both"/>
              <w:rPr>
                <w:sz w:val="20"/>
                <w:szCs w:val="20"/>
              </w:rPr>
            </w:pPr>
            <w:r w:rsidRPr="00510203">
              <w:rPr>
                <w:sz w:val="20"/>
                <w:szCs w:val="20"/>
              </w:rPr>
              <w:t>0.0660 (0.0087)</w:t>
            </w:r>
          </w:p>
        </w:tc>
        <w:tc>
          <w:tcPr>
            <w:tcW w:w="2790" w:type="dxa"/>
          </w:tcPr>
          <w:p w14:paraId="753612FD" w14:textId="77777777" w:rsidR="00260B6D" w:rsidRPr="00510203" w:rsidRDefault="00260B6D">
            <w:pPr>
              <w:jc w:val="both"/>
              <w:rPr>
                <w:sz w:val="20"/>
                <w:szCs w:val="20"/>
              </w:rPr>
            </w:pPr>
            <w:r w:rsidRPr="00510203">
              <w:rPr>
                <w:sz w:val="20"/>
                <w:szCs w:val="20"/>
              </w:rPr>
              <w:t>(53.69, 759.74)</w:t>
            </w:r>
          </w:p>
        </w:tc>
      </w:tr>
      <w:tr w:rsidR="00260B6D" w:rsidRPr="00510203" w14:paraId="0E326207" w14:textId="77777777" w:rsidTr="004F6186">
        <w:trPr>
          <w:trHeight w:val="298"/>
        </w:trPr>
        <w:tc>
          <w:tcPr>
            <w:tcW w:w="3505" w:type="dxa"/>
            <w:vMerge/>
          </w:tcPr>
          <w:p w14:paraId="6A808012" w14:textId="77777777" w:rsidR="00260B6D" w:rsidRPr="00510203" w:rsidRDefault="00260B6D">
            <w:pPr>
              <w:jc w:val="both"/>
              <w:rPr>
                <w:sz w:val="20"/>
                <w:szCs w:val="20"/>
              </w:rPr>
            </w:pPr>
          </w:p>
        </w:tc>
        <w:tc>
          <w:tcPr>
            <w:tcW w:w="1710" w:type="dxa"/>
            <w:vMerge w:val="restart"/>
          </w:tcPr>
          <w:p w14:paraId="5EBE355D" w14:textId="77777777" w:rsidR="00260B6D" w:rsidRPr="00510203" w:rsidRDefault="00260B6D">
            <w:pPr>
              <w:jc w:val="both"/>
              <w:rPr>
                <w:sz w:val="20"/>
                <w:szCs w:val="20"/>
              </w:rPr>
            </w:pPr>
          </w:p>
          <w:p w14:paraId="4212102B" w14:textId="77777777" w:rsidR="00260B6D" w:rsidRPr="00510203" w:rsidRDefault="00260B6D">
            <w:pPr>
              <w:jc w:val="both"/>
              <w:rPr>
                <w:sz w:val="20"/>
                <w:szCs w:val="20"/>
              </w:rPr>
            </w:pPr>
            <w:r w:rsidRPr="00510203">
              <w:rPr>
                <w:sz w:val="20"/>
                <w:szCs w:val="20"/>
              </w:rPr>
              <w:t>2015</w:t>
            </w:r>
          </w:p>
        </w:tc>
        <w:tc>
          <w:tcPr>
            <w:tcW w:w="1710" w:type="dxa"/>
          </w:tcPr>
          <w:p w14:paraId="4A03243A" w14:textId="77777777" w:rsidR="00260B6D" w:rsidRPr="00510203" w:rsidRDefault="00260B6D">
            <w:pPr>
              <w:jc w:val="both"/>
              <w:rPr>
                <w:sz w:val="20"/>
                <w:szCs w:val="20"/>
              </w:rPr>
            </w:pPr>
            <w:r w:rsidRPr="00510203">
              <w:rPr>
                <w:sz w:val="20"/>
                <w:szCs w:val="20"/>
              </w:rPr>
              <w:t>15-24</w:t>
            </w:r>
          </w:p>
        </w:tc>
        <w:tc>
          <w:tcPr>
            <w:tcW w:w="1710" w:type="dxa"/>
          </w:tcPr>
          <w:p w14:paraId="7591A068" w14:textId="77777777" w:rsidR="00260B6D" w:rsidRPr="00510203" w:rsidRDefault="00260B6D">
            <w:pPr>
              <w:jc w:val="center"/>
              <w:rPr>
                <w:sz w:val="20"/>
                <w:szCs w:val="20"/>
              </w:rPr>
            </w:pPr>
            <w:r w:rsidRPr="00510203">
              <w:rPr>
                <w:sz w:val="20"/>
                <w:szCs w:val="20"/>
              </w:rPr>
              <w:t>335</w:t>
            </w:r>
          </w:p>
        </w:tc>
        <w:tc>
          <w:tcPr>
            <w:tcW w:w="2970" w:type="dxa"/>
          </w:tcPr>
          <w:p w14:paraId="6EC39FBA" w14:textId="77777777" w:rsidR="00260B6D" w:rsidRPr="00510203" w:rsidRDefault="00260B6D">
            <w:pPr>
              <w:jc w:val="both"/>
              <w:rPr>
                <w:sz w:val="20"/>
                <w:szCs w:val="20"/>
              </w:rPr>
            </w:pPr>
            <w:r w:rsidRPr="00510203">
              <w:rPr>
                <w:sz w:val="20"/>
                <w:szCs w:val="20"/>
              </w:rPr>
              <w:t>0.2656 (0.0242)</w:t>
            </w:r>
          </w:p>
        </w:tc>
        <w:tc>
          <w:tcPr>
            <w:tcW w:w="2790" w:type="dxa"/>
          </w:tcPr>
          <w:p w14:paraId="61D39CC7" w14:textId="77777777" w:rsidR="00260B6D" w:rsidRPr="00510203" w:rsidRDefault="00260B6D">
            <w:pPr>
              <w:jc w:val="both"/>
              <w:rPr>
                <w:sz w:val="20"/>
                <w:szCs w:val="20"/>
              </w:rPr>
            </w:pPr>
            <w:r w:rsidRPr="00510203">
              <w:rPr>
                <w:sz w:val="20"/>
                <w:szCs w:val="20"/>
              </w:rPr>
              <w:t>(88.20, 243.87)</w:t>
            </w:r>
          </w:p>
        </w:tc>
      </w:tr>
      <w:tr w:rsidR="00260B6D" w:rsidRPr="00510203" w14:paraId="4459100B" w14:textId="77777777" w:rsidTr="004F6186">
        <w:trPr>
          <w:trHeight w:val="298"/>
        </w:trPr>
        <w:tc>
          <w:tcPr>
            <w:tcW w:w="3505" w:type="dxa"/>
            <w:vMerge/>
          </w:tcPr>
          <w:p w14:paraId="3DE750F4" w14:textId="77777777" w:rsidR="00260B6D" w:rsidRPr="00510203" w:rsidRDefault="00260B6D">
            <w:pPr>
              <w:jc w:val="both"/>
              <w:rPr>
                <w:sz w:val="20"/>
                <w:szCs w:val="20"/>
              </w:rPr>
            </w:pPr>
          </w:p>
        </w:tc>
        <w:tc>
          <w:tcPr>
            <w:tcW w:w="1710" w:type="dxa"/>
            <w:vMerge/>
          </w:tcPr>
          <w:p w14:paraId="6E197322" w14:textId="77777777" w:rsidR="00260B6D" w:rsidRPr="00510203" w:rsidRDefault="00260B6D">
            <w:pPr>
              <w:jc w:val="both"/>
              <w:rPr>
                <w:sz w:val="20"/>
                <w:szCs w:val="20"/>
              </w:rPr>
            </w:pPr>
          </w:p>
        </w:tc>
        <w:tc>
          <w:tcPr>
            <w:tcW w:w="1710" w:type="dxa"/>
          </w:tcPr>
          <w:p w14:paraId="6162DF07" w14:textId="77777777" w:rsidR="00260B6D" w:rsidRPr="00510203" w:rsidRDefault="00260B6D">
            <w:pPr>
              <w:jc w:val="both"/>
              <w:rPr>
                <w:sz w:val="20"/>
                <w:szCs w:val="20"/>
              </w:rPr>
            </w:pPr>
            <w:r w:rsidRPr="00510203">
              <w:rPr>
                <w:sz w:val="20"/>
                <w:szCs w:val="20"/>
              </w:rPr>
              <w:t>25+</w:t>
            </w:r>
            <w:r w:rsidRPr="00510203">
              <w:rPr>
                <w:sz w:val="20"/>
                <w:szCs w:val="20"/>
                <w:vertAlign w:val="superscript"/>
              </w:rPr>
              <w:t>b</w:t>
            </w:r>
          </w:p>
        </w:tc>
        <w:tc>
          <w:tcPr>
            <w:tcW w:w="1710" w:type="dxa"/>
          </w:tcPr>
          <w:p w14:paraId="2912FD2A" w14:textId="77777777" w:rsidR="00260B6D" w:rsidRPr="00510203" w:rsidRDefault="00260B6D">
            <w:pPr>
              <w:jc w:val="center"/>
              <w:rPr>
                <w:sz w:val="20"/>
                <w:szCs w:val="20"/>
              </w:rPr>
            </w:pPr>
            <w:r w:rsidRPr="00510203">
              <w:rPr>
                <w:sz w:val="20"/>
                <w:szCs w:val="20"/>
              </w:rPr>
              <w:t>1087</w:t>
            </w:r>
          </w:p>
        </w:tc>
        <w:tc>
          <w:tcPr>
            <w:tcW w:w="2970" w:type="dxa"/>
          </w:tcPr>
          <w:p w14:paraId="58870421" w14:textId="77777777" w:rsidR="00260B6D" w:rsidRPr="00510203" w:rsidRDefault="00260B6D">
            <w:pPr>
              <w:jc w:val="both"/>
              <w:rPr>
                <w:sz w:val="20"/>
                <w:szCs w:val="20"/>
              </w:rPr>
            </w:pPr>
            <w:r w:rsidRPr="00510203">
              <w:rPr>
                <w:sz w:val="20"/>
                <w:szCs w:val="20"/>
              </w:rPr>
              <w:t>0.0903 (0.0085)</w:t>
            </w:r>
          </w:p>
        </w:tc>
        <w:tc>
          <w:tcPr>
            <w:tcW w:w="2790" w:type="dxa"/>
          </w:tcPr>
          <w:p w14:paraId="4EB657F4" w14:textId="77777777" w:rsidR="00260B6D" w:rsidRPr="00510203" w:rsidRDefault="00260B6D">
            <w:pPr>
              <w:jc w:val="both"/>
              <w:rPr>
                <w:sz w:val="20"/>
                <w:szCs w:val="20"/>
              </w:rPr>
            </w:pPr>
            <w:r w:rsidRPr="00510203">
              <w:rPr>
                <w:sz w:val="20"/>
                <w:szCs w:val="20"/>
              </w:rPr>
              <w:t>(316.21, 591.92)</w:t>
            </w:r>
          </w:p>
        </w:tc>
      </w:tr>
      <w:tr w:rsidR="00260B6D" w:rsidRPr="00510203" w14:paraId="395D23DB" w14:textId="77777777" w:rsidTr="004F6186">
        <w:trPr>
          <w:trHeight w:val="287"/>
        </w:trPr>
        <w:tc>
          <w:tcPr>
            <w:tcW w:w="3505" w:type="dxa"/>
            <w:vMerge w:val="restart"/>
          </w:tcPr>
          <w:p w14:paraId="27C95F1F" w14:textId="77777777" w:rsidR="00260B6D" w:rsidRPr="00510203" w:rsidRDefault="00260B6D" w:rsidP="00122CDD">
            <w:pPr>
              <w:jc w:val="both"/>
              <w:rPr>
                <w:sz w:val="20"/>
                <w:szCs w:val="20"/>
              </w:rPr>
            </w:pPr>
            <w:r w:rsidRPr="00510203">
              <w:rPr>
                <w:sz w:val="20"/>
                <w:szCs w:val="20"/>
              </w:rPr>
              <w:t>Low-risk rural women</w:t>
            </w:r>
          </w:p>
        </w:tc>
        <w:tc>
          <w:tcPr>
            <w:tcW w:w="1710" w:type="dxa"/>
            <w:vMerge w:val="restart"/>
          </w:tcPr>
          <w:p w14:paraId="7352FC07" w14:textId="77777777" w:rsidR="00260B6D" w:rsidRPr="00510203" w:rsidRDefault="00260B6D" w:rsidP="001D10D4">
            <w:pPr>
              <w:jc w:val="both"/>
              <w:rPr>
                <w:sz w:val="20"/>
                <w:szCs w:val="20"/>
              </w:rPr>
            </w:pPr>
            <w:r w:rsidRPr="00510203">
              <w:rPr>
                <w:sz w:val="20"/>
                <w:szCs w:val="20"/>
              </w:rPr>
              <w:t>2005</w:t>
            </w:r>
          </w:p>
        </w:tc>
        <w:tc>
          <w:tcPr>
            <w:tcW w:w="1710" w:type="dxa"/>
          </w:tcPr>
          <w:p w14:paraId="519B9B98" w14:textId="77777777" w:rsidR="00260B6D" w:rsidRPr="00510203" w:rsidRDefault="00260B6D" w:rsidP="00527179">
            <w:pPr>
              <w:jc w:val="both"/>
              <w:rPr>
                <w:sz w:val="20"/>
                <w:szCs w:val="20"/>
              </w:rPr>
            </w:pPr>
            <w:r w:rsidRPr="00510203">
              <w:rPr>
                <w:sz w:val="20"/>
                <w:szCs w:val="20"/>
              </w:rPr>
              <w:t>15-24</w:t>
            </w:r>
          </w:p>
        </w:tc>
        <w:tc>
          <w:tcPr>
            <w:tcW w:w="1710" w:type="dxa"/>
          </w:tcPr>
          <w:p w14:paraId="59ACE438" w14:textId="77777777" w:rsidR="00260B6D" w:rsidRPr="00510203" w:rsidRDefault="00260B6D" w:rsidP="00527179">
            <w:pPr>
              <w:jc w:val="center"/>
              <w:rPr>
                <w:sz w:val="20"/>
                <w:szCs w:val="20"/>
              </w:rPr>
            </w:pPr>
            <w:r w:rsidRPr="00510203">
              <w:rPr>
                <w:sz w:val="20"/>
                <w:szCs w:val="20"/>
              </w:rPr>
              <w:t>952</w:t>
            </w:r>
          </w:p>
        </w:tc>
        <w:tc>
          <w:tcPr>
            <w:tcW w:w="2970" w:type="dxa"/>
          </w:tcPr>
          <w:p w14:paraId="58BC158E" w14:textId="77777777" w:rsidR="00260B6D" w:rsidRPr="00510203" w:rsidRDefault="00260B6D" w:rsidP="00527179">
            <w:pPr>
              <w:jc w:val="both"/>
              <w:rPr>
                <w:sz w:val="20"/>
                <w:szCs w:val="20"/>
              </w:rPr>
            </w:pPr>
            <w:r w:rsidRPr="00510203">
              <w:rPr>
                <w:sz w:val="20"/>
                <w:szCs w:val="20"/>
              </w:rPr>
              <w:t>0.0190 (0.0044)</w:t>
            </w:r>
          </w:p>
        </w:tc>
        <w:tc>
          <w:tcPr>
            <w:tcW w:w="2790" w:type="dxa"/>
          </w:tcPr>
          <w:p w14:paraId="4293C0ED" w14:textId="77777777" w:rsidR="00260B6D" w:rsidRPr="00510203" w:rsidRDefault="00260B6D" w:rsidP="00E71320">
            <w:pPr>
              <w:jc w:val="both"/>
              <w:rPr>
                <w:sz w:val="20"/>
                <w:szCs w:val="20"/>
              </w:rPr>
            </w:pPr>
            <w:r w:rsidRPr="00510203">
              <w:rPr>
                <w:sz w:val="20"/>
                <w:szCs w:val="20"/>
              </w:rPr>
              <w:t>(18.27, 943.48)</w:t>
            </w:r>
          </w:p>
        </w:tc>
      </w:tr>
      <w:tr w:rsidR="00260B6D" w:rsidRPr="00510203" w14:paraId="5CA70F04" w14:textId="77777777" w:rsidTr="004F6186">
        <w:trPr>
          <w:trHeight w:val="298"/>
        </w:trPr>
        <w:tc>
          <w:tcPr>
            <w:tcW w:w="3505" w:type="dxa"/>
            <w:vMerge/>
          </w:tcPr>
          <w:p w14:paraId="453567A5" w14:textId="77777777" w:rsidR="00260B6D" w:rsidRPr="00510203" w:rsidRDefault="00260B6D">
            <w:pPr>
              <w:jc w:val="both"/>
              <w:rPr>
                <w:sz w:val="20"/>
                <w:szCs w:val="20"/>
              </w:rPr>
            </w:pPr>
          </w:p>
        </w:tc>
        <w:tc>
          <w:tcPr>
            <w:tcW w:w="1710" w:type="dxa"/>
            <w:vMerge/>
          </w:tcPr>
          <w:p w14:paraId="2CD5EBAD" w14:textId="77777777" w:rsidR="00260B6D" w:rsidRPr="00510203" w:rsidRDefault="00260B6D">
            <w:pPr>
              <w:jc w:val="both"/>
              <w:rPr>
                <w:sz w:val="20"/>
                <w:szCs w:val="20"/>
              </w:rPr>
            </w:pPr>
          </w:p>
        </w:tc>
        <w:tc>
          <w:tcPr>
            <w:tcW w:w="1710" w:type="dxa"/>
          </w:tcPr>
          <w:p w14:paraId="25BF114F" w14:textId="77777777" w:rsidR="00260B6D" w:rsidRPr="00510203" w:rsidRDefault="00260B6D">
            <w:pPr>
              <w:jc w:val="both"/>
              <w:rPr>
                <w:sz w:val="20"/>
                <w:szCs w:val="20"/>
              </w:rPr>
            </w:pPr>
            <w:r w:rsidRPr="00510203">
              <w:rPr>
                <w:sz w:val="20"/>
                <w:szCs w:val="20"/>
              </w:rPr>
              <w:t>25+</w:t>
            </w:r>
            <w:r w:rsidRPr="00510203">
              <w:rPr>
                <w:sz w:val="20"/>
                <w:szCs w:val="20"/>
                <w:vertAlign w:val="superscript"/>
              </w:rPr>
              <w:t>b</w:t>
            </w:r>
          </w:p>
        </w:tc>
        <w:tc>
          <w:tcPr>
            <w:tcW w:w="1710" w:type="dxa"/>
          </w:tcPr>
          <w:p w14:paraId="2E07C5CA" w14:textId="77777777" w:rsidR="00260B6D" w:rsidRPr="00510203" w:rsidRDefault="00260B6D">
            <w:pPr>
              <w:jc w:val="center"/>
              <w:rPr>
                <w:sz w:val="20"/>
                <w:szCs w:val="20"/>
              </w:rPr>
            </w:pPr>
            <w:r w:rsidRPr="00510203">
              <w:rPr>
                <w:sz w:val="20"/>
                <w:szCs w:val="20"/>
              </w:rPr>
              <w:t>3531</w:t>
            </w:r>
          </w:p>
        </w:tc>
        <w:tc>
          <w:tcPr>
            <w:tcW w:w="2970" w:type="dxa"/>
          </w:tcPr>
          <w:p w14:paraId="7B3B91CC" w14:textId="77777777" w:rsidR="00260B6D" w:rsidRPr="00510203" w:rsidRDefault="00260B6D">
            <w:pPr>
              <w:jc w:val="both"/>
              <w:rPr>
                <w:sz w:val="20"/>
                <w:szCs w:val="20"/>
              </w:rPr>
            </w:pPr>
            <w:r w:rsidRPr="00510203">
              <w:rPr>
                <w:sz w:val="20"/>
                <w:szCs w:val="20"/>
              </w:rPr>
              <w:t>0.0088 (0.0016)</w:t>
            </w:r>
          </w:p>
        </w:tc>
        <w:tc>
          <w:tcPr>
            <w:tcW w:w="2790" w:type="dxa"/>
          </w:tcPr>
          <w:p w14:paraId="375540E3" w14:textId="77777777" w:rsidR="00260B6D" w:rsidRPr="00510203" w:rsidRDefault="00260B6D">
            <w:pPr>
              <w:jc w:val="both"/>
              <w:rPr>
                <w:sz w:val="20"/>
                <w:szCs w:val="20"/>
              </w:rPr>
            </w:pPr>
            <w:r w:rsidRPr="00510203">
              <w:rPr>
                <w:sz w:val="20"/>
                <w:szCs w:val="20"/>
              </w:rPr>
              <w:t>(29.98, 3376.28)</w:t>
            </w:r>
          </w:p>
        </w:tc>
      </w:tr>
      <w:tr w:rsidR="00260B6D" w:rsidRPr="00510203" w14:paraId="5A87AF3B" w14:textId="77777777" w:rsidTr="004F6186">
        <w:trPr>
          <w:trHeight w:val="278"/>
        </w:trPr>
        <w:tc>
          <w:tcPr>
            <w:tcW w:w="3505" w:type="dxa"/>
            <w:vMerge/>
          </w:tcPr>
          <w:p w14:paraId="0FF80265" w14:textId="77777777" w:rsidR="00260B6D" w:rsidRPr="00510203" w:rsidRDefault="00260B6D">
            <w:pPr>
              <w:jc w:val="both"/>
              <w:rPr>
                <w:sz w:val="20"/>
                <w:szCs w:val="20"/>
              </w:rPr>
            </w:pPr>
          </w:p>
        </w:tc>
        <w:tc>
          <w:tcPr>
            <w:tcW w:w="1710" w:type="dxa"/>
            <w:vMerge w:val="restart"/>
          </w:tcPr>
          <w:p w14:paraId="38808C6C" w14:textId="77777777" w:rsidR="00260B6D" w:rsidRPr="00510203" w:rsidRDefault="00260B6D">
            <w:pPr>
              <w:jc w:val="both"/>
              <w:rPr>
                <w:sz w:val="20"/>
                <w:szCs w:val="20"/>
              </w:rPr>
            </w:pPr>
            <w:r w:rsidRPr="00510203">
              <w:rPr>
                <w:sz w:val="20"/>
                <w:szCs w:val="20"/>
              </w:rPr>
              <w:t>2010</w:t>
            </w:r>
          </w:p>
        </w:tc>
        <w:tc>
          <w:tcPr>
            <w:tcW w:w="1710" w:type="dxa"/>
          </w:tcPr>
          <w:p w14:paraId="3697D9C3" w14:textId="77777777" w:rsidR="00260B6D" w:rsidRPr="00510203" w:rsidRDefault="00260B6D">
            <w:pPr>
              <w:jc w:val="both"/>
              <w:rPr>
                <w:sz w:val="20"/>
                <w:szCs w:val="20"/>
              </w:rPr>
            </w:pPr>
            <w:r w:rsidRPr="00510203">
              <w:rPr>
                <w:sz w:val="20"/>
                <w:szCs w:val="20"/>
              </w:rPr>
              <w:t>15-24</w:t>
            </w:r>
          </w:p>
        </w:tc>
        <w:tc>
          <w:tcPr>
            <w:tcW w:w="1710" w:type="dxa"/>
          </w:tcPr>
          <w:p w14:paraId="7A89CF19" w14:textId="77777777" w:rsidR="00260B6D" w:rsidRPr="00510203" w:rsidRDefault="00260B6D">
            <w:pPr>
              <w:jc w:val="center"/>
              <w:rPr>
                <w:sz w:val="20"/>
                <w:szCs w:val="20"/>
              </w:rPr>
            </w:pPr>
            <w:r w:rsidRPr="00510203">
              <w:rPr>
                <w:sz w:val="20"/>
                <w:szCs w:val="20"/>
              </w:rPr>
              <w:t>1150</w:t>
            </w:r>
          </w:p>
        </w:tc>
        <w:tc>
          <w:tcPr>
            <w:tcW w:w="2970" w:type="dxa"/>
          </w:tcPr>
          <w:p w14:paraId="13DAFA4E" w14:textId="77777777" w:rsidR="00260B6D" w:rsidRPr="00510203" w:rsidRDefault="00260B6D">
            <w:pPr>
              <w:jc w:val="both"/>
              <w:rPr>
                <w:sz w:val="20"/>
                <w:szCs w:val="20"/>
              </w:rPr>
            </w:pPr>
            <w:r w:rsidRPr="00510203">
              <w:rPr>
                <w:sz w:val="20"/>
                <w:szCs w:val="20"/>
              </w:rPr>
              <w:t>0.0659 (0.0073)</w:t>
            </w:r>
          </w:p>
        </w:tc>
        <w:tc>
          <w:tcPr>
            <w:tcW w:w="2790" w:type="dxa"/>
          </w:tcPr>
          <w:p w14:paraId="52C13E81" w14:textId="77777777" w:rsidR="00260B6D" w:rsidRPr="00510203" w:rsidRDefault="00260B6D">
            <w:pPr>
              <w:jc w:val="both"/>
              <w:rPr>
                <w:sz w:val="20"/>
                <w:szCs w:val="20"/>
              </w:rPr>
            </w:pPr>
            <w:r w:rsidRPr="00510203">
              <w:rPr>
                <w:sz w:val="20"/>
                <w:szCs w:val="20"/>
              </w:rPr>
              <w:t>(76.06, 1078.08)</w:t>
            </w:r>
          </w:p>
        </w:tc>
      </w:tr>
      <w:tr w:rsidR="00260B6D" w:rsidRPr="00510203" w14:paraId="71A98CFC" w14:textId="77777777" w:rsidTr="004F6186">
        <w:trPr>
          <w:trHeight w:val="298"/>
        </w:trPr>
        <w:tc>
          <w:tcPr>
            <w:tcW w:w="3505" w:type="dxa"/>
            <w:vMerge/>
          </w:tcPr>
          <w:p w14:paraId="225A5881" w14:textId="77777777" w:rsidR="00260B6D" w:rsidRPr="00510203" w:rsidRDefault="00260B6D">
            <w:pPr>
              <w:jc w:val="both"/>
              <w:rPr>
                <w:sz w:val="20"/>
                <w:szCs w:val="20"/>
              </w:rPr>
            </w:pPr>
          </w:p>
        </w:tc>
        <w:tc>
          <w:tcPr>
            <w:tcW w:w="1710" w:type="dxa"/>
            <w:vMerge/>
          </w:tcPr>
          <w:p w14:paraId="7F02202E" w14:textId="77777777" w:rsidR="00260B6D" w:rsidRPr="00510203" w:rsidRDefault="00260B6D">
            <w:pPr>
              <w:jc w:val="both"/>
              <w:rPr>
                <w:sz w:val="20"/>
                <w:szCs w:val="20"/>
              </w:rPr>
            </w:pPr>
          </w:p>
        </w:tc>
        <w:tc>
          <w:tcPr>
            <w:tcW w:w="1710" w:type="dxa"/>
          </w:tcPr>
          <w:p w14:paraId="0F998451" w14:textId="77777777" w:rsidR="00260B6D" w:rsidRPr="00510203" w:rsidRDefault="00260B6D">
            <w:pPr>
              <w:jc w:val="both"/>
              <w:rPr>
                <w:sz w:val="20"/>
                <w:szCs w:val="20"/>
              </w:rPr>
            </w:pPr>
            <w:r w:rsidRPr="00510203">
              <w:rPr>
                <w:sz w:val="20"/>
                <w:szCs w:val="20"/>
              </w:rPr>
              <w:t>25+</w:t>
            </w:r>
            <w:r w:rsidRPr="00510203">
              <w:rPr>
                <w:sz w:val="20"/>
                <w:szCs w:val="20"/>
                <w:vertAlign w:val="superscript"/>
              </w:rPr>
              <w:t>b</w:t>
            </w:r>
          </w:p>
        </w:tc>
        <w:tc>
          <w:tcPr>
            <w:tcW w:w="1710" w:type="dxa"/>
          </w:tcPr>
          <w:p w14:paraId="0F75D7CB" w14:textId="77777777" w:rsidR="00260B6D" w:rsidRPr="00510203" w:rsidRDefault="00260B6D">
            <w:pPr>
              <w:jc w:val="center"/>
              <w:rPr>
                <w:sz w:val="20"/>
                <w:szCs w:val="20"/>
              </w:rPr>
            </w:pPr>
            <w:r w:rsidRPr="00510203">
              <w:rPr>
                <w:sz w:val="20"/>
                <w:szCs w:val="20"/>
              </w:rPr>
              <w:t>5229</w:t>
            </w:r>
          </w:p>
        </w:tc>
        <w:tc>
          <w:tcPr>
            <w:tcW w:w="2970" w:type="dxa"/>
          </w:tcPr>
          <w:p w14:paraId="36E43B59" w14:textId="77777777" w:rsidR="00260B6D" w:rsidRPr="00510203" w:rsidRDefault="00260B6D">
            <w:pPr>
              <w:jc w:val="both"/>
              <w:rPr>
                <w:sz w:val="20"/>
                <w:szCs w:val="20"/>
              </w:rPr>
            </w:pPr>
            <w:r w:rsidRPr="00510203">
              <w:rPr>
                <w:sz w:val="20"/>
                <w:szCs w:val="20"/>
              </w:rPr>
              <w:t>0.0324 (0.0024)</w:t>
            </w:r>
          </w:p>
        </w:tc>
        <w:tc>
          <w:tcPr>
            <w:tcW w:w="2790" w:type="dxa"/>
          </w:tcPr>
          <w:p w14:paraId="6CC58C70" w14:textId="77777777" w:rsidR="00260B6D" w:rsidRPr="00510203" w:rsidRDefault="00260B6D">
            <w:pPr>
              <w:jc w:val="both"/>
              <w:rPr>
                <w:sz w:val="20"/>
                <w:szCs w:val="20"/>
              </w:rPr>
            </w:pPr>
            <w:r w:rsidRPr="00510203">
              <w:rPr>
                <w:sz w:val="20"/>
                <w:szCs w:val="20"/>
              </w:rPr>
              <w:t>(176.31, 5265.44)</w:t>
            </w:r>
          </w:p>
        </w:tc>
      </w:tr>
      <w:tr w:rsidR="00260B6D" w:rsidRPr="00510203" w14:paraId="3C9AD89F" w14:textId="77777777" w:rsidTr="004F6186">
        <w:trPr>
          <w:trHeight w:val="298"/>
        </w:trPr>
        <w:tc>
          <w:tcPr>
            <w:tcW w:w="3505" w:type="dxa"/>
            <w:vMerge/>
          </w:tcPr>
          <w:p w14:paraId="109299C2" w14:textId="77777777" w:rsidR="00260B6D" w:rsidRPr="00510203" w:rsidRDefault="00260B6D">
            <w:pPr>
              <w:jc w:val="both"/>
              <w:rPr>
                <w:sz w:val="20"/>
                <w:szCs w:val="20"/>
              </w:rPr>
            </w:pPr>
          </w:p>
        </w:tc>
        <w:tc>
          <w:tcPr>
            <w:tcW w:w="1710" w:type="dxa"/>
            <w:vMerge w:val="restart"/>
          </w:tcPr>
          <w:p w14:paraId="632164D7" w14:textId="77777777" w:rsidR="00260B6D" w:rsidRPr="00510203" w:rsidRDefault="00260B6D">
            <w:pPr>
              <w:jc w:val="both"/>
              <w:rPr>
                <w:sz w:val="20"/>
                <w:szCs w:val="20"/>
              </w:rPr>
            </w:pPr>
            <w:r w:rsidRPr="00510203">
              <w:rPr>
                <w:sz w:val="20"/>
                <w:szCs w:val="20"/>
              </w:rPr>
              <w:t>2015</w:t>
            </w:r>
          </w:p>
        </w:tc>
        <w:tc>
          <w:tcPr>
            <w:tcW w:w="1710" w:type="dxa"/>
          </w:tcPr>
          <w:p w14:paraId="1326833F" w14:textId="77777777" w:rsidR="00260B6D" w:rsidRPr="00510203" w:rsidRDefault="00260B6D">
            <w:pPr>
              <w:jc w:val="both"/>
              <w:rPr>
                <w:sz w:val="20"/>
                <w:szCs w:val="20"/>
              </w:rPr>
            </w:pPr>
            <w:r w:rsidRPr="00510203">
              <w:rPr>
                <w:sz w:val="20"/>
                <w:szCs w:val="20"/>
              </w:rPr>
              <w:t>15-24</w:t>
            </w:r>
          </w:p>
        </w:tc>
        <w:tc>
          <w:tcPr>
            <w:tcW w:w="1710" w:type="dxa"/>
          </w:tcPr>
          <w:p w14:paraId="4785B405" w14:textId="77777777" w:rsidR="00260B6D" w:rsidRPr="00510203" w:rsidRDefault="00260B6D">
            <w:pPr>
              <w:jc w:val="center"/>
              <w:rPr>
                <w:sz w:val="20"/>
                <w:szCs w:val="20"/>
              </w:rPr>
            </w:pPr>
            <w:r w:rsidRPr="00510203">
              <w:rPr>
                <w:sz w:val="20"/>
                <w:szCs w:val="20"/>
              </w:rPr>
              <w:t>1087</w:t>
            </w:r>
          </w:p>
        </w:tc>
        <w:tc>
          <w:tcPr>
            <w:tcW w:w="2970" w:type="dxa"/>
          </w:tcPr>
          <w:p w14:paraId="6F57FD21" w14:textId="77777777" w:rsidR="00260B6D" w:rsidRPr="00510203" w:rsidRDefault="00260B6D">
            <w:pPr>
              <w:jc w:val="both"/>
              <w:rPr>
                <w:sz w:val="20"/>
                <w:szCs w:val="20"/>
              </w:rPr>
            </w:pPr>
            <w:r w:rsidRPr="00510203">
              <w:rPr>
                <w:sz w:val="20"/>
                <w:szCs w:val="20"/>
              </w:rPr>
              <w:t>0.0978 (0.0090)</w:t>
            </w:r>
          </w:p>
        </w:tc>
        <w:tc>
          <w:tcPr>
            <w:tcW w:w="2790" w:type="dxa"/>
          </w:tcPr>
          <w:p w14:paraId="1D96C89C" w14:textId="77777777" w:rsidR="00260B6D" w:rsidRPr="00510203" w:rsidRDefault="00260B6D">
            <w:pPr>
              <w:jc w:val="both"/>
              <w:rPr>
                <w:sz w:val="20"/>
                <w:szCs w:val="20"/>
              </w:rPr>
            </w:pPr>
            <w:r w:rsidRPr="00510203">
              <w:rPr>
                <w:sz w:val="20"/>
                <w:szCs w:val="20"/>
              </w:rPr>
              <w:t>(106.44, 981.88)</w:t>
            </w:r>
          </w:p>
        </w:tc>
      </w:tr>
      <w:tr w:rsidR="00260B6D" w:rsidRPr="00510203" w14:paraId="26F6054E" w14:textId="77777777" w:rsidTr="004F6186">
        <w:trPr>
          <w:trHeight w:val="298"/>
        </w:trPr>
        <w:tc>
          <w:tcPr>
            <w:tcW w:w="3505" w:type="dxa"/>
            <w:vMerge/>
          </w:tcPr>
          <w:p w14:paraId="1B751E56" w14:textId="77777777" w:rsidR="00260B6D" w:rsidRPr="00510203" w:rsidRDefault="00260B6D">
            <w:pPr>
              <w:jc w:val="both"/>
              <w:rPr>
                <w:sz w:val="20"/>
                <w:szCs w:val="20"/>
              </w:rPr>
            </w:pPr>
          </w:p>
        </w:tc>
        <w:tc>
          <w:tcPr>
            <w:tcW w:w="1710" w:type="dxa"/>
            <w:vMerge/>
          </w:tcPr>
          <w:p w14:paraId="77198329" w14:textId="77777777" w:rsidR="00260B6D" w:rsidRPr="00510203" w:rsidRDefault="00260B6D">
            <w:pPr>
              <w:jc w:val="both"/>
              <w:rPr>
                <w:sz w:val="20"/>
                <w:szCs w:val="20"/>
              </w:rPr>
            </w:pPr>
          </w:p>
        </w:tc>
        <w:tc>
          <w:tcPr>
            <w:tcW w:w="1710" w:type="dxa"/>
          </w:tcPr>
          <w:p w14:paraId="28C9A565" w14:textId="77777777" w:rsidR="00260B6D" w:rsidRPr="00510203" w:rsidRDefault="00260B6D">
            <w:pPr>
              <w:jc w:val="both"/>
              <w:rPr>
                <w:sz w:val="20"/>
                <w:szCs w:val="20"/>
              </w:rPr>
            </w:pPr>
            <w:r w:rsidRPr="00510203">
              <w:rPr>
                <w:sz w:val="20"/>
                <w:szCs w:val="20"/>
              </w:rPr>
              <w:t>25+</w:t>
            </w:r>
            <w:r w:rsidRPr="00510203">
              <w:rPr>
                <w:sz w:val="20"/>
                <w:szCs w:val="20"/>
                <w:vertAlign w:val="superscript"/>
              </w:rPr>
              <w:t>b</w:t>
            </w:r>
          </w:p>
        </w:tc>
        <w:tc>
          <w:tcPr>
            <w:tcW w:w="1710" w:type="dxa"/>
          </w:tcPr>
          <w:p w14:paraId="5ADAE3F0" w14:textId="77777777" w:rsidR="00260B6D" w:rsidRPr="00510203" w:rsidRDefault="00260B6D">
            <w:pPr>
              <w:jc w:val="center"/>
              <w:rPr>
                <w:sz w:val="20"/>
                <w:szCs w:val="20"/>
              </w:rPr>
            </w:pPr>
            <w:r w:rsidRPr="00510203">
              <w:rPr>
                <w:sz w:val="20"/>
                <w:szCs w:val="20"/>
              </w:rPr>
              <w:t>5217</w:t>
            </w:r>
          </w:p>
        </w:tc>
        <w:tc>
          <w:tcPr>
            <w:tcW w:w="2970" w:type="dxa"/>
          </w:tcPr>
          <w:p w14:paraId="1A675CA2" w14:textId="77777777" w:rsidR="00260B6D" w:rsidRPr="00510203" w:rsidRDefault="00260B6D">
            <w:pPr>
              <w:jc w:val="both"/>
              <w:rPr>
                <w:sz w:val="20"/>
                <w:szCs w:val="20"/>
              </w:rPr>
            </w:pPr>
            <w:r w:rsidRPr="00510203">
              <w:rPr>
                <w:sz w:val="20"/>
                <w:szCs w:val="20"/>
              </w:rPr>
              <w:t>0.0392 (0.0027)</w:t>
            </w:r>
          </w:p>
        </w:tc>
        <w:tc>
          <w:tcPr>
            <w:tcW w:w="2790" w:type="dxa"/>
          </w:tcPr>
          <w:p w14:paraId="0A5982A7" w14:textId="77777777" w:rsidR="00260B6D" w:rsidRPr="00510203" w:rsidRDefault="00260B6D">
            <w:pPr>
              <w:jc w:val="both"/>
              <w:rPr>
                <w:sz w:val="20"/>
                <w:szCs w:val="20"/>
              </w:rPr>
            </w:pPr>
            <w:r w:rsidRPr="00510203">
              <w:rPr>
                <w:sz w:val="20"/>
                <w:szCs w:val="20"/>
              </w:rPr>
              <w:t>(202.49, 4962.96)</w:t>
            </w:r>
          </w:p>
        </w:tc>
      </w:tr>
      <w:tr w:rsidR="00260B6D" w:rsidRPr="00510203" w14:paraId="16FA4ED6" w14:textId="77777777" w:rsidTr="004F6186">
        <w:trPr>
          <w:trHeight w:val="298"/>
        </w:trPr>
        <w:tc>
          <w:tcPr>
            <w:tcW w:w="3505" w:type="dxa"/>
            <w:vMerge w:val="restart"/>
          </w:tcPr>
          <w:p w14:paraId="4736437F" w14:textId="77777777" w:rsidR="00260B6D" w:rsidRPr="00510203" w:rsidRDefault="00260B6D" w:rsidP="00122CDD">
            <w:pPr>
              <w:jc w:val="both"/>
              <w:rPr>
                <w:sz w:val="20"/>
                <w:szCs w:val="20"/>
              </w:rPr>
            </w:pPr>
            <w:r w:rsidRPr="00510203">
              <w:rPr>
                <w:sz w:val="20"/>
                <w:szCs w:val="20"/>
              </w:rPr>
              <w:t>Urban men</w:t>
            </w:r>
          </w:p>
        </w:tc>
        <w:tc>
          <w:tcPr>
            <w:tcW w:w="1710" w:type="dxa"/>
            <w:vMerge w:val="restart"/>
          </w:tcPr>
          <w:p w14:paraId="07C847E4" w14:textId="77777777" w:rsidR="00260B6D" w:rsidRPr="00510203" w:rsidRDefault="00260B6D" w:rsidP="001D10D4">
            <w:pPr>
              <w:jc w:val="both"/>
              <w:rPr>
                <w:sz w:val="20"/>
                <w:szCs w:val="20"/>
              </w:rPr>
            </w:pPr>
            <w:r w:rsidRPr="00510203">
              <w:rPr>
                <w:sz w:val="20"/>
                <w:szCs w:val="20"/>
              </w:rPr>
              <w:t>2005</w:t>
            </w:r>
          </w:p>
        </w:tc>
        <w:tc>
          <w:tcPr>
            <w:tcW w:w="1710" w:type="dxa"/>
          </w:tcPr>
          <w:p w14:paraId="297AA6C2" w14:textId="77777777" w:rsidR="00260B6D" w:rsidRPr="00510203" w:rsidRDefault="00260B6D" w:rsidP="00527179">
            <w:pPr>
              <w:jc w:val="both"/>
              <w:rPr>
                <w:sz w:val="20"/>
                <w:szCs w:val="20"/>
              </w:rPr>
            </w:pPr>
            <w:r w:rsidRPr="00510203">
              <w:rPr>
                <w:sz w:val="20"/>
                <w:szCs w:val="20"/>
              </w:rPr>
              <w:t>15-24</w:t>
            </w:r>
          </w:p>
        </w:tc>
        <w:tc>
          <w:tcPr>
            <w:tcW w:w="1710" w:type="dxa"/>
          </w:tcPr>
          <w:p w14:paraId="615C2B67" w14:textId="77777777" w:rsidR="00260B6D" w:rsidRPr="00510203" w:rsidRDefault="00260B6D" w:rsidP="00527179">
            <w:pPr>
              <w:jc w:val="center"/>
              <w:rPr>
                <w:sz w:val="20"/>
                <w:szCs w:val="20"/>
              </w:rPr>
            </w:pPr>
            <w:r w:rsidRPr="00510203">
              <w:rPr>
                <w:sz w:val="20"/>
                <w:szCs w:val="20"/>
              </w:rPr>
              <w:t>63</w:t>
            </w:r>
          </w:p>
        </w:tc>
        <w:tc>
          <w:tcPr>
            <w:tcW w:w="2970" w:type="dxa"/>
          </w:tcPr>
          <w:p w14:paraId="27FA00D6" w14:textId="77777777" w:rsidR="00260B6D" w:rsidRPr="00510203" w:rsidRDefault="00260B6D" w:rsidP="00527179">
            <w:pPr>
              <w:jc w:val="both"/>
              <w:rPr>
                <w:sz w:val="20"/>
                <w:szCs w:val="20"/>
              </w:rPr>
            </w:pPr>
            <w:r w:rsidRPr="00510203">
              <w:rPr>
                <w:sz w:val="20"/>
                <w:szCs w:val="20"/>
              </w:rPr>
              <w:t>0.4074 (0.0626)</w:t>
            </w:r>
          </w:p>
        </w:tc>
        <w:tc>
          <w:tcPr>
            <w:tcW w:w="2790" w:type="dxa"/>
          </w:tcPr>
          <w:p w14:paraId="3CFED33B" w14:textId="77777777" w:rsidR="00260B6D" w:rsidRPr="00510203" w:rsidRDefault="00260B6D" w:rsidP="00E71320">
            <w:pPr>
              <w:jc w:val="both"/>
              <w:rPr>
                <w:sz w:val="20"/>
                <w:szCs w:val="20"/>
              </w:rPr>
            </w:pPr>
            <w:r w:rsidRPr="00510203">
              <w:rPr>
                <w:sz w:val="20"/>
                <w:szCs w:val="20"/>
              </w:rPr>
              <w:t>(49.37, 302.26)</w:t>
            </w:r>
          </w:p>
        </w:tc>
      </w:tr>
      <w:tr w:rsidR="00260B6D" w:rsidRPr="00510203" w14:paraId="64FFE8D6" w14:textId="77777777" w:rsidTr="004F6186">
        <w:trPr>
          <w:trHeight w:val="311"/>
        </w:trPr>
        <w:tc>
          <w:tcPr>
            <w:tcW w:w="3505" w:type="dxa"/>
            <w:vMerge/>
          </w:tcPr>
          <w:p w14:paraId="1BAF1766" w14:textId="77777777" w:rsidR="00260B6D" w:rsidRPr="00510203" w:rsidRDefault="00260B6D">
            <w:pPr>
              <w:jc w:val="both"/>
              <w:rPr>
                <w:sz w:val="20"/>
                <w:szCs w:val="20"/>
              </w:rPr>
            </w:pPr>
          </w:p>
        </w:tc>
        <w:tc>
          <w:tcPr>
            <w:tcW w:w="1710" w:type="dxa"/>
            <w:vMerge/>
          </w:tcPr>
          <w:p w14:paraId="27216B9D" w14:textId="77777777" w:rsidR="00260B6D" w:rsidRPr="00510203" w:rsidRDefault="00260B6D">
            <w:pPr>
              <w:jc w:val="both"/>
              <w:rPr>
                <w:sz w:val="20"/>
                <w:szCs w:val="20"/>
              </w:rPr>
            </w:pPr>
          </w:p>
        </w:tc>
        <w:tc>
          <w:tcPr>
            <w:tcW w:w="1710" w:type="dxa"/>
          </w:tcPr>
          <w:p w14:paraId="482A2B6B" w14:textId="77777777" w:rsidR="00260B6D" w:rsidRPr="00510203" w:rsidRDefault="00260B6D">
            <w:pPr>
              <w:jc w:val="both"/>
              <w:rPr>
                <w:sz w:val="20"/>
                <w:szCs w:val="20"/>
              </w:rPr>
            </w:pPr>
            <w:r w:rsidRPr="00510203">
              <w:rPr>
                <w:sz w:val="20"/>
                <w:szCs w:val="20"/>
              </w:rPr>
              <w:t>25+</w:t>
            </w:r>
            <w:r w:rsidRPr="00510203">
              <w:rPr>
                <w:sz w:val="20"/>
                <w:szCs w:val="20"/>
                <w:vertAlign w:val="superscript"/>
              </w:rPr>
              <w:t>b</w:t>
            </w:r>
          </w:p>
        </w:tc>
        <w:tc>
          <w:tcPr>
            <w:tcW w:w="1710" w:type="dxa"/>
          </w:tcPr>
          <w:p w14:paraId="14D0895B" w14:textId="77777777" w:rsidR="00260B6D" w:rsidRPr="00510203" w:rsidRDefault="00260B6D">
            <w:pPr>
              <w:jc w:val="center"/>
              <w:rPr>
                <w:sz w:val="20"/>
                <w:szCs w:val="20"/>
              </w:rPr>
            </w:pPr>
            <w:r w:rsidRPr="00510203">
              <w:rPr>
                <w:sz w:val="20"/>
                <w:szCs w:val="20"/>
              </w:rPr>
              <w:t>349</w:t>
            </w:r>
          </w:p>
        </w:tc>
        <w:tc>
          <w:tcPr>
            <w:tcW w:w="2970" w:type="dxa"/>
          </w:tcPr>
          <w:p w14:paraId="1F32279A" w14:textId="77777777" w:rsidR="00260B6D" w:rsidRPr="00510203" w:rsidRDefault="00260B6D">
            <w:pPr>
              <w:jc w:val="both"/>
              <w:rPr>
                <w:sz w:val="20"/>
                <w:szCs w:val="20"/>
              </w:rPr>
            </w:pPr>
            <w:r w:rsidRPr="00510203">
              <w:rPr>
                <w:sz w:val="20"/>
                <w:szCs w:val="20"/>
              </w:rPr>
              <w:t>0.1199 (0.0174)</w:t>
            </w:r>
          </w:p>
        </w:tc>
        <w:tc>
          <w:tcPr>
            <w:tcW w:w="2790" w:type="dxa"/>
          </w:tcPr>
          <w:p w14:paraId="6225F39E" w14:textId="77777777" w:rsidR="00260B6D" w:rsidRPr="00510203" w:rsidRDefault="00260B6D">
            <w:pPr>
              <w:jc w:val="both"/>
              <w:rPr>
                <w:sz w:val="20"/>
                <w:szCs w:val="20"/>
              </w:rPr>
            </w:pPr>
            <w:r w:rsidRPr="00510203">
              <w:rPr>
                <w:sz w:val="20"/>
                <w:szCs w:val="20"/>
              </w:rPr>
              <w:t>(65.23, 171.27)</w:t>
            </w:r>
          </w:p>
        </w:tc>
      </w:tr>
      <w:tr w:rsidR="00260B6D" w:rsidRPr="00510203" w14:paraId="111A0751" w14:textId="77777777" w:rsidTr="004F6186">
        <w:trPr>
          <w:trHeight w:val="311"/>
        </w:trPr>
        <w:tc>
          <w:tcPr>
            <w:tcW w:w="3505" w:type="dxa"/>
            <w:vMerge/>
          </w:tcPr>
          <w:p w14:paraId="48943DEC" w14:textId="77777777" w:rsidR="00260B6D" w:rsidRPr="00510203" w:rsidRDefault="00260B6D">
            <w:pPr>
              <w:jc w:val="both"/>
              <w:rPr>
                <w:sz w:val="20"/>
                <w:szCs w:val="20"/>
              </w:rPr>
            </w:pPr>
          </w:p>
        </w:tc>
        <w:tc>
          <w:tcPr>
            <w:tcW w:w="1710" w:type="dxa"/>
            <w:vMerge w:val="restart"/>
          </w:tcPr>
          <w:p w14:paraId="7A185AF3" w14:textId="77777777" w:rsidR="00260B6D" w:rsidRPr="00510203" w:rsidRDefault="00260B6D">
            <w:pPr>
              <w:jc w:val="both"/>
              <w:rPr>
                <w:sz w:val="20"/>
                <w:szCs w:val="20"/>
              </w:rPr>
            </w:pPr>
            <w:r w:rsidRPr="00510203">
              <w:rPr>
                <w:sz w:val="20"/>
                <w:szCs w:val="20"/>
              </w:rPr>
              <w:t>2010</w:t>
            </w:r>
          </w:p>
        </w:tc>
        <w:tc>
          <w:tcPr>
            <w:tcW w:w="1710" w:type="dxa"/>
          </w:tcPr>
          <w:p w14:paraId="136622C7" w14:textId="77777777" w:rsidR="00260B6D" w:rsidRPr="00510203" w:rsidRDefault="00260B6D">
            <w:pPr>
              <w:jc w:val="both"/>
              <w:rPr>
                <w:sz w:val="20"/>
                <w:szCs w:val="20"/>
              </w:rPr>
            </w:pPr>
            <w:r w:rsidRPr="00510203">
              <w:rPr>
                <w:sz w:val="20"/>
                <w:szCs w:val="20"/>
              </w:rPr>
              <w:t>15-24</w:t>
            </w:r>
          </w:p>
        </w:tc>
        <w:tc>
          <w:tcPr>
            <w:tcW w:w="1710" w:type="dxa"/>
          </w:tcPr>
          <w:p w14:paraId="5050E191" w14:textId="77777777" w:rsidR="00260B6D" w:rsidRPr="00510203" w:rsidRDefault="00260B6D">
            <w:pPr>
              <w:jc w:val="center"/>
              <w:rPr>
                <w:sz w:val="20"/>
                <w:szCs w:val="20"/>
              </w:rPr>
            </w:pPr>
            <w:r w:rsidRPr="00510203">
              <w:rPr>
                <w:sz w:val="20"/>
                <w:szCs w:val="20"/>
              </w:rPr>
              <w:t>88</w:t>
            </w:r>
          </w:p>
        </w:tc>
        <w:tc>
          <w:tcPr>
            <w:tcW w:w="2970" w:type="dxa"/>
          </w:tcPr>
          <w:p w14:paraId="49EA5722" w14:textId="77777777" w:rsidR="00260B6D" w:rsidRPr="00510203" w:rsidRDefault="00260B6D">
            <w:pPr>
              <w:jc w:val="both"/>
              <w:rPr>
                <w:sz w:val="20"/>
                <w:szCs w:val="20"/>
              </w:rPr>
            </w:pPr>
            <w:r w:rsidRPr="00510203">
              <w:rPr>
                <w:sz w:val="20"/>
                <w:szCs w:val="20"/>
              </w:rPr>
              <w:t>0.5124 (0.0536)</w:t>
            </w:r>
          </w:p>
        </w:tc>
        <w:tc>
          <w:tcPr>
            <w:tcW w:w="2790" w:type="dxa"/>
          </w:tcPr>
          <w:p w14:paraId="3E1D9CED" w14:textId="77777777" w:rsidR="00260B6D" w:rsidRPr="00510203" w:rsidRDefault="00260B6D">
            <w:pPr>
              <w:jc w:val="both"/>
              <w:rPr>
                <w:sz w:val="20"/>
                <w:szCs w:val="20"/>
              </w:rPr>
            </w:pPr>
            <w:r w:rsidRPr="00510203">
              <w:rPr>
                <w:sz w:val="20"/>
                <w:szCs w:val="20"/>
              </w:rPr>
              <w:t>(118.03, 272.68)</w:t>
            </w:r>
          </w:p>
        </w:tc>
      </w:tr>
      <w:tr w:rsidR="00260B6D" w:rsidRPr="00510203" w14:paraId="24D3A96A" w14:textId="77777777" w:rsidTr="004F6186">
        <w:trPr>
          <w:trHeight w:val="311"/>
        </w:trPr>
        <w:tc>
          <w:tcPr>
            <w:tcW w:w="3505" w:type="dxa"/>
            <w:vMerge/>
          </w:tcPr>
          <w:p w14:paraId="2E977263" w14:textId="77777777" w:rsidR="00260B6D" w:rsidRPr="00510203" w:rsidRDefault="00260B6D">
            <w:pPr>
              <w:jc w:val="both"/>
              <w:rPr>
                <w:sz w:val="20"/>
                <w:szCs w:val="20"/>
              </w:rPr>
            </w:pPr>
          </w:p>
        </w:tc>
        <w:tc>
          <w:tcPr>
            <w:tcW w:w="1710" w:type="dxa"/>
            <w:vMerge/>
          </w:tcPr>
          <w:p w14:paraId="030C1024" w14:textId="77777777" w:rsidR="00260B6D" w:rsidRPr="00510203" w:rsidRDefault="00260B6D">
            <w:pPr>
              <w:jc w:val="both"/>
              <w:rPr>
                <w:sz w:val="20"/>
                <w:szCs w:val="20"/>
              </w:rPr>
            </w:pPr>
          </w:p>
        </w:tc>
        <w:tc>
          <w:tcPr>
            <w:tcW w:w="1710" w:type="dxa"/>
          </w:tcPr>
          <w:p w14:paraId="00D3F632" w14:textId="77777777" w:rsidR="00260B6D" w:rsidRPr="00510203" w:rsidRDefault="00260B6D">
            <w:pPr>
              <w:jc w:val="both"/>
              <w:rPr>
                <w:sz w:val="20"/>
                <w:szCs w:val="20"/>
              </w:rPr>
            </w:pPr>
            <w:r w:rsidRPr="00510203">
              <w:rPr>
                <w:sz w:val="20"/>
                <w:szCs w:val="20"/>
              </w:rPr>
              <w:t>25+</w:t>
            </w:r>
            <w:r w:rsidRPr="00510203">
              <w:rPr>
                <w:sz w:val="20"/>
                <w:szCs w:val="20"/>
                <w:vertAlign w:val="superscript"/>
              </w:rPr>
              <w:t>b</w:t>
            </w:r>
          </w:p>
        </w:tc>
        <w:tc>
          <w:tcPr>
            <w:tcW w:w="1710" w:type="dxa"/>
          </w:tcPr>
          <w:p w14:paraId="5E9889B9" w14:textId="77777777" w:rsidR="00260B6D" w:rsidRPr="00510203" w:rsidRDefault="00260B6D">
            <w:pPr>
              <w:jc w:val="center"/>
              <w:rPr>
                <w:sz w:val="20"/>
                <w:szCs w:val="20"/>
              </w:rPr>
            </w:pPr>
            <w:r w:rsidRPr="00510203">
              <w:rPr>
                <w:sz w:val="20"/>
                <w:szCs w:val="20"/>
              </w:rPr>
              <w:t>511</w:t>
            </w:r>
          </w:p>
        </w:tc>
        <w:tc>
          <w:tcPr>
            <w:tcW w:w="2970" w:type="dxa"/>
          </w:tcPr>
          <w:p w14:paraId="1CE85977" w14:textId="77777777" w:rsidR="00260B6D" w:rsidRPr="00510203" w:rsidRDefault="00260B6D">
            <w:pPr>
              <w:jc w:val="both"/>
              <w:rPr>
                <w:sz w:val="20"/>
                <w:szCs w:val="20"/>
              </w:rPr>
            </w:pPr>
            <w:r w:rsidRPr="00510203">
              <w:rPr>
                <w:sz w:val="20"/>
                <w:szCs w:val="20"/>
              </w:rPr>
              <w:t>0.1213 (0.0145)</w:t>
            </w:r>
          </w:p>
        </w:tc>
        <w:tc>
          <w:tcPr>
            <w:tcW w:w="2790" w:type="dxa"/>
          </w:tcPr>
          <w:p w14:paraId="18BCFA1B" w14:textId="77777777" w:rsidR="00260B6D" w:rsidRPr="00510203" w:rsidRDefault="00260B6D">
            <w:pPr>
              <w:jc w:val="both"/>
              <w:rPr>
                <w:sz w:val="20"/>
                <w:szCs w:val="20"/>
              </w:rPr>
            </w:pPr>
            <w:r w:rsidRPr="00510203">
              <w:rPr>
                <w:sz w:val="20"/>
                <w:szCs w:val="20"/>
              </w:rPr>
              <w:t>(161.49, 195.64)</w:t>
            </w:r>
          </w:p>
        </w:tc>
      </w:tr>
      <w:tr w:rsidR="00260B6D" w:rsidRPr="00510203" w14:paraId="6EF0C109" w14:textId="77777777" w:rsidTr="004F6186">
        <w:trPr>
          <w:trHeight w:val="311"/>
        </w:trPr>
        <w:tc>
          <w:tcPr>
            <w:tcW w:w="3505" w:type="dxa"/>
            <w:vMerge/>
          </w:tcPr>
          <w:p w14:paraId="6717058C" w14:textId="77777777" w:rsidR="00260B6D" w:rsidRPr="00510203" w:rsidRDefault="00260B6D">
            <w:pPr>
              <w:jc w:val="both"/>
              <w:rPr>
                <w:sz w:val="20"/>
                <w:szCs w:val="20"/>
              </w:rPr>
            </w:pPr>
          </w:p>
        </w:tc>
        <w:tc>
          <w:tcPr>
            <w:tcW w:w="1710" w:type="dxa"/>
            <w:vMerge w:val="restart"/>
          </w:tcPr>
          <w:p w14:paraId="793CB4FB" w14:textId="77777777" w:rsidR="00260B6D" w:rsidRPr="00510203" w:rsidRDefault="00260B6D">
            <w:pPr>
              <w:jc w:val="both"/>
              <w:rPr>
                <w:sz w:val="20"/>
                <w:szCs w:val="20"/>
              </w:rPr>
            </w:pPr>
            <w:r w:rsidRPr="00510203">
              <w:rPr>
                <w:sz w:val="20"/>
                <w:szCs w:val="20"/>
              </w:rPr>
              <w:t>2015</w:t>
            </w:r>
          </w:p>
        </w:tc>
        <w:tc>
          <w:tcPr>
            <w:tcW w:w="1710" w:type="dxa"/>
          </w:tcPr>
          <w:p w14:paraId="28F7FB52" w14:textId="77777777" w:rsidR="00260B6D" w:rsidRPr="00510203" w:rsidRDefault="00260B6D">
            <w:pPr>
              <w:jc w:val="both"/>
              <w:rPr>
                <w:sz w:val="20"/>
                <w:szCs w:val="20"/>
              </w:rPr>
            </w:pPr>
            <w:r w:rsidRPr="00510203">
              <w:rPr>
                <w:sz w:val="20"/>
                <w:szCs w:val="20"/>
              </w:rPr>
              <w:t>15-24</w:t>
            </w:r>
          </w:p>
        </w:tc>
        <w:tc>
          <w:tcPr>
            <w:tcW w:w="1710" w:type="dxa"/>
          </w:tcPr>
          <w:p w14:paraId="4C712F43" w14:textId="77777777" w:rsidR="00260B6D" w:rsidRPr="00510203" w:rsidRDefault="00260B6D">
            <w:pPr>
              <w:jc w:val="center"/>
              <w:rPr>
                <w:sz w:val="20"/>
                <w:szCs w:val="20"/>
              </w:rPr>
            </w:pPr>
            <w:r w:rsidRPr="00510203">
              <w:rPr>
                <w:sz w:val="20"/>
                <w:szCs w:val="20"/>
              </w:rPr>
              <w:t>111</w:t>
            </w:r>
          </w:p>
        </w:tc>
        <w:tc>
          <w:tcPr>
            <w:tcW w:w="2970" w:type="dxa"/>
          </w:tcPr>
          <w:p w14:paraId="2D2EF934" w14:textId="77777777" w:rsidR="00260B6D" w:rsidRPr="00510203" w:rsidRDefault="00260B6D">
            <w:pPr>
              <w:jc w:val="both"/>
              <w:rPr>
                <w:sz w:val="20"/>
                <w:szCs w:val="20"/>
              </w:rPr>
            </w:pPr>
            <w:r w:rsidRPr="00510203">
              <w:rPr>
                <w:sz w:val="20"/>
                <w:szCs w:val="20"/>
              </w:rPr>
              <w:t>0.6218 (0.0463)</w:t>
            </w:r>
          </w:p>
        </w:tc>
        <w:tc>
          <w:tcPr>
            <w:tcW w:w="2790" w:type="dxa"/>
          </w:tcPr>
          <w:p w14:paraId="7E1B0DE3" w14:textId="77777777" w:rsidR="00260B6D" w:rsidRPr="00510203" w:rsidRDefault="00260B6D">
            <w:pPr>
              <w:jc w:val="both"/>
              <w:rPr>
                <w:sz w:val="20"/>
                <w:szCs w:val="20"/>
              </w:rPr>
            </w:pPr>
            <w:r w:rsidRPr="00510203">
              <w:rPr>
                <w:sz w:val="20"/>
                <w:szCs w:val="20"/>
              </w:rPr>
              <w:t>(150.29, 302.65)</w:t>
            </w:r>
          </w:p>
        </w:tc>
      </w:tr>
      <w:tr w:rsidR="00260B6D" w:rsidRPr="00510203" w14:paraId="7296F617" w14:textId="77777777" w:rsidTr="004F6186">
        <w:trPr>
          <w:trHeight w:val="311"/>
        </w:trPr>
        <w:tc>
          <w:tcPr>
            <w:tcW w:w="3505" w:type="dxa"/>
            <w:vMerge/>
          </w:tcPr>
          <w:p w14:paraId="252A74FA" w14:textId="77777777" w:rsidR="00260B6D" w:rsidRPr="00510203" w:rsidRDefault="00260B6D">
            <w:pPr>
              <w:jc w:val="both"/>
              <w:rPr>
                <w:sz w:val="20"/>
                <w:szCs w:val="20"/>
              </w:rPr>
            </w:pPr>
          </w:p>
        </w:tc>
        <w:tc>
          <w:tcPr>
            <w:tcW w:w="1710" w:type="dxa"/>
            <w:vMerge/>
          </w:tcPr>
          <w:p w14:paraId="68D6544A" w14:textId="77777777" w:rsidR="00260B6D" w:rsidRPr="00510203" w:rsidRDefault="00260B6D">
            <w:pPr>
              <w:jc w:val="both"/>
              <w:rPr>
                <w:sz w:val="20"/>
                <w:szCs w:val="20"/>
              </w:rPr>
            </w:pPr>
          </w:p>
        </w:tc>
        <w:tc>
          <w:tcPr>
            <w:tcW w:w="1710" w:type="dxa"/>
          </w:tcPr>
          <w:p w14:paraId="016C80F0" w14:textId="77777777" w:rsidR="00260B6D" w:rsidRPr="00510203" w:rsidRDefault="00260B6D">
            <w:pPr>
              <w:jc w:val="both"/>
              <w:rPr>
                <w:sz w:val="20"/>
                <w:szCs w:val="20"/>
              </w:rPr>
            </w:pPr>
            <w:r w:rsidRPr="00510203">
              <w:rPr>
                <w:sz w:val="20"/>
                <w:szCs w:val="20"/>
              </w:rPr>
              <w:t>25+</w:t>
            </w:r>
            <w:r w:rsidRPr="00510203">
              <w:rPr>
                <w:sz w:val="20"/>
                <w:szCs w:val="20"/>
                <w:vertAlign w:val="superscript"/>
              </w:rPr>
              <w:t>b</w:t>
            </w:r>
          </w:p>
        </w:tc>
        <w:tc>
          <w:tcPr>
            <w:tcW w:w="1710" w:type="dxa"/>
          </w:tcPr>
          <w:p w14:paraId="3A9B39CD" w14:textId="77777777" w:rsidR="00260B6D" w:rsidRPr="00510203" w:rsidRDefault="00260B6D">
            <w:pPr>
              <w:jc w:val="center"/>
              <w:rPr>
                <w:sz w:val="20"/>
                <w:szCs w:val="20"/>
              </w:rPr>
            </w:pPr>
            <w:r w:rsidRPr="00510203">
              <w:rPr>
                <w:sz w:val="20"/>
                <w:szCs w:val="20"/>
              </w:rPr>
              <w:t>647</w:t>
            </w:r>
          </w:p>
        </w:tc>
        <w:tc>
          <w:tcPr>
            <w:tcW w:w="2970" w:type="dxa"/>
          </w:tcPr>
          <w:p w14:paraId="7005334E" w14:textId="77777777" w:rsidR="00260B6D" w:rsidRPr="00510203" w:rsidRDefault="00260B6D">
            <w:pPr>
              <w:jc w:val="both"/>
              <w:rPr>
                <w:sz w:val="20"/>
                <w:szCs w:val="20"/>
              </w:rPr>
            </w:pPr>
            <w:r w:rsidRPr="00510203">
              <w:rPr>
                <w:sz w:val="20"/>
                <w:szCs w:val="20"/>
              </w:rPr>
              <w:t>0.1329 (0.0134)</w:t>
            </w:r>
          </w:p>
        </w:tc>
        <w:tc>
          <w:tcPr>
            <w:tcW w:w="2790" w:type="dxa"/>
          </w:tcPr>
          <w:p w14:paraId="128E27BB" w14:textId="77777777" w:rsidR="00260B6D" w:rsidRPr="00510203" w:rsidRDefault="00260B6D">
            <w:pPr>
              <w:jc w:val="both"/>
              <w:rPr>
                <w:sz w:val="20"/>
                <w:szCs w:val="20"/>
              </w:rPr>
            </w:pPr>
            <w:r w:rsidRPr="00510203">
              <w:rPr>
                <w:sz w:val="20"/>
                <w:szCs w:val="20"/>
              </w:rPr>
              <w:t>(212.49, 227.36)</w:t>
            </w:r>
          </w:p>
        </w:tc>
      </w:tr>
      <w:tr w:rsidR="00260B6D" w:rsidRPr="00510203" w14:paraId="198D40C3" w14:textId="77777777" w:rsidTr="004F6186">
        <w:trPr>
          <w:trHeight w:val="311"/>
        </w:trPr>
        <w:tc>
          <w:tcPr>
            <w:tcW w:w="3505" w:type="dxa"/>
            <w:vMerge w:val="restart"/>
          </w:tcPr>
          <w:p w14:paraId="246BC34C" w14:textId="77777777" w:rsidR="00260B6D" w:rsidRPr="00510203" w:rsidRDefault="00260B6D" w:rsidP="00122CDD">
            <w:pPr>
              <w:jc w:val="both"/>
              <w:rPr>
                <w:sz w:val="20"/>
                <w:szCs w:val="20"/>
              </w:rPr>
            </w:pPr>
            <w:r w:rsidRPr="00510203">
              <w:rPr>
                <w:sz w:val="20"/>
                <w:szCs w:val="20"/>
              </w:rPr>
              <w:t>Rural men</w:t>
            </w:r>
          </w:p>
        </w:tc>
        <w:tc>
          <w:tcPr>
            <w:tcW w:w="1710" w:type="dxa"/>
            <w:vMerge w:val="restart"/>
          </w:tcPr>
          <w:p w14:paraId="553006A9" w14:textId="77777777" w:rsidR="00260B6D" w:rsidRPr="00510203" w:rsidRDefault="00260B6D" w:rsidP="001D10D4">
            <w:pPr>
              <w:jc w:val="both"/>
              <w:rPr>
                <w:sz w:val="20"/>
                <w:szCs w:val="20"/>
              </w:rPr>
            </w:pPr>
            <w:r w:rsidRPr="00510203">
              <w:rPr>
                <w:sz w:val="20"/>
                <w:szCs w:val="20"/>
              </w:rPr>
              <w:t>2005</w:t>
            </w:r>
          </w:p>
        </w:tc>
        <w:tc>
          <w:tcPr>
            <w:tcW w:w="1710" w:type="dxa"/>
          </w:tcPr>
          <w:p w14:paraId="2E7C693F" w14:textId="77777777" w:rsidR="00260B6D" w:rsidRPr="00510203" w:rsidRDefault="00260B6D" w:rsidP="00527179">
            <w:pPr>
              <w:jc w:val="both"/>
              <w:rPr>
                <w:sz w:val="20"/>
                <w:szCs w:val="20"/>
              </w:rPr>
            </w:pPr>
            <w:r w:rsidRPr="00510203">
              <w:rPr>
                <w:sz w:val="20"/>
                <w:szCs w:val="20"/>
              </w:rPr>
              <w:t>15-24</w:t>
            </w:r>
          </w:p>
        </w:tc>
        <w:tc>
          <w:tcPr>
            <w:tcW w:w="1710" w:type="dxa"/>
          </w:tcPr>
          <w:p w14:paraId="75DE6648" w14:textId="77777777" w:rsidR="00260B6D" w:rsidRPr="00510203" w:rsidRDefault="00260B6D" w:rsidP="00527179">
            <w:pPr>
              <w:jc w:val="center"/>
              <w:rPr>
                <w:sz w:val="20"/>
                <w:szCs w:val="20"/>
              </w:rPr>
            </w:pPr>
            <w:r w:rsidRPr="00510203">
              <w:rPr>
                <w:sz w:val="20"/>
                <w:szCs w:val="20"/>
              </w:rPr>
              <w:t>253</w:t>
            </w:r>
          </w:p>
        </w:tc>
        <w:tc>
          <w:tcPr>
            <w:tcW w:w="2970" w:type="dxa"/>
          </w:tcPr>
          <w:p w14:paraId="7006D489" w14:textId="77777777" w:rsidR="00260B6D" w:rsidRPr="00510203" w:rsidRDefault="00260B6D" w:rsidP="00527179">
            <w:pPr>
              <w:jc w:val="both"/>
              <w:rPr>
                <w:sz w:val="20"/>
                <w:szCs w:val="20"/>
              </w:rPr>
            </w:pPr>
            <w:r w:rsidRPr="00510203">
              <w:rPr>
                <w:sz w:val="20"/>
                <w:szCs w:val="20"/>
              </w:rPr>
              <w:t>0.0892 (0.0180)</w:t>
            </w:r>
          </w:p>
        </w:tc>
        <w:tc>
          <w:tcPr>
            <w:tcW w:w="2790" w:type="dxa"/>
          </w:tcPr>
          <w:p w14:paraId="511479B0" w14:textId="77777777" w:rsidR="00260B6D" w:rsidRPr="00510203" w:rsidRDefault="00260B6D" w:rsidP="00E71320">
            <w:pPr>
              <w:jc w:val="both"/>
              <w:rPr>
                <w:sz w:val="20"/>
                <w:szCs w:val="20"/>
              </w:rPr>
            </w:pPr>
            <w:r w:rsidRPr="00510203">
              <w:rPr>
                <w:sz w:val="20"/>
                <w:szCs w:val="20"/>
              </w:rPr>
              <w:t>(22.28, 227.47)</w:t>
            </w:r>
          </w:p>
        </w:tc>
      </w:tr>
      <w:tr w:rsidR="00260B6D" w:rsidRPr="00510203" w14:paraId="25268A47" w14:textId="77777777" w:rsidTr="004F6186">
        <w:trPr>
          <w:trHeight w:val="298"/>
        </w:trPr>
        <w:tc>
          <w:tcPr>
            <w:tcW w:w="3505" w:type="dxa"/>
            <w:vMerge/>
          </w:tcPr>
          <w:p w14:paraId="5AFA3AED" w14:textId="77777777" w:rsidR="00260B6D" w:rsidRPr="00510203" w:rsidRDefault="00260B6D">
            <w:pPr>
              <w:jc w:val="both"/>
              <w:rPr>
                <w:sz w:val="20"/>
                <w:szCs w:val="20"/>
              </w:rPr>
            </w:pPr>
          </w:p>
        </w:tc>
        <w:tc>
          <w:tcPr>
            <w:tcW w:w="1710" w:type="dxa"/>
            <w:vMerge/>
          </w:tcPr>
          <w:p w14:paraId="4CB377E1" w14:textId="77777777" w:rsidR="00260B6D" w:rsidRPr="00510203" w:rsidRDefault="00260B6D">
            <w:pPr>
              <w:jc w:val="both"/>
              <w:rPr>
                <w:sz w:val="20"/>
                <w:szCs w:val="20"/>
              </w:rPr>
            </w:pPr>
          </w:p>
        </w:tc>
        <w:tc>
          <w:tcPr>
            <w:tcW w:w="1710" w:type="dxa"/>
          </w:tcPr>
          <w:p w14:paraId="1C0ACE27" w14:textId="77777777" w:rsidR="00260B6D" w:rsidRPr="00510203" w:rsidRDefault="00260B6D">
            <w:pPr>
              <w:jc w:val="both"/>
              <w:rPr>
                <w:sz w:val="20"/>
                <w:szCs w:val="20"/>
              </w:rPr>
            </w:pPr>
            <w:r w:rsidRPr="00510203">
              <w:rPr>
                <w:sz w:val="20"/>
                <w:szCs w:val="20"/>
              </w:rPr>
              <w:t>25+</w:t>
            </w:r>
            <w:r w:rsidRPr="00510203">
              <w:rPr>
                <w:sz w:val="20"/>
                <w:szCs w:val="20"/>
                <w:vertAlign w:val="superscript"/>
              </w:rPr>
              <w:t>b</w:t>
            </w:r>
          </w:p>
        </w:tc>
        <w:tc>
          <w:tcPr>
            <w:tcW w:w="1710" w:type="dxa"/>
          </w:tcPr>
          <w:p w14:paraId="659378B8" w14:textId="77777777" w:rsidR="00260B6D" w:rsidRPr="00510203" w:rsidRDefault="00260B6D">
            <w:pPr>
              <w:jc w:val="center"/>
              <w:rPr>
                <w:sz w:val="20"/>
                <w:szCs w:val="20"/>
              </w:rPr>
            </w:pPr>
            <w:r w:rsidRPr="00510203">
              <w:rPr>
                <w:sz w:val="20"/>
                <w:szCs w:val="20"/>
              </w:rPr>
              <w:t>1798</w:t>
            </w:r>
          </w:p>
        </w:tc>
        <w:tc>
          <w:tcPr>
            <w:tcW w:w="2970" w:type="dxa"/>
          </w:tcPr>
          <w:p w14:paraId="658B20C7" w14:textId="77777777" w:rsidR="00260B6D" w:rsidRPr="00510203" w:rsidRDefault="00260B6D">
            <w:pPr>
              <w:jc w:val="both"/>
              <w:rPr>
                <w:sz w:val="20"/>
                <w:szCs w:val="20"/>
              </w:rPr>
            </w:pPr>
            <w:r w:rsidRPr="00510203">
              <w:rPr>
                <w:sz w:val="20"/>
                <w:szCs w:val="20"/>
              </w:rPr>
              <w:t>0.0136 (0.0.0027)</w:t>
            </w:r>
          </w:p>
        </w:tc>
        <w:tc>
          <w:tcPr>
            <w:tcW w:w="2790" w:type="dxa"/>
          </w:tcPr>
          <w:p w14:paraId="25756EC0" w14:textId="77777777" w:rsidR="00260B6D" w:rsidRPr="00510203" w:rsidRDefault="00260B6D">
            <w:pPr>
              <w:jc w:val="both"/>
              <w:rPr>
                <w:sz w:val="20"/>
                <w:szCs w:val="20"/>
              </w:rPr>
            </w:pPr>
            <w:r w:rsidRPr="00510203">
              <w:rPr>
                <w:sz w:val="20"/>
                <w:szCs w:val="20"/>
              </w:rPr>
              <w:t>(25.01, 1814.18)</w:t>
            </w:r>
          </w:p>
        </w:tc>
      </w:tr>
      <w:tr w:rsidR="00260B6D" w:rsidRPr="00510203" w14:paraId="21BEFA8F" w14:textId="77777777" w:rsidTr="004F6186">
        <w:trPr>
          <w:trHeight w:val="298"/>
        </w:trPr>
        <w:tc>
          <w:tcPr>
            <w:tcW w:w="3505" w:type="dxa"/>
            <w:vMerge/>
          </w:tcPr>
          <w:p w14:paraId="5293870E" w14:textId="77777777" w:rsidR="00260B6D" w:rsidRPr="00510203" w:rsidRDefault="00260B6D">
            <w:pPr>
              <w:jc w:val="both"/>
              <w:rPr>
                <w:sz w:val="20"/>
                <w:szCs w:val="20"/>
              </w:rPr>
            </w:pPr>
          </w:p>
        </w:tc>
        <w:tc>
          <w:tcPr>
            <w:tcW w:w="1710" w:type="dxa"/>
            <w:vMerge w:val="restart"/>
          </w:tcPr>
          <w:p w14:paraId="00B105F2" w14:textId="77777777" w:rsidR="00260B6D" w:rsidRPr="00510203" w:rsidRDefault="00260B6D">
            <w:pPr>
              <w:jc w:val="both"/>
              <w:rPr>
                <w:sz w:val="20"/>
                <w:szCs w:val="20"/>
              </w:rPr>
            </w:pPr>
            <w:r w:rsidRPr="00510203">
              <w:rPr>
                <w:sz w:val="20"/>
                <w:szCs w:val="20"/>
              </w:rPr>
              <w:t>2010</w:t>
            </w:r>
          </w:p>
        </w:tc>
        <w:tc>
          <w:tcPr>
            <w:tcW w:w="1710" w:type="dxa"/>
          </w:tcPr>
          <w:p w14:paraId="223DD0EF" w14:textId="77777777" w:rsidR="00260B6D" w:rsidRPr="00510203" w:rsidRDefault="00260B6D">
            <w:pPr>
              <w:jc w:val="both"/>
              <w:rPr>
                <w:sz w:val="20"/>
                <w:szCs w:val="20"/>
              </w:rPr>
            </w:pPr>
            <w:r w:rsidRPr="00510203">
              <w:rPr>
                <w:sz w:val="20"/>
                <w:szCs w:val="20"/>
              </w:rPr>
              <w:t>15-24</w:t>
            </w:r>
          </w:p>
        </w:tc>
        <w:tc>
          <w:tcPr>
            <w:tcW w:w="1710" w:type="dxa"/>
          </w:tcPr>
          <w:p w14:paraId="38852742" w14:textId="77777777" w:rsidR="00260B6D" w:rsidRPr="00510203" w:rsidRDefault="00260B6D">
            <w:pPr>
              <w:jc w:val="center"/>
              <w:rPr>
                <w:sz w:val="20"/>
                <w:szCs w:val="20"/>
              </w:rPr>
            </w:pPr>
            <w:r w:rsidRPr="00510203">
              <w:rPr>
                <w:sz w:val="20"/>
                <w:szCs w:val="20"/>
              </w:rPr>
              <w:t>404</w:t>
            </w:r>
          </w:p>
        </w:tc>
        <w:tc>
          <w:tcPr>
            <w:tcW w:w="2970" w:type="dxa"/>
          </w:tcPr>
          <w:p w14:paraId="673FEA6D" w14:textId="77777777" w:rsidR="00260B6D" w:rsidRPr="00510203" w:rsidRDefault="00260B6D">
            <w:pPr>
              <w:jc w:val="both"/>
              <w:rPr>
                <w:sz w:val="20"/>
                <w:szCs w:val="20"/>
              </w:rPr>
            </w:pPr>
            <w:r w:rsidRPr="00510203">
              <w:rPr>
                <w:sz w:val="20"/>
                <w:szCs w:val="20"/>
              </w:rPr>
              <w:t>0.2101 (0.0203)</w:t>
            </w:r>
          </w:p>
        </w:tc>
        <w:tc>
          <w:tcPr>
            <w:tcW w:w="2790" w:type="dxa"/>
          </w:tcPr>
          <w:p w14:paraId="1A1138DB" w14:textId="77777777" w:rsidR="00260B6D" w:rsidRPr="00510203" w:rsidRDefault="00260B6D">
            <w:pPr>
              <w:jc w:val="both"/>
              <w:rPr>
                <w:sz w:val="20"/>
                <w:szCs w:val="20"/>
              </w:rPr>
            </w:pPr>
            <w:r w:rsidRPr="00510203">
              <w:rPr>
                <w:sz w:val="20"/>
                <w:szCs w:val="20"/>
              </w:rPr>
              <w:t>(84.40, 317.32)</w:t>
            </w:r>
          </w:p>
        </w:tc>
      </w:tr>
      <w:tr w:rsidR="00260B6D" w:rsidRPr="00510203" w14:paraId="006E39DA" w14:textId="77777777" w:rsidTr="004F6186">
        <w:trPr>
          <w:trHeight w:val="298"/>
        </w:trPr>
        <w:tc>
          <w:tcPr>
            <w:tcW w:w="3505" w:type="dxa"/>
            <w:vMerge/>
          </w:tcPr>
          <w:p w14:paraId="369F00FD" w14:textId="77777777" w:rsidR="00260B6D" w:rsidRPr="00510203" w:rsidRDefault="00260B6D">
            <w:pPr>
              <w:jc w:val="both"/>
              <w:rPr>
                <w:sz w:val="20"/>
                <w:szCs w:val="20"/>
              </w:rPr>
            </w:pPr>
          </w:p>
        </w:tc>
        <w:tc>
          <w:tcPr>
            <w:tcW w:w="1710" w:type="dxa"/>
            <w:vMerge/>
          </w:tcPr>
          <w:p w14:paraId="0CF5B6DD" w14:textId="77777777" w:rsidR="00260B6D" w:rsidRPr="00510203" w:rsidRDefault="00260B6D">
            <w:pPr>
              <w:jc w:val="both"/>
              <w:rPr>
                <w:sz w:val="20"/>
                <w:szCs w:val="20"/>
              </w:rPr>
            </w:pPr>
          </w:p>
        </w:tc>
        <w:tc>
          <w:tcPr>
            <w:tcW w:w="1710" w:type="dxa"/>
          </w:tcPr>
          <w:p w14:paraId="497504AA" w14:textId="77777777" w:rsidR="00260B6D" w:rsidRPr="00510203" w:rsidRDefault="00260B6D">
            <w:pPr>
              <w:jc w:val="both"/>
              <w:rPr>
                <w:sz w:val="20"/>
                <w:szCs w:val="20"/>
              </w:rPr>
            </w:pPr>
            <w:r w:rsidRPr="00510203">
              <w:rPr>
                <w:sz w:val="20"/>
                <w:szCs w:val="20"/>
              </w:rPr>
              <w:t>25+</w:t>
            </w:r>
            <w:r w:rsidRPr="00510203">
              <w:rPr>
                <w:sz w:val="20"/>
                <w:szCs w:val="20"/>
                <w:vertAlign w:val="superscript"/>
              </w:rPr>
              <w:t>b</w:t>
            </w:r>
          </w:p>
        </w:tc>
        <w:tc>
          <w:tcPr>
            <w:tcW w:w="1710" w:type="dxa"/>
          </w:tcPr>
          <w:p w14:paraId="2940D96E" w14:textId="77777777" w:rsidR="00260B6D" w:rsidRPr="00510203" w:rsidRDefault="00260B6D">
            <w:pPr>
              <w:jc w:val="center"/>
              <w:rPr>
                <w:sz w:val="20"/>
                <w:szCs w:val="20"/>
              </w:rPr>
            </w:pPr>
            <w:r w:rsidRPr="00510203">
              <w:rPr>
                <w:sz w:val="20"/>
                <w:szCs w:val="20"/>
              </w:rPr>
              <w:t>2766</w:t>
            </w:r>
          </w:p>
        </w:tc>
        <w:tc>
          <w:tcPr>
            <w:tcW w:w="2970" w:type="dxa"/>
          </w:tcPr>
          <w:p w14:paraId="37E22B7A" w14:textId="77777777" w:rsidR="00260B6D" w:rsidRPr="00510203" w:rsidRDefault="00260B6D">
            <w:pPr>
              <w:jc w:val="both"/>
              <w:rPr>
                <w:sz w:val="20"/>
                <w:szCs w:val="20"/>
              </w:rPr>
            </w:pPr>
            <w:r w:rsidRPr="00510203">
              <w:rPr>
                <w:sz w:val="20"/>
                <w:szCs w:val="20"/>
              </w:rPr>
              <w:t>0.0406 (0.0038)</w:t>
            </w:r>
          </w:p>
        </w:tc>
        <w:tc>
          <w:tcPr>
            <w:tcW w:w="2790" w:type="dxa"/>
          </w:tcPr>
          <w:p w14:paraId="7AAAAAFA" w14:textId="77777777" w:rsidR="00260B6D" w:rsidRPr="00510203" w:rsidRDefault="00260B6D">
            <w:pPr>
              <w:jc w:val="both"/>
              <w:rPr>
                <w:sz w:val="20"/>
                <w:szCs w:val="20"/>
              </w:rPr>
            </w:pPr>
            <w:r w:rsidRPr="00510203">
              <w:rPr>
                <w:sz w:val="20"/>
                <w:szCs w:val="20"/>
              </w:rPr>
              <w:t>(109.48, 2587.00)</w:t>
            </w:r>
          </w:p>
        </w:tc>
      </w:tr>
      <w:tr w:rsidR="00260B6D" w:rsidRPr="00510203" w14:paraId="4DCD3ECE" w14:textId="77777777" w:rsidTr="004F6186">
        <w:trPr>
          <w:trHeight w:val="298"/>
        </w:trPr>
        <w:tc>
          <w:tcPr>
            <w:tcW w:w="3505" w:type="dxa"/>
            <w:vMerge/>
          </w:tcPr>
          <w:p w14:paraId="1FAE0B95" w14:textId="77777777" w:rsidR="00260B6D" w:rsidRPr="00510203" w:rsidRDefault="00260B6D">
            <w:pPr>
              <w:jc w:val="both"/>
              <w:rPr>
                <w:sz w:val="20"/>
                <w:szCs w:val="20"/>
              </w:rPr>
            </w:pPr>
          </w:p>
        </w:tc>
        <w:tc>
          <w:tcPr>
            <w:tcW w:w="1710" w:type="dxa"/>
            <w:vMerge w:val="restart"/>
          </w:tcPr>
          <w:p w14:paraId="72FF0D1F" w14:textId="77777777" w:rsidR="00260B6D" w:rsidRPr="00510203" w:rsidRDefault="00260B6D">
            <w:pPr>
              <w:jc w:val="both"/>
              <w:rPr>
                <w:sz w:val="20"/>
                <w:szCs w:val="20"/>
              </w:rPr>
            </w:pPr>
            <w:r w:rsidRPr="00510203">
              <w:rPr>
                <w:sz w:val="20"/>
                <w:szCs w:val="20"/>
              </w:rPr>
              <w:t>2015</w:t>
            </w:r>
          </w:p>
        </w:tc>
        <w:tc>
          <w:tcPr>
            <w:tcW w:w="1710" w:type="dxa"/>
          </w:tcPr>
          <w:p w14:paraId="3DA75A3B" w14:textId="77777777" w:rsidR="00260B6D" w:rsidRPr="00510203" w:rsidRDefault="00260B6D">
            <w:pPr>
              <w:jc w:val="both"/>
              <w:rPr>
                <w:sz w:val="20"/>
                <w:szCs w:val="20"/>
              </w:rPr>
            </w:pPr>
            <w:r w:rsidRPr="00510203">
              <w:rPr>
                <w:sz w:val="20"/>
                <w:szCs w:val="20"/>
              </w:rPr>
              <w:t>15-24</w:t>
            </w:r>
          </w:p>
        </w:tc>
        <w:tc>
          <w:tcPr>
            <w:tcW w:w="1710" w:type="dxa"/>
          </w:tcPr>
          <w:p w14:paraId="583D6452" w14:textId="77777777" w:rsidR="00260B6D" w:rsidRPr="00510203" w:rsidRDefault="00260B6D">
            <w:pPr>
              <w:jc w:val="center"/>
              <w:rPr>
                <w:sz w:val="20"/>
                <w:szCs w:val="20"/>
              </w:rPr>
            </w:pPr>
            <w:r w:rsidRPr="00510203">
              <w:rPr>
                <w:sz w:val="20"/>
                <w:szCs w:val="20"/>
              </w:rPr>
              <w:t>343</w:t>
            </w:r>
          </w:p>
        </w:tc>
        <w:tc>
          <w:tcPr>
            <w:tcW w:w="2970" w:type="dxa"/>
          </w:tcPr>
          <w:p w14:paraId="463E844A" w14:textId="77777777" w:rsidR="00260B6D" w:rsidRPr="00510203" w:rsidRDefault="00260B6D">
            <w:pPr>
              <w:jc w:val="both"/>
              <w:rPr>
                <w:sz w:val="20"/>
                <w:szCs w:val="20"/>
              </w:rPr>
            </w:pPr>
            <w:r w:rsidRPr="00510203">
              <w:rPr>
                <w:sz w:val="20"/>
                <w:szCs w:val="20"/>
              </w:rPr>
              <w:t>0.2752 (0.0242)</w:t>
            </w:r>
          </w:p>
        </w:tc>
        <w:tc>
          <w:tcPr>
            <w:tcW w:w="2790" w:type="dxa"/>
          </w:tcPr>
          <w:p w14:paraId="6765F74D" w14:textId="77777777" w:rsidR="00260B6D" w:rsidRPr="00510203" w:rsidRDefault="00260B6D">
            <w:pPr>
              <w:jc w:val="both"/>
              <w:rPr>
                <w:sz w:val="20"/>
                <w:szCs w:val="20"/>
              </w:rPr>
            </w:pPr>
            <w:r w:rsidRPr="00510203">
              <w:rPr>
                <w:sz w:val="20"/>
                <w:szCs w:val="20"/>
              </w:rPr>
              <w:t>(93.46, 246.14)</w:t>
            </w:r>
          </w:p>
        </w:tc>
      </w:tr>
      <w:tr w:rsidR="00260B6D" w:rsidRPr="00510203" w14:paraId="736E3280" w14:textId="77777777" w:rsidTr="004F6186">
        <w:trPr>
          <w:trHeight w:val="298"/>
        </w:trPr>
        <w:tc>
          <w:tcPr>
            <w:tcW w:w="3505" w:type="dxa"/>
            <w:vMerge/>
          </w:tcPr>
          <w:p w14:paraId="55EF4C03" w14:textId="77777777" w:rsidR="00260B6D" w:rsidRPr="00510203" w:rsidRDefault="00260B6D">
            <w:pPr>
              <w:jc w:val="both"/>
              <w:rPr>
                <w:sz w:val="20"/>
                <w:szCs w:val="20"/>
              </w:rPr>
            </w:pPr>
          </w:p>
        </w:tc>
        <w:tc>
          <w:tcPr>
            <w:tcW w:w="1710" w:type="dxa"/>
            <w:vMerge/>
          </w:tcPr>
          <w:p w14:paraId="5843ED80" w14:textId="77777777" w:rsidR="00260B6D" w:rsidRPr="00510203" w:rsidRDefault="00260B6D">
            <w:pPr>
              <w:jc w:val="both"/>
              <w:rPr>
                <w:sz w:val="20"/>
                <w:szCs w:val="20"/>
              </w:rPr>
            </w:pPr>
          </w:p>
        </w:tc>
        <w:tc>
          <w:tcPr>
            <w:tcW w:w="1710" w:type="dxa"/>
          </w:tcPr>
          <w:p w14:paraId="40FB1C3F" w14:textId="77777777" w:rsidR="00260B6D" w:rsidRPr="00510203" w:rsidRDefault="00260B6D">
            <w:pPr>
              <w:jc w:val="both"/>
              <w:rPr>
                <w:sz w:val="20"/>
                <w:szCs w:val="20"/>
              </w:rPr>
            </w:pPr>
            <w:r w:rsidRPr="00510203">
              <w:rPr>
                <w:sz w:val="20"/>
                <w:szCs w:val="20"/>
              </w:rPr>
              <w:t>25+</w:t>
            </w:r>
            <w:r w:rsidRPr="00510203">
              <w:rPr>
                <w:sz w:val="20"/>
                <w:szCs w:val="20"/>
                <w:vertAlign w:val="superscript"/>
              </w:rPr>
              <w:t>b</w:t>
            </w:r>
          </w:p>
        </w:tc>
        <w:tc>
          <w:tcPr>
            <w:tcW w:w="1710" w:type="dxa"/>
          </w:tcPr>
          <w:p w14:paraId="7C776111" w14:textId="77777777" w:rsidR="00260B6D" w:rsidRPr="00510203" w:rsidRDefault="00260B6D">
            <w:pPr>
              <w:jc w:val="center"/>
              <w:rPr>
                <w:sz w:val="20"/>
                <w:szCs w:val="20"/>
              </w:rPr>
            </w:pPr>
            <w:r w:rsidRPr="00510203">
              <w:rPr>
                <w:sz w:val="20"/>
                <w:szCs w:val="20"/>
              </w:rPr>
              <w:t>2800</w:t>
            </w:r>
          </w:p>
        </w:tc>
        <w:tc>
          <w:tcPr>
            <w:tcW w:w="2970" w:type="dxa"/>
          </w:tcPr>
          <w:p w14:paraId="0AD3D49F" w14:textId="77777777" w:rsidR="00260B6D" w:rsidRPr="00510203" w:rsidRDefault="00260B6D">
            <w:pPr>
              <w:jc w:val="both"/>
              <w:rPr>
                <w:sz w:val="20"/>
                <w:szCs w:val="20"/>
              </w:rPr>
            </w:pPr>
            <w:r w:rsidRPr="00510203">
              <w:rPr>
                <w:sz w:val="20"/>
                <w:szCs w:val="20"/>
              </w:rPr>
              <w:t>0.0497 (0.0041)</w:t>
            </w:r>
          </w:p>
        </w:tc>
        <w:tc>
          <w:tcPr>
            <w:tcW w:w="2790" w:type="dxa"/>
          </w:tcPr>
          <w:p w14:paraId="7B908C95" w14:textId="77777777" w:rsidR="00260B6D" w:rsidRPr="00510203" w:rsidRDefault="00260B6D">
            <w:pPr>
              <w:jc w:val="both"/>
              <w:rPr>
                <w:sz w:val="20"/>
                <w:szCs w:val="20"/>
              </w:rPr>
            </w:pPr>
            <w:r w:rsidRPr="00510203">
              <w:rPr>
                <w:sz w:val="20"/>
                <w:szCs w:val="20"/>
              </w:rPr>
              <w:t>(139.59, 2669.04)</w:t>
            </w:r>
          </w:p>
        </w:tc>
      </w:tr>
      <w:tr w:rsidR="00260B6D" w:rsidRPr="00510203" w14:paraId="6391390E" w14:textId="77777777" w:rsidTr="004F6186">
        <w:trPr>
          <w:trHeight w:val="298"/>
        </w:trPr>
        <w:tc>
          <w:tcPr>
            <w:tcW w:w="3505" w:type="dxa"/>
            <w:vMerge w:val="restart"/>
          </w:tcPr>
          <w:p w14:paraId="65945ACC" w14:textId="77777777" w:rsidR="00260B6D" w:rsidRPr="00510203" w:rsidRDefault="00260B6D" w:rsidP="00122CDD">
            <w:pPr>
              <w:jc w:val="both"/>
              <w:rPr>
                <w:sz w:val="20"/>
                <w:szCs w:val="20"/>
                <w:vertAlign w:val="superscript"/>
              </w:rPr>
            </w:pPr>
            <w:r w:rsidRPr="00510203">
              <w:rPr>
                <w:sz w:val="20"/>
                <w:szCs w:val="20"/>
              </w:rPr>
              <w:t>High-risk urban women</w:t>
            </w:r>
          </w:p>
        </w:tc>
        <w:tc>
          <w:tcPr>
            <w:tcW w:w="1710" w:type="dxa"/>
          </w:tcPr>
          <w:p w14:paraId="076C3F85" w14:textId="77777777" w:rsidR="00260B6D" w:rsidRPr="00510203" w:rsidRDefault="00260B6D" w:rsidP="001D10D4">
            <w:pPr>
              <w:jc w:val="both"/>
              <w:rPr>
                <w:sz w:val="20"/>
                <w:szCs w:val="20"/>
              </w:rPr>
            </w:pPr>
            <w:r w:rsidRPr="00510203">
              <w:rPr>
                <w:sz w:val="20"/>
                <w:szCs w:val="20"/>
              </w:rPr>
              <w:t>2010</w:t>
            </w:r>
          </w:p>
        </w:tc>
        <w:tc>
          <w:tcPr>
            <w:tcW w:w="1710" w:type="dxa"/>
          </w:tcPr>
          <w:p w14:paraId="5ECD8B02" w14:textId="77777777" w:rsidR="00260B6D" w:rsidRPr="00510203" w:rsidRDefault="00260B6D" w:rsidP="00527179">
            <w:pPr>
              <w:jc w:val="both"/>
              <w:rPr>
                <w:sz w:val="20"/>
                <w:szCs w:val="20"/>
                <w:vertAlign w:val="superscript"/>
              </w:rPr>
            </w:pPr>
            <w:r w:rsidRPr="00510203">
              <w:rPr>
                <w:sz w:val="20"/>
                <w:szCs w:val="20"/>
              </w:rPr>
              <w:t>15-24</w:t>
            </w:r>
            <w:r w:rsidRPr="00510203">
              <w:rPr>
                <w:sz w:val="20"/>
                <w:szCs w:val="20"/>
                <w:vertAlign w:val="superscript"/>
              </w:rPr>
              <w:t>c</w:t>
            </w:r>
          </w:p>
        </w:tc>
        <w:tc>
          <w:tcPr>
            <w:tcW w:w="1710" w:type="dxa"/>
          </w:tcPr>
          <w:p w14:paraId="0E5AC6B0" w14:textId="77777777" w:rsidR="00260B6D" w:rsidRPr="00510203" w:rsidRDefault="00260B6D" w:rsidP="00527179">
            <w:pPr>
              <w:jc w:val="center"/>
              <w:rPr>
                <w:sz w:val="20"/>
                <w:szCs w:val="20"/>
              </w:rPr>
            </w:pPr>
            <w:r w:rsidRPr="00510203">
              <w:rPr>
                <w:sz w:val="20"/>
                <w:szCs w:val="20"/>
              </w:rPr>
              <w:t>612</w:t>
            </w:r>
          </w:p>
        </w:tc>
        <w:tc>
          <w:tcPr>
            <w:tcW w:w="2970" w:type="dxa"/>
          </w:tcPr>
          <w:p w14:paraId="4B85042F" w14:textId="77777777" w:rsidR="00260B6D" w:rsidRPr="00510203" w:rsidRDefault="00260B6D" w:rsidP="00527179">
            <w:pPr>
              <w:jc w:val="both"/>
              <w:rPr>
                <w:sz w:val="20"/>
                <w:szCs w:val="20"/>
              </w:rPr>
            </w:pPr>
            <w:r w:rsidRPr="00510203">
              <w:rPr>
                <w:sz w:val="20"/>
                <w:szCs w:val="20"/>
              </w:rPr>
              <w:t>0.351 (0.298 – 0.404)</w:t>
            </w:r>
          </w:p>
        </w:tc>
        <w:tc>
          <w:tcPr>
            <w:tcW w:w="2790" w:type="dxa"/>
          </w:tcPr>
          <w:p w14:paraId="48FE6C65" w14:textId="77777777" w:rsidR="00260B6D" w:rsidRPr="00510203" w:rsidRDefault="00260B6D" w:rsidP="00E71320">
            <w:pPr>
              <w:jc w:val="both"/>
              <w:rPr>
                <w:sz w:val="20"/>
                <w:szCs w:val="20"/>
              </w:rPr>
            </w:pPr>
            <w:r w:rsidRPr="00510203">
              <w:rPr>
                <w:sz w:val="20"/>
                <w:szCs w:val="20"/>
              </w:rPr>
              <w:t>(214.81, 397.19)</w:t>
            </w:r>
          </w:p>
        </w:tc>
      </w:tr>
      <w:tr w:rsidR="00260B6D" w:rsidRPr="00510203" w14:paraId="6EB98305" w14:textId="77777777" w:rsidTr="004F6186">
        <w:trPr>
          <w:trHeight w:val="298"/>
        </w:trPr>
        <w:tc>
          <w:tcPr>
            <w:tcW w:w="3505" w:type="dxa"/>
            <w:vMerge/>
          </w:tcPr>
          <w:p w14:paraId="5546AA2C" w14:textId="77777777" w:rsidR="00260B6D" w:rsidRPr="00510203" w:rsidRDefault="00260B6D">
            <w:pPr>
              <w:jc w:val="both"/>
              <w:rPr>
                <w:sz w:val="20"/>
                <w:szCs w:val="20"/>
              </w:rPr>
            </w:pPr>
          </w:p>
        </w:tc>
        <w:tc>
          <w:tcPr>
            <w:tcW w:w="1710" w:type="dxa"/>
          </w:tcPr>
          <w:p w14:paraId="12FB3CE5" w14:textId="77777777" w:rsidR="00260B6D" w:rsidRPr="00510203" w:rsidRDefault="00260B6D">
            <w:pPr>
              <w:jc w:val="both"/>
              <w:rPr>
                <w:sz w:val="20"/>
                <w:szCs w:val="20"/>
              </w:rPr>
            </w:pPr>
          </w:p>
        </w:tc>
        <w:tc>
          <w:tcPr>
            <w:tcW w:w="1710" w:type="dxa"/>
          </w:tcPr>
          <w:p w14:paraId="4B5BC7AD" w14:textId="77777777" w:rsidR="00260B6D" w:rsidRPr="00510203" w:rsidRDefault="00260B6D">
            <w:pPr>
              <w:jc w:val="both"/>
              <w:rPr>
                <w:sz w:val="20"/>
                <w:szCs w:val="20"/>
              </w:rPr>
            </w:pPr>
            <w:r w:rsidRPr="00510203">
              <w:rPr>
                <w:sz w:val="20"/>
                <w:szCs w:val="20"/>
              </w:rPr>
              <w:t>25+</w:t>
            </w:r>
            <w:proofErr w:type="gramStart"/>
            <w:r w:rsidRPr="00510203">
              <w:rPr>
                <w:sz w:val="20"/>
                <w:szCs w:val="20"/>
                <w:vertAlign w:val="superscript"/>
              </w:rPr>
              <w:t>b,c</w:t>
            </w:r>
            <w:proofErr w:type="gramEnd"/>
          </w:p>
        </w:tc>
        <w:tc>
          <w:tcPr>
            <w:tcW w:w="1710" w:type="dxa"/>
          </w:tcPr>
          <w:p w14:paraId="1B081151" w14:textId="77777777" w:rsidR="00260B6D" w:rsidRPr="00510203" w:rsidRDefault="00260B6D">
            <w:pPr>
              <w:jc w:val="center"/>
              <w:rPr>
                <w:sz w:val="20"/>
                <w:szCs w:val="20"/>
              </w:rPr>
            </w:pPr>
            <w:r w:rsidRPr="00510203">
              <w:rPr>
                <w:sz w:val="20"/>
                <w:szCs w:val="20"/>
              </w:rPr>
              <w:t>689</w:t>
            </w:r>
          </w:p>
        </w:tc>
        <w:tc>
          <w:tcPr>
            <w:tcW w:w="2970" w:type="dxa"/>
          </w:tcPr>
          <w:p w14:paraId="1F8CFF42" w14:textId="77777777" w:rsidR="00260B6D" w:rsidRPr="00510203" w:rsidRDefault="00260B6D">
            <w:pPr>
              <w:jc w:val="both"/>
              <w:rPr>
                <w:sz w:val="20"/>
                <w:szCs w:val="20"/>
              </w:rPr>
            </w:pPr>
            <w:r w:rsidRPr="00510203">
              <w:rPr>
                <w:sz w:val="20"/>
                <w:szCs w:val="20"/>
              </w:rPr>
              <w:t>0.276 (0.235 – 0.317)</w:t>
            </w:r>
          </w:p>
        </w:tc>
        <w:tc>
          <w:tcPr>
            <w:tcW w:w="2790" w:type="dxa"/>
          </w:tcPr>
          <w:p w14:paraId="7F294E9B" w14:textId="77777777" w:rsidR="00260B6D" w:rsidRPr="00510203" w:rsidRDefault="00260B6D">
            <w:pPr>
              <w:jc w:val="both"/>
              <w:rPr>
                <w:sz w:val="20"/>
                <w:szCs w:val="20"/>
              </w:rPr>
            </w:pPr>
            <w:r w:rsidRPr="00510203">
              <w:rPr>
                <w:sz w:val="20"/>
                <w:szCs w:val="20"/>
              </w:rPr>
              <w:t>(190.16, 498.84)</w:t>
            </w:r>
          </w:p>
        </w:tc>
      </w:tr>
    </w:tbl>
    <w:p w14:paraId="5DE45A9D" w14:textId="77777777" w:rsidR="00260B6D" w:rsidRPr="00AE1D62" w:rsidRDefault="00260B6D" w:rsidP="00122CDD">
      <w:pPr>
        <w:pStyle w:val="BodyText"/>
        <w:spacing w:before="0" w:after="0"/>
        <w:ind w:left="360"/>
      </w:pPr>
    </w:p>
    <w:p w14:paraId="1C75265C" w14:textId="77777777" w:rsidR="00260B6D" w:rsidRPr="00A944D1" w:rsidRDefault="00260B6D">
      <w:pPr>
        <w:sectPr w:rsidR="00260B6D" w:rsidRPr="00A944D1" w:rsidSect="00B11104">
          <w:pgSz w:w="15840" w:h="12240" w:orient="landscape"/>
          <w:pgMar w:top="720" w:right="720" w:bottom="720" w:left="720" w:header="720" w:footer="720" w:gutter="0"/>
          <w:cols w:space="720"/>
          <w:docGrid w:linePitch="360"/>
        </w:sectPr>
      </w:pPr>
    </w:p>
    <w:p w14:paraId="554D4B6C" w14:textId="77777777" w:rsidR="00260B6D" w:rsidRPr="00E71320" w:rsidRDefault="00260B6D" w:rsidP="00E71320">
      <w:pPr>
        <w:pStyle w:val="Heading1"/>
        <w:spacing w:before="0"/>
        <w:rPr>
          <w:rFonts w:cs="Times New Roman"/>
          <w:szCs w:val="24"/>
        </w:rPr>
      </w:pPr>
      <w:bookmarkStart w:id="381" w:name="_Toc82592759"/>
      <w:r w:rsidRPr="00E71320">
        <w:rPr>
          <w:rFonts w:cs="Times New Roman"/>
          <w:szCs w:val="24"/>
        </w:rPr>
        <w:lastRenderedPageBreak/>
        <w:t>Implementation (in R)</w:t>
      </w:r>
      <w:bookmarkEnd w:id="381"/>
      <w:r w:rsidRPr="00E71320">
        <w:rPr>
          <w:rFonts w:cs="Times New Roman"/>
          <w:szCs w:val="24"/>
        </w:rPr>
        <w:t xml:space="preserve"> </w:t>
      </w:r>
    </w:p>
    <w:p w14:paraId="11534A53" w14:textId="77777777" w:rsidR="00260B6D" w:rsidRDefault="00260B6D" w:rsidP="00122CDD">
      <w:pPr>
        <w:pStyle w:val="BodyText"/>
        <w:spacing w:before="0" w:after="0"/>
        <w:ind w:left="360"/>
        <w:jc w:val="both"/>
        <w:rPr>
          <w:b/>
        </w:rPr>
      </w:pPr>
    </w:p>
    <w:p w14:paraId="43570EB2" w14:textId="1FA62E84" w:rsidR="00260B6D" w:rsidRDefault="00260B6D" w:rsidP="001D10D4">
      <w:pPr>
        <w:jc w:val="both"/>
        <w:rPr>
          <w:rFonts w:eastAsiaTheme="minorEastAsia"/>
          <w:color w:val="000000" w:themeColor="text1"/>
        </w:rPr>
      </w:pPr>
      <w:r>
        <w:t>The model is implemented using R</w:t>
      </w:r>
      <w:r w:rsidR="00DB3C21">
        <w:t xml:space="preserve"> software</w:t>
      </w:r>
      <w:r>
        <w:t xml:space="preserve">. </w:t>
      </w:r>
      <w:r w:rsidR="00DB3C21">
        <w:rPr>
          <w:rFonts w:eastAsiaTheme="minorEastAsia"/>
          <w:color w:val="000000" w:themeColor="text1"/>
        </w:rPr>
        <w:t>S</w:t>
      </w:r>
      <w:r>
        <w:rPr>
          <w:rFonts w:eastAsiaTheme="minorEastAsia"/>
          <w:color w:val="000000" w:themeColor="text1"/>
        </w:rPr>
        <w:t>ample code</w:t>
      </w:r>
      <w:r w:rsidR="00E71320">
        <w:rPr>
          <w:rFonts w:eastAsiaTheme="minorEastAsia"/>
          <w:color w:val="000000" w:themeColor="text1"/>
        </w:rPr>
        <w:t xml:space="preserve"> (v5.2, May 22</w:t>
      </w:r>
      <w:r w:rsidR="00E71320" w:rsidRPr="00E71320">
        <w:rPr>
          <w:rFonts w:eastAsiaTheme="minorEastAsia"/>
          <w:color w:val="000000" w:themeColor="text1"/>
          <w:vertAlign w:val="superscript"/>
        </w:rPr>
        <w:t>nd</w:t>
      </w:r>
      <w:r w:rsidR="008142CB">
        <w:rPr>
          <w:rFonts w:eastAsiaTheme="minorEastAsia"/>
          <w:color w:val="000000" w:themeColor="text1"/>
        </w:rPr>
        <w:t>, 2021</w:t>
      </w:r>
      <w:r w:rsidR="00E71320">
        <w:rPr>
          <w:rFonts w:eastAsiaTheme="minorEastAsia"/>
          <w:color w:val="000000" w:themeColor="text1"/>
        </w:rPr>
        <w:t>)</w:t>
      </w:r>
      <w:r>
        <w:rPr>
          <w:rFonts w:eastAsiaTheme="minorEastAsia"/>
          <w:color w:val="000000" w:themeColor="text1"/>
        </w:rPr>
        <w:t xml:space="preserve"> for operationalize and calibrating the model is attached below. </w:t>
      </w:r>
    </w:p>
    <w:p w14:paraId="7DDB9382" w14:textId="77777777" w:rsidR="00260B6D" w:rsidRDefault="00260B6D" w:rsidP="001D10D4">
      <w:pPr>
        <w:jc w:val="both"/>
        <w:rPr>
          <w:rFonts w:eastAsiaTheme="minorEastAsia"/>
          <w:color w:val="000000" w:themeColor="text1"/>
        </w:rPr>
      </w:pPr>
    </w:p>
    <w:p w14:paraId="412B5D8B" w14:textId="77777777" w:rsidR="00E71320" w:rsidRDefault="00260B6D" w:rsidP="00E71320">
      <w:pPr>
        <w:jc w:val="both"/>
        <w:rPr>
          <w:rFonts w:eastAsiaTheme="minorEastAsia"/>
          <w:b/>
          <w:color w:val="000000" w:themeColor="text1"/>
        </w:rPr>
      </w:pPr>
      <w:r>
        <w:rPr>
          <w:rFonts w:eastAsiaTheme="minorEastAsia"/>
          <w:b/>
          <w:color w:val="000000" w:themeColor="text1"/>
        </w:rPr>
        <w:t>R code:</w:t>
      </w:r>
    </w:p>
    <w:p w14:paraId="3FAF07F1" w14:textId="43079ED1" w:rsidR="00E71320" w:rsidRPr="0051032A" w:rsidRDefault="00260B6D" w:rsidP="0051032A">
      <w:pPr>
        <w:rPr>
          <w:rFonts w:eastAsia="SimSun"/>
        </w:rPr>
      </w:pPr>
      <w:bookmarkStart w:id="382" w:name="_Hlk74752492"/>
      <w:r w:rsidRPr="0051032A">
        <w:rPr>
          <w:rFonts w:eastAsia="SimSun"/>
        </w:rPr>
        <w:t># CODE FOR A DYNAMIC MODEL OF HIV TRANSMISSION FOR RWANDA #</w:t>
      </w:r>
      <w:r w:rsidRPr="0051032A">
        <w:br/>
      </w:r>
      <w:bookmarkEnd w:id="382"/>
      <w:r w:rsidRPr="0051032A">
        <w:br/>
      </w:r>
      <w:r w:rsidRPr="0051032A">
        <w:rPr>
          <w:rFonts w:eastAsia="SimSun"/>
        </w:rPr>
        <w:t># # START OF THE CODE # #</w:t>
      </w:r>
      <w:r w:rsidRPr="0051032A">
        <w:br/>
      </w:r>
      <w:r w:rsidRPr="0051032A">
        <w:br/>
      </w:r>
      <w:r w:rsidRPr="0051032A">
        <w:rPr>
          <w:rFonts w:eastAsia="SimSun"/>
        </w:rPr>
        <w:t># Clean global environment (clear previous data and results)</w:t>
      </w:r>
      <w:r w:rsidRPr="0051032A">
        <w:br/>
      </w:r>
      <w:r w:rsidRPr="0051032A">
        <w:rPr>
          <w:rFonts w:eastAsia="SimSun"/>
        </w:rPr>
        <w:t>rm(list=ls())</w:t>
      </w:r>
      <w:r w:rsidRPr="0051032A">
        <w:br/>
      </w:r>
      <w:r w:rsidRPr="0051032A">
        <w:br/>
      </w:r>
      <w:r w:rsidRPr="0051032A">
        <w:rPr>
          <w:rFonts w:eastAsia="SimSun"/>
        </w:rPr>
        <w:t xml:space="preserve"># Specify the number of trials that alter parameter values </w:t>
      </w:r>
      <w:r w:rsidRPr="0051032A">
        <w:br/>
      </w:r>
      <w:r w:rsidRPr="0051032A">
        <w:rPr>
          <w:rFonts w:eastAsia="SimSun"/>
        </w:rPr>
        <w:t>trials &lt;-1</w:t>
      </w:r>
      <w:r w:rsidRPr="0051032A">
        <w:br/>
      </w:r>
      <w:r w:rsidRPr="0051032A">
        <w:rPr>
          <w:rFonts w:eastAsia="SimSun"/>
        </w:rPr>
        <w:t># Specify the number of sub-groups we are going to run</w:t>
      </w:r>
      <w:r w:rsidRPr="0051032A">
        <w:br/>
      </w:r>
      <w:proofErr w:type="spellStart"/>
      <w:r w:rsidRPr="0051032A">
        <w:rPr>
          <w:rFonts w:eastAsia="SimSun"/>
        </w:rPr>
        <w:t>sgroup</w:t>
      </w:r>
      <w:proofErr w:type="spellEnd"/>
      <w:r w:rsidRPr="0051032A">
        <w:rPr>
          <w:rFonts w:eastAsia="SimSun"/>
        </w:rPr>
        <w:t xml:space="preserve"> &lt;-25</w:t>
      </w:r>
      <w:r w:rsidRPr="0051032A">
        <w:br/>
      </w:r>
      <w:r w:rsidRPr="0051032A">
        <w:rPr>
          <w:rFonts w:eastAsia="SimSun"/>
        </w:rPr>
        <w:t xml:space="preserve"># Command </w:t>
      </w:r>
      <w:proofErr w:type="spellStart"/>
      <w:r w:rsidRPr="0051032A">
        <w:rPr>
          <w:rFonts w:eastAsia="SimSun"/>
        </w:rPr>
        <w:t>specifing</w:t>
      </w:r>
      <w:proofErr w:type="spellEnd"/>
      <w:r w:rsidRPr="0051032A">
        <w:rPr>
          <w:rFonts w:eastAsia="SimSun"/>
        </w:rPr>
        <w:t xml:space="preserve"> the number of monthly time periods in the model (432 monthly time periods from 2004 - 2040)</w:t>
      </w:r>
      <w:r w:rsidRPr="0051032A">
        <w:br/>
      </w:r>
      <w:r w:rsidRPr="0051032A">
        <w:rPr>
          <w:rFonts w:eastAsia="SimSun"/>
        </w:rPr>
        <w:t>generations &lt;- 432</w:t>
      </w:r>
      <w:r w:rsidRPr="0051032A">
        <w:br/>
      </w:r>
      <w:r w:rsidRPr="0051032A">
        <w:br/>
      </w:r>
      <w:r w:rsidRPr="0051032A">
        <w:rPr>
          <w:rFonts w:eastAsia="SimSun"/>
        </w:rPr>
        <w:t># This command sets up variables to store the value for the force of infection</w:t>
      </w:r>
      <w:r w:rsidRPr="0051032A">
        <w:br/>
      </w:r>
      <w:r w:rsidRPr="0051032A">
        <w:rPr>
          <w:rFonts w:eastAsia="SimSun"/>
        </w:rPr>
        <w:t xml:space="preserve"># Note that the initial value of lambda shall set to 0 otherwise error may occur during operation </w:t>
      </w:r>
    </w:p>
    <w:p w14:paraId="6EA0AE0F" w14:textId="77777777" w:rsidR="00E71320" w:rsidRPr="0051032A" w:rsidRDefault="00260B6D" w:rsidP="0051032A">
      <w:pPr>
        <w:rPr>
          <w:rFonts w:eastAsia="SimSun"/>
        </w:rPr>
      </w:pPr>
      <w:proofErr w:type="spellStart"/>
      <w:r w:rsidRPr="0051032A">
        <w:rPr>
          <w:rFonts w:eastAsia="SimSun"/>
        </w:rPr>
        <w:t>lambda_t_r</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 xml:space="preserve">0,dim=c(trials, </w:t>
      </w:r>
      <w:proofErr w:type="spellStart"/>
      <w:r w:rsidRPr="0051032A">
        <w:rPr>
          <w:rFonts w:eastAsia="SimSun"/>
        </w:rPr>
        <w:t>sgroup</w:t>
      </w:r>
      <w:proofErr w:type="spellEnd"/>
      <w:r w:rsidRPr="0051032A">
        <w:rPr>
          <w:rFonts w:eastAsia="SimSun"/>
        </w:rPr>
        <w:t>, generations))</w:t>
      </w:r>
    </w:p>
    <w:p w14:paraId="7E77FE24" w14:textId="77777777" w:rsidR="00E71320" w:rsidRPr="0051032A" w:rsidRDefault="00E71320" w:rsidP="0051032A">
      <w:pPr>
        <w:rPr>
          <w:rFonts w:eastAsia="SimSun"/>
        </w:rPr>
      </w:pPr>
    </w:p>
    <w:p w14:paraId="2F12463B" w14:textId="77777777" w:rsidR="002C3EFA" w:rsidRPr="0051032A" w:rsidRDefault="00260B6D" w:rsidP="0051032A">
      <w:pPr>
        <w:rPr>
          <w:rFonts w:eastAsia="SimSun"/>
        </w:rPr>
      </w:pPr>
      <w:r w:rsidRPr="0051032A">
        <w:rPr>
          <w:rFonts w:eastAsia="SimSun"/>
        </w:rPr>
        <w:t># This command sets up variables to store the value for each compartment</w:t>
      </w:r>
    </w:p>
    <w:p w14:paraId="270ECB2E" w14:textId="77777777" w:rsidR="002C3EFA" w:rsidRPr="0051032A" w:rsidRDefault="00260B6D" w:rsidP="0051032A">
      <w:pPr>
        <w:rPr>
          <w:rFonts w:eastAsia="SimSun"/>
        </w:rPr>
      </w:pPr>
      <w:r w:rsidRPr="0051032A">
        <w:rPr>
          <w:rFonts w:eastAsia="SimSun"/>
        </w:rPr>
        <w:t># The initial value is set as null.</w:t>
      </w:r>
    </w:p>
    <w:p w14:paraId="0AB22850" w14:textId="77777777" w:rsidR="002C3EFA" w:rsidRPr="0051032A" w:rsidRDefault="00260B6D" w:rsidP="0051032A">
      <w:pPr>
        <w:rPr>
          <w:rFonts w:eastAsia="SimSun"/>
        </w:rPr>
      </w:pPr>
      <w:r w:rsidRPr="0051032A">
        <w:rPr>
          <w:rFonts w:eastAsia="SimSun"/>
        </w:rPr>
        <w:t xml:space="preserve">S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554BF74" w14:textId="77777777" w:rsidR="002C3EFA" w:rsidRPr="0051032A" w:rsidRDefault="00260B6D" w:rsidP="0051032A">
      <w:pPr>
        <w:rPr>
          <w:rFonts w:eastAsia="SimSun"/>
        </w:rPr>
      </w:pPr>
      <w:proofErr w:type="spellStart"/>
      <w:r w:rsidRPr="0051032A">
        <w:rPr>
          <w:rFonts w:eastAsia="SimSun"/>
        </w:rPr>
        <w:t>S_y</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generations/12))</w:t>
      </w:r>
    </w:p>
    <w:p w14:paraId="68E84E6C" w14:textId="77777777" w:rsidR="002C3EFA" w:rsidRPr="0051032A" w:rsidRDefault="00260B6D" w:rsidP="0051032A">
      <w:pPr>
        <w:rPr>
          <w:rFonts w:eastAsia="SimSun"/>
        </w:rPr>
      </w:pPr>
      <w:proofErr w:type="spellStart"/>
      <w:r w:rsidRPr="0051032A">
        <w:rPr>
          <w:rFonts w:eastAsia="SimSun"/>
        </w:rPr>
        <w:t>S_total</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0,dim=c(trials, 1, generations))</w:t>
      </w:r>
    </w:p>
    <w:p w14:paraId="1263922E" w14:textId="77777777" w:rsidR="002C3EFA" w:rsidRPr="0051032A" w:rsidRDefault="00260B6D" w:rsidP="0051032A">
      <w:pPr>
        <w:rPr>
          <w:rFonts w:eastAsia="SimSun"/>
        </w:rPr>
      </w:pPr>
      <w:proofErr w:type="spellStart"/>
      <w:r w:rsidRPr="0051032A">
        <w:rPr>
          <w:rFonts w:eastAsia="SimSun"/>
        </w:rPr>
        <w:t>S_total_y</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62296162" w14:textId="77777777" w:rsidR="002C3EFA" w:rsidRPr="0051032A" w:rsidRDefault="00260B6D" w:rsidP="0051032A">
      <w:pPr>
        <w:rPr>
          <w:rFonts w:eastAsia="SimSun"/>
        </w:rPr>
      </w:pPr>
      <w:r w:rsidRPr="0051032A">
        <w:rPr>
          <w:rFonts w:eastAsia="SimSun"/>
        </w:rPr>
        <w:t xml:space="preserve">D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7FB07BB3" w14:textId="77777777" w:rsidR="002C3EFA" w:rsidRPr="0051032A" w:rsidRDefault="00260B6D" w:rsidP="0051032A">
      <w:pPr>
        <w:rPr>
          <w:rFonts w:eastAsia="SimSun"/>
        </w:rPr>
      </w:pPr>
      <w:r w:rsidRPr="0051032A">
        <w:rPr>
          <w:rFonts w:eastAsia="SimSun"/>
        </w:rPr>
        <w:t xml:space="preserve">X1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9DD265F" w14:textId="77777777" w:rsidR="002C3EFA" w:rsidRPr="0051032A" w:rsidRDefault="00260B6D" w:rsidP="0051032A">
      <w:pPr>
        <w:rPr>
          <w:rFonts w:eastAsia="SimSun"/>
        </w:rPr>
      </w:pPr>
      <w:r w:rsidRPr="0051032A">
        <w:rPr>
          <w:rFonts w:eastAsia="SimSun"/>
        </w:rPr>
        <w:t xml:space="preserve">X2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D62509E" w14:textId="77777777" w:rsidR="002C3EFA" w:rsidRPr="0051032A" w:rsidRDefault="00260B6D" w:rsidP="0051032A">
      <w:pPr>
        <w:rPr>
          <w:rFonts w:eastAsia="SimSun"/>
        </w:rPr>
      </w:pPr>
      <w:r w:rsidRPr="0051032A">
        <w:rPr>
          <w:rFonts w:eastAsia="SimSun"/>
        </w:rPr>
        <w:t xml:space="preserve">X3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6961E53A" w14:textId="77777777" w:rsidR="002C3EFA" w:rsidRPr="0051032A" w:rsidRDefault="00260B6D" w:rsidP="0051032A">
      <w:pPr>
        <w:rPr>
          <w:rFonts w:eastAsia="SimSun"/>
        </w:rPr>
      </w:pPr>
      <w:r w:rsidRPr="0051032A">
        <w:rPr>
          <w:rFonts w:eastAsia="SimSun"/>
        </w:rPr>
        <w:t xml:space="preserve">X4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1CA8812" w14:textId="77777777" w:rsidR="002C3EFA" w:rsidRPr="0051032A" w:rsidRDefault="00260B6D" w:rsidP="0051032A">
      <w:pPr>
        <w:rPr>
          <w:rFonts w:eastAsia="SimSun"/>
        </w:rPr>
      </w:pPr>
      <w:r w:rsidRPr="0051032A">
        <w:rPr>
          <w:rFonts w:eastAsia="SimSun"/>
        </w:rPr>
        <w:t xml:space="preserve">X5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FB6F1AA" w14:textId="77777777" w:rsidR="002C3EFA" w:rsidRPr="0051032A" w:rsidRDefault="00260B6D" w:rsidP="0051032A">
      <w:pPr>
        <w:rPr>
          <w:rFonts w:eastAsia="SimSun"/>
        </w:rPr>
      </w:pPr>
      <w:r w:rsidRPr="0051032A">
        <w:rPr>
          <w:rFonts w:eastAsia="SimSun"/>
        </w:rPr>
        <w:t xml:space="preserve">X6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4FCC9B29" w14:textId="77777777" w:rsidR="002C3EFA" w:rsidRPr="0051032A" w:rsidRDefault="00260B6D" w:rsidP="0051032A">
      <w:pPr>
        <w:rPr>
          <w:rFonts w:eastAsia="SimSun"/>
        </w:rPr>
      </w:pPr>
      <w:r w:rsidRPr="0051032A">
        <w:rPr>
          <w:rFonts w:eastAsia="SimSun"/>
        </w:rPr>
        <w:t xml:space="preserve">X7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C4A0A4B" w14:textId="77777777" w:rsidR="002C3EFA" w:rsidRPr="0051032A" w:rsidRDefault="00260B6D" w:rsidP="0051032A">
      <w:pPr>
        <w:rPr>
          <w:rFonts w:eastAsia="SimSun"/>
        </w:rPr>
      </w:pPr>
      <w:r w:rsidRPr="0051032A">
        <w:rPr>
          <w:rFonts w:eastAsia="SimSun"/>
        </w:rPr>
        <w:t xml:space="preserve">X8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4206C3AB" w14:textId="77777777" w:rsidR="002C3EFA" w:rsidRPr="0051032A" w:rsidRDefault="00260B6D" w:rsidP="0051032A">
      <w:pPr>
        <w:rPr>
          <w:rFonts w:eastAsia="SimSun"/>
        </w:rPr>
      </w:pPr>
      <w:r w:rsidRPr="0051032A">
        <w:rPr>
          <w:rFonts w:eastAsia="SimSun"/>
        </w:rPr>
        <w:t xml:space="preserve">X9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6CC50F6" w14:textId="77777777" w:rsidR="002C3EFA" w:rsidRPr="0051032A" w:rsidRDefault="00260B6D" w:rsidP="0051032A">
      <w:pPr>
        <w:rPr>
          <w:rFonts w:eastAsia="SimSun"/>
        </w:rPr>
      </w:pPr>
      <w:r w:rsidRPr="0051032A">
        <w:rPr>
          <w:rFonts w:eastAsia="SimSun"/>
        </w:rPr>
        <w:t xml:space="preserve">X10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49BFAE57" w14:textId="77777777" w:rsidR="002C3EFA" w:rsidRPr="0051032A" w:rsidRDefault="00260B6D" w:rsidP="0051032A">
      <w:pPr>
        <w:rPr>
          <w:rFonts w:eastAsia="SimSun"/>
        </w:rPr>
      </w:pPr>
      <w:r w:rsidRPr="0051032A">
        <w:rPr>
          <w:rFonts w:eastAsia="SimSun"/>
        </w:rPr>
        <w:t xml:space="preserve">X11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B0A18EF" w14:textId="77777777" w:rsidR="002C3EFA" w:rsidRPr="0051032A" w:rsidRDefault="00260B6D" w:rsidP="0051032A">
      <w:pPr>
        <w:rPr>
          <w:rFonts w:eastAsia="SimSun"/>
        </w:rPr>
      </w:pPr>
      <w:r w:rsidRPr="0051032A">
        <w:rPr>
          <w:rFonts w:eastAsia="SimSun"/>
        </w:rPr>
        <w:t xml:space="preserve">X12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0780A707" w14:textId="77777777" w:rsidR="002C3EFA" w:rsidRPr="0051032A" w:rsidRDefault="00260B6D" w:rsidP="0051032A">
      <w:pPr>
        <w:rPr>
          <w:rFonts w:eastAsia="SimSun"/>
        </w:rPr>
      </w:pPr>
      <w:r w:rsidRPr="0051032A">
        <w:rPr>
          <w:rFonts w:eastAsia="SimSun"/>
        </w:rPr>
        <w:t xml:space="preserve">X13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B2DEB45" w14:textId="77777777" w:rsidR="002C3EFA" w:rsidRPr="0051032A" w:rsidRDefault="00260B6D" w:rsidP="0051032A">
      <w:pPr>
        <w:rPr>
          <w:rFonts w:eastAsia="SimSun"/>
        </w:rPr>
      </w:pPr>
      <w:r w:rsidRPr="0051032A">
        <w:rPr>
          <w:rFonts w:eastAsia="SimSun"/>
        </w:rPr>
        <w:t xml:space="preserve">X14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7820EA4" w14:textId="77777777" w:rsidR="002C3EFA" w:rsidRPr="0051032A" w:rsidRDefault="00260B6D" w:rsidP="0051032A">
      <w:pPr>
        <w:rPr>
          <w:rFonts w:eastAsia="SimSun"/>
        </w:rPr>
      </w:pPr>
      <w:r w:rsidRPr="0051032A">
        <w:rPr>
          <w:rFonts w:eastAsia="SimSun"/>
        </w:rPr>
        <w:lastRenderedPageBreak/>
        <w:t xml:space="preserve">X15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82656D9" w14:textId="77777777" w:rsidR="002C3EFA" w:rsidRPr="0051032A" w:rsidRDefault="00260B6D" w:rsidP="0051032A">
      <w:pPr>
        <w:rPr>
          <w:rFonts w:eastAsia="SimSun"/>
        </w:rPr>
      </w:pPr>
      <w:r w:rsidRPr="0051032A">
        <w:rPr>
          <w:rFonts w:eastAsia="SimSun"/>
        </w:rPr>
        <w:t xml:space="preserve">X16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661E749D" w14:textId="77777777" w:rsidR="002C3EFA" w:rsidRPr="0051032A" w:rsidRDefault="00260B6D" w:rsidP="0051032A">
      <w:pPr>
        <w:rPr>
          <w:rFonts w:eastAsia="SimSun"/>
        </w:rPr>
      </w:pPr>
      <w:r w:rsidRPr="0051032A">
        <w:rPr>
          <w:rFonts w:eastAsia="SimSun"/>
        </w:rPr>
        <w:t xml:space="preserve">X17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4455E724" w14:textId="77777777" w:rsidR="002C3EFA" w:rsidRPr="0051032A" w:rsidRDefault="00260B6D" w:rsidP="0051032A">
      <w:pPr>
        <w:rPr>
          <w:rFonts w:eastAsia="SimSun"/>
        </w:rPr>
      </w:pPr>
      <w:r w:rsidRPr="0051032A">
        <w:rPr>
          <w:rFonts w:eastAsia="SimSun"/>
        </w:rPr>
        <w:t xml:space="preserve">X18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DD6184B" w14:textId="77777777" w:rsidR="002C3EFA" w:rsidRPr="0051032A" w:rsidRDefault="00260B6D" w:rsidP="0051032A">
      <w:pPr>
        <w:rPr>
          <w:rFonts w:eastAsia="SimSun"/>
        </w:rPr>
      </w:pPr>
      <w:r w:rsidRPr="0051032A">
        <w:rPr>
          <w:rFonts w:eastAsia="SimSun"/>
        </w:rPr>
        <w:t xml:space="preserve">X19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140F4A1" w14:textId="77777777" w:rsidR="002C3EFA" w:rsidRPr="0051032A" w:rsidRDefault="00260B6D" w:rsidP="0051032A">
      <w:pPr>
        <w:rPr>
          <w:rFonts w:eastAsia="SimSun"/>
        </w:rPr>
      </w:pPr>
      <w:r w:rsidRPr="0051032A">
        <w:rPr>
          <w:rFonts w:eastAsia="SimSun"/>
        </w:rPr>
        <w:t xml:space="preserve">X20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E086332" w14:textId="77777777" w:rsidR="002C3EFA" w:rsidRPr="0051032A" w:rsidRDefault="00260B6D" w:rsidP="0051032A">
      <w:pPr>
        <w:rPr>
          <w:rFonts w:eastAsia="SimSun"/>
        </w:rPr>
      </w:pPr>
      <w:r w:rsidRPr="0051032A">
        <w:rPr>
          <w:rFonts w:eastAsia="SimSun"/>
        </w:rPr>
        <w:t xml:space="preserve">X21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4447BA61" w14:textId="77777777" w:rsidR="002C3EFA" w:rsidRPr="0051032A" w:rsidRDefault="00260B6D" w:rsidP="0051032A">
      <w:pPr>
        <w:rPr>
          <w:rFonts w:eastAsia="SimSun"/>
        </w:rPr>
      </w:pPr>
      <w:r w:rsidRPr="0051032A">
        <w:rPr>
          <w:rFonts w:eastAsia="SimSun"/>
        </w:rPr>
        <w:t xml:space="preserve">X22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BBDAC20" w14:textId="77777777" w:rsidR="002C3EFA" w:rsidRPr="0051032A" w:rsidRDefault="00260B6D" w:rsidP="0051032A">
      <w:pPr>
        <w:rPr>
          <w:rFonts w:eastAsia="SimSun"/>
        </w:rPr>
      </w:pPr>
      <w:r w:rsidRPr="0051032A">
        <w:rPr>
          <w:rFonts w:eastAsia="SimSun"/>
        </w:rPr>
        <w:t xml:space="preserve">X23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E9AEE3E" w14:textId="77777777" w:rsidR="002C3EFA" w:rsidRPr="0051032A" w:rsidRDefault="00260B6D" w:rsidP="0051032A">
      <w:pPr>
        <w:rPr>
          <w:rFonts w:eastAsia="SimSun"/>
        </w:rPr>
      </w:pPr>
      <w:r w:rsidRPr="0051032A">
        <w:rPr>
          <w:rFonts w:eastAsia="SimSun"/>
        </w:rPr>
        <w:t xml:space="preserve">X24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2D681A1" w14:textId="77777777" w:rsidR="002C3EFA" w:rsidRPr="0051032A" w:rsidRDefault="002C3EFA" w:rsidP="0051032A">
      <w:pPr>
        <w:rPr>
          <w:rFonts w:eastAsia="SimSun"/>
        </w:rPr>
      </w:pPr>
    </w:p>
    <w:p w14:paraId="3A1368E5" w14:textId="77777777" w:rsidR="002C3EFA" w:rsidRPr="0051032A" w:rsidRDefault="00260B6D" w:rsidP="0051032A">
      <w:pPr>
        <w:rPr>
          <w:rFonts w:eastAsia="SimSun"/>
        </w:rPr>
      </w:pPr>
      <w:r w:rsidRPr="0051032A">
        <w:rPr>
          <w:rFonts w:eastAsia="SimSun"/>
        </w:rPr>
        <w:t># This command sets up variables to store the number of individuals infected.</w:t>
      </w:r>
    </w:p>
    <w:p w14:paraId="616A3844" w14:textId="77777777" w:rsidR="002C3EFA" w:rsidRPr="0051032A" w:rsidRDefault="00260B6D" w:rsidP="0051032A">
      <w:pPr>
        <w:rPr>
          <w:rFonts w:eastAsia="SimSun"/>
        </w:rPr>
      </w:pPr>
      <w:r w:rsidRPr="0051032A">
        <w:rPr>
          <w:rFonts w:eastAsia="SimSun"/>
        </w:rPr>
        <w:t xml:space="preserve">N &lt;- </w:t>
      </w:r>
      <w:proofErr w:type="gramStart"/>
      <w:r w:rsidRPr="0051032A">
        <w:rPr>
          <w:rFonts w:eastAsia="SimSun"/>
        </w:rPr>
        <w:t>array(</w:t>
      </w:r>
      <w:proofErr w:type="gramEnd"/>
      <w:r w:rsidRPr="0051032A">
        <w:rPr>
          <w:rFonts w:eastAsia="SimSun"/>
        </w:rPr>
        <w:t xml:space="preserve">0,dim=c(trials, </w:t>
      </w:r>
      <w:proofErr w:type="spellStart"/>
      <w:r w:rsidRPr="0051032A">
        <w:rPr>
          <w:rFonts w:eastAsia="SimSun"/>
        </w:rPr>
        <w:t>sgroup</w:t>
      </w:r>
      <w:proofErr w:type="spellEnd"/>
      <w:r w:rsidRPr="0051032A">
        <w:rPr>
          <w:rFonts w:eastAsia="SimSun"/>
        </w:rPr>
        <w:t>, generations))</w:t>
      </w:r>
    </w:p>
    <w:p w14:paraId="1D1AB27F" w14:textId="77777777" w:rsidR="002C3EFA" w:rsidRPr="0051032A" w:rsidRDefault="00260B6D" w:rsidP="0051032A">
      <w:pPr>
        <w:rPr>
          <w:rFonts w:eastAsia="SimSun"/>
        </w:rPr>
      </w:pPr>
      <w:proofErr w:type="spellStart"/>
      <w:r w:rsidRPr="0051032A">
        <w:rPr>
          <w:rFonts w:eastAsia="SimSun"/>
        </w:rPr>
        <w:t>N_y</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 xml:space="preserve">0,dim=c(trials, </w:t>
      </w:r>
      <w:proofErr w:type="spellStart"/>
      <w:r w:rsidRPr="0051032A">
        <w:rPr>
          <w:rFonts w:eastAsia="SimSun"/>
        </w:rPr>
        <w:t>sgroup</w:t>
      </w:r>
      <w:proofErr w:type="spellEnd"/>
      <w:r w:rsidRPr="0051032A">
        <w:rPr>
          <w:rFonts w:eastAsia="SimSun"/>
        </w:rPr>
        <w:t>, generations/12))</w:t>
      </w:r>
    </w:p>
    <w:p w14:paraId="31338E71" w14:textId="77777777" w:rsidR="002C3EFA" w:rsidRPr="0051032A" w:rsidRDefault="00260B6D" w:rsidP="0051032A">
      <w:pPr>
        <w:rPr>
          <w:rFonts w:eastAsia="SimSun"/>
        </w:rPr>
      </w:pPr>
      <w:proofErr w:type="spellStart"/>
      <w:r w:rsidRPr="0051032A">
        <w:rPr>
          <w:rFonts w:eastAsia="SimSun"/>
        </w:rPr>
        <w:t>N_total</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0,dim=c(trials, 1, generations))</w:t>
      </w:r>
    </w:p>
    <w:p w14:paraId="5FA0D25D" w14:textId="77777777" w:rsidR="002C3EFA" w:rsidRPr="0051032A" w:rsidRDefault="00260B6D" w:rsidP="0051032A">
      <w:pPr>
        <w:rPr>
          <w:rFonts w:eastAsia="SimSun"/>
        </w:rPr>
      </w:pPr>
      <w:proofErr w:type="spellStart"/>
      <w:r w:rsidRPr="0051032A">
        <w:rPr>
          <w:rFonts w:eastAsia="SimSun"/>
        </w:rPr>
        <w:t>N_total_y</w:t>
      </w:r>
      <w:proofErr w:type="spellEnd"/>
      <w:r w:rsidRPr="0051032A">
        <w:rPr>
          <w:rFonts w:eastAsia="SimSun"/>
        </w:rPr>
        <w:t xml:space="preserve"> &lt;- </w:t>
      </w:r>
      <w:proofErr w:type="gramStart"/>
      <w:r w:rsidRPr="0051032A">
        <w:rPr>
          <w:rFonts w:eastAsia="SimSun"/>
        </w:rPr>
        <w:t>matrix(</w:t>
      </w:r>
      <w:proofErr w:type="gramEnd"/>
      <w:r w:rsidRPr="0051032A">
        <w:rPr>
          <w:rFonts w:eastAsia="SimSun"/>
        </w:rPr>
        <w:t xml:space="preserve">0,nrow=trials, </w:t>
      </w:r>
      <w:proofErr w:type="spellStart"/>
      <w:r w:rsidRPr="0051032A">
        <w:rPr>
          <w:rFonts w:eastAsia="SimSun"/>
        </w:rPr>
        <w:t>ncol</w:t>
      </w:r>
      <w:proofErr w:type="spellEnd"/>
      <w:r w:rsidRPr="0051032A">
        <w:rPr>
          <w:rFonts w:eastAsia="SimSun"/>
        </w:rPr>
        <w:t>=generations/12)</w:t>
      </w:r>
    </w:p>
    <w:p w14:paraId="6C77AD9F" w14:textId="77777777" w:rsidR="002C3EFA" w:rsidRPr="0051032A" w:rsidRDefault="002C3EFA" w:rsidP="0051032A">
      <w:pPr>
        <w:rPr>
          <w:rFonts w:eastAsia="SimSun"/>
        </w:rPr>
      </w:pPr>
    </w:p>
    <w:p w14:paraId="73913AF3" w14:textId="77777777" w:rsidR="002C3EFA" w:rsidRPr="0051032A" w:rsidRDefault="00260B6D" w:rsidP="0051032A">
      <w:pPr>
        <w:rPr>
          <w:rFonts w:eastAsia="SimSun"/>
        </w:rPr>
      </w:pPr>
      <w:r w:rsidRPr="0051032A">
        <w:rPr>
          <w:rFonts w:eastAsia="SimSun"/>
        </w:rPr>
        <w:t xml:space="preserve">#This command sets up variables to store the number </w:t>
      </w:r>
      <w:proofErr w:type="spellStart"/>
      <w:r w:rsidRPr="0051032A">
        <w:rPr>
          <w:rFonts w:eastAsia="SimSun"/>
        </w:rPr>
        <w:t>ofindividuals</w:t>
      </w:r>
      <w:proofErr w:type="spellEnd"/>
      <w:r w:rsidRPr="0051032A">
        <w:rPr>
          <w:rFonts w:eastAsia="SimSun"/>
        </w:rPr>
        <w:t xml:space="preserve"> virally not </w:t>
      </w:r>
      <w:proofErr w:type="spellStart"/>
      <w:r w:rsidRPr="0051032A">
        <w:rPr>
          <w:rFonts w:eastAsia="SimSun"/>
        </w:rPr>
        <w:t>suppresed</w:t>
      </w:r>
      <w:proofErr w:type="spellEnd"/>
      <w:r w:rsidRPr="0051032A">
        <w:rPr>
          <w:rFonts w:eastAsia="SimSun"/>
        </w:rPr>
        <w:t>.</w:t>
      </w:r>
    </w:p>
    <w:p w14:paraId="5FC5E5B1" w14:textId="77777777" w:rsidR="002C3EFA" w:rsidRPr="0051032A" w:rsidRDefault="00260B6D" w:rsidP="0051032A">
      <w:pPr>
        <w:rPr>
          <w:rFonts w:eastAsia="SimSun"/>
        </w:rPr>
      </w:pPr>
      <w:r w:rsidRPr="0051032A">
        <w:rPr>
          <w:rFonts w:eastAsia="SimSun"/>
        </w:rPr>
        <w:t xml:space="preserve">Z &lt;- </w:t>
      </w:r>
      <w:proofErr w:type="gramStart"/>
      <w:r w:rsidRPr="0051032A">
        <w:rPr>
          <w:rFonts w:eastAsia="SimSun"/>
        </w:rPr>
        <w:t>array(</w:t>
      </w:r>
      <w:proofErr w:type="gramEnd"/>
      <w:r w:rsidRPr="0051032A">
        <w:rPr>
          <w:rFonts w:eastAsia="SimSun"/>
        </w:rPr>
        <w:t xml:space="preserve">0,dim=c(trials, </w:t>
      </w:r>
      <w:proofErr w:type="spellStart"/>
      <w:r w:rsidRPr="0051032A">
        <w:rPr>
          <w:rFonts w:eastAsia="SimSun"/>
        </w:rPr>
        <w:t>sgroup</w:t>
      </w:r>
      <w:proofErr w:type="spellEnd"/>
      <w:r w:rsidRPr="0051032A">
        <w:rPr>
          <w:rFonts w:eastAsia="SimSun"/>
        </w:rPr>
        <w:t>, generations))</w:t>
      </w:r>
    </w:p>
    <w:p w14:paraId="2B2F2EAD" w14:textId="77777777" w:rsidR="002C3EFA" w:rsidRPr="0051032A" w:rsidRDefault="00260B6D" w:rsidP="0051032A">
      <w:pPr>
        <w:rPr>
          <w:rFonts w:eastAsia="SimSun"/>
        </w:rPr>
      </w:pPr>
      <w:proofErr w:type="spellStart"/>
      <w:r w:rsidRPr="0051032A">
        <w:rPr>
          <w:rFonts w:eastAsia="SimSun"/>
        </w:rPr>
        <w:t>Z_total</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0,dim=c(trials, 1, generations)</w:t>
      </w:r>
    </w:p>
    <w:p w14:paraId="47EA45E3" w14:textId="77777777" w:rsidR="002C3EFA" w:rsidRPr="0051032A" w:rsidRDefault="002C3EFA" w:rsidP="0051032A">
      <w:pPr>
        <w:rPr>
          <w:rFonts w:eastAsia="SimSun"/>
        </w:rPr>
      </w:pPr>
    </w:p>
    <w:p w14:paraId="4F2D12C5" w14:textId="77777777" w:rsidR="002C3EFA" w:rsidRPr="0051032A" w:rsidRDefault="00260B6D" w:rsidP="0051032A">
      <w:pPr>
        <w:rPr>
          <w:rFonts w:eastAsia="SimSun"/>
        </w:rPr>
      </w:pPr>
      <w:r w:rsidRPr="0051032A">
        <w:rPr>
          <w:rFonts w:eastAsia="SimSun"/>
        </w:rPr>
        <w:t>#This command sets up variables to store the number of individuals virally suppressed.</w:t>
      </w:r>
    </w:p>
    <w:p w14:paraId="2D14C60A" w14:textId="77777777" w:rsidR="002C3EFA" w:rsidRPr="0051032A" w:rsidRDefault="00260B6D" w:rsidP="0051032A">
      <w:pPr>
        <w:rPr>
          <w:rFonts w:eastAsia="SimSun"/>
        </w:rPr>
      </w:pPr>
      <w:r w:rsidRPr="0051032A">
        <w:rPr>
          <w:rFonts w:eastAsia="SimSun"/>
        </w:rPr>
        <w:t xml:space="preserve">V &lt;- </w:t>
      </w:r>
      <w:proofErr w:type="gramStart"/>
      <w:r w:rsidRPr="0051032A">
        <w:rPr>
          <w:rFonts w:eastAsia="SimSun"/>
        </w:rPr>
        <w:t>array(</w:t>
      </w:r>
      <w:proofErr w:type="gramEnd"/>
      <w:r w:rsidRPr="0051032A">
        <w:rPr>
          <w:rFonts w:eastAsia="SimSun"/>
        </w:rPr>
        <w:t xml:space="preserve">0,dim=c(trials, </w:t>
      </w:r>
      <w:proofErr w:type="spellStart"/>
      <w:r w:rsidRPr="0051032A">
        <w:rPr>
          <w:rFonts w:eastAsia="SimSun"/>
        </w:rPr>
        <w:t>sgroup</w:t>
      </w:r>
      <w:proofErr w:type="spellEnd"/>
      <w:r w:rsidRPr="0051032A">
        <w:rPr>
          <w:rFonts w:eastAsia="SimSun"/>
        </w:rPr>
        <w:t>, generations))</w:t>
      </w:r>
    </w:p>
    <w:p w14:paraId="768C66C7" w14:textId="77777777" w:rsidR="002C3EFA" w:rsidRPr="0051032A" w:rsidRDefault="00260B6D" w:rsidP="0051032A">
      <w:pPr>
        <w:rPr>
          <w:rFonts w:eastAsia="SimSun"/>
        </w:rPr>
      </w:pPr>
      <w:proofErr w:type="spellStart"/>
      <w:r w:rsidRPr="0051032A">
        <w:rPr>
          <w:rFonts w:eastAsia="SimSun"/>
        </w:rPr>
        <w:t>V_total</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0,dim=c(trials, 1, generations))</w:t>
      </w:r>
    </w:p>
    <w:p w14:paraId="28A9A4BB" w14:textId="77777777" w:rsidR="002C3EFA" w:rsidRPr="0051032A" w:rsidRDefault="002C3EFA" w:rsidP="0051032A">
      <w:pPr>
        <w:rPr>
          <w:rFonts w:eastAsia="SimSun"/>
        </w:rPr>
      </w:pPr>
    </w:p>
    <w:p w14:paraId="2A72C71B" w14:textId="77777777" w:rsidR="002C3EFA" w:rsidRPr="0051032A" w:rsidRDefault="00260B6D" w:rsidP="0051032A">
      <w:pPr>
        <w:rPr>
          <w:rFonts w:eastAsia="SimSun"/>
        </w:rPr>
      </w:pPr>
      <w:r w:rsidRPr="0051032A">
        <w:rPr>
          <w:rFonts w:eastAsia="SimSun"/>
        </w:rPr>
        <w:t># This command sets up variables to store the percent of individuals virally not suppressed.</w:t>
      </w:r>
    </w:p>
    <w:p w14:paraId="44305CD3" w14:textId="77777777" w:rsidR="002C3EFA" w:rsidRPr="0051032A" w:rsidRDefault="00260B6D" w:rsidP="0051032A">
      <w:pPr>
        <w:rPr>
          <w:rFonts w:eastAsia="SimSun"/>
        </w:rPr>
      </w:pPr>
      <w:proofErr w:type="spellStart"/>
      <w:r w:rsidRPr="0051032A">
        <w:rPr>
          <w:rFonts w:eastAsia="SimSun"/>
        </w:rPr>
        <w:t>p_r</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 xml:space="preserve">0,dim=c(trials, </w:t>
      </w:r>
      <w:proofErr w:type="spellStart"/>
      <w:r w:rsidRPr="0051032A">
        <w:rPr>
          <w:rFonts w:eastAsia="SimSun"/>
        </w:rPr>
        <w:t>sgroup</w:t>
      </w:r>
      <w:proofErr w:type="spellEnd"/>
      <w:r w:rsidRPr="0051032A">
        <w:rPr>
          <w:rFonts w:eastAsia="SimSun"/>
        </w:rPr>
        <w:t>, generations)</w:t>
      </w:r>
    </w:p>
    <w:p w14:paraId="78A7A8AA" w14:textId="77777777" w:rsidR="002C3EFA" w:rsidRPr="0051032A" w:rsidRDefault="002C3EFA" w:rsidP="0051032A">
      <w:pPr>
        <w:rPr>
          <w:rFonts w:eastAsia="SimSun"/>
        </w:rPr>
      </w:pPr>
    </w:p>
    <w:p w14:paraId="28BDA542" w14:textId="77777777" w:rsidR="002C3EFA" w:rsidRPr="0051032A" w:rsidRDefault="00260B6D" w:rsidP="0051032A">
      <w:pPr>
        <w:rPr>
          <w:rFonts w:eastAsia="SimSun"/>
        </w:rPr>
      </w:pPr>
      <w:r w:rsidRPr="0051032A">
        <w:rPr>
          <w:rFonts w:eastAsia="SimSun"/>
        </w:rPr>
        <w:t># This command sets up variables to store the percent of individuals virally suppressed.</w:t>
      </w:r>
    </w:p>
    <w:p w14:paraId="157BAE89" w14:textId="77777777" w:rsidR="002C3EFA" w:rsidRPr="0051032A" w:rsidRDefault="00260B6D" w:rsidP="0051032A">
      <w:pPr>
        <w:rPr>
          <w:rFonts w:eastAsia="SimSun"/>
        </w:rPr>
      </w:pPr>
      <w:proofErr w:type="spellStart"/>
      <w:r w:rsidRPr="0051032A">
        <w:rPr>
          <w:rFonts w:eastAsia="SimSun"/>
        </w:rPr>
        <w:t>p_r_v</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 xml:space="preserve">0,dim=c(trials, </w:t>
      </w:r>
      <w:proofErr w:type="spellStart"/>
      <w:r w:rsidRPr="0051032A">
        <w:rPr>
          <w:rFonts w:eastAsia="SimSun"/>
        </w:rPr>
        <w:t>sgroup</w:t>
      </w:r>
      <w:proofErr w:type="spellEnd"/>
      <w:r w:rsidRPr="0051032A">
        <w:rPr>
          <w:rFonts w:eastAsia="SimSun"/>
        </w:rPr>
        <w:t>, generations))</w:t>
      </w:r>
    </w:p>
    <w:p w14:paraId="643472CA" w14:textId="77777777" w:rsidR="002C3EFA" w:rsidRPr="0051032A" w:rsidRDefault="002C3EFA" w:rsidP="0051032A">
      <w:pPr>
        <w:rPr>
          <w:rFonts w:eastAsia="SimSun"/>
        </w:rPr>
      </w:pPr>
    </w:p>
    <w:p w14:paraId="6A3F13E7" w14:textId="77777777" w:rsidR="002C3EFA" w:rsidRPr="0051032A" w:rsidRDefault="00260B6D" w:rsidP="0051032A">
      <w:pPr>
        <w:rPr>
          <w:rFonts w:eastAsia="SimSun"/>
        </w:rPr>
      </w:pPr>
      <w:r w:rsidRPr="0051032A">
        <w:rPr>
          <w:rFonts w:eastAsia="SimSun"/>
        </w:rPr>
        <w:t xml:space="preserve"># This command sets up variables to store HIV treatment engagement status in the cohort. </w:t>
      </w:r>
    </w:p>
    <w:p w14:paraId="12830580" w14:textId="77777777" w:rsidR="002C3EFA" w:rsidRPr="0051032A" w:rsidRDefault="00260B6D" w:rsidP="0051032A">
      <w:pPr>
        <w:rPr>
          <w:rFonts w:eastAsia="SimSun"/>
        </w:rPr>
      </w:pPr>
      <w:r w:rsidRPr="0051032A">
        <w:rPr>
          <w:rFonts w:eastAsia="SimSun"/>
        </w:rPr>
        <w:t xml:space="preserve">Undiagnosed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74CFD985" w14:textId="77777777" w:rsidR="002C3EFA" w:rsidRPr="0051032A" w:rsidRDefault="00260B6D" w:rsidP="0051032A">
      <w:pPr>
        <w:rPr>
          <w:rFonts w:eastAsia="SimSun"/>
        </w:rPr>
      </w:pPr>
      <w:proofErr w:type="spellStart"/>
      <w:r w:rsidRPr="0051032A">
        <w:rPr>
          <w:rFonts w:eastAsia="SimSun"/>
        </w:rPr>
        <w:t>Undiagnosed_y</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generations/12))</w:t>
      </w:r>
    </w:p>
    <w:p w14:paraId="0F9C09EC" w14:textId="77777777" w:rsidR="002C3EFA" w:rsidRPr="0051032A" w:rsidRDefault="00260B6D" w:rsidP="0051032A">
      <w:pPr>
        <w:rPr>
          <w:rFonts w:eastAsia="SimSun"/>
        </w:rPr>
      </w:pPr>
      <w:proofErr w:type="spellStart"/>
      <w:r w:rsidRPr="0051032A">
        <w:rPr>
          <w:rFonts w:eastAsia="SimSun"/>
        </w:rPr>
        <w:t>Undiagnosed_total</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0,dim=c(trials, 1, generations))</w:t>
      </w:r>
    </w:p>
    <w:p w14:paraId="05DD66CA" w14:textId="77777777" w:rsidR="002C3EFA" w:rsidRPr="0051032A" w:rsidRDefault="00260B6D" w:rsidP="0051032A">
      <w:pPr>
        <w:rPr>
          <w:rFonts w:eastAsia="SimSun"/>
        </w:rPr>
      </w:pPr>
      <w:proofErr w:type="spellStart"/>
      <w:r w:rsidRPr="0051032A">
        <w:rPr>
          <w:rFonts w:eastAsia="SimSun"/>
        </w:rPr>
        <w:t>Undiagnosed_total_y</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01A08FE9" w14:textId="77777777" w:rsidR="002C3EFA" w:rsidRPr="0051032A" w:rsidRDefault="002C3EFA" w:rsidP="0051032A">
      <w:pPr>
        <w:rPr>
          <w:rFonts w:eastAsia="SimSun"/>
        </w:rPr>
      </w:pPr>
    </w:p>
    <w:p w14:paraId="3CCB4E70" w14:textId="77777777" w:rsidR="002C3EFA" w:rsidRPr="0051032A" w:rsidRDefault="00260B6D" w:rsidP="0051032A">
      <w:pPr>
        <w:rPr>
          <w:rFonts w:eastAsia="SimSun"/>
        </w:rPr>
      </w:pPr>
      <w:r w:rsidRPr="0051032A">
        <w:rPr>
          <w:rFonts w:eastAsia="SimSun"/>
        </w:rPr>
        <w:t xml:space="preserve">Diagnosed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04D4B1A" w14:textId="77777777" w:rsidR="002C3EFA" w:rsidRPr="0051032A" w:rsidRDefault="00260B6D" w:rsidP="0051032A">
      <w:pPr>
        <w:rPr>
          <w:rFonts w:eastAsia="SimSun"/>
        </w:rPr>
      </w:pPr>
      <w:proofErr w:type="spellStart"/>
      <w:r w:rsidRPr="0051032A">
        <w:rPr>
          <w:rFonts w:eastAsia="SimSun"/>
        </w:rPr>
        <w:t>Diagnosed_y</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generations/12))</w:t>
      </w:r>
    </w:p>
    <w:p w14:paraId="2F395DF2" w14:textId="77777777" w:rsidR="002C3EFA" w:rsidRPr="0051032A" w:rsidRDefault="00260B6D" w:rsidP="0051032A">
      <w:pPr>
        <w:rPr>
          <w:rFonts w:eastAsia="SimSun"/>
        </w:rPr>
      </w:pPr>
      <w:proofErr w:type="spellStart"/>
      <w:r w:rsidRPr="0051032A">
        <w:rPr>
          <w:rFonts w:eastAsia="SimSun"/>
        </w:rPr>
        <w:t>Diagnosed_total</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0,dim=c(trials, 1, generations))</w:t>
      </w:r>
    </w:p>
    <w:p w14:paraId="4110352D" w14:textId="77777777" w:rsidR="002C3EFA" w:rsidRPr="0051032A" w:rsidRDefault="00260B6D" w:rsidP="0051032A">
      <w:pPr>
        <w:rPr>
          <w:rFonts w:eastAsia="SimSun"/>
        </w:rPr>
      </w:pPr>
      <w:proofErr w:type="spellStart"/>
      <w:r w:rsidRPr="0051032A">
        <w:rPr>
          <w:rFonts w:eastAsia="SimSun"/>
        </w:rPr>
        <w:t>Diagnosed_total_y</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6781A617" w14:textId="77777777" w:rsidR="002C3EFA" w:rsidRPr="0051032A" w:rsidRDefault="00260B6D" w:rsidP="0051032A">
      <w:pPr>
        <w:rPr>
          <w:rFonts w:eastAsia="SimSun"/>
        </w:rPr>
      </w:pPr>
      <w:proofErr w:type="spellStart"/>
      <w:r w:rsidRPr="0051032A">
        <w:rPr>
          <w:rFonts w:eastAsia="SimSun"/>
        </w:rPr>
        <w:t>Diagnosed_total_py</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32BDD509" w14:textId="77777777" w:rsidR="002C3EFA" w:rsidRPr="0051032A" w:rsidRDefault="002C3EFA" w:rsidP="0051032A">
      <w:pPr>
        <w:rPr>
          <w:rFonts w:eastAsia="SimSun"/>
        </w:rPr>
      </w:pPr>
    </w:p>
    <w:p w14:paraId="71F302F0" w14:textId="77777777" w:rsidR="002C3EFA" w:rsidRPr="0051032A" w:rsidRDefault="00260B6D" w:rsidP="0051032A">
      <w:pPr>
        <w:rPr>
          <w:rFonts w:eastAsia="SimSun"/>
        </w:rPr>
      </w:pPr>
      <w:proofErr w:type="spellStart"/>
      <w:r w:rsidRPr="0051032A">
        <w:rPr>
          <w:rFonts w:eastAsia="SimSun"/>
        </w:rPr>
        <w:t>New_Diagnosed</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522AD90" w14:textId="77777777" w:rsidR="002C3EFA" w:rsidRPr="0051032A" w:rsidRDefault="00260B6D" w:rsidP="0051032A">
      <w:pPr>
        <w:rPr>
          <w:rFonts w:eastAsia="SimSun"/>
        </w:rPr>
      </w:pPr>
      <w:proofErr w:type="spellStart"/>
      <w:r w:rsidRPr="0051032A">
        <w:rPr>
          <w:rFonts w:eastAsia="SimSun"/>
        </w:rPr>
        <w:t>New_Diagnosed_y</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generations/12))</w:t>
      </w:r>
    </w:p>
    <w:p w14:paraId="4ED63A60" w14:textId="1BD3BDBD" w:rsidR="00260B6D" w:rsidRPr="0051032A" w:rsidRDefault="00260B6D" w:rsidP="0051032A">
      <w:pPr>
        <w:rPr>
          <w:rFonts w:eastAsia="SimSun"/>
        </w:rPr>
      </w:pPr>
      <w:proofErr w:type="spellStart"/>
      <w:r w:rsidRPr="0051032A">
        <w:rPr>
          <w:rFonts w:eastAsia="SimSun"/>
        </w:rPr>
        <w:t>New_Diagnosed_total</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0,dim=c(trials, 1, generations))</w:t>
      </w:r>
    </w:p>
    <w:p w14:paraId="0B8A65F2" w14:textId="77777777" w:rsidR="00260B6D" w:rsidRPr="0051032A" w:rsidRDefault="00260B6D" w:rsidP="0051032A">
      <w:pPr>
        <w:rPr>
          <w:rFonts w:eastAsia="SimSun"/>
        </w:rPr>
      </w:pPr>
      <w:proofErr w:type="spellStart"/>
      <w:r w:rsidRPr="0051032A">
        <w:rPr>
          <w:rFonts w:eastAsia="SimSun"/>
        </w:rPr>
        <w:lastRenderedPageBreak/>
        <w:t>New_Diagnosed_total_y</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5775AC0F" w14:textId="77777777" w:rsidR="00260B6D" w:rsidRPr="0051032A" w:rsidRDefault="00260B6D" w:rsidP="0051032A">
      <w:pPr>
        <w:rPr>
          <w:rFonts w:eastAsia="SimSun"/>
        </w:rPr>
      </w:pPr>
    </w:p>
    <w:p w14:paraId="5856AFA9" w14:textId="77777777" w:rsidR="00260B6D" w:rsidRPr="0051032A" w:rsidRDefault="00260B6D" w:rsidP="0051032A">
      <w:pPr>
        <w:rPr>
          <w:rFonts w:eastAsia="SimSun"/>
        </w:rPr>
      </w:pPr>
      <w:r w:rsidRPr="0051032A">
        <w:rPr>
          <w:rFonts w:eastAsia="SimSun"/>
        </w:rPr>
        <w:t xml:space="preserve">Linked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09DDC09" w14:textId="77777777" w:rsidR="00260B6D" w:rsidRPr="0051032A" w:rsidRDefault="00260B6D" w:rsidP="0051032A">
      <w:pPr>
        <w:rPr>
          <w:rFonts w:eastAsia="SimSun"/>
        </w:rPr>
      </w:pPr>
      <w:proofErr w:type="spellStart"/>
      <w:r w:rsidRPr="0051032A">
        <w:rPr>
          <w:rFonts w:eastAsia="SimSun"/>
        </w:rPr>
        <w:t>Linked_y</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generations/12))</w:t>
      </w:r>
    </w:p>
    <w:p w14:paraId="130EFF7E" w14:textId="77777777" w:rsidR="00260B6D" w:rsidRPr="0051032A" w:rsidRDefault="00260B6D" w:rsidP="0051032A">
      <w:pPr>
        <w:rPr>
          <w:rFonts w:eastAsia="SimSun"/>
        </w:rPr>
      </w:pPr>
      <w:proofErr w:type="spellStart"/>
      <w:r w:rsidRPr="0051032A">
        <w:rPr>
          <w:rFonts w:eastAsia="SimSun"/>
        </w:rPr>
        <w:t>Linked_total</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0,dim=c(trials, 1, generations))</w:t>
      </w:r>
    </w:p>
    <w:p w14:paraId="416C3D6B" w14:textId="77777777" w:rsidR="00260B6D" w:rsidRPr="0051032A" w:rsidRDefault="00260B6D" w:rsidP="0051032A">
      <w:pPr>
        <w:rPr>
          <w:rFonts w:eastAsia="SimSun"/>
        </w:rPr>
      </w:pPr>
      <w:proofErr w:type="spellStart"/>
      <w:r w:rsidRPr="0051032A">
        <w:rPr>
          <w:rFonts w:eastAsia="SimSun"/>
        </w:rPr>
        <w:t>Linked_total_y</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707D17FF" w14:textId="77777777" w:rsidR="00260B6D" w:rsidRPr="0051032A" w:rsidRDefault="00260B6D" w:rsidP="0051032A">
      <w:pPr>
        <w:rPr>
          <w:rFonts w:eastAsia="SimSun"/>
        </w:rPr>
      </w:pPr>
    </w:p>
    <w:p w14:paraId="0A0E8195" w14:textId="77777777" w:rsidR="00260B6D" w:rsidRPr="0051032A" w:rsidRDefault="00260B6D" w:rsidP="0051032A">
      <w:pPr>
        <w:rPr>
          <w:rFonts w:eastAsia="SimSun"/>
        </w:rPr>
      </w:pPr>
      <w:r w:rsidRPr="0051032A">
        <w:rPr>
          <w:rFonts w:eastAsia="SimSun"/>
        </w:rPr>
        <w:t xml:space="preserve">Lost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698DF2FD" w14:textId="77777777" w:rsidR="00260B6D" w:rsidRPr="0051032A" w:rsidRDefault="00260B6D" w:rsidP="0051032A">
      <w:pPr>
        <w:rPr>
          <w:rFonts w:eastAsia="SimSun"/>
        </w:rPr>
      </w:pPr>
      <w:proofErr w:type="spellStart"/>
      <w:r w:rsidRPr="0051032A">
        <w:rPr>
          <w:rFonts w:eastAsia="SimSun"/>
        </w:rPr>
        <w:t>Lost_y</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generations/12))</w:t>
      </w:r>
    </w:p>
    <w:p w14:paraId="05AFC727" w14:textId="77777777" w:rsidR="00260B6D" w:rsidRPr="0051032A" w:rsidRDefault="00260B6D" w:rsidP="0051032A">
      <w:pPr>
        <w:rPr>
          <w:rFonts w:eastAsia="SimSun"/>
        </w:rPr>
      </w:pPr>
      <w:proofErr w:type="spellStart"/>
      <w:r w:rsidRPr="0051032A">
        <w:rPr>
          <w:rFonts w:eastAsia="SimSun"/>
        </w:rPr>
        <w:t>Lost_total</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0,dim=c(trials, 1, generations))</w:t>
      </w:r>
    </w:p>
    <w:p w14:paraId="4377E495" w14:textId="77777777" w:rsidR="00260B6D" w:rsidRPr="0051032A" w:rsidRDefault="00260B6D" w:rsidP="0051032A">
      <w:pPr>
        <w:rPr>
          <w:rFonts w:eastAsia="SimSun"/>
        </w:rPr>
      </w:pPr>
      <w:proofErr w:type="spellStart"/>
      <w:r w:rsidRPr="0051032A">
        <w:rPr>
          <w:rFonts w:eastAsia="SimSun"/>
        </w:rPr>
        <w:t>Lost_total_y</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6988F18E" w14:textId="77777777" w:rsidR="00260B6D" w:rsidRPr="0051032A" w:rsidRDefault="00260B6D" w:rsidP="0051032A">
      <w:pPr>
        <w:rPr>
          <w:rFonts w:eastAsia="SimSun"/>
        </w:rPr>
      </w:pPr>
    </w:p>
    <w:p w14:paraId="45A7D517" w14:textId="77777777" w:rsidR="00260B6D" w:rsidRPr="0051032A" w:rsidRDefault="00260B6D" w:rsidP="0051032A">
      <w:pPr>
        <w:rPr>
          <w:rFonts w:eastAsia="SimSun"/>
        </w:rPr>
      </w:pPr>
      <w:r w:rsidRPr="0051032A">
        <w:rPr>
          <w:rFonts w:eastAsia="SimSun"/>
        </w:rPr>
        <w:t xml:space="preserve">Suppressed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52A69A89" w14:textId="77777777" w:rsidR="00260B6D" w:rsidRPr="0051032A" w:rsidRDefault="00260B6D" w:rsidP="0051032A">
      <w:pPr>
        <w:rPr>
          <w:rFonts w:eastAsia="SimSun"/>
        </w:rPr>
      </w:pPr>
      <w:proofErr w:type="spellStart"/>
      <w:r w:rsidRPr="0051032A">
        <w:rPr>
          <w:rFonts w:eastAsia="SimSun"/>
        </w:rPr>
        <w:t>Suppressed_y</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generations/12))</w:t>
      </w:r>
    </w:p>
    <w:p w14:paraId="5C836909" w14:textId="77777777" w:rsidR="00260B6D" w:rsidRPr="0051032A" w:rsidRDefault="00260B6D" w:rsidP="0051032A">
      <w:pPr>
        <w:rPr>
          <w:rFonts w:eastAsia="SimSun"/>
        </w:rPr>
      </w:pPr>
      <w:proofErr w:type="spellStart"/>
      <w:r w:rsidRPr="0051032A">
        <w:rPr>
          <w:rFonts w:eastAsia="SimSun"/>
        </w:rPr>
        <w:t>Suppressed_total</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0,dim=c(trials, 1, generations))</w:t>
      </w:r>
    </w:p>
    <w:p w14:paraId="3861745B" w14:textId="77777777" w:rsidR="00260B6D" w:rsidRPr="0051032A" w:rsidRDefault="00260B6D" w:rsidP="0051032A">
      <w:pPr>
        <w:rPr>
          <w:rFonts w:eastAsia="SimSun"/>
        </w:rPr>
      </w:pPr>
      <w:proofErr w:type="spellStart"/>
      <w:r w:rsidRPr="0051032A">
        <w:rPr>
          <w:rFonts w:eastAsia="SimSun"/>
        </w:rPr>
        <w:t>Suppressed_total_y</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0DB9AB17" w14:textId="77777777" w:rsidR="00260B6D" w:rsidRPr="0051032A" w:rsidRDefault="00260B6D" w:rsidP="0051032A">
      <w:pPr>
        <w:rPr>
          <w:rFonts w:eastAsia="SimSun"/>
        </w:rPr>
      </w:pPr>
      <w:proofErr w:type="spellStart"/>
      <w:r w:rsidRPr="0051032A">
        <w:rPr>
          <w:rFonts w:eastAsia="SimSun"/>
        </w:rPr>
        <w:t>Target_VS</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26E557A4" w14:textId="77777777" w:rsidR="00260B6D" w:rsidRPr="0051032A" w:rsidRDefault="00260B6D" w:rsidP="0051032A">
      <w:pPr>
        <w:rPr>
          <w:rFonts w:eastAsia="SimSun"/>
        </w:rPr>
      </w:pPr>
    </w:p>
    <w:p w14:paraId="475FF097" w14:textId="77777777" w:rsidR="00260B6D" w:rsidRPr="0051032A" w:rsidRDefault="00260B6D" w:rsidP="0051032A">
      <w:pPr>
        <w:rPr>
          <w:rFonts w:eastAsia="SimSun"/>
        </w:rPr>
      </w:pPr>
      <w:proofErr w:type="spellStart"/>
      <w:r w:rsidRPr="0051032A">
        <w:rPr>
          <w:rFonts w:eastAsia="SimSun"/>
        </w:rPr>
        <w:t>Suppressed_onART_y</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generations/12))</w:t>
      </w:r>
    </w:p>
    <w:p w14:paraId="469DABAB" w14:textId="77777777" w:rsidR="00260B6D" w:rsidRPr="0051032A" w:rsidRDefault="00260B6D" w:rsidP="0051032A">
      <w:pPr>
        <w:rPr>
          <w:rFonts w:eastAsia="SimSun"/>
        </w:rPr>
      </w:pPr>
      <w:proofErr w:type="spellStart"/>
      <w:r w:rsidRPr="0051032A">
        <w:rPr>
          <w:rFonts w:eastAsia="SimSun"/>
        </w:rPr>
        <w:t>Suppressed_onART_total_y</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29CF9EA8" w14:textId="77777777" w:rsidR="00260B6D" w:rsidRPr="0051032A" w:rsidRDefault="00260B6D" w:rsidP="0051032A">
      <w:pPr>
        <w:rPr>
          <w:rFonts w:eastAsia="SimSun"/>
        </w:rPr>
      </w:pPr>
      <w:proofErr w:type="spellStart"/>
      <w:r w:rsidRPr="0051032A">
        <w:rPr>
          <w:rFonts w:eastAsia="SimSun"/>
        </w:rPr>
        <w:t>Target_VSonART</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1D065D36" w14:textId="77777777" w:rsidR="00260B6D" w:rsidRPr="0051032A" w:rsidRDefault="00260B6D" w:rsidP="0051032A">
      <w:pPr>
        <w:rPr>
          <w:rFonts w:eastAsia="SimSun"/>
        </w:rPr>
      </w:pPr>
    </w:p>
    <w:p w14:paraId="1832B3B7" w14:textId="77777777" w:rsidR="00260B6D" w:rsidRPr="0051032A" w:rsidRDefault="00260B6D" w:rsidP="0051032A">
      <w:pPr>
        <w:rPr>
          <w:rFonts w:eastAsia="SimSun"/>
        </w:rPr>
      </w:pPr>
      <w:proofErr w:type="spellStart"/>
      <w:r w:rsidRPr="0051032A">
        <w:rPr>
          <w:rFonts w:eastAsia="SimSun"/>
        </w:rPr>
        <w:t>Not_Suppressed</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6C2537D0" w14:textId="77777777" w:rsidR="00260B6D" w:rsidRPr="0051032A" w:rsidRDefault="00260B6D" w:rsidP="0051032A">
      <w:pPr>
        <w:rPr>
          <w:rFonts w:eastAsia="SimSun"/>
        </w:rPr>
      </w:pPr>
      <w:proofErr w:type="spellStart"/>
      <w:r w:rsidRPr="0051032A">
        <w:rPr>
          <w:rFonts w:eastAsia="SimSun"/>
        </w:rPr>
        <w:t>Not_Suppressed_y</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generations/12))</w:t>
      </w:r>
    </w:p>
    <w:p w14:paraId="6ADB1993" w14:textId="77777777" w:rsidR="00260B6D" w:rsidRPr="0051032A" w:rsidRDefault="00260B6D" w:rsidP="0051032A">
      <w:pPr>
        <w:rPr>
          <w:rFonts w:eastAsia="SimSun"/>
        </w:rPr>
      </w:pPr>
      <w:proofErr w:type="spellStart"/>
      <w:r w:rsidRPr="0051032A">
        <w:rPr>
          <w:rFonts w:eastAsia="SimSun"/>
        </w:rPr>
        <w:t>Not_Suppressed_total</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0,dim=c(trials, 1, generations))</w:t>
      </w:r>
    </w:p>
    <w:p w14:paraId="727115B5" w14:textId="77777777" w:rsidR="00260B6D" w:rsidRPr="0051032A" w:rsidRDefault="00260B6D" w:rsidP="0051032A">
      <w:pPr>
        <w:rPr>
          <w:rFonts w:eastAsia="SimSun"/>
        </w:rPr>
      </w:pPr>
      <w:proofErr w:type="spellStart"/>
      <w:r w:rsidRPr="0051032A">
        <w:rPr>
          <w:rFonts w:eastAsia="SimSun"/>
        </w:rPr>
        <w:t>Not_Suppressed_total_y</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775AC3F3" w14:textId="77777777" w:rsidR="00260B6D" w:rsidRPr="0051032A" w:rsidRDefault="00260B6D" w:rsidP="0051032A">
      <w:pPr>
        <w:rPr>
          <w:rFonts w:eastAsia="SimSun"/>
        </w:rPr>
      </w:pPr>
    </w:p>
    <w:p w14:paraId="701C4393" w14:textId="77777777" w:rsidR="00260B6D" w:rsidRPr="0051032A" w:rsidRDefault="00260B6D" w:rsidP="0051032A">
      <w:pPr>
        <w:rPr>
          <w:rFonts w:eastAsia="SimSun"/>
        </w:rPr>
      </w:pPr>
      <w:proofErr w:type="spellStart"/>
      <w:r w:rsidRPr="0051032A">
        <w:rPr>
          <w:rFonts w:eastAsia="SimSun"/>
        </w:rPr>
        <w:t>On_ART</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075959D0" w14:textId="77777777" w:rsidR="00260B6D" w:rsidRPr="0051032A" w:rsidRDefault="00260B6D" w:rsidP="0051032A">
      <w:pPr>
        <w:rPr>
          <w:rFonts w:eastAsia="SimSun"/>
        </w:rPr>
      </w:pPr>
      <w:proofErr w:type="spellStart"/>
      <w:r w:rsidRPr="0051032A">
        <w:rPr>
          <w:rFonts w:eastAsia="SimSun"/>
        </w:rPr>
        <w:t>On_ART_y</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generations/12))</w:t>
      </w:r>
    </w:p>
    <w:p w14:paraId="09D73A56" w14:textId="77777777" w:rsidR="00260B6D" w:rsidRPr="0051032A" w:rsidRDefault="00260B6D" w:rsidP="0051032A">
      <w:pPr>
        <w:rPr>
          <w:rFonts w:eastAsia="SimSun"/>
        </w:rPr>
      </w:pPr>
      <w:proofErr w:type="spellStart"/>
      <w:r w:rsidRPr="0051032A">
        <w:rPr>
          <w:rFonts w:eastAsia="SimSun"/>
        </w:rPr>
        <w:t>On_ART_total</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0,dim=c(trials, 1, generations))</w:t>
      </w:r>
    </w:p>
    <w:p w14:paraId="20E5AA72" w14:textId="77777777" w:rsidR="00260B6D" w:rsidRPr="0051032A" w:rsidRDefault="00260B6D" w:rsidP="0051032A">
      <w:pPr>
        <w:rPr>
          <w:rFonts w:eastAsia="SimSun"/>
        </w:rPr>
      </w:pPr>
      <w:proofErr w:type="spellStart"/>
      <w:r w:rsidRPr="0051032A">
        <w:rPr>
          <w:rFonts w:eastAsia="SimSun"/>
        </w:rPr>
        <w:t>On_ART_total_y</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25C8898B" w14:textId="77777777" w:rsidR="00260B6D" w:rsidRPr="0051032A" w:rsidRDefault="00260B6D" w:rsidP="0051032A">
      <w:pPr>
        <w:rPr>
          <w:rFonts w:eastAsia="SimSun"/>
        </w:rPr>
      </w:pPr>
      <w:proofErr w:type="spellStart"/>
      <w:r w:rsidRPr="0051032A">
        <w:rPr>
          <w:rFonts w:eastAsia="SimSun"/>
        </w:rPr>
        <w:t>On_ART_total_ny</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195160D5" w14:textId="77777777" w:rsidR="00260B6D" w:rsidRPr="0051032A" w:rsidRDefault="00260B6D" w:rsidP="0051032A">
      <w:pPr>
        <w:rPr>
          <w:rFonts w:eastAsia="SimSun"/>
        </w:rPr>
      </w:pPr>
      <w:proofErr w:type="spellStart"/>
      <w:r w:rsidRPr="0051032A">
        <w:rPr>
          <w:rFonts w:eastAsia="SimSun"/>
        </w:rPr>
        <w:t>Target_onART_N</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61FC7BDB" w14:textId="77777777" w:rsidR="00260B6D" w:rsidRPr="0051032A" w:rsidRDefault="00260B6D" w:rsidP="0051032A">
      <w:pPr>
        <w:rPr>
          <w:rFonts w:eastAsia="SimSun"/>
        </w:rPr>
      </w:pPr>
      <w:proofErr w:type="spellStart"/>
      <w:r w:rsidRPr="0051032A">
        <w:rPr>
          <w:rFonts w:eastAsia="SimSun"/>
        </w:rPr>
        <w:t>Target_onART_P</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2E286E68" w14:textId="77777777" w:rsidR="00260B6D" w:rsidRPr="0051032A" w:rsidRDefault="00260B6D" w:rsidP="0051032A">
      <w:pPr>
        <w:rPr>
          <w:rFonts w:eastAsia="SimSun"/>
        </w:rPr>
      </w:pPr>
    </w:p>
    <w:p w14:paraId="60204A32" w14:textId="77777777" w:rsidR="00260B6D" w:rsidRPr="0051032A" w:rsidRDefault="00260B6D" w:rsidP="0051032A">
      <w:pPr>
        <w:rPr>
          <w:rFonts w:eastAsia="SimSun"/>
        </w:rPr>
      </w:pPr>
      <w:r w:rsidRPr="0051032A">
        <w:rPr>
          <w:rFonts w:eastAsia="SimSun"/>
        </w:rPr>
        <w:t># This command sets up variables to store HIV incidence</w:t>
      </w:r>
    </w:p>
    <w:p w14:paraId="51CB45C4" w14:textId="77777777" w:rsidR="00260B6D" w:rsidRPr="0051032A" w:rsidRDefault="00260B6D" w:rsidP="0051032A">
      <w:pPr>
        <w:rPr>
          <w:rFonts w:eastAsia="SimSun"/>
        </w:rPr>
      </w:pPr>
      <w:r w:rsidRPr="0051032A">
        <w:rPr>
          <w:rFonts w:eastAsia="SimSun"/>
        </w:rPr>
        <w:t xml:space="preserve">Incidence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7E4055BA" w14:textId="77777777" w:rsidR="00260B6D" w:rsidRPr="0051032A" w:rsidRDefault="00260B6D" w:rsidP="0051032A">
      <w:pPr>
        <w:rPr>
          <w:rFonts w:eastAsia="SimSun"/>
        </w:rPr>
      </w:pPr>
      <w:proofErr w:type="spellStart"/>
      <w:r w:rsidRPr="0051032A">
        <w:rPr>
          <w:rFonts w:eastAsia="SimSun"/>
        </w:rPr>
        <w:t>Incidence_y</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generations/12))</w:t>
      </w:r>
    </w:p>
    <w:p w14:paraId="0525C57F" w14:textId="77777777" w:rsidR="00260B6D" w:rsidRPr="0051032A" w:rsidRDefault="00260B6D" w:rsidP="0051032A">
      <w:pPr>
        <w:rPr>
          <w:rFonts w:eastAsia="SimSun"/>
        </w:rPr>
      </w:pPr>
      <w:proofErr w:type="spellStart"/>
      <w:r w:rsidRPr="0051032A">
        <w:rPr>
          <w:rFonts w:eastAsia="SimSun"/>
        </w:rPr>
        <w:t>Incidence_total</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0,dim=c(trials, 1, generations))</w:t>
      </w:r>
    </w:p>
    <w:p w14:paraId="1516559B" w14:textId="77777777" w:rsidR="00260B6D" w:rsidRPr="0051032A" w:rsidRDefault="00260B6D" w:rsidP="0051032A">
      <w:pPr>
        <w:rPr>
          <w:rFonts w:eastAsia="SimSun"/>
        </w:rPr>
      </w:pPr>
      <w:proofErr w:type="spellStart"/>
      <w:r w:rsidRPr="0051032A">
        <w:rPr>
          <w:rFonts w:eastAsia="SimSun"/>
        </w:rPr>
        <w:t>Incidence_total_y</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14DEE531" w14:textId="77777777" w:rsidR="00260B6D" w:rsidRPr="0051032A" w:rsidRDefault="00260B6D" w:rsidP="0051032A">
      <w:pPr>
        <w:rPr>
          <w:rFonts w:eastAsia="SimSun"/>
        </w:rPr>
      </w:pPr>
      <w:proofErr w:type="spellStart"/>
      <w:r w:rsidRPr="0051032A">
        <w:rPr>
          <w:rFonts w:eastAsia="SimSun"/>
        </w:rPr>
        <w:t>Target_incidence</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460B4006" w14:textId="77777777" w:rsidR="00260B6D" w:rsidRPr="0051032A" w:rsidRDefault="00260B6D" w:rsidP="0051032A">
      <w:pPr>
        <w:rPr>
          <w:rFonts w:eastAsia="SimSun"/>
        </w:rPr>
      </w:pPr>
    </w:p>
    <w:p w14:paraId="38A3FB00" w14:textId="77777777" w:rsidR="00260B6D" w:rsidRPr="0051032A" w:rsidRDefault="00260B6D" w:rsidP="0051032A">
      <w:pPr>
        <w:rPr>
          <w:rFonts w:eastAsia="SimSun"/>
        </w:rPr>
      </w:pPr>
      <w:r w:rsidRPr="0051032A">
        <w:rPr>
          <w:rFonts w:eastAsia="SimSun"/>
        </w:rPr>
        <w:t># This command sets up variables to store HIV prevalence.</w:t>
      </w:r>
    </w:p>
    <w:p w14:paraId="05E0FA28" w14:textId="77777777" w:rsidR="00260B6D" w:rsidRPr="0051032A" w:rsidRDefault="00260B6D" w:rsidP="0051032A">
      <w:pPr>
        <w:rPr>
          <w:rFonts w:eastAsia="SimSun"/>
        </w:rPr>
      </w:pPr>
      <w:r w:rsidRPr="0051032A">
        <w:rPr>
          <w:rFonts w:eastAsia="SimSun"/>
        </w:rPr>
        <w:t xml:space="preserve">Prevalence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2E98B21" w14:textId="77777777" w:rsidR="00260B6D" w:rsidRPr="0051032A" w:rsidRDefault="00260B6D" w:rsidP="0051032A">
      <w:pPr>
        <w:rPr>
          <w:rFonts w:eastAsia="SimSun"/>
        </w:rPr>
      </w:pPr>
      <w:proofErr w:type="spellStart"/>
      <w:r w:rsidRPr="0051032A">
        <w:rPr>
          <w:rFonts w:eastAsia="SimSun"/>
        </w:rPr>
        <w:t>Prevalence_y</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generations/12))</w:t>
      </w:r>
    </w:p>
    <w:p w14:paraId="748B261C" w14:textId="77777777" w:rsidR="00260B6D" w:rsidRPr="0051032A" w:rsidRDefault="00260B6D" w:rsidP="0051032A">
      <w:pPr>
        <w:rPr>
          <w:rFonts w:eastAsia="SimSun"/>
        </w:rPr>
      </w:pPr>
      <w:proofErr w:type="spellStart"/>
      <w:r w:rsidRPr="0051032A">
        <w:rPr>
          <w:rFonts w:eastAsia="SimSun"/>
        </w:rPr>
        <w:t>Prevalence_total</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0,dim=c(trials, 1, generations))</w:t>
      </w:r>
    </w:p>
    <w:p w14:paraId="1941F80F" w14:textId="77777777" w:rsidR="00260B6D" w:rsidRPr="0051032A" w:rsidRDefault="00260B6D" w:rsidP="0051032A">
      <w:pPr>
        <w:rPr>
          <w:rFonts w:eastAsia="SimSun"/>
        </w:rPr>
      </w:pPr>
      <w:proofErr w:type="spellStart"/>
      <w:r w:rsidRPr="0051032A">
        <w:rPr>
          <w:rFonts w:eastAsia="SimSun"/>
        </w:rPr>
        <w:lastRenderedPageBreak/>
        <w:t>Prevalence_total_y</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12D622E8" w14:textId="77777777" w:rsidR="00260B6D" w:rsidRPr="0051032A" w:rsidRDefault="00260B6D" w:rsidP="0051032A">
      <w:pPr>
        <w:rPr>
          <w:rFonts w:eastAsia="SimSun"/>
        </w:rPr>
      </w:pPr>
      <w:proofErr w:type="spellStart"/>
      <w:r w:rsidRPr="0051032A">
        <w:rPr>
          <w:rFonts w:eastAsia="SimSun"/>
        </w:rPr>
        <w:t>Target_prev</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3C05CE63" w14:textId="77777777" w:rsidR="00260B6D" w:rsidRPr="0051032A" w:rsidRDefault="00260B6D" w:rsidP="0051032A">
      <w:pPr>
        <w:rPr>
          <w:rFonts w:eastAsia="SimSun"/>
        </w:rPr>
      </w:pPr>
    </w:p>
    <w:p w14:paraId="45CB76F8" w14:textId="77777777" w:rsidR="00260B6D" w:rsidRPr="0051032A" w:rsidRDefault="00260B6D" w:rsidP="0051032A">
      <w:pPr>
        <w:rPr>
          <w:rFonts w:eastAsia="SimSun"/>
        </w:rPr>
      </w:pPr>
      <w:r w:rsidRPr="0051032A">
        <w:rPr>
          <w:rFonts w:eastAsia="SimSun"/>
        </w:rPr>
        <w:t xml:space="preserve"># This command sets up variables to store the number of new </w:t>
      </w:r>
      <w:proofErr w:type="gramStart"/>
      <w:r w:rsidRPr="0051032A">
        <w:rPr>
          <w:rFonts w:eastAsia="SimSun"/>
        </w:rPr>
        <w:t>infection</w:t>
      </w:r>
      <w:proofErr w:type="gramEnd"/>
      <w:r w:rsidRPr="0051032A">
        <w:rPr>
          <w:rFonts w:eastAsia="SimSun"/>
        </w:rPr>
        <w:t>.</w:t>
      </w:r>
    </w:p>
    <w:p w14:paraId="299FDB1E" w14:textId="77777777" w:rsidR="00260B6D" w:rsidRPr="0051032A" w:rsidRDefault="00260B6D" w:rsidP="0051032A">
      <w:pPr>
        <w:rPr>
          <w:rFonts w:eastAsia="SimSun"/>
        </w:rPr>
      </w:pPr>
      <w:r w:rsidRPr="0051032A">
        <w:rPr>
          <w:rFonts w:eastAsia="SimSun"/>
        </w:rPr>
        <w:t xml:space="preserve">NI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74A5CB43" w14:textId="77777777" w:rsidR="00260B6D" w:rsidRPr="0051032A" w:rsidRDefault="00260B6D" w:rsidP="0051032A">
      <w:pPr>
        <w:rPr>
          <w:rFonts w:eastAsia="SimSun"/>
        </w:rPr>
      </w:pPr>
      <w:proofErr w:type="spellStart"/>
      <w:r w:rsidRPr="0051032A">
        <w:rPr>
          <w:rFonts w:eastAsia="SimSun"/>
        </w:rPr>
        <w:t>NI_y</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generations/12))</w:t>
      </w:r>
    </w:p>
    <w:p w14:paraId="1773C07B" w14:textId="77777777" w:rsidR="00260B6D" w:rsidRPr="0051032A" w:rsidRDefault="00260B6D" w:rsidP="0051032A">
      <w:pPr>
        <w:rPr>
          <w:rFonts w:eastAsia="SimSun"/>
        </w:rPr>
      </w:pPr>
      <w:proofErr w:type="spellStart"/>
      <w:r w:rsidRPr="0051032A">
        <w:rPr>
          <w:rFonts w:eastAsia="SimSun"/>
        </w:rPr>
        <w:t>NI_total</w:t>
      </w:r>
      <w:proofErr w:type="spellEnd"/>
      <w:r w:rsidRPr="0051032A">
        <w:rPr>
          <w:rFonts w:eastAsia="SimSun"/>
        </w:rPr>
        <w:t xml:space="preserve"> &lt;- </w:t>
      </w:r>
      <w:proofErr w:type="gramStart"/>
      <w:r w:rsidRPr="0051032A">
        <w:rPr>
          <w:rFonts w:eastAsia="SimSun"/>
        </w:rPr>
        <w:t>array(</w:t>
      </w:r>
      <w:proofErr w:type="gramEnd"/>
      <w:r w:rsidRPr="0051032A">
        <w:rPr>
          <w:rFonts w:eastAsia="SimSun"/>
        </w:rPr>
        <w:t>0,dim=c(trials, 1, generations))</w:t>
      </w:r>
    </w:p>
    <w:p w14:paraId="4EABDAF7" w14:textId="77777777" w:rsidR="00260B6D" w:rsidRPr="0051032A" w:rsidRDefault="00260B6D" w:rsidP="0051032A">
      <w:pPr>
        <w:rPr>
          <w:rFonts w:eastAsia="SimSun"/>
        </w:rPr>
      </w:pPr>
      <w:proofErr w:type="spellStart"/>
      <w:r w:rsidRPr="0051032A">
        <w:rPr>
          <w:rFonts w:eastAsia="SimSun"/>
        </w:rPr>
        <w:t>NI_total_y</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=generations/12)</w:t>
      </w:r>
    </w:p>
    <w:p w14:paraId="31FC1CFC" w14:textId="77777777" w:rsidR="00260B6D" w:rsidRPr="0051032A" w:rsidRDefault="00260B6D" w:rsidP="0051032A">
      <w:pPr>
        <w:rPr>
          <w:rFonts w:eastAsia="SimSun"/>
        </w:rPr>
      </w:pPr>
    </w:p>
    <w:p w14:paraId="2FF0AE90" w14:textId="77777777" w:rsidR="00260B6D" w:rsidRPr="0051032A" w:rsidRDefault="00260B6D" w:rsidP="0051032A">
      <w:pPr>
        <w:rPr>
          <w:rFonts w:eastAsia="SimSun"/>
        </w:rPr>
      </w:pPr>
      <w:r w:rsidRPr="0051032A">
        <w:rPr>
          <w:rFonts w:eastAsia="SimSun"/>
        </w:rPr>
        <w:t># This command sets up variables to store total population for high-risk urban women.</w:t>
      </w:r>
    </w:p>
    <w:p w14:paraId="3F659AF0" w14:textId="77777777" w:rsidR="00260B6D" w:rsidRPr="0051032A" w:rsidRDefault="00260B6D" w:rsidP="0051032A">
      <w:pPr>
        <w:rPr>
          <w:rFonts w:eastAsia="SimSun"/>
        </w:rPr>
      </w:pPr>
      <w:proofErr w:type="spellStart"/>
      <w:r w:rsidRPr="0051032A">
        <w:rPr>
          <w:rFonts w:eastAsia="SimSun"/>
        </w:rPr>
        <w:t>N_hr_f</w:t>
      </w:r>
      <w:proofErr w:type="spellEnd"/>
      <w:r w:rsidRPr="0051032A">
        <w:rPr>
          <w:rFonts w:eastAsia="SimSun"/>
        </w:rPr>
        <w:t xml:space="preserve">&lt;-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7F5ADBF" w14:textId="77777777" w:rsidR="00260B6D" w:rsidRPr="0051032A" w:rsidRDefault="00260B6D" w:rsidP="0051032A">
      <w:pPr>
        <w:rPr>
          <w:rFonts w:eastAsia="SimSun"/>
        </w:rPr>
      </w:pPr>
      <w:r w:rsidRPr="0051032A">
        <w:rPr>
          <w:rFonts w:eastAsia="SimSun"/>
        </w:rPr>
        <w:t># This command sets up variables to store total population for low-risk urban women.</w:t>
      </w:r>
    </w:p>
    <w:p w14:paraId="671759F1" w14:textId="77777777" w:rsidR="00260B6D" w:rsidRPr="0051032A" w:rsidRDefault="00260B6D" w:rsidP="0051032A">
      <w:pPr>
        <w:rPr>
          <w:rFonts w:eastAsia="SimSun"/>
        </w:rPr>
      </w:pPr>
      <w:proofErr w:type="spellStart"/>
      <w:r w:rsidRPr="0051032A">
        <w:rPr>
          <w:rFonts w:eastAsia="SimSun"/>
        </w:rPr>
        <w:t>N_lr_u_f</w:t>
      </w:r>
      <w:proofErr w:type="spellEnd"/>
      <w:r w:rsidRPr="0051032A">
        <w:rPr>
          <w:rFonts w:eastAsia="SimSun"/>
        </w:rPr>
        <w:t xml:space="preserve">&lt;-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05E25F6D" w14:textId="77777777" w:rsidR="00260B6D" w:rsidRPr="0051032A" w:rsidRDefault="00260B6D" w:rsidP="0051032A">
      <w:pPr>
        <w:rPr>
          <w:rFonts w:eastAsia="SimSun"/>
        </w:rPr>
      </w:pPr>
      <w:r w:rsidRPr="0051032A">
        <w:rPr>
          <w:rFonts w:eastAsia="SimSun"/>
        </w:rPr>
        <w:t># This command sets up variables to store total population for low-risk rural women.</w:t>
      </w:r>
    </w:p>
    <w:p w14:paraId="58738926" w14:textId="77777777" w:rsidR="00260B6D" w:rsidRPr="0051032A" w:rsidRDefault="00260B6D" w:rsidP="0051032A">
      <w:pPr>
        <w:rPr>
          <w:rFonts w:eastAsia="SimSun"/>
        </w:rPr>
      </w:pPr>
      <w:proofErr w:type="spellStart"/>
      <w:r w:rsidRPr="0051032A">
        <w:rPr>
          <w:rFonts w:eastAsia="SimSun"/>
        </w:rPr>
        <w:t>N_lr_r_f</w:t>
      </w:r>
      <w:proofErr w:type="spellEnd"/>
      <w:r w:rsidRPr="0051032A">
        <w:rPr>
          <w:rFonts w:eastAsia="SimSun"/>
        </w:rPr>
        <w:t xml:space="preserve">&lt;-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63616B9E" w14:textId="77777777" w:rsidR="00260B6D" w:rsidRPr="0051032A" w:rsidRDefault="00260B6D" w:rsidP="0051032A">
      <w:pPr>
        <w:rPr>
          <w:rFonts w:eastAsia="SimSun"/>
        </w:rPr>
      </w:pPr>
      <w:r w:rsidRPr="0051032A">
        <w:rPr>
          <w:rFonts w:eastAsia="SimSun"/>
        </w:rPr>
        <w:t># This command sets up variables to store total population for urban men.</w:t>
      </w:r>
    </w:p>
    <w:p w14:paraId="2B6A6D0F" w14:textId="77777777" w:rsidR="00260B6D" w:rsidRPr="0051032A" w:rsidRDefault="00260B6D" w:rsidP="0051032A">
      <w:pPr>
        <w:rPr>
          <w:rFonts w:eastAsia="SimSun"/>
        </w:rPr>
      </w:pPr>
      <w:proofErr w:type="spellStart"/>
      <w:r w:rsidRPr="0051032A">
        <w:rPr>
          <w:rFonts w:eastAsia="SimSun"/>
        </w:rPr>
        <w:t>N_u_m</w:t>
      </w:r>
      <w:proofErr w:type="spellEnd"/>
      <w:r w:rsidRPr="0051032A">
        <w:rPr>
          <w:rFonts w:eastAsia="SimSun"/>
        </w:rPr>
        <w:t xml:space="preserve">&lt;-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CE69811" w14:textId="77777777" w:rsidR="00260B6D" w:rsidRPr="0051032A" w:rsidRDefault="00260B6D" w:rsidP="0051032A">
      <w:pPr>
        <w:rPr>
          <w:rFonts w:eastAsia="SimSun"/>
        </w:rPr>
      </w:pPr>
      <w:r w:rsidRPr="0051032A">
        <w:rPr>
          <w:rFonts w:eastAsia="SimSun"/>
        </w:rPr>
        <w:t># This command sets up variables to store total population for rural men.</w:t>
      </w:r>
    </w:p>
    <w:p w14:paraId="25647FD2" w14:textId="77777777" w:rsidR="00260B6D" w:rsidRPr="0051032A" w:rsidRDefault="00260B6D" w:rsidP="0051032A">
      <w:pPr>
        <w:rPr>
          <w:rFonts w:eastAsia="SimSun"/>
        </w:rPr>
      </w:pPr>
      <w:proofErr w:type="spellStart"/>
      <w:r w:rsidRPr="0051032A">
        <w:rPr>
          <w:rFonts w:eastAsia="SimSun"/>
        </w:rPr>
        <w:t>N_r_m</w:t>
      </w:r>
      <w:proofErr w:type="spellEnd"/>
      <w:r w:rsidRPr="0051032A">
        <w:rPr>
          <w:rFonts w:eastAsia="SimSun"/>
        </w:rPr>
        <w:t xml:space="preserve">&lt;-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B88653F" w14:textId="77777777" w:rsidR="00260B6D" w:rsidRPr="0051032A" w:rsidRDefault="00260B6D" w:rsidP="0051032A">
      <w:pPr>
        <w:rPr>
          <w:rFonts w:eastAsia="SimSun"/>
        </w:rPr>
      </w:pPr>
    </w:p>
    <w:p w14:paraId="5AA0E013" w14:textId="77777777" w:rsidR="00260B6D" w:rsidRPr="0051032A" w:rsidRDefault="00260B6D" w:rsidP="0051032A">
      <w:pPr>
        <w:rPr>
          <w:rFonts w:eastAsia="SimSun"/>
        </w:rPr>
      </w:pPr>
      <w:r w:rsidRPr="0051032A">
        <w:rPr>
          <w:rFonts w:eastAsia="SimSun"/>
        </w:rPr>
        <w:t># This command sets up variables to store the value of model parameters.</w:t>
      </w:r>
    </w:p>
    <w:p w14:paraId="68C12FF6" w14:textId="77777777" w:rsidR="00260B6D" w:rsidRPr="0051032A" w:rsidRDefault="00260B6D" w:rsidP="0051032A">
      <w:pPr>
        <w:rPr>
          <w:rFonts w:eastAsia="SimSun"/>
        </w:rPr>
      </w:pPr>
      <w:r w:rsidRPr="0051032A">
        <w:rPr>
          <w:rFonts w:eastAsia="SimSun"/>
        </w:rPr>
        <w:t># Rate at which people enter the susceptible population compartment.</w:t>
      </w:r>
    </w:p>
    <w:p w14:paraId="5659E242" w14:textId="77777777" w:rsidR="00260B6D" w:rsidRPr="0051032A" w:rsidRDefault="00260B6D" w:rsidP="0051032A">
      <w:pPr>
        <w:rPr>
          <w:rFonts w:eastAsia="SimSun"/>
        </w:rPr>
      </w:pPr>
      <w:r w:rsidRPr="0051032A">
        <w:rPr>
          <w:rFonts w:eastAsia="SimSun"/>
        </w:rPr>
        <w:t xml:space="preserve">rho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5149DB69" w14:textId="77777777" w:rsidR="00260B6D" w:rsidRPr="0051032A" w:rsidRDefault="00260B6D" w:rsidP="0051032A">
      <w:pPr>
        <w:rPr>
          <w:rFonts w:eastAsia="SimSun"/>
        </w:rPr>
      </w:pPr>
      <w:r w:rsidRPr="0051032A">
        <w:rPr>
          <w:rFonts w:eastAsia="SimSun"/>
        </w:rPr>
        <w:t xml:space="preserve">rho_2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9733865" w14:textId="77777777" w:rsidR="00260B6D" w:rsidRPr="0051032A" w:rsidRDefault="00260B6D" w:rsidP="0051032A">
      <w:pPr>
        <w:rPr>
          <w:rFonts w:eastAsia="SimSun"/>
        </w:rPr>
      </w:pPr>
    </w:p>
    <w:p w14:paraId="744727B8" w14:textId="77777777" w:rsidR="00260B6D" w:rsidRPr="0051032A" w:rsidRDefault="00260B6D" w:rsidP="0051032A">
      <w:pPr>
        <w:rPr>
          <w:rFonts w:eastAsia="SimSun"/>
        </w:rPr>
      </w:pPr>
      <w:r w:rsidRPr="0051032A">
        <w:rPr>
          <w:rFonts w:eastAsia="SimSun"/>
        </w:rPr>
        <w:t xml:space="preserve"># Rate of natural history HIV disease </w:t>
      </w:r>
      <w:proofErr w:type="spellStart"/>
      <w:r w:rsidRPr="0051032A">
        <w:rPr>
          <w:rFonts w:eastAsia="SimSun"/>
        </w:rPr>
        <w:t>pregression</w:t>
      </w:r>
      <w:proofErr w:type="spellEnd"/>
      <w:r w:rsidRPr="0051032A">
        <w:rPr>
          <w:rFonts w:eastAsia="SimSun"/>
        </w:rPr>
        <w:t>.</w:t>
      </w:r>
    </w:p>
    <w:p w14:paraId="68CBC46A" w14:textId="77777777" w:rsidR="00260B6D" w:rsidRPr="0051032A" w:rsidRDefault="00260B6D" w:rsidP="0051032A">
      <w:pPr>
        <w:rPr>
          <w:rFonts w:eastAsia="SimSun"/>
        </w:rPr>
      </w:pPr>
      <w:r w:rsidRPr="0051032A">
        <w:rPr>
          <w:rFonts w:eastAsia="SimSun"/>
        </w:rPr>
        <w:t xml:space="preserve">delta_1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6C3AF909" w14:textId="77777777" w:rsidR="00260B6D" w:rsidRPr="0051032A" w:rsidRDefault="00260B6D" w:rsidP="0051032A">
      <w:pPr>
        <w:rPr>
          <w:rFonts w:eastAsia="SimSun"/>
        </w:rPr>
      </w:pPr>
      <w:r w:rsidRPr="0051032A">
        <w:rPr>
          <w:rFonts w:eastAsia="SimSun"/>
        </w:rPr>
        <w:t xml:space="preserve">delta_2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D70C901" w14:textId="77777777" w:rsidR="00260B6D" w:rsidRPr="0051032A" w:rsidRDefault="00260B6D" w:rsidP="0051032A">
      <w:pPr>
        <w:rPr>
          <w:rFonts w:eastAsia="SimSun"/>
        </w:rPr>
      </w:pPr>
      <w:r w:rsidRPr="0051032A">
        <w:rPr>
          <w:rFonts w:eastAsia="SimSun"/>
        </w:rPr>
        <w:t xml:space="preserve">delta_3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5ADBF338" w14:textId="77777777" w:rsidR="00260B6D" w:rsidRPr="0051032A" w:rsidRDefault="00260B6D" w:rsidP="0051032A">
      <w:pPr>
        <w:rPr>
          <w:rFonts w:eastAsia="SimSun"/>
        </w:rPr>
      </w:pPr>
      <w:r w:rsidRPr="0051032A">
        <w:rPr>
          <w:rFonts w:eastAsia="SimSun"/>
        </w:rPr>
        <w:t xml:space="preserve">delta_4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430E8C9A" w14:textId="77777777" w:rsidR="00260B6D" w:rsidRPr="0051032A" w:rsidRDefault="00260B6D" w:rsidP="0051032A">
      <w:pPr>
        <w:rPr>
          <w:rFonts w:eastAsia="SimSun"/>
        </w:rPr>
      </w:pPr>
      <w:r w:rsidRPr="0051032A">
        <w:rPr>
          <w:rFonts w:eastAsia="SimSun"/>
        </w:rPr>
        <w:t xml:space="preserve">delta_5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034C0F2" w14:textId="77777777" w:rsidR="00260B6D" w:rsidRPr="0051032A" w:rsidRDefault="00260B6D" w:rsidP="0051032A">
      <w:pPr>
        <w:rPr>
          <w:rFonts w:eastAsia="SimSun"/>
        </w:rPr>
      </w:pPr>
      <w:r w:rsidRPr="0051032A">
        <w:rPr>
          <w:rFonts w:eastAsia="SimSun"/>
        </w:rPr>
        <w:t xml:space="preserve">delta_6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2DAC4F4" w14:textId="77777777" w:rsidR="00260B6D" w:rsidRPr="0051032A" w:rsidRDefault="00260B6D" w:rsidP="0051032A">
      <w:pPr>
        <w:rPr>
          <w:rFonts w:eastAsia="SimSun"/>
        </w:rPr>
      </w:pPr>
      <w:proofErr w:type="spellStart"/>
      <w:r w:rsidRPr="0051032A">
        <w:rPr>
          <w:rFonts w:eastAsia="SimSun"/>
        </w:rPr>
        <w:t>m_delta</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DC29198" w14:textId="77777777" w:rsidR="00260B6D" w:rsidRPr="0051032A" w:rsidRDefault="00260B6D" w:rsidP="0051032A">
      <w:pPr>
        <w:rPr>
          <w:rFonts w:eastAsia="SimSun"/>
        </w:rPr>
      </w:pPr>
    </w:p>
    <w:p w14:paraId="6C583C99" w14:textId="77777777" w:rsidR="00260B6D" w:rsidRPr="0051032A" w:rsidRDefault="00260B6D" w:rsidP="0051032A">
      <w:pPr>
        <w:rPr>
          <w:rFonts w:eastAsia="SimSun"/>
        </w:rPr>
      </w:pPr>
      <w:r w:rsidRPr="0051032A">
        <w:rPr>
          <w:rFonts w:eastAsia="SimSun"/>
        </w:rPr>
        <w:t># Rate of getting diagnosed with HIV.</w:t>
      </w:r>
    </w:p>
    <w:p w14:paraId="1019A542" w14:textId="77777777" w:rsidR="00260B6D" w:rsidRPr="0051032A" w:rsidRDefault="00260B6D" w:rsidP="0051032A">
      <w:pPr>
        <w:rPr>
          <w:rFonts w:eastAsia="SimSun"/>
        </w:rPr>
      </w:pPr>
      <w:r w:rsidRPr="0051032A">
        <w:rPr>
          <w:rFonts w:eastAsia="SimSun"/>
        </w:rPr>
        <w:t xml:space="preserve">alpha_1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42E58934" w14:textId="77777777" w:rsidR="00260B6D" w:rsidRPr="0051032A" w:rsidRDefault="00260B6D" w:rsidP="0051032A">
      <w:pPr>
        <w:rPr>
          <w:rFonts w:eastAsia="SimSun"/>
        </w:rPr>
      </w:pPr>
      <w:r w:rsidRPr="0051032A">
        <w:rPr>
          <w:rFonts w:eastAsia="SimSun"/>
        </w:rPr>
        <w:t xml:space="preserve">alpha_1_a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7ACD5A84" w14:textId="77777777" w:rsidR="00260B6D" w:rsidRPr="0051032A" w:rsidRDefault="00260B6D" w:rsidP="0051032A">
      <w:pPr>
        <w:rPr>
          <w:rFonts w:eastAsia="SimSun"/>
        </w:rPr>
      </w:pPr>
      <w:r w:rsidRPr="0051032A">
        <w:rPr>
          <w:rFonts w:eastAsia="SimSun"/>
        </w:rPr>
        <w:t xml:space="preserve">alpha_1_b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31676DC" w14:textId="77777777" w:rsidR="00260B6D" w:rsidRPr="0051032A" w:rsidRDefault="00260B6D" w:rsidP="0051032A">
      <w:pPr>
        <w:rPr>
          <w:rFonts w:eastAsia="SimSun"/>
        </w:rPr>
      </w:pPr>
      <w:r w:rsidRPr="0051032A">
        <w:rPr>
          <w:rFonts w:eastAsia="SimSun"/>
        </w:rPr>
        <w:t xml:space="preserve">alpha_2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7FDAA7F7" w14:textId="77777777" w:rsidR="00260B6D" w:rsidRPr="0051032A" w:rsidRDefault="00260B6D" w:rsidP="0051032A">
      <w:pPr>
        <w:rPr>
          <w:rFonts w:eastAsia="SimSun"/>
        </w:rPr>
      </w:pPr>
      <w:r w:rsidRPr="0051032A">
        <w:rPr>
          <w:rFonts w:eastAsia="SimSun"/>
        </w:rPr>
        <w:t xml:space="preserve">#alpha_2_a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026AAAF7" w14:textId="77777777" w:rsidR="00260B6D" w:rsidRPr="0051032A" w:rsidRDefault="00260B6D" w:rsidP="0051032A">
      <w:pPr>
        <w:rPr>
          <w:rFonts w:eastAsia="SimSun"/>
        </w:rPr>
      </w:pPr>
      <w:r w:rsidRPr="0051032A">
        <w:rPr>
          <w:rFonts w:eastAsia="SimSun"/>
        </w:rPr>
        <w:t xml:space="preserve">#alpha_2_b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512D7F80" w14:textId="77777777" w:rsidR="00260B6D" w:rsidRPr="0051032A" w:rsidRDefault="00260B6D" w:rsidP="0051032A">
      <w:pPr>
        <w:rPr>
          <w:rFonts w:eastAsia="SimSun"/>
        </w:rPr>
      </w:pPr>
      <w:r w:rsidRPr="0051032A">
        <w:rPr>
          <w:rFonts w:eastAsia="SimSun"/>
        </w:rPr>
        <w:t xml:space="preserve">alpha_3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59812D10" w14:textId="77777777" w:rsidR="00260B6D" w:rsidRPr="0051032A" w:rsidRDefault="00260B6D" w:rsidP="0051032A">
      <w:pPr>
        <w:rPr>
          <w:rFonts w:eastAsia="SimSun"/>
        </w:rPr>
      </w:pPr>
      <w:r w:rsidRPr="0051032A">
        <w:rPr>
          <w:rFonts w:eastAsia="SimSun"/>
        </w:rPr>
        <w:t xml:space="preserve">#alpha_3_a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4BAAAE4E" w14:textId="77777777" w:rsidR="00260B6D" w:rsidRPr="0051032A" w:rsidRDefault="00260B6D" w:rsidP="0051032A">
      <w:pPr>
        <w:rPr>
          <w:rFonts w:eastAsia="SimSun"/>
        </w:rPr>
      </w:pPr>
      <w:r w:rsidRPr="0051032A">
        <w:rPr>
          <w:rFonts w:eastAsia="SimSun"/>
        </w:rPr>
        <w:t xml:space="preserve">#alpha_3_b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6DEDCAF6" w14:textId="77777777" w:rsidR="00260B6D" w:rsidRPr="0051032A" w:rsidRDefault="00260B6D" w:rsidP="0051032A">
      <w:pPr>
        <w:rPr>
          <w:rFonts w:eastAsia="SimSun"/>
        </w:rPr>
      </w:pPr>
      <w:r w:rsidRPr="0051032A">
        <w:rPr>
          <w:rFonts w:eastAsia="SimSun"/>
        </w:rPr>
        <w:t xml:space="preserve">alpha_4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56903D65" w14:textId="77777777" w:rsidR="00260B6D" w:rsidRPr="0051032A" w:rsidRDefault="00260B6D" w:rsidP="0051032A">
      <w:pPr>
        <w:rPr>
          <w:rFonts w:eastAsia="SimSun"/>
        </w:rPr>
      </w:pPr>
      <w:r w:rsidRPr="0051032A">
        <w:rPr>
          <w:rFonts w:eastAsia="SimSun"/>
        </w:rPr>
        <w:t xml:space="preserve">#alpha_4_a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7690399C" w14:textId="77777777" w:rsidR="00260B6D" w:rsidRPr="0051032A" w:rsidRDefault="00260B6D" w:rsidP="0051032A">
      <w:pPr>
        <w:rPr>
          <w:rFonts w:eastAsia="SimSun"/>
        </w:rPr>
      </w:pPr>
      <w:r w:rsidRPr="0051032A">
        <w:rPr>
          <w:rFonts w:eastAsia="SimSun"/>
        </w:rPr>
        <w:lastRenderedPageBreak/>
        <w:t xml:space="preserve">#alpha_4_b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5FF016C" w14:textId="77777777" w:rsidR="00260B6D" w:rsidRPr="0051032A" w:rsidRDefault="00260B6D" w:rsidP="0051032A">
      <w:pPr>
        <w:rPr>
          <w:rFonts w:eastAsia="SimSun"/>
        </w:rPr>
      </w:pPr>
      <w:proofErr w:type="spellStart"/>
      <w:r w:rsidRPr="0051032A">
        <w:rPr>
          <w:rFonts w:eastAsia="SimSun"/>
        </w:rPr>
        <w:t>alpha_m</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72E64780" w14:textId="77777777" w:rsidR="00260B6D" w:rsidRPr="0051032A" w:rsidRDefault="00260B6D" w:rsidP="0051032A">
      <w:pPr>
        <w:rPr>
          <w:rFonts w:eastAsia="SimSun"/>
        </w:rPr>
      </w:pPr>
      <w:proofErr w:type="spellStart"/>
      <w:r w:rsidRPr="0051032A">
        <w:rPr>
          <w:rFonts w:eastAsia="SimSun"/>
        </w:rPr>
        <w:t>alpha_m_mu</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0751ED58" w14:textId="77777777" w:rsidR="00260B6D" w:rsidRPr="0051032A" w:rsidRDefault="00260B6D" w:rsidP="0051032A">
      <w:pPr>
        <w:rPr>
          <w:rFonts w:eastAsia="SimSun"/>
        </w:rPr>
      </w:pPr>
      <w:proofErr w:type="spellStart"/>
      <w:r w:rsidRPr="0051032A">
        <w:rPr>
          <w:rFonts w:eastAsia="SimSun"/>
        </w:rPr>
        <w:t>alpha_m_sd</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6D0AF58C" w14:textId="77777777" w:rsidR="00260B6D" w:rsidRPr="0051032A" w:rsidRDefault="00260B6D" w:rsidP="0051032A">
      <w:pPr>
        <w:rPr>
          <w:rFonts w:eastAsia="SimSun"/>
        </w:rPr>
      </w:pPr>
    </w:p>
    <w:p w14:paraId="587AFEFC" w14:textId="77777777" w:rsidR="00260B6D" w:rsidRPr="0051032A" w:rsidRDefault="00260B6D" w:rsidP="0051032A">
      <w:pPr>
        <w:rPr>
          <w:rFonts w:eastAsia="SimSun"/>
        </w:rPr>
      </w:pPr>
      <w:r w:rsidRPr="0051032A">
        <w:rPr>
          <w:rFonts w:eastAsia="SimSun"/>
        </w:rPr>
        <w:t># Rate of being on ART and virally suppressed.</w:t>
      </w:r>
    </w:p>
    <w:p w14:paraId="0194DE98" w14:textId="77777777" w:rsidR="00260B6D" w:rsidRPr="0051032A" w:rsidRDefault="00260B6D" w:rsidP="0051032A">
      <w:pPr>
        <w:rPr>
          <w:rFonts w:eastAsia="SimSun"/>
        </w:rPr>
      </w:pPr>
      <w:r w:rsidRPr="0051032A">
        <w:rPr>
          <w:rFonts w:eastAsia="SimSun"/>
        </w:rPr>
        <w:t xml:space="preserve">sigma_1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472C26EA" w14:textId="77777777" w:rsidR="00260B6D" w:rsidRPr="0051032A" w:rsidRDefault="00260B6D" w:rsidP="0051032A">
      <w:pPr>
        <w:rPr>
          <w:rFonts w:eastAsia="SimSun"/>
        </w:rPr>
      </w:pPr>
      <w:r w:rsidRPr="0051032A">
        <w:rPr>
          <w:rFonts w:eastAsia="SimSun"/>
        </w:rPr>
        <w:t xml:space="preserve">sigma_2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03DDB39B" w14:textId="77777777" w:rsidR="00260B6D" w:rsidRPr="0051032A" w:rsidRDefault="00260B6D" w:rsidP="0051032A">
      <w:pPr>
        <w:rPr>
          <w:rFonts w:eastAsia="SimSun"/>
        </w:rPr>
      </w:pPr>
      <w:r w:rsidRPr="0051032A">
        <w:rPr>
          <w:rFonts w:eastAsia="SimSun"/>
        </w:rPr>
        <w:t xml:space="preserve">sigma_3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6B400305" w14:textId="77777777" w:rsidR="00260B6D" w:rsidRPr="0051032A" w:rsidRDefault="00260B6D" w:rsidP="0051032A">
      <w:pPr>
        <w:rPr>
          <w:rFonts w:eastAsia="SimSun"/>
        </w:rPr>
      </w:pPr>
      <w:r w:rsidRPr="0051032A">
        <w:rPr>
          <w:rFonts w:eastAsia="SimSun"/>
        </w:rPr>
        <w:t xml:space="preserve">sigma_4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1C0BC1F" w14:textId="77777777" w:rsidR="00260B6D" w:rsidRPr="0051032A" w:rsidRDefault="00260B6D" w:rsidP="0051032A">
      <w:pPr>
        <w:rPr>
          <w:rFonts w:eastAsia="SimSun"/>
        </w:rPr>
      </w:pPr>
    </w:p>
    <w:p w14:paraId="29FDBAEB" w14:textId="77777777" w:rsidR="00260B6D" w:rsidRPr="0051032A" w:rsidRDefault="00260B6D" w:rsidP="0051032A">
      <w:pPr>
        <w:rPr>
          <w:rFonts w:eastAsia="SimSun"/>
        </w:rPr>
      </w:pPr>
      <w:r w:rsidRPr="0051032A">
        <w:rPr>
          <w:rFonts w:eastAsia="SimSun"/>
        </w:rPr>
        <w:t># Rate of getting lost from care.</w:t>
      </w:r>
    </w:p>
    <w:p w14:paraId="05F8920E" w14:textId="77777777" w:rsidR="00260B6D" w:rsidRPr="0051032A" w:rsidRDefault="00260B6D" w:rsidP="0051032A">
      <w:pPr>
        <w:rPr>
          <w:rFonts w:eastAsia="SimSun"/>
        </w:rPr>
      </w:pPr>
      <w:r w:rsidRPr="0051032A">
        <w:rPr>
          <w:rFonts w:eastAsia="SimSun"/>
        </w:rPr>
        <w:t xml:space="preserve">gamma_1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C07DDE8" w14:textId="77777777" w:rsidR="00260B6D" w:rsidRPr="0051032A" w:rsidRDefault="00260B6D" w:rsidP="0051032A">
      <w:pPr>
        <w:rPr>
          <w:rFonts w:eastAsia="SimSun"/>
        </w:rPr>
      </w:pPr>
      <w:r w:rsidRPr="0051032A">
        <w:rPr>
          <w:rFonts w:eastAsia="SimSun"/>
        </w:rPr>
        <w:t xml:space="preserve">gamma_2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44D8D74F" w14:textId="77777777" w:rsidR="00260B6D" w:rsidRPr="0051032A" w:rsidRDefault="00260B6D" w:rsidP="0051032A">
      <w:pPr>
        <w:rPr>
          <w:rFonts w:eastAsia="SimSun"/>
        </w:rPr>
      </w:pPr>
      <w:r w:rsidRPr="0051032A">
        <w:rPr>
          <w:rFonts w:eastAsia="SimSun"/>
        </w:rPr>
        <w:t xml:space="preserve">gamma_3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4DC8DD39" w14:textId="77777777" w:rsidR="00260B6D" w:rsidRPr="0051032A" w:rsidRDefault="00260B6D" w:rsidP="0051032A">
      <w:pPr>
        <w:rPr>
          <w:rFonts w:eastAsia="SimSun"/>
        </w:rPr>
      </w:pPr>
      <w:r w:rsidRPr="0051032A">
        <w:rPr>
          <w:rFonts w:eastAsia="SimSun"/>
        </w:rPr>
        <w:t xml:space="preserve">gamma_4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DDBA049" w14:textId="77777777" w:rsidR="00260B6D" w:rsidRPr="0051032A" w:rsidRDefault="00260B6D" w:rsidP="0051032A">
      <w:pPr>
        <w:rPr>
          <w:rFonts w:eastAsia="SimSun"/>
        </w:rPr>
      </w:pPr>
      <w:r w:rsidRPr="0051032A">
        <w:rPr>
          <w:rFonts w:eastAsia="SimSun"/>
        </w:rPr>
        <w:t xml:space="preserve">gamma_5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5DA0DC6C" w14:textId="77777777" w:rsidR="00260B6D" w:rsidRPr="0051032A" w:rsidRDefault="00260B6D" w:rsidP="0051032A">
      <w:pPr>
        <w:rPr>
          <w:rFonts w:eastAsia="SimSun"/>
        </w:rPr>
      </w:pPr>
      <w:r w:rsidRPr="0051032A">
        <w:rPr>
          <w:rFonts w:eastAsia="SimSun"/>
        </w:rPr>
        <w:t xml:space="preserve">gamma_6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7F34F525" w14:textId="77777777" w:rsidR="00260B6D" w:rsidRPr="0051032A" w:rsidRDefault="00260B6D" w:rsidP="0051032A">
      <w:pPr>
        <w:rPr>
          <w:rFonts w:eastAsia="SimSun"/>
        </w:rPr>
      </w:pPr>
      <w:r w:rsidRPr="0051032A">
        <w:rPr>
          <w:rFonts w:eastAsia="SimSun"/>
        </w:rPr>
        <w:t xml:space="preserve">gamma_7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DAD8B72" w14:textId="77777777" w:rsidR="00260B6D" w:rsidRPr="0051032A" w:rsidRDefault="00260B6D" w:rsidP="0051032A">
      <w:pPr>
        <w:rPr>
          <w:rFonts w:eastAsia="SimSun"/>
        </w:rPr>
      </w:pPr>
      <w:r w:rsidRPr="0051032A">
        <w:rPr>
          <w:rFonts w:eastAsia="SimSun"/>
        </w:rPr>
        <w:t xml:space="preserve">gamma_8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75CB69C1" w14:textId="77777777" w:rsidR="00260B6D" w:rsidRPr="0051032A" w:rsidRDefault="00260B6D" w:rsidP="0051032A">
      <w:pPr>
        <w:rPr>
          <w:rFonts w:eastAsia="SimSun"/>
        </w:rPr>
      </w:pPr>
      <w:r w:rsidRPr="0051032A">
        <w:rPr>
          <w:rFonts w:eastAsia="SimSun"/>
        </w:rPr>
        <w:t xml:space="preserve">gamma_9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7A50D0C" w14:textId="77777777" w:rsidR="00260B6D" w:rsidRPr="0051032A" w:rsidRDefault="00260B6D" w:rsidP="0051032A">
      <w:pPr>
        <w:rPr>
          <w:rFonts w:eastAsia="SimSun"/>
        </w:rPr>
      </w:pPr>
      <w:r w:rsidRPr="0051032A">
        <w:rPr>
          <w:rFonts w:eastAsia="SimSun"/>
        </w:rPr>
        <w:t xml:space="preserve">gamma_10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1F2499F" w14:textId="77777777" w:rsidR="00260B6D" w:rsidRPr="0051032A" w:rsidRDefault="00260B6D" w:rsidP="0051032A">
      <w:pPr>
        <w:rPr>
          <w:rFonts w:eastAsia="SimSun"/>
        </w:rPr>
      </w:pPr>
      <w:r w:rsidRPr="0051032A">
        <w:rPr>
          <w:rFonts w:eastAsia="SimSun"/>
        </w:rPr>
        <w:t xml:space="preserve">gamma_11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6FF1E72" w14:textId="77777777" w:rsidR="00260B6D" w:rsidRPr="0051032A" w:rsidRDefault="00260B6D" w:rsidP="0051032A">
      <w:pPr>
        <w:rPr>
          <w:rFonts w:eastAsia="SimSun"/>
        </w:rPr>
      </w:pPr>
      <w:r w:rsidRPr="0051032A">
        <w:rPr>
          <w:rFonts w:eastAsia="SimSun"/>
        </w:rPr>
        <w:t xml:space="preserve">gamma_12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743FD267" w14:textId="77777777" w:rsidR="00260B6D" w:rsidRPr="0051032A" w:rsidRDefault="00260B6D" w:rsidP="0051032A">
      <w:pPr>
        <w:rPr>
          <w:rFonts w:eastAsia="SimSun"/>
        </w:rPr>
      </w:pPr>
    </w:p>
    <w:p w14:paraId="4F77B533" w14:textId="77777777" w:rsidR="00260B6D" w:rsidRPr="0051032A" w:rsidRDefault="00260B6D" w:rsidP="0051032A">
      <w:pPr>
        <w:rPr>
          <w:rFonts w:eastAsia="SimSun"/>
        </w:rPr>
      </w:pPr>
      <w:r w:rsidRPr="0051032A">
        <w:rPr>
          <w:rFonts w:eastAsia="SimSun"/>
        </w:rPr>
        <w:t># Rate of failure to maintain viral suppression.</w:t>
      </w:r>
    </w:p>
    <w:p w14:paraId="3E6F4210" w14:textId="77777777" w:rsidR="00260B6D" w:rsidRPr="0051032A" w:rsidRDefault="00260B6D" w:rsidP="0051032A">
      <w:pPr>
        <w:rPr>
          <w:rFonts w:eastAsia="SimSun"/>
        </w:rPr>
      </w:pPr>
      <w:r w:rsidRPr="0051032A">
        <w:rPr>
          <w:rFonts w:eastAsia="SimSun"/>
        </w:rPr>
        <w:t xml:space="preserve">psi_1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4D46462A" w14:textId="77777777" w:rsidR="00260B6D" w:rsidRPr="0051032A" w:rsidRDefault="00260B6D" w:rsidP="0051032A">
      <w:pPr>
        <w:rPr>
          <w:rFonts w:eastAsia="SimSun"/>
        </w:rPr>
      </w:pPr>
      <w:r w:rsidRPr="0051032A">
        <w:rPr>
          <w:rFonts w:eastAsia="SimSun"/>
        </w:rPr>
        <w:t xml:space="preserve">psi_2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BFE97BF" w14:textId="77777777" w:rsidR="00260B6D" w:rsidRPr="0051032A" w:rsidRDefault="00260B6D" w:rsidP="0051032A">
      <w:pPr>
        <w:rPr>
          <w:rFonts w:eastAsia="SimSun"/>
        </w:rPr>
      </w:pPr>
      <w:r w:rsidRPr="0051032A">
        <w:rPr>
          <w:rFonts w:eastAsia="SimSun"/>
        </w:rPr>
        <w:t xml:space="preserve">psi_3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1102FBD" w14:textId="77777777" w:rsidR="00260B6D" w:rsidRPr="0051032A" w:rsidRDefault="00260B6D" w:rsidP="0051032A">
      <w:pPr>
        <w:rPr>
          <w:rFonts w:eastAsia="SimSun"/>
        </w:rPr>
      </w:pPr>
      <w:r w:rsidRPr="0051032A">
        <w:rPr>
          <w:rFonts w:eastAsia="SimSun"/>
        </w:rPr>
        <w:t xml:space="preserve">psi_4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50425BA" w14:textId="77777777" w:rsidR="00260B6D" w:rsidRPr="0051032A" w:rsidRDefault="00260B6D" w:rsidP="0051032A">
      <w:pPr>
        <w:rPr>
          <w:rFonts w:eastAsia="SimSun"/>
        </w:rPr>
      </w:pPr>
    </w:p>
    <w:p w14:paraId="7B280FA8" w14:textId="77777777" w:rsidR="00260B6D" w:rsidRPr="0051032A" w:rsidRDefault="00260B6D" w:rsidP="0051032A">
      <w:pPr>
        <w:rPr>
          <w:rFonts w:eastAsia="SimSun"/>
        </w:rPr>
      </w:pPr>
      <w:r w:rsidRPr="0051032A">
        <w:rPr>
          <w:rFonts w:eastAsia="SimSun"/>
        </w:rPr>
        <w:t># Rate of being on ART and suppressed.</w:t>
      </w:r>
    </w:p>
    <w:p w14:paraId="4AED9DFC" w14:textId="77777777" w:rsidR="00260B6D" w:rsidRPr="0051032A" w:rsidRDefault="00260B6D" w:rsidP="0051032A">
      <w:pPr>
        <w:rPr>
          <w:rFonts w:eastAsia="SimSun"/>
        </w:rPr>
      </w:pPr>
      <w:r w:rsidRPr="0051032A">
        <w:rPr>
          <w:rFonts w:eastAsia="SimSun"/>
        </w:rPr>
        <w:t xml:space="preserve">theta_1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8D2B36D" w14:textId="77777777" w:rsidR="00260B6D" w:rsidRPr="0051032A" w:rsidRDefault="00260B6D" w:rsidP="0051032A">
      <w:pPr>
        <w:rPr>
          <w:rFonts w:eastAsia="SimSun"/>
        </w:rPr>
      </w:pPr>
      <w:r w:rsidRPr="0051032A">
        <w:rPr>
          <w:rFonts w:eastAsia="SimSun"/>
        </w:rPr>
        <w:t xml:space="preserve">theta_1_lb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663A1F22" w14:textId="77777777" w:rsidR="00260B6D" w:rsidRPr="0051032A" w:rsidRDefault="00260B6D" w:rsidP="0051032A">
      <w:pPr>
        <w:rPr>
          <w:rFonts w:eastAsia="SimSun"/>
        </w:rPr>
      </w:pPr>
      <w:r w:rsidRPr="0051032A">
        <w:rPr>
          <w:rFonts w:eastAsia="SimSun"/>
        </w:rPr>
        <w:t xml:space="preserve">theta_1_ub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5EC94094" w14:textId="77777777" w:rsidR="00260B6D" w:rsidRPr="0051032A" w:rsidRDefault="00260B6D" w:rsidP="0051032A">
      <w:pPr>
        <w:rPr>
          <w:rFonts w:eastAsia="SimSun"/>
        </w:rPr>
      </w:pPr>
      <w:r w:rsidRPr="0051032A">
        <w:rPr>
          <w:rFonts w:eastAsia="SimSun"/>
        </w:rPr>
        <w:t xml:space="preserve">theta_2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69BF56D0" w14:textId="77777777" w:rsidR="00260B6D" w:rsidRPr="0051032A" w:rsidRDefault="00260B6D" w:rsidP="0051032A">
      <w:pPr>
        <w:rPr>
          <w:rFonts w:eastAsia="SimSun"/>
        </w:rPr>
      </w:pPr>
      <w:r w:rsidRPr="0051032A">
        <w:rPr>
          <w:rFonts w:eastAsia="SimSun"/>
        </w:rPr>
        <w:t xml:space="preserve">theta_2_lb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6C725CBA" w14:textId="77777777" w:rsidR="00260B6D" w:rsidRPr="0051032A" w:rsidRDefault="00260B6D" w:rsidP="0051032A">
      <w:pPr>
        <w:rPr>
          <w:rFonts w:eastAsia="SimSun"/>
        </w:rPr>
      </w:pPr>
      <w:r w:rsidRPr="0051032A">
        <w:rPr>
          <w:rFonts w:eastAsia="SimSun"/>
        </w:rPr>
        <w:t xml:space="preserve">theta_2_ub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7A5C2C60" w14:textId="77777777" w:rsidR="00260B6D" w:rsidRPr="0051032A" w:rsidRDefault="00260B6D" w:rsidP="0051032A">
      <w:pPr>
        <w:rPr>
          <w:rFonts w:eastAsia="SimSun"/>
        </w:rPr>
      </w:pPr>
      <w:r w:rsidRPr="0051032A">
        <w:rPr>
          <w:rFonts w:eastAsia="SimSun"/>
        </w:rPr>
        <w:t xml:space="preserve">theta_3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D1F52CA" w14:textId="77777777" w:rsidR="00260B6D" w:rsidRPr="0051032A" w:rsidRDefault="00260B6D" w:rsidP="0051032A">
      <w:pPr>
        <w:rPr>
          <w:rFonts w:eastAsia="SimSun"/>
        </w:rPr>
      </w:pPr>
      <w:r w:rsidRPr="0051032A">
        <w:rPr>
          <w:rFonts w:eastAsia="SimSun"/>
        </w:rPr>
        <w:t xml:space="preserve">theta_3_lb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75B7E938" w14:textId="77777777" w:rsidR="00260B6D" w:rsidRPr="0051032A" w:rsidRDefault="00260B6D" w:rsidP="0051032A">
      <w:pPr>
        <w:rPr>
          <w:rFonts w:eastAsia="SimSun"/>
        </w:rPr>
      </w:pPr>
      <w:r w:rsidRPr="0051032A">
        <w:rPr>
          <w:rFonts w:eastAsia="SimSun"/>
        </w:rPr>
        <w:t xml:space="preserve">theta_3_ub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B7B0161" w14:textId="77777777" w:rsidR="00260B6D" w:rsidRPr="0051032A" w:rsidRDefault="00260B6D" w:rsidP="0051032A">
      <w:pPr>
        <w:rPr>
          <w:rFonts w:eastAsia="SimSun"/>
        </w:rPr>
      </w:pPr>
      <w:r w:rsidRPr="0051032A">
        <w:rPr>
          <w:rFonts w:eastAsia="SimSun"/>
        </w:rPr>
        <w:t xml:space="preserve">theta_4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8F0BFC8" w14:textId="77777777" w:rsidR="00260B6D" w:rsidRPr="0051032A" w:rsidRDefault="00260B6D" w:rsidP="0051032A">
      <w:pPr>
        <w:rPr>
          <w:rFonts w:eastAsia="SimSun"/>
        </w:rPr>
      </w:pPr>
      <w:r w:rsidRPr="0051032A">
        <w:rPr>
          <w:rFonts w:eastAsia="SimSun"/>
        </w:rPr>
        <w:t xml:space="preserve">theta_4_lb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6FA1175" w14:textId="77777777" w:rsidR="00260B6D" w:rsidRPr="0051032A" w:rsidRDefault="00260B6D" w:rsidP="0051032A">
      <w:pPr>
        <w:rPr>
          <w:rFonts w:eastAsia="SimSun"/>
        </w:rPr>
      </w:pPr>
      <w:r w:rsidRPr="0051032A">
        <w:rPr>
          <w:rFonts w:eastAsia="SimSun"/>
        </w:rPr>
        <w:t xml:space="preserve">theta_4_ub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27C7904" w14:textId="77777777" w:rsidR="00260B6D" w:rsidRPr="0051032A" w:rsidRDefault="00260B6D" w:rsidP="0051032A">
      <w:pPr>
        <w:rPr>
          <w:rFonts w:eastAsia="SimSun"/>
        </w:rPr>
      </w:pPr>
    </w:p>
    <w:p w14:paraId="6C3B5B2D" w14:textId="77777777" w:rsidR="00260B6D" w:rsidRPr="0051032A" w:rsidRDefault="00260B6D" w:rsidP="0051032A">
      <w:pPr>
        <w:rPr>
          <w:rFonts w:eastAsia="SimSun"/>
        </w:rPr>
      </w:pPr>
      <w:r w:rsidRPr="0051032A">
        <w:rPr>
          <w:rFonts w:eastAsia="SimSun"/>
        </w:rPr>
        <w:t># Rate of return to ART and being suppressed.</w:t>
      </w:r>
    </w:p>
    <w:p w14:paraId="3C25CD8D" w14:textId="77777777" w:rsidR="00260B6D" w:rsidRPr="0051032A" w:rsidRDefault="00260B6D" w:rsidP="0051032A">
      <w:pPr>
        <w:rPr>
          <w:rFonts w:eastAsia="SimSun"/>
        </w:rPr>
      </w:pPr>
      <w:r w:rsidRPr="0051032A">
        <w:rPr>
          <w:rFonts w:eastAsia="SimSun"/>
        </w:rPr>
        <w:lastRenderedPageBreak/>
        <w:t xml:space="preserve">tau_1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14B6BF9" w14:textId="77777777" w:rsidR="00260B6D" w:rsidRPr="0051032A" w:rsidRDefault="00260B6D" w:rsidP="0051032A">
      <w:pPr>
        <w:rPr>
          <w:rFonts w:eastAsia="SimSun"/>
        </w:rPr>
      </w:pPr>
    </w:p>
    <w:p w14:paraId="1579E974" w14:textId="77777777" w:rsidR="00260B6D" w:rsidRPr="0051032A" w:rsidRDefault="00260B6D" w:rsidP="0051032A">
      <w:pPr>
        <w:rPr>
          <w:rFonts w:eastAsia="SimSun"/>
        </w:rPr>
      </w:pPr>
      <w:r w:rsidRPr="0051032A">
        <w:rPr>
          <w:rFonts w:eastAsia="SimSun"/>
        </w:rPr>
        <w:t># Mortality rate.</w:t>
      </w:r>
    </w:p>
    <w:p w14:paraId="00FDD140" w14:textId="77777777" w:rsidR="00260B6D" w:rsidRPr="0051032A" w:rsidRDefault="00260B6D" w:rsidP="0051032A">
      <w:pPr>
        <w:rPr>
          <w:rFonts w:eastAsia="SimSun"/>
        </w:rPr>
      </w:pPr>
      <w:r w:rsidRPr="0051032A">
        <w:rPr>
          <w:rFonts w:eastAsia="SimSun"/>
        </w:rPr>
        <w:t xml:space="preserve">mu_1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4512A04" w14:textId="77777777" w:rsidR="00260B6D" w:rsidRPr="0051032A" w:rsidRDefault="00260B6D" w:rsidP="0051032A">
      <w:pPr>
        <w:rPr>
          <w:rFonts w:eastAsia="SimSun"/>
        </w:rPr>
      </w:pPr>
      <w:r w:rsidRPr="0051032A">
        <w:rPr>
          <w:rFonts w:eastAsia="SimSun"/>
        </w:rPr>
        <w:t xml:space="preserve">mu_2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58C5A3E9" w14:textId="77777777" w:rsidR="00260B6D" w:rsidRPr="0051032A" w:rsidRDefault="00260B6D" w:rsidP="0051032A">
      <w:pPr>
        <w:rPr>
          <w:rFonts w:eastAsia="SimSun"/>
        </w:rPr>
      </w:pPr>
      <w:r w:rsidRPr="0051032A">
        <w:rPr>
          <w:rFonts w:eastAsia="SimSun"/>
        </w:rPr>
        <w:t xml:space="preserve">mu_3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12DF96D" w14:textId="77777777" w:rsidR="00260B6D" w:rsidRPr="0051032A" w:rsidRDefault="00260B6D" w:rsidP="0051032A">
      <w:pPr>
        <w:rPr>
          <w:rFonts w:eastAsia="SimSun"/>
        </w:rPr>
      </w:pPr>
      <w:r w:rsidRPr="0051032A">
        <w:rPr>
          <w:rFonts w:eastAsia="SimSun"/>
        </w:rPr>
        <w:t xml:space="preserve">mu_4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4BC6893D" w14:textId="77777777" w:rsidR="00260B6D" w:rsidRPr="0051032A" w:rsidRDefault="00260B6D" w:rsidP="0051032A">
      <w:pPr>
        <w:rPr>
          <w:rFonts w:eastAsia="SimSun"/>
        </w:rPr>
      </w:pPr>
      <w:r w:rsidRPr="0051032A">
        <w:rPr>
          <w:rFonts w:eastAsia="SimSun"/>
        </w:rPr>
        <w:t xml:space="preserve">mu_5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A8BBD4F" w14:textId="77777777" w:rsidR="00260B6D" w:rsidRPr="0051032A" w:rsidRDefault="00260B6D" w:rsidP="0051032A">
      <w:pPr>
        <w:rPr>
          <w:rFonts w:eastAsia="SimSun"/>
        </w:rPr>
      </w:pPr>
      <w:r w:rsidRPr="0051032A">
        <w:rPr>
          <w:rFonts w:eastAsia="SimSun"/>
        </w:rPr>
        <w:t xml:space="preserve">mu_6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7DEA327F" w14:textId="77777777" w:rsidR="00260B6D" w:rsidRPr="0051032A" w:rsidRDefault="00260B6D" w:rsidP="0051032A">
      <w:pPr>
        <w:rPr>
          <w:rFonts w:eastAsia="SimSun"/>
        </w:rPr>
      </w:pPr>
      <w:r w:rsidRPr="0051032A">
        <w:rPr>
          <w:rFonts w:eastAsia="SimSun"/>
        </w:rPr>
        <w:t xml:space="preserve">mu_7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CA03830" w14:textId="77777777" w:rsidR="00260B6D" w:rsidRPr="0051032A" w:rsidRDefault="00260B6D" w:rsidP="0051032A">
      <w:pPr>
        <w:rPr>
          <w:rFonts w:eastAsia="SimSun"/>
        </w:rPr>
      </w:pPr>
      <w:r w:rsidRPr="0051032A">
        <w:rPr>
          <w:rFonts w:eastAsia="SimSun"/>
        </w:rPr>
        <w:t xml:space="preserve">mu_8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49983B44" w14:textId="77777777" w:rsidR="00260B6D" w:rsidRPr="0051032A" w:rsidRDefault="00260B6D" w:rsidP="0051032A">
      <w:pPr>
        <w:rPr>
          <w:rFonts w:eastAsia="SimSun"/>
        </w:rPr>
      </w:pPr>
      <w:r w:rsidRPr="0051032A">
        <w:rPr>
          <w:rFonts w:eastAsia="SimSun"/>
        </w:rPr>
        <w:t xml:space="preserve">mu_9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70267186" w14:textId="77777777" w:rsidR="00260B6D" w:rsidRPr="0051032A" w:rsidRDefault="00260B6D" w:rsidP="0051032A">
      <w:pPr>
        <w:rPr>
          <w:rFonts w:eastAsia="SimSun"/>
        </w:rPr>
      </w:pPr>
      <w:r w:rsidRPr="0051032A">
        <w:rPr>
          <w:rFonts w:eastAsia="SimSun"/>
        </w:rPr>
        <w:t xml:space="preserve">mu_10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0DDE0902" w14:textId="77777777" w:rsidR="00260B6D" w:rsidRPr="0051032A" w:rsidRDefault="00260B6D" w:rsidP="0051032A">
      <w:pPr>
        <w:rPr>
          <w:rFonts w:eastAsia="SimSun"/>
        </w:rPr>
      </w:pPr>
      <w:r w:rsidRPr="0051032A">
        <w:rPr>
          <w:rFonts w:eastAsia="SimSun"/>
        </w:rPr>
        <w:t xml:space="preserve">mu_11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A0C57CA" w14:textId="77777777" w:rsidR="00260B6D" w:rsidRPr="0051032A" w:rsidRDefault="00260B6D" w:rsidP="0051032A">
      <w:pPr>
        <w:rPr>
          <w:rFonts w:eastAsia="SimSun"/>
        </w:rPr>
      </w:pPr>
      <w:r w:rsidRPr="0051032A">
        <w:rPr>
          <w:rFonts w:eastAsia="SimSun"/>
        </w:rPr>
        <w:t xml:space="preserve">mu_12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66908D7D" w14:textId="77777777" w:rsidR="00260B6D" w:rsidRPr="0051032A" w:rsidRDefault="00260B6D" w:rsidP="0051032A">
      <w:pPr>
        <w:rPr>
          <w:rFonts w:eastAsia="SimSun"/>
        </w:rPr>
      </w:pPr>
      <w:r w:rsidRPr="0051032A">
        <w:rPr>
          <w:rFonts w:eastAsia="SimSun"/>
        </w:rPr>
        <w:t xml:space="preserve">mu_13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5290DB96" w14:textId="77777777" w:rsidR="00260B6D" w:rsidRPr="0051032A" w:rsidRDefault="00260B6D" w:rsidP="0051032A">
      <w:pPr>
        <w:rPr>
          <w:rFonts w:eastAsia="SimSun"/>
        </w:rPr>
      </w:pPr>
      <w:r w:rsidRPr="0051032A">
        <w:rPr>
          <w:rFonts w:eastAsia="SimSun"/>
        </w:rPr>
        <w:t xml:space="preserve">mu_14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1A44E7E8" w14:textId="77777777" w:rsidR="00260B6D" w:rsidRPr="0051032A" w:rsidRDefault="00260B6D" w:rsidP="0051032A">
      <w:pPr>
        <w:rPr>
          <w:rFonts w:eastAsia="SimSun"/>
        </w:rPr>
      </w:pPr>
      <w:r w:rsidRPr="0051032A">
        <w:rPr>
          <w:rFonts w:eastAsia="SimSun"/>
        </w:rPr>
        <w:t xml:space="preserve">mu_15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60815DA9" w14:textId="77777777" w:rsidR="00260B6D" w:rsidRPr="0051032A" w:rsidRDefault="00260B6D" w:rsidP="0051032A">
      <w:pPr>
        <w:rPr>
          <w:rFonts w:eastAsia="SimSun"/>
        </w:rPr>
      </w:pPr>
      <w:r w:rsidRPr="0051032A">
        <w:rPr>
          <w:rFonts w:eastAsia="SimSun"/>
        </w:rPr>
        <w:t xml:space="preserve">mu_16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5DF306F1" w14:textId="77777777" w:rsidR="00260B6D" w:rsidRPr="0051032A" w:rsidRDefault="00260B6D" w:rsidP="0051032A">
      <w:pPr>
        <w:rPr>
          <w:rFonts w:eastAsia="SimSun"/>
        </w:rPr>
      </w:pPr>
      <w:proofErr w:type="spellStart"/>
      <w:r w:rsidRPr="0051032A">
        <w:rPr>
          <w:rFonts w:eastAsia="SimSun"/>
        </w:rPr>
        <w:t>m_mu</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4F5E30A1" w14:textId="77777777" w:rsidR="00260B6D" w:rsidRPr="0051032A" w:rsidRDefault="00260B6D" w:rsidP="0051032A">
      <w:pPr>
        <w:rPr>
          <w:rFonts w:eastAsia="SimSun"/>
        </w:rPr>
      </w:pPr>
    </w:p>
    <w:p w14:paraId="6B7C6B99" w14:textId="77777777" w:rsidR="00260B6D" w:rsidRPr="0051032A" w:rsidRDefault="00260B6D" w:rsidP="0051032A">
      <w:pPr>
        <w:rPr>
          <w:rFonts w:eastAsia="SimSun"/>
        </w:rPr>
      </w:pPr>
      <w:r w:rsidRPr="0051032A">
        <w:rPr>
          <w:rFonts w:eastAsia="SimSun"/>
        </w:rPr>
        <w:t xml:space="preserve"># Percentage of </w:t>
      </w:r>
      <w:proofErr w:type="spellStart"/>
      <w:r w:rsidRPr="0051032A">
        <w:rPr>
          <w:rFonts w:eastAsia="SimSun"/>
        </w:rPr>
        <w:t>individuas</w:t>
      </w:r>
      <w:proofErr w:type="spellEnd"/>
      <w:r w:rsidRPr="0051032A">
        <w:rPr>
          <w:rFonts w:eastAsia="SimSun"/>
        </w:rPr>
        <w:t xml:space="preserve"> consistently using a condom in sub-group r.</w:t>
      </w:r>
    </w:p>
    <w:p w14:paraId="1F38C7FE" w14:textId="77777777" w:rsidR="00260B6D" w:rsidRPr="0051032A" w:rsidRDefault="00260B6D" w:rsidP="0051032A">
      <w:pPr>
        <w:rPr>
          <w:rFonts w:eastAsia="SimSun"/>
        </w:rPr>
      </w:pPr>
      <w:proofErr w:type="spellStart"/>
      <w:r w:rsidRPr="0051032A">
        <w:rPr>
          <w:rFonts w:eastAsia="SimSun"/>
        </w:rPr>
        <w:t>c_r</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605D150B" w14:textId="77777777" w:rsidR="00260B6D" w:rsidRPr="0051032A" w:rsidRDefault="00260B6D" w:rsidP="0051032A">
      <w:pPr>
        <w:rPr>
          <w:rFonts w:eastAsia="SimSun"/>
        </w:rPr>
      </w:pPr>
      <w:r w:rsidRPr="0051032A">
        <w:rPr>
          <w:rFonts w:eastAsia="SimSun"/>
        </w:rPr>
        <w:t xml:space="preserve"># Reduction in probability of HIV transmission when using a condom. </w:t>
      </w:r>
    </w:p>
    <w:p w14:paraId="6DFD228E" w14:textId="77777777" w:rsidR="00260B6D" w:rsidRPr="0051032A" w:rsidRDefault="00260B6D" w:rsidP="0051032A">
      <w:pPr>
        <w:rPr>
          <w:rFonts w:eastAsia="SimSun"/>
        </w:rPr>
      </w:pPr>
      <w:r w:rsidRPr="0051032A">
        <w:rPr>
          <w:rFonts w:eastAsia="SimSun"/>
        </w:rPr>
        <w:t xml:space="preserve">epsilon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323A071" w14:textId="77777777" w:rsidR="00260B6D" w:rsidRPr="0051032A" w:rsidRDefault="00260B6D" w:rsidP="0051032A">
      <w:pPr>
        <w:rPr>
          <w:rFonts w:eastAsia="SimSun"/>
        </w:rPr>
      </w:pPr>
      <w:r w:rsidRPr="0051032A">
        <w:rPr>
          <w:rFonts w:eastAsia="SimSun"/>
        </w:rPr>
        <w:t xml:space="preserve"># Weight </w:t>
      </w:r>
      <w:proofErr w:type="spellStart"/>
      <w:r w:rsidRPr="0051032A">
        <w:rPr>
          <w:rFonts w:eastAsia="SimSun"/>
        </w:rPr>
        <w:t>appleid</w:t>
      </w:r>
      <w:proofErr w:type="spellEnd"/>
      <w:r w:rsidRPr="0051032A">
        <w:rPr>
          <w:rFonts w:eastAsia="SimSun"/>
        </w:rPr>
        <w:t xml:space="preserve"> for condom use in sub-group r.</w:t>
      </w:r>
    </w:p>
    <w:p w14:paraId="28CED676" w14:textId="77777777" w:rsidR="00260B6D" w:rsidRPr="0051032A" w:rsidRDefault="00260B6D" w:rsidP="0051032A">
      <w:pPr>
        <w:rPr>
          <w:rFonts w:eastAsia="SimSun"/>
        </w:rPr>
      </w:pPr>
      <w:proofErr w:type="spellStart"/>
      <w:r w:rsidRPr="0051032A">
        <w:rPr>
          <w:rFonts w:eastAsia="SimSun"/>
        </w:rPr>
        <w:t>omega_r</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22062451" w14:textId="77777777" w:rsidR="00260B6D" w:rsidRPr="0051032A" w:rsidRDefault="00260B6D" w:rsidP="0051032A">
      <w:pPr>
        <w:rPr>
          <w:rFonts w:eastAsia="SimSun"/>
        </w:rPr>
      </w:pPr>
      <w:r w:rsidRPr="0051032A">
        <w:rPr>
          <w:rFonts w:eastAsia="SimSun"/>
        </w:rPr>
        <w:t># Reduction in probability of HIV transmission when on ART and viral suppressed.</w:t>
      </w:r>
    </w:p>
    <w:p w14:paraId="60ABFAC9" w14:textId="77777777" w:rsidR="00260B6D" w:rsidRPr="0051032A" w:rsidRDefault="00260B6D" w:rsidP="0051032A">
      <w:pPr>
        <w:rPr>
          <w:rFonts w:eastAsia="SimSun"/>
        </w:rPr>
      </w:pPr>
      <w:r w:rsidRPr="0051032A">
        <w:rPr>
          <w:rFonts w:eastAsia="SimSun"/>
        </w:rPr>
        <w:t xml:space="preserve">upsilon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40C0D62C" w14:textId="77777777" w:rsidR="00260B6D" w:rsidRPr="0051032A" w:rsidRDefault="00260B6D" w:rsidP="0051032A">
      <w:pPr>
        <w:rPr>
          <w:rFonts w:eastAsia="SimSun"/>
        </w:rPr>
      </w:pPr>
      <w:r w:rsidRPr="0051032A">
        <w:rPr>
          <w:rFonts w:eastAsia="SimSun"/>
        </w:rPr>
        <w:t xml:space="preserve"># Weight applied for viral </w:t>
      </w:r>
      <w:proofErr w:type="spellStart"/>
      <w:r w:rsidRPr="0051032A">
        <w:rPr>
          <w:rFonts w:eastAsia="SimSun"/>
        </w:rPr>
        <w:t>suppreessed</w:t>
      </w:r>
      <w:proofErr w:type="spellEnd"/>
      <w:r w:rsidRPr="0051032A">
        <w:rPr>
          <w:rFonts w:eastAsia="SimSun"/>
        </w:rPr>
        <w:t xml:space="preserve"> individuals</w:t>
      </w:r>
    </w:p>
    <w:p w14:paraId="40E53811" w14:textId="77777777" w:rsidR="00260B6D" w:rsidRPr="0051032A" w:rsidRDefault="00260B6D" w:rsidP="0051032A">
      <w:pPr>
        <w:rPr>
          <w:rFonts w:eastAsia="SimSun"/>
        </w:rPr>
      </w:pPr>
      <w:r w:rsidRPr="0051032A">
        <w:rPr>
          <w:rFonts w:eastAsia="SimSun"/>
        </w:rPr>
        <w:t xml:space="preserve">kappa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34A4B519" w14:textId="77777777" w:rsidR="00260B6D" w:rsidRPr="0051032A" w:rsidRDefault="00260B6D" w:rsidP="0051032A">
      <w:pPr>
        <w:rPr>
          <w:rFonts w:eastAsia="SimSun"/>
        </w:rPr>
      </w:pPr>
      <w:r w:rsidRPr="0051032A">
        <w:rPr>
          <w:rFonts w:eastAsia="SimSun"/>
        </w:rPr>
        <w:t># probability of HIV transmission per unprotected sex contact when not virally suppressed.</w:t>
      </w:r>
    </w:p>
    <w:p w14:paraId="2DC46084" w14:textId="77777777" w:rsidR="00260B6D" w:rsidRPr="0051032A" w:rsidRDefault="00260B6D" w:rsidP="0051032A">
      <w:pPr>
        <w:rPr>
          <w:rFonts w:eastAsia="SimSun"/>
        </w:rPr>
      </w:pPr>
      <w:r w:rsidRPr="0051032A">
        <w:rPr>
          <w:rFonts w:eastAsia="SimSun"/>
        </w:rPr>
        <w:t xml:space="preserve">beta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61B77906" w14:textId="77777777" w:rsidR="00260B6D" w:rsidRPr="0051032A" w:rsidRDefault="00260B6D" w:rsidP="0051032A">
      <w:pPr>
        <w:rPr>
          <w:rFonts w:eastAsia="SimSun"/>
        </w:rPr>
      </w:pPr>
      <w:r w:rsidRPr="0051032A">
        <w:rPr>
          <w:rFonts w:eastAsia="SimSun"/>
        </w:rPr>
        <w:t># Average number of sexual acts per time period in sub-group r</w:t>
      </w:r>
    </w:p>
    <w:p w14:paraId="56AAC98C" w14:textId="77777777" w:rsidR="00260B6D" w:rsidRPr="0051032A" w:rsidRDefault="00260B6D" w:rsidP="0051032A">
      <w:pPr>
        <w:rPr>
          <w:rFonts w:eastAsia="SimSun"/>
        </w:rPr>
      </w:pPr>
      <w:proofErr w:type="spellStart"/>
      <w:r w:rsidRPr="0051032A">
        <w:rPr>
          <w:rFonts w:eastAsia="SimSun"/>
        </w:rPr>
        <w:t>n_r</w:t>
      </w:r>
      <w:proofErr w:type="spellEnd"/>
      <w:r w:rsidRPr="0051032A">
        <w:rPr>
          <w:rFonts w:eastAsia="SimSun"/>
        </w:rPr>
        <w:t xml:space="preserve"> &lt;- </w:t>
      </w:r>
      <w:proofErr w:type="gramStart"/>
      <w:r w:rsidRPr="0051032A">
        <w:rPr>
          <w:rFonts w:eastAsia="SimSun"/>
        </w:rPr>
        <w:t>array(</w:t>
      </w:r>
      <w:proofErr w:type="spellStart"/>
      <w:proofErr w:type="gramEnd"/>
      <w:r w:rsidRPr="0051032A">
        <w:rPr>
          <w:rFonts w:eastAsia="SimSun"/>
        </w:rPr>
        <w:t>NA,dim</w:t>
      </w:r>
      <w:proofErr w:type="spellEnd"/>
      <w:r w:rsidRPr="0051032A">
        <w:rPr>
          <w:rFonts w:eastAsia="SimSun"/>
        </w:rPr>
        <w:t xml:space="preserve">=c(trials, </w:t>
      </w:r>
      <w:proofErr w:type="spellStart"/>
      <w:r w:rsidRPr="0051032A">
        <w:rPr>
          <w:rFonts w:eastAsia="SimSun"/>
        </w:rPr>
        <w:t>sgroup</w:t>
      </w:r>
      <w:proofErr w:type="spellEnd"/>
      <w:r w:rsidRPr="0051032A">
        <w:rPr>
          <w:rFonts w:eastAsia="SimSun"/>
        </w:rPr>
        <w:t>, generations))</w:t>
      </w:r>
    </w:p>
    <w:p w14:paraId="7102EF0D" w14:textId="77777777" w:rsidR="00260B6D" w:rsidRPr="0051032A" w:rsidRDefault="00260B6D" w:rsidP="0051032A">
      <w:pPr>
        <w:rPr>
          <w:rFonts w:eastAsia="SimSun"/>
        </w:rPr>
      </w:pPr>
    </w:p>
    <w:p w14:paraId="1899B4D8" w14:textId="77777777" w:rsidR="00260B6D" w:rsidRPr="0051032A" w:rsidRDefault="00260B6D" w:rsidP="0051032A">
      <w:pPr>
        <w:rPr>
          <w:rFonts w:eastAsia="SimSun"/>
        </w:rPr>
      </w:pPr>
      <w:r w:rsidRPr="0051032A">
        <w:rPr>
          <w:rFonts w:eastAsia="SimSun"/>
        </w:rPr>
        <w:t xml:space="preserve"># Model calibration goodness of fit parameters </w:t>
      </w:r>
    </w:p>
    <w:p w14:paraId="5BBB8454"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sls_prev_total</w:t>
      </w:r>
      <w:proofErr w:type="spellEnd"/>
      <w:r w:rsidRPr="0051032A">
        <w:rPr>
          <w:rFonts w:eastAsia="SimSun"/>
        </w:rPr>
        <w:t xml:space="preserve"> &lt;- numeric(trials)</w:t>
      </w:r>
    </w:p>
    <w:p w14:paraId="43D07DC1"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sls_incidence_total</w:t>
      </w:r>
      <w:proofErr w:type="spellEnd"/>
      <w:r w:rsidRPr="0051032A">
        <w:rPr>
          <w:rFonts w:eastAsia="SimSun"/>
        </w:rPr>
        <w:t xml:space="preserve"> &lt;- numeric(trials)</w:t>
      </w:r>
    </w:p>
    <w:p w14:paraId="30753CE4"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sls_onARTN_total</w:t>
      </w:r>
      <w:proofErr w:type="spellEnd"/>
      <w:r w:rsidRPr="0051032A">
        <w:rPr>
          <w:rFonts w:eastAsia="SimSun"/>
        </w:rPr>
        <w:t xml:space="preserve"> &lt;- numeric(trials)</w:t>
      </w:r>
    </w:p>
    <w:p w14:paraId="1CADC043"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sls_onARTP_total</w:t>
      </w:r>
      <w:proofErr w:type="spellEnd"/>
      <w:r w:rsidRPr="0051032A">
        <w:rPr>
          <w:rFonts w:eastAsia="SimSun"/>
        </w:rPr>
        <w:t xml:space="preserve"> &lt;- numeric(trials)</w:t>
      </w:r>
    </w:p>
    <w:p w14:paraId="50B57E1D"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sls_vs_total</w:t>
      </w:r>
      <w:proofErr w:type="spellEnd"/>
      <w:r w:rsidRPr="0051032A">
        <w:rPr>
          <w:rFonts w:eastAsia="SimSun"/>
        </w:rPr>
        <w:t xml:space="preserve"> &lt;- numeric(trials)</w:t>
      </w:r>
    </w:p>
    <w:p w14:paraId="5DB40C14"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sls_vsonART_total</w:t>
      </w:r>
      <w:proofErr w:type="spellEnd"/>
      <w:r w:rsidRPr="0051032A">
        <w:rPr>
          <w:rFonts w:eastAsia="SimSun"/>
        </w:rPr>
        <w:t xml:space="preserve"> &lt;- numeric(trials)</w:t>
      </w:r>
    </w:p>
    <w:p w14:paraId="5F404A88"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sls_total</w:t>
      </w:r>
      <w:proofErr w:type="spellEnd"/>
      <w:r w:rsidRPr="0051032A">
        <w:rPr>
          <w:rFonts w:eastAsia="SimSun"/>
        </w:rPr>
        <w:t xml:space="preserve"> &lt;- numeric(trials)</w:t>
      </w:r>
    </w:p>
    <w:p w14:paraId="4078397E" w14:textId="77777777" w:rsidR="00260B6D" w:rsidRPr="0051032A" w:rsidRDefault="00260B6D" w:rsidP="0051032A">
      <w:pPr>
        <w:rPr>
          <w:rFonts w:eastAsia="SimSun"/>
        </w:rPr>
      </w:pPr>
      <w:proofErr w:type="spellStart"/>
      <w:r w:rsidRPr="0051032A">
        <w:rPr>
          <w:rFonts w:eastAsia="SimSun"/>
        </w:rPr>
        <w:t>sls_prev</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=36)</w:t>
      </w:r>
    </w:p>
    <w:p w14:paraId="5F427ACD" w14:textId="77777777" w:rsidR="00260B6D" w:rsidRPr="0051032A" w:rsidRDefault="00260B6D" w:rsidP="0051032A">
      <w:pPr>
        <w:rPr>
          <w:rFonts w:eastAsia="SimSun"/>
        </w:rPr>
      </w:pPr>
      <w:proofErr w:type="spellStart"/>
      <w:r w:rsidRPr="0051032A">
        <w:rPr>
          <w:rFonts w:eastAsia="SimSun"/>
        </w:rPr>
        <w:t>sls_incidence</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=36)</w:t>
      </w:r>
    </w:p>
    <w:p w14:paraId="146DF71F" w14:textId="77777777" w:rsidR="00260B6D" w:rsidRPr="0051032A" w:rsidRDefault="00260B6D" w:rsidP="0051032A">
      <w:pPr>
        <w:rPr>
          <w:rFonts w:eastAsia="SimSun"/>
        </w:rPr>
      </w:pPr>
      <w:proofErr w:type="spellStart"/>
      <w:r w:rsidRPr="0051032A">
        <w:rPr>
          <w:rFonts w:eastAsia="SimSun"/>
        </w:rPr>
        <w:lastRenderedPageBreak/>
        <w:t>sls_onARTN</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=36)</w:t>
      </w:r>
    </w:p>
    <w:p w14:paraId="59AE2246" w14:textId="77777777" w:rsidR="00260B6D" w:rsidRPr="0051032A" w:rsidRDefault="00260B6D" w:rsidP="0051032A">
      <w:pPr>
        <w:rPr>
          <w:rFonts w:eastAsia="SimSun"/>
        </w:rPr>
      </w:pPr>
      <w:proofErr w:type="spellStart"/>
      <w:r w:rsidRPr="0051032A">
        <w:rPr>
          <w:rFonts w:eastAsia="SimSun"/>
        </w:rPr>
        <w:t>sls_onARTP</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=36)</w:t>
      </w:r>
    </w:p>
    <w:p w14:paraId="0865B23F" w14:textId="77777777" w:rsidR="00260B6D" w:rsidRPr="0051032A" w:rsidRDefault="00260B6D" w:rsidP="0051032A">
      <w:pPr>
        <w:rPr>
          <w:rFonts w:eastAsia="SimSun"/>
        </w:rPr>
      </w:pPr>
      <w:proofErr w:type="spellStart"/>
      <w:r w:rsidRPr="0051032A">
        <w:rPr>
          <w:rFonts w:eastAsia="SimSun"/>
        </w:rPr>
        <w:t>sls_vs</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=36)</w:t>
      </w:r>
    </w:p>
    <w:p w14:paraId="4073D40F" w14:textId="77777777" w:rsidR="00260B6D" w:rsidRPr="0051032A" w:rsidRDefault="00260B6D" w:rsidP="0051032A">
      <w:pPr>
        <w:rPr>
          <w:rFonts w:eastAsia="SimSun"/>
        </w:rPr>
      </w:pPr>
      <w:proofErr w:type="spellStart"/>
      <w:r w:rsidRPr="0051032A">
        <w:rPr>
          <w:rFonts w:eastAsia="SimSun"/>
        </w:rPr>
        <w:t>sls_vsonART</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=36)</w:t>
      </w:r>
    </w:p>
    <w:p w14:paraId="369B0DA1" w14:textId="77777777" w:rsidR="00260B6D" w:rsidRPr="0051032A" w:rsidRDefault="00260B6D" w:rsidP="0051032A">
      <w:pPr>
        <w:rPr>
          <w:rFonts w:eastAsia="SimSun"/>
        </w:rPr>
      </w:pPr>
    </w:p>
    <w:p w14:paraId="7566AC95" w14:textId="77777777" w:rsidR="00260B6D" w:rsidRPr="0051032A" w:rsidRDefault="00260B6D" w:rsidP="0051032A">
      <w:pPr>
        <w:rPr>
          <w:rFonts w:eastAsia="SimSun"/>
        </w:rPr>
      </w:pPr>
      <w:proofErr w:type="spellStart"/>
      <w:r w:rsidRPr="0051032A">
        <w:rPr>
          <w:rFonts w:eastAsia="SimSun"/>
        </w:rPr>
        <w:t>pd_prev_total</w:t>
      </w:r>
      <w:proofErr w:type="spellEnd"/>
      <w:r w:rsidRPr="0051032A">
        <w:rPr>
          <w:rFonts w:eastAsia="SimSun"/>
        </w:rPr>
        <w:t xml:space="preserve"> &lt;- numeric(trials)</w:t>
      </w:r>
    </w:p>
    <w:p w14:paraId="7EF7BAD3" w14:textId="77777777" w:rsidR="00260B6D" w:rsidRPr="0051032A" w:rsidRDefault="00260B6D" w:rsidP="0051032A">
      <w:pPr>
        <w:rPr>
          <w:rFonts w:eastAsia="SimSun"/>
        </w:rPr>
      </w:pPr>
      <w:proofErr w:type="spellStart"/>
      <w:r w:rsidRPr="0051032A">
        <w:rPr>
          <w:rFonts w:eastAsia="SimSun"/>
        </w:rPr>
        <w:t>pd_incidence_total</w:t>
      </w:r>
      <w:proofErr w:type="spellEnd"/>
      <w:r w:rsidRPr="0051032A">
        <w:rPr>
          <w:rFonts w:eastAsia="SimSun"/>
        </w:rPr>
        <w:t xml:space="preserve"> &lt;- numeric(trials)</w:t>
      </w:r>
    </w:p>
    <w:p w14:paraId="00C723AC" w14:textId="77777777" w:rsidR="00260B6D" w:rsidRPr="0051032A" w:rsidRDefault="00260B6D" w:rsidP="0051032A">
      <w:pPr>
        <w:rPr>
          <w:rFonts w:eastAsia="SimSun"/>
        </w:rPr>
      </w:pPr>
      <w:proofErr w:type="spellStart"/>
      <w:r w:rsidRPr="0051032A">
        <w:rPr>
          <w:rFonts w:eastAsia="SimSun"/>
        </w:rPr>
        <w:t>pd_onARTN_total</w:t>
      </w:r>
      <w:proofErr w:type="spellEnd"/>
      <w:r w:rsidRPr="0051032A">
        <w:rPr>
          <w:rFonts w:eastAsia="SimSun"/>
        </w:rPr>
        <w:t xml:space="preserve"> &lt;- numeric(trials)</w:t>
      </w:r>
    </w:p>
    <w:p w14:paraId="72B02A10" w14:textId="77777777" w:rsidR="00260B6D" w:rsidRPr="0051032A" w:rsidRDefault="00260B6D" w:rsidP="0051032A">
      <w:pPr>
        <w:rPr>
          <w:rFonts w:eastAsia="SimSun"/>
        </w:rPr>
      </w:pPr>
      <w:proofErr w:type="spellStart"/>
      <w:r w:rsidRPr="0051032A">
        <w:rPr>
          <w:rFonts w:eastAsia="SimSun"/>
        </w:rPr>
        <w:t>pd_onARTP_total</w:t>
      </w:r>
      <w:proofErr w:type="spellEnd"/>
      <w:r w:rsidRPr="0051032A">
        <w:rPr>
          <w:rFonts w:eastAsia="SimSun"/>
        </w:rPr>
        <w:t xml:space="preserve"> &lt;- numeric(trials)</w:t>
      </w:r>
    </w:p>
    <w:p w14:paraId="6B4AAAF0" w14:textId="77777777" w:rsidR="00260B6D" w:rsidRPr="0051032A" w:rsidRDefault="00260B6D" w:rsidP="0051032A">
      <w:pPr>
        <w:rPr>
          <w:rFonts w:eastAsia="SimSun"/>
        </w:rPr>
      </w:pPr>
      <w:proofErr w:type="spellStart"/>
      <w:r w:rsidRPr="0051032A">
        <w:rPr>
          <w:rFonts w:eastAsia="SimSun"/>
        </w:rPr>
        <w:t>pd_vs_total</w:t>
      </w:r>
      <w:proofErr w:type="spellEnd"/>
      <w:r w:rsidRPr="0051032A">
        <w:rPr>
          <w:rFonts w:eastAsia="SimSun"/>
        </w:rPr>
        <w:t xml:space="preserve"> &lt;- numeric(trials)</w:t>
      </w:r>
    </w:p>
    <w:p w14:paraId="2A8C999F" w14:textId="77777777" w:rsidR="00260B6D" w:rsidRPr="0051032A" w:rsidRDefault="00260B6D" w:rsidP="0051032A">
      <w:pPr>
        <w:rPr>
          <w:rFonts w:eastAsia="SimSun"/>
        </w:rPr>
      </w:pPr>
      <w:proofErr w:type="spellStart"/>
      <w:r w:rsidRPr="0051032A">
        <w:rPr>
          <w:rFonts w:eastAsia="SimSun"/>
        </w:rPr>
        <w:t>pd_vsonART_total</w:t>
      </w:r>
      <w:proofErr w:type="spellEnd"/>
      <w:r w:rsidRPr="0051032A">
        <w:rPr>
          <w:rFonts w:eastAsia="SimSun"/>
        </w:rPr>
        <w:t xml:space="preserve"> &lt;- numeric(trials)</w:t>
      </w:r>
    </w:p>
    <w:p w14:paraId="6EEE39E8" w14:textId="77777777" w:rsidR="00260B6D" w:rsidRPr="0051032A" w:rsidRDefault="00260B6D" w:rsidP="0051032A">
      <w:pPr>
        <w:rPr>
          <w:rFonts w:eastAsia="SimSun"/>
        </w:rPr>
      </w:pPr>
      <w:proofErr w:type="spellStart"/>
      <w:r w:rsidRPr="0051032A">
        <w:rPr>
          <w:rFonts w:eastAsia="SimSun"/>
        </w:rPr>
        <w:t>pd_total</w:t>
      </w:r>
      <w:proofErr w:type="spellEnd"/>
      <w:r w:rsidRPr="0051032A">
        <w:rPr>
          <w:rFonts w:eastAsia="SimSun"/>
        </w:rPr>
        <w:t xml:space="preserve"> &lt;- numeric(trials)</w:t>
      </w:r>
    </w:p>
    <w:p w14:paraId="44306E9E" w14:textId="77777777" w:rsidR="00260B6D" w:rsidRPr="0051032A" w:rsidRDefault="00260B6D" w:rsidP="0051032A">
      <w:pPr>
        <w:rPr>
          <w:rFonts w:eastAsia="SimSun"/>
        </w:rPr>
      </w:pPr>
      <w:proofErr w:type="spellStart"/>
      <w:r w:rsidRPr="0051032A">
        <w:rPr>
          <w:rFonts w:eastAsia="SimSun"/>
        </w:rPr>
        <w:t>pd_prev</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=36)</w:t>
      </w:r>
    </w:p>
    <w:p w14:paraId="11108EA0" w14:textId="77777777" w:rsidR="00260B6D" w:rsidRPr="0051032A" w:rsidRDefault="00260B6D" w:rsidP="0051032A">
      <w:pPr>
        <w:rPr>
          <w:rFonts w:eastAsia="SimSun"/>
        </w:rPr>
      </w:pPr>
      <w:proofErr w:type="spellStart"/>
      <w:r w:rsidRPr="0051032A">
        <w:rPr>
          <w:rFonts w:eastAsia="SimSun"/>
        </w:rPr>
        <w:t>pd_incidence</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=36)</w:t>
      </w:r>
    </w:p>
    <w:p w14:paraId="433C40D4" w14:textId="77777777" w:rsidR="00260B6D" w:rsidRPr="0051032A" w:rsidRDefault="00260B6D" w:rsidP="0051032A">
      <w:pPr>
        <w:rPr>
          <w:rFonts w:eastAsia="SimSun"/>
        </w:rPr>
      </w:pPr>
      <w:proofErr w:type="spellStart"/>
      <w:r w:rsidRPr="0051032A">
        <w:rPr>
          <w:rFonts w:eastAsia="SimSun"/>
        </w:rPr>
        <w:t>pd_onARTN</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=36)</w:t>
      </w:r>
    </w:p>
    <w:p w14:paraId="798FE166" w14:textId="77777777" w:rsidR="00260B6D" w:rsidRPr="0051032A" w:rsidRDefault="00260B6D" w:rsidP="0051032A">
      <w:pPr>
        <w:rPr>
          <w:rFonts w:eastAsia="SimSun"/>
        </w:rPr>
      </w:pPr>
      <w:proofErr w:type="spellStart"/>
      <w:r w:rsidRPr="0051032A">
        <w:rPr>
          <w:rFonts w:eastAsia="SimSun"/>
        </w:rPr>
        <w:t>pd_onARTP</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=36)</w:t>
      </w:r>
    </w:p>
    <w:p w14:paraId="1FC704D6" w14:textId="77777777" w:rsidR="00260B6D" w:rsidRPr="0051032A" w:rsidRDefault="00260B6D" w:rsidP="0051032A">
      <w:pPr>
        <w:rPr>
          <w:rFonts w:eastAsia="SimSun"/>
        </w:rPr>
      </w:pPr>
      <w:proofErr w:type="spellStart"/>
      <w:r w:rsidRPr="0051032A">
        <w:rPr>
          <w:rFonts w:eastAsia="SimSun"/>
        </w:rPr>
        <w:t>pd_vs</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=36)</w:t>
      </w:r>
    </w:p>
    <w:p w14:paraId="3111461B" w14:textId="77777777" w:rsidR="00260B6D" w:rsidRPr="0051032A" w:rsidRDefault="00260B6D" w:rsidP="0051032A">
      <w:pPr>
        <w:rPr>
          <w:rFonts w:eastAsia="SimSun"/>
        </w:rPr>
      </w:pPr>
      <w:proofErr w:type="spellStart"/>
      <w:r w:rsidRPr="0051032A">
        <w:rPr>
          <w:rFonts w:eastAsia="SimSun"/>
        </w:rPr>
        <w:t>pd_vsonART</w:t>
      </w:r>
      <w:proofErr w:type="spellEnd"/>
      <w:r w:rsidRPr="0051032A">
        <w:rPr>
          <w:rFonts w:eastAsia="SimSun"/>
        </w:rPr>
        <w:t xml:space="preserve"> &lt;- </w:t>
      </w:r>
      <w:proofErr w:type="gramStart"/>
      <w:r w:rsidRPr="0051032A">
        <w:rPr>
          <w:rFonts w:eastAsia="SimSun"/>
        </w:rPr>
        <w:t>matrix(</w:t>
      </w:r>
      <w:proofErr w:type="spellStart"/>
      <w:proofErr w:type="gramEnd"/>
      <w:r w:rsidRPr="0051032A">
        <w:rPr>
          <w:rFonts w:eastAsia="SimSun"/>
        </w:rPr>
        <w:t>NA,nrow</w:t>
      </w:r>
      <w:proofErr w:type="spellEnd"/>
      <w:r w:rsidRPr="0051032A">
        <w:rPr>
          <w:rFonts w:eastAsia="SimSun"/>
        </w:rPr>
        <w:t xml:space="preserve">=trials, </w:t>
      </w:r>
      <w:proofErr w:type="spellStart"/>
      <w:r w:rsidRPr="0051032A">
        <w:rPr>
          <w:rFonts w:eastAsia="SimSun"/>
        </w:rPr>
        <w:t>ncol</w:t>
      </w:r>
      <w:proofErr w:type="spellEnd"/>
      <w:r w:rsidRPr="0051032A">
        <w:rPr>
          <w:rFonts w:eastAsia="SimSun"/>
        </w:rPr>
        <w:t>=36)</w:t>
      </w:r>
    </w:p>
    <w:p w14:paraId="7EBB54C5" w14:textId="77777777" w:rsidR="00260B6D" w:rsidRPr="0051032A" w:rsidRDefault="00260B6D" w:rsidP="0051032A">
      <w:pPr>
        <w:rPr>
          <w:rFonts w:eastAsia="SimSun"/>
        </w:rPr>
      </w:pPr>
      <w:r w:rsidRPr="0051032A">
        <w:br/>
      </w:r>
      <w:r w:rsidRPr="0051032A">
        <w:rPr>
          <w:rFonts w:eastAsia="SimSun"/>
        </w:rPr>
        <w:t># Read the file that stores model parameter inputs</w:t>
      </w:r>
      <w:r w:rsidRPr="0051032A">
        <w:br/>
      </w:r>
      <w:r w:rsidRPr="0051032A">
        <w:rPr>
          <w:rFonts w:eastAsia="SimSun"/>
        </w:rPr>
        <w:t xml:space="preserve">files &lt;- </w:t>
      </w:r>
      <w:proofErr w:type="spellStart"/>
      <w:r w:rsidRPr="0051032A">
        <w:rPr>
          <w:rFonts w:eastAsia="SimSun"/>
        </w:rPr>
        <w:t>list.files</w:t>
      </w:r>
      <w:proofErr w:type="spellEnd"/>
      <w:r w:rsidRPr="0051032A">
        <w:rPr>
          <w:rFonts w:eastAsia="SimSun"/>
        </w:rPr>
        <w:t>(path="T:/Health Behavior and Policy/Faculty/Kimmel/Common/Personnel work/Deo/</w:t>
      </w:r>
      <w:proofErr w:type="spellStart"/>
      <w:r w:rsidRPr="0051032A">
        <w:rPr>
          <w:rFonts w:eastAsia="SimSun"/>
        </w:rPr>
        <w:t>IeDEA</w:t>
      </w:r>
      <w:proofErr w:type="spellEnd"/>
      <w:r w:rsidRPr="0051032A">
        <w:rPr>
          <w:rFonts w:eastAsia="SimSun"/>
        </w:rPr>
        <w:t>/HIV Transmission Model-Rwanda/R Code/R/Subgroup", pattern = "csv")</w:t>
      </w:r>
      <w:r w:rsidRPr="0051032A">
        <w:br/>
      </w:r>
      <w:proofErr w:type="spellStart"/>
      <w:r w:rsidRPr="0051032A">
        <w:rPr>
          <w:rFonts w:eastAsia="SimSun"/>
        </w:rPr>
        <w:t>setwd</w:t>
      </w:r>
      <w:proofErr w:type="spellEnd"/>
      <w:r w:rsidRPr="0051032A">
        <w:rPr>
          <w:rFonts w:eastAsia="SimSun"/>
        </w:rPr>
        <w:t>("T:/Health Behavior and Policy/Faculty/Kimmel/Common/Personnel work/Deo/</w:t>
      </w:r>
      <w:proofErr w:type="spellStart"/>
      <w:r w:rsidRPr="0051032A">
        <w:rPr>
          <w:rFonts w:eastAsia="SimSun"/>
        </w:rPr>
        <w:t>IeDEA</w:t>
      </w:r>
      <w:proofErr w:type="spellEnd"/>
      <w:r w:rsidRPr="0051032A">
        <w:rPr>
          <w:rFonts w:eastAsia="SimSun"/>
        </w:rPr>
        <w:t>/HIV Transmission Model-Rwanda/R Code/R/Subgroup")</w:t>
      </w:r>
      <w:r w:rsidRPr="0051032A">
        <w:br/>
      </w:r>
      <w:r w:rsidRPr="0051032A">
        <w:rPr>
          <w:rFonts w:eastAsia="SimSun"/>
        </w:rPr>
        <w:t xml:space="preserve">input &lt;- </w:t>
      </w:r>
      <w:proofErr w:type="spellStart"/>
      <w:r w:rsidRPr="0051032A">
        <w:rPr>
          <w:rFonts w:eastAsia="SimSun"/>
        </w:rPr>
        <w:t>lapply</w:t>
      </w:r>
      <w:proofErr w:type="spellEnd"/>
      <w:r w:rsidRPr="0051032A">
        <w:rPr>
          <w:rFonts w:eastAsia="SimSun"/>
        </w:rPr>
        <w:t>(files, read.csv)</w:t>
      </w:r>
      <w:r w:rsidRPr="0051032A">
        <w:br/>
      </w:r>
      <w:r w:rsidRPr="0051032A">
        <w:br/>
      </w:r>
      <w:r w:rsidRPr="0051032A">
        <w:rPr>
          <w:rFonts w:eastAsia="SimSun"/>
        </w:rPr>
        <w:t>#Initalize parameters for each sub-group</w:t>
      </w:r>
    </w:p>
    <w:p w14:paraId="73AFF709" w14:textId="77777777" w:rsidR="00260B6D" w:rsidRPr="0051032A" w:rsidRDefault="00260B6D" w:rsidP="0051032A">
      <w:pPr>
        <w:rPr>
          <w:rFonts w:eastAsia="SimSun"/>
        </w:rPr>
      </w:pPr>
      <w:r w:rsidRPr="0051032A">
        <w:rPr>
          <w:rFonts w:eastAsia="SimSun"/>
        </w:rPr>
        <w:t>for (t in 1:(trials)) {</w:t>
      </w:r>
    </w:p>
    <w:p w14:paraId="40A4FCA5" w14:textId="77777777" w:rsidR="00260B6D" w:rsidRPr="0051032A" w:rsidRDefault="00260B6D" w:rsidP="0051032A">
      <w:pPr>
        <w:rPr>
          <w:rFonts w:eastAsia="SimSun"/>
        </w:rPr>
      </w:pPr>
      <w:r w:rsidRPr="0051032A">
        <w:rPr>
          <w:rFonts w:eastAsia="SimSun"/>
        </w:rPr>
        <w:t xml:space="preserve">  for (s in 1:(</w:t>
      </w:r>
      <w:proofErr w:type="spellStart"/>
      <w:r w:rsidRPr="0051032A">
        <w:rPr>
          <w:rFonts w:eastAsia="SimSun"/>
        </w:rPr>
        <w:t>sgroup</w:t>
      </w:r>
      <w:proofErr w:type="spellEnd"/>
      <w:r w:rsidRPr="0051032A">
        <w:rPr>
          <w:rFonts w:eastAsia="SimSun"/>
        </w:rPr>
        <w:t>)) {</w:t>
      </w:r>
    </w:p>
    <w:p w14:paraId="147D20D5" w14:textId="77777777" w:rsidR="00260B6D" w:rsidRPr="0051032A" w:rsidRDefault="00260B6D" w:rsidP="0051032A">
      <w:pPr>
        <w:rPr>
          <w:rFonts w:eastAsia="SimSun"/>
        </w:rPr>
      </w:pPr>
      <w:r w:rsidRPr="0051032A">
        <w:rPr>
          <w:rFonts w:eastAsia="SimSun"/>
        </w:rPr>
        <w:t xml:space="preserve">  # </w:t>
      </w:r>
      <w:proofErr w:type="gramStart"/>
      <w:r w:rsidRPr="0051032A">
        <w:rPr>
          <w:rFonts w:eastAsia="SimSun"/>
        </w:rPr>
        <w:t>specify</w:t>
      </w:r>
      <w:proofErr w:type="gramEnd"/>
      <w:r w:rsidRPr="0051032A">
        <w:rPr>
          <w:rFonts w:eastAsia="SimSun"/>
        </w:rPr>
        <w:t xml:space="preserve"> the line starting to read data</w:t>
      </w:r>
    </w:p>
    <w:p w14:paraId="1F614B85" w14:textId="77777777" w:rsidR="00260B6D" w:rsidRPr="0051032A" w:rsidRDefault="00260B6D" w:rsidP="0051032A">
      <w:pPr>
        <w:rPr>
          <w:rFonts w:eastAsia="SimSun"/>
        </w:rPr>
      </w:pPr>
      <w:r w:rsidRPr="0051032A">
        <w:rPr>
          <w:rFonts w:eastAsia="SimSun"/>
        </w:rPr>
        <w:t xml:space="preserve">  l &lt;- 1</w:t>
      </w:r>
    </w:p>
    <w:p w14:paraId="729AF35F" w14:textId="77777777" w:rsidR="00260B6D" w:rsidRPr="0051032A" w:rsidRDefault="00260B6D" w:rsidP="0051032A">
      <w:pPr>
        <w:rPr>
          <w:rFonts w:eastAsia="SimSun"/>
        </w:rPr>
      </w:pPr>
      <w:r w:rsidRPr="0051032A">
        <w:rPr>
          <w:rFonts w:eastAsia="SimSun"/>
        </w:rPr>
        <w:t xml:space="preserve">  </w:t>
      </w:r>
    </w:p>
    <w:p w14:paraId="3D777D58" w14:textId="77777777" w:rsidR="00260B6D" w:rsidRPr="0051032A" w:rsidRDefault="00260B6D" w:rsidP="0051032A">
      <w:pPr>
        <w:rPr>
          <w:rFonts w:eastAsia="SimSun"/>
        </w:rPr>
      </w:pPr>
      <w:r w:rsidRPr="0051032A">
        <w:rPr>
          <w:rFonts w:eastAsia="SimSun"/>
        </w:rPr>
        <w:t xml:space="preserve">  # Read initial susceptible population (15-64 years) in 2004 in Rwanda for each group</w:t>
      </w:r>
    </w:p>
    <w:p w14:paraId="2C10804C" w14:textId="77777777" w:rsidR="00260B6D" w:rsidRPr="0051032A" w:rsidRDefault="00260B6D" w:rsidP="0051032A">
      <w:pPr>
        <w:rPr>
          <w:rFonts w:eastAsia="SimSun"/>
        </w:rPr>
      </w:pPr>
      <w:r w:rsidRPr="0051032A">
        <w:rPr>
          <w:rFonts w:eastAsia="SimSun"/>
        </w:rPr>
        <w:t xml:space="preserve">  S[</w:t>
      </w:r>
      <w:proofErr w:type="gramStart"/>
      <w:r w:rsidRPr="0051032A">
        <w:rPr>
          <w:rFonts w:eastAsia="SimSun"/>
        </w:rPr>
        <w:t>t,s</w:t>
      </w:r>
      <w:proofErr w:type="gramEnd"/>
      <w:r w:rsidRPr="0051032A">
        <w:rPr>
          <w:rFonts w:eastAsia="SimSun"/>
        </w:rPr>
        <w:t>,1] &lt;- input[[s]][l,"</w:t>
      </w:r>
      <w:proofErr w:type="spellStart"/>
      <w:r w:rsidRPr="0051032A">
        <w:rPr>
          <w:rFonts w:eastAsia="SimSun"/>
        </w:rPr>
        <w:t>S_t</w:t>
      </w:r>
      <w:proofErr w:type="spellEnd"/>
      <w:r w:rsidRPr="0051032A">
        <w:rPr>
          <w:rFonts w:eastAsia="SimSun"/>
        </w:rPr>
        <w:t>"]</w:t>
      </w:r>
    </w:p>
    <w:p w14:paraId="1016A998" w14:textId="77777777" w:rsidR="00260B6D" w:rsidRPr="0051032A" w:rsidRDefault="00260B6D" w:rsidP="0051032A">
      <w:pPr>
        <w:rPr>
          <w:rFonts w:eastAsia="SimSun"/>
        </w:rPr>
      </w:pPr>
      <w:r w:rsidRPr="0051032A">
        <w:rPr>
          <w:rFonts w:eastAsia="SimSun"/>
        </w:rPr>
        <w:t xml:space="preserve">  </w:t>
      </w:r>
    </w:p>
    <w:p w14:paraId="5074F8B8" w14:textId="77777777" w:rsidR="00260B6D" w:rsidRPr="0051032A" w:rsidRDefault="00260B6D" w:rsidP="0051032A">
      <w:pPr>
        <w:rPr>
          <w:rFonts w:eastAsia="SimSun"/>
        </w:rPr>
      </w:pPr>
      <w:r w:rsidRPr="0051032A">
        <w:rPr>
          <w:rFonts w:eastAsia="SimSun"/>
        </w:rPr>
        <w:t xml:space="preserve">  # Read initial population distribution of HIV infected individuals in Rwanda in 2004. We assume all infected individuals are undiagnosed and not on ART. The distribution will vary based on the sub-group considered.</w:t>
      </w:r>
    </w:p>
    <w:p w14:paraId="32769624" w14:textId="77777777" w:rsidR="00260B6D" w:rsidRPr="0051032A" w:rsidRDefault="00260B6D" w:rsidP="0051032A">
      <w:pPr>
        <w:rPr>
          <w:rFonts w:eastAsia="SimSun"/>
        </w:rPr>
      </w:pPr>
      <w:r w:rsidRPr="0051032A">
        <w:rPr>
          <w:rFonts w:eastAsia="SimSun"/>
        </w:rPr>
        <w:t xml:space="preserve">  X1[</w:t>
      </w:r>
      <w:proofErr w:type="gramStart"/>
      <w:r w:rsidRPr="0051032A">
        <w:rPr>
          <w:rFonts w:eastAsia="SimSun"/>
        </w:rPr>
        <w:t>t,s</w:t>
      </w:r>
      <w:proofErr w:type="gramEnd"/>
      <w:r w:rsidRPr="0051032A">
        <w:rPr>
          <w:rFonts w:eastAsia="SimSun"/>
        </w:rPr>
        <w:t>,1] &lt;- input[[s]][l,"X1_t"]</w:t>
      </w:r>
    </w:p>
    <w:p w14:paraId="0A6AC11E" w14:textId="77777777" w:rsidR="00260B6D" w:rsidRPr="0051032A" w:rsidRDefault="00260B6D" w:rsidP="0051032A">
      <w:pPr>
        <w:rPr>
          <w:rFonts w:eastAsia="SimSun"/>
        </w:rPr>
      </w:pPr>
      <w:r w:rsidRPr="0051032A">
        <w:rPr>
          <w:rFonts w:eastAsia="SimSun"/>
        </w:rPr>
        <w:t xml:space="preserve">  X2[</w:t>
      </w:r>
      <w:proofErr w:type="gramStart"/>
      <w:r w:rsidRPr="0051032A">
        <w:rPr>
          <w:rFonts w:eastAsia="SimSun"/>
        </w:rPr>
        <w:t>t,s</w:t>
      </w:r>
      <w:proofErr w:type="gramEnd"/>
      <w:r w:rsidRPr="0051032A">
        <w:rPr>
          <w:rFonts w:eastAsia="SimSun"/>
        </w:rPr>
        <w:t>,1] &lt;- input[[s]][l,"X2_t"]</w:t>
      </w:r>
    </w:p>
    <w:p w14:paraId="3C7F4DCD" w14:textId="77777777" w:rsidR="00260B6D" w:rsidRPr="0051032A" w:rsidRDefault="00260B6D" w:rsidP="0051032A">
      <w:pPr>
        <w:rPr>
          <w:rFonts w:eastAsia="SimSun"/>
        </w:rPr>
      </w:pPr>
      <w:r w:rsidRPr="0051032A">
        <w:rPr>
          <w:rFonts w:eastAsia="SimSun"/>
        </w:rPr>
        <w:t xml:space="preserve">  X3[</w:t>
      </w:r>
      <w:proofErr w:type="gramStart"/>
      <w:r w:rsidRPr="0051032A">
        <w:rPr>
          <w:rFonts w:eastAsia="SimSun"/>
        </w:rPr>
        <w:t>t,s</w:t>
      </w:r>
      <w:proofErr w:type="gramEnd"/>
      <w:r w:rsidRPr="0051032A">
        <w:rPr>
          <w:rFonts w:eastAsia="SimSun"/>
        </w:rPr>
        <w:t>,1] &lt;- input[[s]][l,"X3_t"]</w:t>
      </w:r>
    </w:p>
    <w:p w14:paraId="7AD88A42" w14:textId="77777777" w:rsidR="00260B6D" w:rsidRPr="0051032A" w:rsidRDefault="00260B6D" w:rsidP="0051032A">
      <w:pPr>
        <w:rPr>
          <w:rFonts w:eastAsia="SimSun"/>
        </w:rPr>
      </w:pPr>
      <w:r w:rsidRPr="0051032A">
        <w:rPr>
          <w:rFonts w:eastAsia="SimSun"/>
        </w:rPr>
        <w:t xml:space="preserve">  X4[</w:t>
      </w:r>
      <w:proofErr w:type="gramStart"/>
      <w:r w:rsidRPr="0051032A">
        <w:rPr>
          <w:rFonts w:eastAsia="SimSun"/>
        </w:rPr>
        <w:t>t,s</w:t>
      </w:r>
      <w:proofErr w:type="gramEnd"/>
      <w:r w:rsidRPr="0051032A">
        <w:rPr>
          <w:rFonts w:eastAsia="SimSun"/>
        </w:rPr>
        <w:t>,1] &lt;- input[[s]][l,"X4_t"]</w:t>
      </w:r>
    </w:p>
    <w:p w14:paraId="603D0F8B" w14:textId="77777777" w:rsidR="00260B6D" w:rsidRPr="0051032A" w:rsidRDefault="00260B6D" w:rsidP="0051032A">
      <w:pPr>
        <w:rPr>
          <w:rFonts w:eastAsia="SimSun"/>
        </w:rPr>
      </w:pPr>
      <w:r w:rsidRPr="0051032A">
        <w:rPr>
          <w:rFonts w:eastAsia="SimSun"/>
        </w:rPr>
        <w:t xml:space="preserve">  X5[</w:t>
      </w:r>
      <w:proofErr w:type="gramStart"/>
      <w:r w:rsidRPr="0051032A">
        <w:rPr>
          <w:rFonts w:eastAsia="SimSun"/>
        </w:rPr>
        <w:t>t,s</w:t>
      </w:r>
      <w:proofErr w:type="gramEnd"/>
      <w:r w:rsidRPr="0051032A">
        <w:rPr>
          <w:rFonts w:eastAsia="SimSun"/>
        </w:rPr>
        <w:t>,1] &lt;- input[[s]][l,"X5_t"]</w:t>
      </w:r>
    </w:p>
    <w:p w14:paraId="218A3438" w14:textId="77777777" w:rsidR="00260B6D" w:rsidRPr="0051032A" w:rsidRDefault="00260B6D" w:rsidP="0051032A">
      <w:pPr>
        <w:rPr>
          <w:rFonts w:eastAsia="SimSun"/>
        </w:rPr>
      </w:pPr>
      <w:r w:rsidRPr="0051032A">
        <w:rPr>
          <w:rFonts w:eastAsia="SimSun"/>
        </w:rPr>
        <w:t xml:space="preserve">  X6[</w:t>
      </w:r>
      <w:proofErr w:type="gramStart"/>
      <w:r w:rsidRPr="0051032A">
        <w:rPr>
          <w:rFonts w:eastAsia="SimSun"/>
        </w:rPr>
        <w:t>t,s</w:t>
      </w:r>
      <w:proofErr w:type="gramEnd"/>
      <w:r w:rsidRPr="0051032A">
        <w:rPr>
          <w:rFonts w:eastAsia="SimSun"/>
        </w:rPr>
        <w:t>,1] &lt;- input[[s]][l,"X6_t"]</w:t>
      </w:r>
    </w:p>
    <w:p w14:paraId="4E021153" w14:textId="77777777" w:rsidR="00260B6D" w:rsidRPr="0051032A" w:rsidRDefault="00260B6D" w:rsidP="0051032A">
      <w:pPr>
        <w:rPr>
          <w:rFonts w:eastAsia="SimSun"/>
        </w:rPr>
      </w:pPr>
      <w:r w:rsidRPr="0051032A">
        <w:rPr>
          <w:rFonts w:eastAsia="SimSun"/>
        </w:rPr>
        <w:t xml:space="preserve">  X7[</w:t>
      </w:r>
      <w:proofErr w:type="gramStart"/>
      <w:r w:rsidRPr="0051032A">
        <w:rPr>
          <w:rFonts w:eastAsia="SimSun"/>
        </w:rPr>
        <w:t>t,s</w:t>
      </w:r>
      <w:proofErr w:type="gramEnd"/>
      <w:r w:rsidRPr="0051032A">
        <w:rPr>
          <w:rFonts w:eastAsia="SimSun"/>
        </w:rPr>
        <w:t>,1] &lt;- input[[s]][l,"X7_t"]</w:t>
      </w:r>
    </w:p>
    <w:p w14:paraId="405F73D8" w14:textId="77777777" w:rsidR="00260B6D" w:rsidRPr="0051032A" w:rsidRDefault="00260B6D" w:rsidP="0051032A">
      <w:pPr>
        <w:rPr>
          <w:rFonts w:eastAsia="SimSun"/>
        </w:rPr>
      </w:pPr>
      <w:r w:rsidRPr="0051032A">
        <w:rPr>
          <w:rFonts w:eastAsia="SimSun"/>
        </w:rPr>
        <w:t xml:space="preserve">  X8[</w:t>
      </w:r>
      <w:proofErr w:type="gramStart"/>
      <w:r w:rsidRPr="0051032A">
        <w:rPr>
          <w:rFonts w:eastAsia="SimSun"/>
        </w:rPr>
        <w:t>t,s</w:t>
      </w:r>
      <w:proofErr w:type="gramEnd"/>
      <w:r w:rsidRPr="0051032A">
        <w:rPr>
          <w:rFonts w:eastAsia="SimSun"/>
        </w:rPr>
        <w:t>,1] &lt;- input[[s]][l,"X8_t"]</w:t>
      </w:r>
    </w:p>
    <w:p w14:paraId="28EC0561" w14:textId="77777777" w:rsidR="00260B6D" w:rsidRPr="0051032A" w:rsidRDefault="00260B6D" w:rsidP="0051032A">
      <w:pPr>
        <w:rPr>
          <w:rFonts w:eastAsia="SimSun"/>
        </w:rPr>
      </w:pPr>
      <w:r w:rsidRPr="0051032A">
        <w:rPr>
          <w:rFonts w:eastAsia="SimSun"/>
        </w:rPr>
        <w:lastRenderedPageBreak/>
        <w:t xml:space="preserve">  X9[</w:t>
      </w:r>
      <w:proofErr w:type="gramStart"/>
      <w:r w:rsidRPr="0051032A">
        <w:rPr>
          <w:rFonts w:eastAsia="SimSun"/>
        </w:rPr>
        <w:t>t,s</w:t>
      </w:r>
      <w:proofErr w:type="gramEnd"/>
      <w:r w:rsidRPr="0051032A">
        <w:rPr>
          <w:rFonts w:eastAsia="SimSun"/>
        </w:rPr>
        <w:t>,1] &lt;- input[[s]][l,"X9_t"]</w:t>
      </w:r>
    </w:p>
    <w:p w14:paraId="019720E6" w14:textId="77777777" w:rsidR="00260B6D" w:rsidRPr="0051032A" w:rsidRDefault="00260B6D" w:rsidP="0051032A">
      <w:pPr>
        <w:rPr>
          <w:rFonts w:eastAsia="SimSun"/>
        </w:rPr>
      </w:pPr>
      <w:r w:rsidRPr="0051032A">
        <w:rPr>
          <w:rFonts w:eastAsia="SimSun"/>
        </w:rPr>
        <w:t xml:space="preserve">  X10[</w:t>
      </w:r>
      <w:proofErr w:type="gramStart"/>
      <w:r w:rsidRPr="0051032A">
        <w:rPr>
          <w:rFonts w:eastAsia="SimSun"/>
        </w:rPr>
        <w:t>t,s</w:t>
      </w:r>
      <w:proofErr w:type="gramEnd"/>
      <w:r w:rsidRPr="0051032A">
        <w:rPr>
          <w:rFonts w:eastAsia="SimSun"/>
        </w:rPr>
        <w:t xml:space="preserve">,1] &lt;- input[[s]][l,"X10_t"] </w:t>
      </w:r>
    </w:p>
    <w:p w14:paraId="1DD5D60C" w14:textId="77777777" w:rsidR="00260B6D" w:rsidRPr="0051032A" w:rsidRDefault="00260B6D" w:rsidP="0051032A">
      <w:pPr>
        <w:rPr>
          <w:rFonts w:eastAsia="SimSun"/>
        </w:rPr>
      </w:pPr>
      <w:r w:rsidRPr="0051032A">
        <w:rPr>
          <w:rFonts w:eastAsia="SimSun"/>
        </w:rPr>
        <w:t xml:space="preserve">  X11[</w:t>
      </w:r>
      <w:proofErr w:type="gramStart"/>
      <w:r w:rsidRPr="0051032A">
        <w:rPr>
          <w:rFonts w:eastAsia="SimSun"/>
        </w:rPr>
        <w:t>t,s</w:t>
      </w:r>
      <w:proofErr w:type="gramEnd"/>
      <w:r w:rsidRPr="0051032A">
        <w:rPr>
          <w:rFonts w:eastAsia="SimSun"/>
        </w:rPr>
        <w:t>,1] &lt;- input[[s]][l,"X11_t"]</w:t>
      </w:r>
    </w:p>
    <w:p w14:paraId="2F815092" w14:textId="77777777" w:rsidR="00260B6D" w:rsidRPr="0051032A" w:rsidRDefault="00260B6D" w:rsidP="0051032A">
      <w:pPr>
        <w:rPr>
          <w:rFonts w:eastAsia="SimSun"/>
        </w:rPr>
      </w:pPr>
      <w:r w:rsidRPr="0051032A">
        <w:rPr>
          <w:rFonts w:eastAsia="SimSun"/>
        </w:rPr>
        <w:t xml:space="preserve">  X12[</w:t>
      </w:r>
      <w:proofErr w:type="gramStart"/>
      <w:r w:rsidRPr="0051032A">
        <w:rPr>
          <w:rFonts w:eastAsia="SimSun"/>
        </w:rPr>
        <w:t>t,s</w:t>
      </w:r>
      <w:proofErr w:type="gramEnd"/>
      <w:r w:rsidRPr="0051032A">
        <w:rPr>
          <w:rFonts w:eastAsia="SimSun"/>
        </w:rPr>
        <w:t>,1] &lt;- input[[s]][l,"X12_t"]</w:t>
      </w:r>
    </w:p>
    <w:p w14:paraId="0EFCB796" w14:textId="77777777" w:rsidR="00260B6D" w:rsidRPr="0051032A" w:rsidRDefault="00260B6D" w:rsidP="0051032A">
      <w:pPr>
        <w:rPr>
          <w:rFonts w:eastAsia="SimSun"/>
        </w:rPr>
      </w:pPr>
      <w:r w:rsidRPr="0051032A">
        <w:rPr>
          <w:rFonts w:eastAsia="SimSun"/>
        </w:rPr>
        <w:t xml:space="preserve">  X13[</w:t>
      </w:r>
      <w:proofErr w:type="gramStart"/>
      <w:r w:rsidRPr="0051032A">
        <w:rPr>
          <w:rFonts w:eastAsia="SimSun"/>
        </w:rPr>
        <w:t>t,s</w:t>
      </w:r>
      <w:proofErr w:type="gramEnd"/>
      <w:r w:rsidRPr="0051032A">
        <w:rPr>
          <w:rFonts w:eastAsia="SimSun"/>
        </w:rPr>
        <w:t>,1] &lt;- input[[s]][l,"X13_t"]</w:t>
      </w:r>
    </w:p>
    <w:p w14:paraId="101BBCB7" w14:textId="77777777" w:rsidR="00260B6D" w:rsidRPr="0051032A" w:rsidRDefault="00260B6D" w:rsidP="0051032A">
      <w:pPr>
        <w:rPr>
          <w:rFonts w:eastAsia="SimSun"/>
        </w:rPr>
      </w:pPr>
      <w:r w:rsidRPr="0051032A">
        <w:rPr>
          <w:rFonts w:eastAsia="SimSun"/>
        </w:rPr>
        <w:t xml:space="preserve">  X14[</w:t>
      </w:r>
      <w:proofErr w:type="gramStart"/>
      <w:r w:rsidRPr="0051032A">
        <w:rPr>
          <w:rFonts w:eastAsia="SimSun"/>
        </w:rPr>
        <w:t>t,s</w:t>
      </w:r>
      <w:proofErr w:type="gramEnd"/>
      <w:r w:rsidRPr="0051032A">
        <w:rPr>
          <w:rFonts w:eastAsia="SimSun"/>
        </w:rPr>
        <w:t>,1] &lt;- input[[s]][l,"X14_t"]</w:t>
      </w:r>
    </w:p>
    <w:p w14:paraId="132371B1" w14:textId="77777777" w:rsidR="00260B6D" w:rsidRPr="0051032A" w:rsidRDefault="00260B6D" w:rsidP="0051032A">
      <w:pPr>
        <w:rPr>
          <w:rFonts w:eastAsia="SimSun"/>
        </w:rPr>
      </w:pPr>
      <w:r w:rsidRPr="0051032A">
        <w:rPr>
          <w:rFonts w:eastAsia="SimSun"/>
        </w:rPr>
        <w:t xml:space="preserve">  X15[</w:t>
      </w:r>
      <w:proofErr w:type="gramStart"/>
      <w:r w:rsidRPr="0051032A">
        <w:rPr>
          <w:rFonts w:eastAsia="SimSun"/>
        </w:rPr>
        <w:t>t,s</w:t>
      </w:r>
      <w:proofErr w:type="gramEnd"/>
      <w:r w:rsidRPr="0051032A">
        <w:rPr>
          <w:rFonts w:eastAsia="SimSun"/>
        </w:rPr>
        <w:t>,1] &lt;- input[[s]][l,"X15_t"]</w:t>
      </w:r>
    </w:p>
    <w:p w14:paraId="51CD4DC8" w14:textId="77777777" w:rsidR="00260B6D" w:rsidRPr="0051032A" w:rsidRDefault="00260B6D" w:rsidP="0051032A">
      <w:pPr>
        <w:rPr>
          <w:rFonts w:eastAsia="SimSun"/>
        </w:rPr>
      </w:pPr>
      <w:r w:rsidRPr="0051032A">
        <w:rPr>
          <w:rFonts w:eastAsia="SimSun"/>
        </w:rPr>
        <w:t xml:space="preserve">  X16[</w:t>
      </w:r>
      <w:proofErr w:type="gramStart"/>
      <w:r w:rsidRPr="0051032A">
        <w:rPr>
          <w:rFonts w:eastAsia="SimSun"/>
        </w:rPr>
        <w:t>t,s</w:t>
      </w:r>
      <w:proofErr w:type="gramEnd"/>
      <w:r w:rsidRPr="0051032A">
        <w:rPr>
          <w:rFonts w:eastAsia="SimSun"/>
        </w:rPr>
        <w:t xml:space="preserve">,1] &lt;- input[[s]][l,"X16_t"] </w:t>
      </w:r>
    </w:p>
    <w:p w14:paraId="4C2DD5DF" w14:textId="77777777" w:rsidR="00260B6D" w:rsidRPr="0051032A" w:rsidRDefault="00260B6D" w:rsidP="0051032A">
      <w:pPr>
        <w:rPr>
          <w:rFonts w:eastAsia="SimSun"/>
        </w:rPr>
      </w:pPr>
      <w:r w:rsidRPr="0051032A">
        <w:rPr>
          <w:rFonts w:eastAsia="SimSun"/>
        </w:rPr>
        <w:t xml:space="preserve">  X17[</w:t>
      </w:r>
      <w:proofErr w:type="gramStart"/>
      <w:r w:rsidRPr="0051032A">
        <w:rPr>
          <w:rFonts w:eastAsia="SimSun"/>
        </w:rPr>
        <w:t>t,s</w:t>
      </w:r>
      <w:proofErr w:type="gramEnd"/>
      <w:r w:rsidRPr="0051032A">
        <w:rPr>
          <w:rFonts w:eastAsia="SimSun"/>
        </w:rPr>
        <w:t>,1] &lt;- input[[s]][l,"X17_t"]</w:t>
      </w:r>
    </w:p>
    <w:p w14:paraId="1572B6DD" w14:textId="77777777" w:rsidR="00260B6D" w:rsidRPr="0051032A" w:rsidRDefault="00260B6D" w:rsidP="0051032A">
      <w:pPr>
        <w:rPr>
          <w:rFonts w:eastAsia="SimSun"/>
        </w:rPr>
      </w:pPr>
      <w:r w:rsidRPr="0051032A">
        <w:rPr>
          <w:rFonts w:eastAsia="SimSun"/>
        </w:rPr>
        <w:t xml:space="preserve">  X18[</w:t>
      </w:r>
      <w:proofErr w:type="gramStart"/>
      <w:r w:rsidRPr="0051032A">
        <w:rPr>
          <w:rFonts w:eastAsia="SimSun"/>
        </w:rPr>
        <w:t>t,s</w:t>
      </w:r>
      <w:proofErr w:type="gramEnd"/>
      <w:r w:rsidRPr="0051032A">
        <w:rPr>
          <w:rFonts w:eastAsia="SimSun"/>
        </w:rPr>
        <w:t>,1] &lt;- input[[s]][l,"X18_t"]</w:t>
      </w:r>
    </w:p>
    <w:p w14:paraId="6CDDF082" w14:textId="77777777" w:rsidR="00260B6D" w:rsidRPr="0051032A" w:rsidRDefault="00260B6D" w:rsidP="0051032A">
      <w:pPr>
        <w:rPr>
          <w:rFonts w:eastAsia="SimSun"/>
        </w:rPr>
      </w:pPr>
      <w:r w:rsidRPr="0051032A">
        <w:rPr>
          <w:rFonts w:eastAsia="SimSun"/>
        </w:rPr>
        <w:t xml:space="preserve">  X19[</w:t>
      </w:r>
      <w:proofErr w:type="gramStart"/>
      <w:r w:rsidRPr="0051032A">
        <w:rPr>
          <w:rFonts w:eastAsia="SimSun"/>
        </w:rPr>
        <w:t>t,s</w:t>
      </w:r>
      <w:proofErr w:type="gramEnd"/>
      <w:r w:rsidRPr="0051032A">
        <w:rPr>
          <w:rFonts w:eastAsia="SimSun"/>
        </w:rPr>
        <w:t>,1] &lt;- input[[s]][l,"X19_t"]</w:t>
      </w:r>
    </w:p>
    <w:p w14:paraId="19609C39" w14:textId="77777777" w:rsidR="00260B6D" w:rsidRPr="0051032A" w:rsidRDefault="00260B6D" w:rsidP="0051032A">
      <w:pPr>
        <w:rPr>
          <w:rFonts w:eastAsia="SimSun"/>
        </w:rPr>
      </w:pPr>
      <w:r w:rsidRPr="0051032A">
        <w:rPr>
          <w:rFonts w:eastAsia="SimSun"/>
        </w:rPr>
        <w:t xml:space="preserve">  X20[</w:t>
      </w:r>
      <w:proofErr w:type="gramStart"/>
      <w:r w:rsidRPr="0051032A">
        <w:rPr>
          <w:rFonts w:eastAsia="SimSun"/>
        </w:rPr>
        <w:t>t,s</w:t>
      </w:r>
      <w:proofErr w:type="gramEnd"/>
      <w:r w:rsidRPr="0051032A">
        <w:rPr>
          <w:rFonts w:eastAsia="SimSun"/>
        </w:rPr>
        <w:t>,1] &lt;- input[[s]][l,"X20_t"]</w:t>
      </w:r>
    </w:p>
    <w:p w14:paraId="2A55E6E3" w14:textId="77777777" w:rsidR="00260B6D" w:rsidRPr="0051032A" w:rsidRDefault="00260B6D" w:rsidP="0051032A">
      <w:pPr>
        <w:rPr>
          <w:rFonts w:eastAsia="SimSun"/>
        </w:rPr>
      </w:pPr>
      <w:r w:rsidRPr="0051032A">
        <w:rPr>
          <w:rFonts w:eastAsia="SimSun"/>
        </w:rPr>
        <w:t xml:space="preserve">  X21[</w:t>
      </w:r>
      <w:proofErr w:type="gramStart"/>
      <w:r w:rsidRPr="0051032A">
        <w:rPr>
          <w:rFonts w:eastAsia="SimSun"/>
        </w:rPr>
        <w:t>t,s</w:t>
      </w:r>
      <w:proofErr w:type="gramEnd"/>
      <w:r w:rsidRPr="0051032A">
        <w:rPr>
          <w:rFonts w:eastAsia="SimSun"/>
        </w:rPr>
        <w:t>,1] &lt;- input[[s]][l,"X21_t"]</w:t>
      </w:r>
    </w:p>
    <w:p w14:paraId="3C876470" w14:textId="77777777" w:rsidR="00260B6D" w:rsidRPr="0051032A" w:rsidRDefault="00260B6D" w:rsidP="0051032A">
      <w:pPr>
        <w:rPr>
          <w:rFonts w:eastAsia="SimSun"/>
        </w:rPr>
      </w:pPr>
      <w:r w:rsidRPr="0051032A">
        <w:rPr>
          <w:rFonts w:eastAsia="SimSun"/>
        </w:rPr>
        <w:t xml:space="preserve">  X22[</w:t>
      </w:r>
      <w:proofErr w:type="gramStart"/>
      <w:r w:rsidRPr="0051032A">
        <w:rPr>
          <w:rFonts w:eastAsia="SimSun"/>
        </w:rPr>
        <w:t>t,s</w:t>
      </w:r>
      <w:proofErr w:type="gramEnd"/>
      <w:r w:rsidRPr="0051032A">
        <w:rPr>
          <w:rFonts w:eastAsia="SimSun"/>
        </w:rPr>
        <w:t>,1] &lt;- input[[s]][l,"X22_t"]</w:t>
      </w:r>
    </w:p>
    <w:p w14:paraId="3124EB97" w14:textId="77777777" w:rsidR="00260B6D" w:rsidRPr="0051032A" w:rsidRDefault="00260B6D" w:rsidP="0051032A">
      <w:pPr>
        <w:rPr>
          <w:rFonts w:eastAsia="SimSun"/>
        </w:rPr>
      </w:pPr>
      <w:r w:rsidRPr="0051032A">
        <w:rPr>
          <w:rFonts w:eastAsia="SimSun"/>
        </w:rPr>
        <w:t xml:space="preserve">  X23[</w:t>
      </w:r>
      <w:proofErr w:type="gramStart"/>
      <w:r w:rsidRPr="0051032A">
        <w:rPr>
          <w:rFonts w:eastAsia="SimSun"/>
        </w:rPr>
        <w:t>t,s</w:t>
      </w:r>
      <w:proofErr w:type="gramEnd"/>
      <w:r w:rsidRPr="0051032A">
        <w:rPr>
          <w:rFonts w:eastAsia="SimSun"/>
        </w:rPr>
        <w:t>,1] &lt;- input[[s]][l,"X23_t"]</w:t>
      </w:r>
    </w:p>
    <w:p w14:paraId="706EBD98" w14:textId="77777777" w:rsidR="00260B6D" w:rsidRPr="0051032A" w:rsidRDefault="00260B6D" w:rsidP="0051032A">
      <w:pPr>
        <w:rPr>
          <w:rFonts w:eastAsia="SimSun"/>
        </w:rPr>
      </w:pPr>
      <w:r w:rsidRPr="0051032A">
        <w:rPr>
          <w:rFonts w:eastAsia="SimSun"/>
        </w:rPr>
        <w:t xml:space="preserve">  X24[</w:t>
      </w:r>
      <w:proofErr w:type="gramStart"/>
      <w:r w:rsidRPr="0051032A">
        <w:rPr>
          <w:rFonts w:eastAsia="SimSun"/>
        </w:rPr>
        <w:t>t,s</w:t>
      </w:r>
      <w:proofErr w:type="gramEnd"/>
      <w:r w:rsidRPr="0051032A">
        <w:rPr>
          <w:rFonts w:eastAsia="SimSun"/>
        </w:rPr>
        <w:t>,1] &lt;- input[[s]][l,"X24_t"]</w:t>
      </w:r>
    </w:p>
    <w:p w14:paraId="636C63D5" w14:textId="77777777" w:rsidR="00260B6D" w:rsidRPr="0051032A" w:rsidRDefault="00260B6D" w:rsidP="0051032A">
      <w:pPr>
        <w:rPr>
          <w:rFonts w:eastAsia="SimSun"/>
        </w:rPr>
      </w:pPr>
      <w:r w:rsidRPr="0051032A">
        <w:rPr>
          <w:rFonts w:eastAsia="SimSun"/>
        </w:rPr>
        <w:t xml:space="preserve">  </w:t>
      </w:r>
    </w:p>
    <w:p w14:paraId="503EC6B5" w14:textId="77777777" w:rsidR="00260B6D" w:rsidRPr="0051032A" w:rsidRDefault="00260B6D" w:rsidP="0051032A">
      <w:pPr>
        <w:rPr>
          <w:rFonts w:eastAsia="SimSun"/>
        </w:rPr>
      </w:pPr>
      <w:r w:rsidRPr="0051032A">
        <w:rPr>
          <w:rFonts w:eastAsia="SimSun"/>
        </w:rPr>
        <w:t xml:space="preserve">  # READ PARAMETER INPUTS</w:t>
      </w:r>
    </w:p>
    <w:p w14:paraId="1359EFEA" w14:textId="77777777" w:rsidR="00260B6D" w:rsidRPr="0051032A" w:rsidRDefault="00260B6D" w:rsidP="0051032A">
      <w:pPr>
        <w:rPr>
          <w:rFonts w:eastAsia="SimSun"/>
        </w:rPr>
      </w:pPr>
      <w:r w:rsidRPr="0051032A">
        <w:rPr>
          <w:rFonts w:eastAsia="SimSun"/>
        </w:rPr>
        <w:t xml:space="preserve"> </w:t>
      </w:r>
    </w:p>
    <w:p w14:paraId="7C559588" w14:textId="77777777" w:rsidR="00260B6D" w:rsidRPr="0051032A" w:rsidRDefault="00260B6D" w:rsidP="0051032A">
      <w:pPr>
        <w:rPr>
          <w:rFonts w:eastAsia="SimSun"/>
        </w:rPr>
      </w:pPr>
      <w:r w:rsidRPr="0051032A">
        <w:rPr>
          <w:rFonts w:eastAsia="SimSun"/>
        </w:rPr>
        <w:t xml:space="preserve">  for (g in 1:(generations))</w:t>
      </w:r>
    </w:p>
    <w:p w14:paraId="7A568514" w14:textId="77777777" w:rsidR="00260B6D" w:rsidRPr="0051032A" w:rsidRDefault="00260B6D" w:rsidP="0051032A">
      <w:pPr>
        <w:rPr>
          <w:rFonts w:eastAsia="SimSun"/>
        </w:rPr>
      </w:pPr>
      <w:r w:rsidRPr="0051032A">
        <w:rPr>
          <w:rFonts w:eastAsia="SimSun"/>
        </w:rPr>
        <w:t xml:space="preserve">  { </w:t>
      </w:r>
    </w:p>
    <w:p w14:paraId="643C4813" w14:textId="77777777" w:rsidR="00260B6D" w:rsidRPr="0051032A" w:rsidRDefault="00260B6D" w:rsidP="0051032A">
      <w:pPr>
        <w:rPr>
          <w:rFonts w:eastAsia="SimSun"/>
        </w:rPr>
      </w:pPr>
      <w:r w:rsidRPr="0051032A">
        <w:rPr>
          <w:rFonts w:eastAsia="SimSun"/>
        </w:rPr>
        <w:t xml:space="preserve">    if (g&lt;input[[s</w:t>
      </w:r>
      <w:proofErr w:type="gramStart"/>
      <w:r w:rsidRPr="0051032A">
        <w:rPr>
          <w:rFonts w:eastAsia="SimSun"/>
        </w:rPr>
        <w:t>]][</w:t>
      </w:r>
      <w:proofErr w:type="gramEnd"/>
      <w:r w:rsidRPr="0051032A">
        <w:rPr>
          <w:rFonts w:eastAsia="SimSun"/>
        </w:rPr>
        <w:t>l+1,"generation"])</w:t>
      </w:r>
    </w:p>
    <w:p w14:paraId="77A5EBD2" w14:textId="77777777" w:rsidR="00260B6D" w:rsidRPr="0051032A" w:rsidRDefault="00260B6D" w:rsidP="0051032A">
      <w:pPr>
        <w:rPr>
          <w:rFonts w:eastAsia="SimSun"/>
        </w:rPr>
      </w:pPr>
      <w:r w:rsidRPr="0051032A">
        <w:rPr>
          <w:rFonts w:eastAsia="SimSun"/>
        </w:rPr>
        <w:t xml:space="preserve">    {</w:t>
      </w:r>
    </w:p>
    <w:p w14:paraId="3354DF36" w14:textId="77777777" w:rsidR="00260B6D" w:rsidRPr="0051032A" w:rsidRDefault="00260B6D" w:rsidP="0051032A">
      <w:pPr>
        <w:rPr>
          <w:rFonts w:eastAsia="SimSun"/>
        </w:rPr>
      </w:pPr>
      <w:r w:rsidRPr="0051032A">
        <w:rPr>
          <w:rFonts w:eastAsia="SimSun"/>
        </w:rPr>
        <w:t xml:space="preserve">      # Constant monthly rate of increase in the susceptible population, calculated using data from World Bank to reflect population growth over time.</w:t>
      </w:r>
    </w:p>
    <w:p w14:paraId="5A03E146" w14:textId="77777777" w:rsidR="00260B6D" w:rsidRPr="0051032A" w:rsidRDefault="00260B6D" w:rsidP="0051032A">
      <w:pPr>
        <w:rPr>
          <w:rFonts w:eastAsia="SimSun"/>
        </w:rPr>
      </w:pPr>
      <w:r w:rsidRPr="0051032A">
        <w:rPr>
          <w:rFonts w:eastAsia="SimSun"/>
        </w:rPr>
        <w:t xml:space="preserve">      rho[</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l,"rho_t",g</w:t>
      </w:r>
      <w:proofErr w:type="spellEnd"/>
      <w:r w:rsidRPr="0051032A">
        <w:rPr>
          <w:rFonts w:eastAsia="SimSun"/>
        </w:rPr>
        <w:t>]</w:t>
      </w:r>
    </w:p>
    <w:p w14:paraId="61E61F48" w14:textId="77777777" w:rsidR="00260B6D" w:rsidRPr="0051032A" w:rsidRDefault="00260B6D" w:rsidP="0051032A">
      <w:pPr>
        <w:rPr>
          <w:rFonts w:eastAsia="SimSun"/>
        </w:rPr>
      </w:pPr>
      <w:r w:rsidRPr="0051032A">
        <w:rPr>
          <w:rFonts w:eastAsia="SimSun"/>
        </w:rPr>
        <w:t xml:space="preserve">      </w:t>
      </w:r>
    </w:p>
    <w:p w14:paraId="544AF9BA" w14:textId="77777777" w:rsidR="00260B6D" w:rsidRPr="0051032A" w:rsidRDefault="00260B6D" w:rsidP="0051032A">
      <w:pPr>
        <w:rPr>
          <w:rFonts w:eastAsia="SimSun"/>
        </w:rPr>
      </w:pPr>
      <w:r w:rsidRPr="0051032A">
        <w:rPr>
          <w:rFonts w:eastAsia="SimSun"/>
        </w:rPr>
        <w:t xml:space="preserve">      #Multiplier for monthly probability of getting diagnosed when CD4&lt;200; Import the parameters for the distribution</w:t>
      </w:r>
    </w:p>
    <w:p w14:paraId="5B5B35FA" w14:textId="77777777" w:rsidR="00260B6D" w:rsidRPr="0051032A" w:rsidRDefault="00260B6D" w:rsidP="0051032A">
      <w:pPr>
        <w:rPr>
          <w:rFonts w:eastAsia="SimSun"/>
        </w:rPr>
      </w:pPr>
      <w:r w:rsidRPr="0051032A">
        <w:rPr>
          <w:rFonts w:eastAsia="SimSun"/>
        </w:rPr>
        <w:t xml:space="preserve">      #alpha_m[</w:t>
      </w:r>
      <w:proofErr w:type="gramStart"/>
      <w:r w:rsidRPr="0051032A">
        <w:rPr>
          <w:rFonts w:eastAsia="SimSun"/>
        </w:rPr>
        <w:t>t,s</w:t>
      </w:r>
      <w:proofErr w:type="gramEnd"/>
      <w:r w:rsidRPr="0051032A">
        <w:rPr>
          <w:rFonts w:eastAsia="SimSun"/>
        </w:rPr>
        <w:t>,g] &lt;- input[[s]][</w:t>
      </w:r>
      <w:proofErr w:type="spellStart"/>
      <w:r w:rsidRPr="0051032A">
        <w:rPr>
          <w:rFonts w:eastAsia="SimSun"/>
        </w:rPr>
        <w:t>l,"alpha_m",g</w:t>
      </w:r>
      <w:proofErr w:type="spellEnd"/>
      <w:r w:rsidRPr="0051032A">
        <w:rPr>
          <w:rFonts w:eastAsia="SimSun"/>
        </w:rPr>
        <w:t>]</w:t>
      </w:r>
    </w:p>
    <w:p w14:paraId="553296C1"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alpha_m_mu</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l,"alpha_m_mu_t",g</w:t>
      </w:r>
      <w:proofErr w:type="spellEnd"/>
      <w:r w:rsidRPr="0051032A">
        <w:rPr>
          <w:rFonts w:eastAsia="SimSun"/>
        </w:rPr>
        <w:t>]</w:t>
      </w:r>
    </w:p>
    <w:p w14:paraId="10CE4947"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alpha_m_sd</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l,"alpha_m_sd_t",g</w:t>
      </w:r>
      <w:proofErr w:type="spellEnd"/>
      <w:r w:rsidRPr="0051032A">
        <w:rPr>
          <w:rFonts w:eastAsia="SimSun"/>
        </w:rPr>
        <w:t>]</w:t>
      </w:r>
    </w:p>
    <w:p w14:paraId="54DDD021" w14:textId="77777777" w:rsidR="00260B6D" w:rsidRPr="0051032A" w:rsidRDefault="00260B6D" w:rsidP="0051032A">
      <w:pPr>
        <w:rPr>
          <w:rFonts w:eastAsia="SimSun"/>
        </w:rPr>
      </w:pPr>
    </w:p>
    <w:p w14:paraId="5C8669B0" w14:textId="77777777" w:rsidR="00260B6D" w:rsidRPr="0051032A" w:rsidRDefault="00260B6D" w:rsidP="0051032A">
      <w:pPr>
        <w:rPr>
          <w:rFonts w:eastAsia="SimSun"/>
        </w:rPr>
      </w:pPr>
      <w:r w:rsidRPr="0051032A">
        <w:rPr>
          <w:rFonts w:eastAsia="SimSun"/>
        </w:rPr>
        <w:t xml:space="preserve">      # Monthly probability of getting diagnosed from compartment X1 — X4; Import the </w:t>
      </w:r>
      <w:proofErr w:type="spellStart"/>
      <w:r w:rsidRPr="0051032A">
        <w:rPr>
          <w:rFonts w:eastAsia="SimSun"/>
        </w:rPr>
        <w:t>prameters</w:t>
      </w:r>
      <w:proofErr w:type="spellEnd"/>
      <w:r w:rsidRPr="0051032A">
        <w:rPr>
          <w:rFonts w:eastAsia="SimSun"/>
        </w:rPr>
        <w:t xml:space="preserve"> for the distribution;</w:t>
      </w:r>
    </w:p>
    <w:p w14:paraId="2B916DC4" w14:textId="77777777" w:rsidR="00260B6D" w:rsidRPr="0051032A" w:rsidRDefault="00260B6D" w:rsidP="0051032A">
      <w:pPr>
        <w:rPr>
          <w:rFonts w:eastAsia="SimSun"/>
        </w:rPr>
      </w:pPr>
      <w:r w:rsidRPr="0051032A">
        <w:rPr>
          <w:rFonts w:eastAsia="SimSun"/>
        </w:rPr>
        <w:t xml:space="preserve">      #alpha_1[</w:t>
      </w:r>
      <w:proofErr w:type="gramStart"/>
      <w:r w:rsidRPr="0051032A">
        <w:rPr>
          <w:rFonts w:eastAsia="SimSun"/>
        </w:rPr>
        <w:t>t,s</w:t>
      </w:r>
      <w:proofErr w:type="gramEnd"/>
      <w:r w:rsidRPr="0051032A">
        <w:rPr>
          <w:rFonts w:eastAsia="SimSun"/>
        </w:rPr>
        <w:t>,g] &lt;- input[[s]][l,"alpha_1_t",g]</w:t>
      </w:r>
    </w:p>
    <w:p w14:paraId="052CB01B" w14:textId="77777777" w:rsidR="00260B6D" w:rsidRPr="0051032A" w:rsidRDefault="00260B6D" w:rsidP="0051032A">
      <w:pPr>
        <w:rPr>
          <w:rFonts w:eastAsia="SimSun"/>
        </w:rPr>
      </w:pPr>
      <w:r w:rsidRPr="0051032A">
        <w:rPr>
          <w:rFonts w:eastAsia="SimSun"/>
        </w:rPr>
        <w:t xml:space="preserve">      alpha_1_a[</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input[[s]][l,"alpha_1_a_t",g]</w:t>
      </w:r>
    </w:p>
    <w:p w14:paraId="1E6C9C41" w14:textId="77777777" w:rsidR="00260B6D" w:rsidRPr="0051032A" w:rsidRDefault="00260B6D" w:rsidP="0051032A">
      <w:pPr>
        <w:rPr>
          <w:rFonts w:eastAsia="SimSun"/>
        </w:rPr>
      </w:pPr>
      <w:r w:rsidRPr="0051032A">
        <w:rPr>
          <w:rFonts w:eastAsia="SimSun"/>
        </w:rPr>
        <w:t xml:space="preserve">      alpha_1_b[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input[[s]][l,"alpha_1_b_t",g]</w:t>
      </w:r>
    </w:p>
    <w:p w14:paraId="47B3360A" w14:textId="77777777" w:rsidR="00260B6D" w:rsidRPr="0051032A" w:rsidRDefault="00260B6D" w:rsidP="0051032A">
      <w:pPr>
        <w:rPr>
          <w:rFonts w:eastAsia="SimSun"/>
        </w:rPr>
      </w:pPr>
      <w:r w:rsidRPr="0051032A">
        <w:rPr>
          <w:rFonts w:eastAsia="SimSun"/>
        </w:rPr>
        <w:t xml:space="preserve">      </w:t>
      </w:r>
    </w:p>
    <w:p w14:paraId="412D01F6" w14:textId="77777777" w:rsidR="00260B6D" w:rsidRPr="0051032A" w:rsidRDefault="00260B6D" w:rsidP="0051032A">
      <w:pPr>
        <w:rPr>
          <w:rFonts w:eastAsia="SimSun"/>
        </w:rPr>
      </w:pPr>
      <w:r w:rsidRPr="0051032A">
        <w:rPr>
          <w:rFonts w:eastAsia="SimSun"/>
        </w:rPr>
        <w:t xml:space="preserve">      if (input[[s</w:t>
      </w:r>
      <w:proofErr w:type="gramStart"/>
      <w:r w:rsidRPr="0051032A">
        <w:rPr>
          <w:rFonts w:eastAsia="SimSun"/>
        </w:rPr>
        <w:t>]][</w:t>
      </w:r>
      <w:proofErr w:type="spellStart"/>
      <w:proofErr w:type="gramEnd"/>
      <w:r w:rsidRPr="0051032A">
        <w:rPr>
          <w:rFonts w:eastAsia="SimSun"/>
        </w:rPr>
        <w:t>l,"year",g</w:t>
      </w:r>
      <w:proofErr w:type="spellEnd"/>
      <w:r w:rsidRPr="0051032A">
        <w:rPr>
          <w:rFonts w:eastAsia="SimSun"/>
        </w:rPr>
        <w:t>]==2004 &amp; g==1)</w:t>
      </w:r>
    </w:p>
    <w:p w14:paraId="76B11C85" w14:textId="77777777" w:rsidR="00260B6D" w:rsidRPr="0051032A" w:rsidRDefault="00260B6D" w:rsidP="0051032A">
      <w:pPr>
        <w:rPr>
          <w:rFonts w:eastAsia="SimSun"/>
        </w:rPr>
      </w:pPr>
      <w:r w:rsidRPr="0051032A">
        <w:rPr>
          <w:rFonts w:eastAsia="SimSun"/>
        </w:rPr>
        <w:t xml:space="preserve">      {</w:t>
      </w:r>
    </w:p>
    <w:p w14:paraId="03A01893" w14:textId="77777777" w:rsidR="00260B6D" w:rsidRPr="0051032A" w:rsidRDefault="00260B6D" w:rsidP="0051032A">
      <w:pPr>
        <w:rPr>
          <w:rFonts w:eastAsia="SimSun"/>
        </w:rPr>
      </w:pPr>
      <w:r w:rsidRPr="0051032A">
        <w:rPr>
          <w:rFonts w:eastAsia="SimSun"/>
        </w:rPr>
        <w:t xml:space="preserve">        # </w:t>
      </w:r>
      <w:proofErr w:type="gramStart"/>
      <w:r w:rsidRPr="0051032A">
        <w:rPr>
          <w:rFonts w:eastAsia="SimSun"/>
        </w:rPr>
        <w:t>generate</w:t>
      </w:r>
      <w:proofErr w:type="gramEnd"/>
      <w:r w:rsidRPr="0051032A">
        <w:rPr>
          <w:rFonts w:eastAsia="SimSun"/>
        </w:rPr>
        <w:t xml:space="preserve"> random multiplier drawn from the log-normal distribution</w:t>
      </w:r>
    </w:p>
    <w:p w14:paraId="2FDB756D" w14:textId="77777777" w:rsidR="00260B6D" w:rsidRPr="0051032A" w:rsidRDefault="00260B6D" w:rsidP="0051032A">
      <w:pPr>
        <w:rPr>
          <w:rFonts w:eastAsia="SimSun"/>
        </w:rPr>
      </w:pPr>
      <w:r w:rsidRPr="0051032A">
        <w:rPr>
          <w:rFonts w:eastAsia="SimSun"/>
        </w:rPr>
        <w:t xml:space="preserve">        mediate &lt;- </w:t>
      </w:r>
      <w:proofErr w:type="spellStart"/>
      <w:r w:rsidRPr="0051032A">
        <w:rPr>
          <w:rFonts w:eastAsia="SimSun"/>
        </w:rPr>
        <w:t>rlnorm</w:t>
      </w:r>
      <w:proofErr w:type="spellEnd"/>
      <w:r w:rsidRPr="0051032A">
        <w:rPr>
          <w:rFonts w:eastAsia="SimSun"/>
        </w:rPr>
        <w:t>(</w:t>
      </w:r>
      <w:proofErr w:type="gramStart"/>
      <w:r w:rsidRPr="0051032A">
        <w:rPr>
          <w:rFonts w:eastAsia="SimSun"/>
        </w:rPr>
        <w:t>1,alpha</w:t>
      </w:r>
      <w:proofErr w:type="gramEnd"/>
      <w:r w:rsidRPr="0051032A">
        <w:rPr>
          <w:rFonts w:eastAsia="SimSun"/>
        </w:rPr>
        <w:t>_m_mu[</w:t>
      </w:r>
      <w:proofErr w:type="spellStart"/>
      <w:r w:rsidRPr="0051032A">
        <w:rPr>
          <w:rFonts w:eastAsia="SimSun"/>
        </w:rPr>
        <w:t>t,s,g</w:t>
      </w:r>
      <w:proofErr w:type="spellEnd"/>
      <w:r w:rsidRPr="0051032A">
        <w:rPr>
          <w:rFonts w:eastAsia="SimSun"/>
        </w:rPr>
        <w:t>],</w:t>
      </w:r>
      <w:proofErr w:type="spellStart"/>
      <w:r w:rsidRPr="0051032A">
        <w:rPr>
          <w:rFonts w:eastAsia="SimSun"/>
        </w:rPr>
        <w:t>alpha_m_sd</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1134AF04" w14:textId="77777777" w:rsidR="00260B6D" w:rsidRPr="0051032A" w:rsidRDefault="00260B6D" w:rsidP="0051032A">
      <w:pPr>
        <w:rPr>
          <w:rFonts w:eastAsia="SimSun"/>
        </w:rPr>
      </w:pPr>
      <w:r w:rsidRPr="0051032A">
        <w:rPr>
          <w:rFonts w:eastAsia="SimSun"/>
        </w:rPr>
        <w:t xml:space="preserve">        # </w:t>
      </w:r>
      <w:proofErr w:type="gramStart"/>
      <w:r w:rsidRPr="0051032A">
        <w:rPr>
          <w:rFonts w:eastAsia="SimSun"/>
        </w:rPr>
        <w:t>generate</w:t>
      </w:r>
      <w:proofErr w:type="gramEnd"/>
      <w:r w:rsidRPr="0051032A">
        <w:rPr>
          <w:rFonts w:eastAsia="SimSun"/>
        </w:rPr>
        <w:t xml:space="preserve"> random parameter estimates from beta distribution</w:t>
      </w:r>
    </w:p>
    <w:p w14:paraId="2D2AECD1" w14:textId="77777777" w:rsidR="00260B6D" w:rsidRPr="0051032A" w:rsidRDefault="00260B6D" w:rsidP="0051032A">
      <w:pPr>
        <w:rPr>
          <w:rFonts w:eastAsia="SimSun"/>
        </w:rPr>
      </w:pPr>
      <w:r w:rsidRPr="0051032A">
        <w:rPr>
          <w:rFonts w:eastAsia="SimSun"/>
        </w:rPr>
        <w:t xml:space="preserve">        mediate_a1 &lt;- </w:t>
      </w:r>
      <w:proofErr w:type="spellStart"/>
      <w:r w:rsidRPr="0051032A">
        <w:rPr>
          <w:rFonts w:eastAsia="SimSun"/>
        </w:rPr>
        <w:t>rbeta</w:t>
      </w:r>
      <w:proofErr w:type="spellEnd"/>
      <w:r w:rsidRPr="0051032A">
        <w:rPr>
          <w:rFonts w:eastAsia="SimSun"/>
        </w:rPr>
        <w:t>(</w:t>
      </w:r>
      <w:proofErr w:type="gramStart"/>
      <w:r w:rsidRPr="0051032A">
        <w:rPr>
          <w:rFonts w:eastAsia="SimSun"/>
        </w:rPr>
        <w:t>1,alpha</w:t>
      </w:r>
      <w:proofErr w:type="gramEnd"/>
      <w:r w:rsidRPr="0051032A">
        <w:rPr>
          <w:rFonts w:eastAsia="SimSun"/>
        </w:rPr>
        <w:t>_1_a[</w:t>
      </w:r>
      <w:proofErr w:type="spellStart"/>
      <w:r w:rsidRPr="0051032A">
        <w:rPr>
          <w:rFonts w:eastAsia="SimSun"/>
        </w:rPr>
        <w:t>t,s,g</w:t>
      </w:r>
      <w:proofErr w:type="spellEnd"/>
      <w:r w:rsidRPr="0051032A">
        <w:rPr>
          <w:rFonts w:eastAsia="SimSun"/>
        </w:rPr>
        <w:t>],alpha_1_b[</w:t>
      </w:r>
      <w:proofErr w:type="spellStart"/>
      <w:r w:rsidRPr="0051032A">
        <w:rPr>
          <w:rFonts w:eastAsia="SimSun"/>
        </w:rPr>
        <w:t>t,s,g</w:t>
      </w:r>
      <w:proofErr w:type="spellEnd"/>
      <w:r w:rsidRPr="0051032A">
        <w:rPr>
          <w:rFonts w:eastAsia="SimSun"/>
        </w:rPr>
        <w:t>])</w:t>
      </w:r>
    </w:p>
    <w:p w14:paraId="62CBE8E3" w14:textId="77777777" w:rsidR="00260B6D" w:rsidRPr="0051032A" w:rsidRDefault="00260B6D" w:rsidP="0051032A">
      <w:pPr>
        <w:rPr>
          <w:rFonts w:eastAsia="SimSun"/>
        </w:rPr>
      </w:pPr>
      <w:r w:rsidRPr="0051032A">
        <w:rPr>
          <w:rFonts w:eastAsia="SimSun"/>
        </w:rPr>
        <w:t xml:space="preserve">      }</w:t>
      </w:r>
    </w:p>
    <w:p w14:paraId="43B239EF" w14:textId="77777777" w:rsidR="00260B6D" w:rsidRPr="0051032A" w:rsidRDefault="00260B6D" w:rsidP="0051032A">
      <w:pPr>
        <w:rPr>
          <w:rFonts w:eastAsia="SimSun"/>
        </w:rPr>
      </w:pPr>
      <w:r w:rsidRPr="0051032A">
        <w:rPr>
          <w:rFonts w:eastAsia="SimSun"/>
        </w:rPr>
        <w:lastRenderedPageBreak/>
        <w:t xml:space="preserve">        </w:t>
      </w:r>
      <w:proofErr w:type="spellStart"/>
      <w:r w:rsidRPr="0051032A">
        <w:rPr>
          <w:rFonts w:eastAsia="SimSun"/>
        </w:rPr>
        <w:t>alpha_m</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w:t>
      </w:r>
    </w:p>
    <w:p w14:paraId="27656E20" w14:textId="77777777" w:rsidR="00260B6D" w:rsidRPr="0051032A" w:rsidRDefault="00260B6D" w:rsidP="0051032A">
      <w:pPr>
        <w:rPr>
          <w:rFonts w:eastAsia="SimSun"/>
        </w:rPr>
      </w:pPr>
      <w:r w:rsidRPr="0051032A">
        <w:rPr>
          <w:rFonts w:eastAsia="SimSun"/>
        </w:rPr>
        <w:t xml:space="preserve">        alpha_1[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mediate_a1</w:t>
      </w:r>
    </w:p>
    <w:p w14:paraId="793E9577" w14:textId="77777777" w:rsidR="00260B6D" w:rsidRPr="0051032A" w:rsidRDefault="00260B6D" w:rsidP="0051032A">
      <w:pPr>
        <w:rPr>
          <w:rFonts w:eastAsia="SimSun"/>
        </w:rPr>
      </w:pPr>
      <w:r w:rsidRPr="0051032A">
        <w:rPr>
          <w:rFonts w:eastAsia="SimSun"/>
        </w:rPr>
        <w:t xml:space="preserve">        alpha_2[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mediate_a1</w:t>
      </w:r>
    </w:p>
    <w:p w14:paraId="70F9003F" w14:textId="77777777" w:rsidR="00260B6D" w:rsidRPr="0051032A" w:rsidRDefault="00260B6D" w:rsidP="0051032A">
      <w:pPr>
        <w:rPr>
          <w:rFonts w:eastAsia="SimSun"/>
        </w:rPr>
      </w:pPr>
      <w:r w:rsidRPr="0051032A">
        <w:rPr>
          <w:rFonts w:eastAsia="SimSun"/>
        </w:rPr>
        <w:t xml:space="preserve">        alpha_3[</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mediate_a1</w:t>
      </w:r>
    </w:p>
    <w:p w14:paraId="1B8B6135" w14:textId="77777777" w:rsidR="00260B6D" w:rsidRPr="0051032A" w:rsidRDefault="00260B6D" w:rsidP="0051032A">
      <w:pPr>
        <w:rPr>
          <w:rFonts w:eastAsia="SimSun"/>
        </w:rPr>
      </w:pPr>
      <w:r w:rsidRPr="0051032A">
        <w:rPr>
          <w:rFonts w:eastAsia="SimSun"/>
        </w:rPr>
        <w:t xml:space="preserve">        alpha_4[</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mediate_a1*mediate</w:t>
      </w:r>
    </w:p>
    <w:p w14:paraId="4D1CEC85" w14:textId="77777777" w:rsidR="00260B6D" w:rsidRPr="0051032A" w:rsidRDefault="00260B6D" w:rsidP="0051032A">
      <w:pPr>
        <w:rPr>
          <w:rFonts w:eastAsia="SimSun"/>
        </w:rPr>
      </w:pPr>
    </w:p>
    <w:p w14:paraId="69AA81FB" w14:textId="77777777" w:rsidR="00260B6D" w:rsidRPr="0051032A" w:rsidRDefault="00260B6D" w:rsidP="0051032A">
      <w:pPr>
        <w:rPr>
          <w:rFonts w:eastAsia="SimSun"/>
        </w:rPr>
      </w:pPr>
      <w:r w:rsidRPr="0051032A">
        <w:rPr>
          <w:rFonts w:eastAsia="SimSun"/>
        </w:rPr>
        <w:t xml:space="preserve">      # Multiplier applied to linkage to care compartments (X9 — X12) to reduce the probability disease progression.</w:t>
      </w:r>
    </w:p>
    <w:p w14:paraId="4D4967F4"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m_delta</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l,"m_delta_t",g</w:t>
      </w:r>
      <w:proofErr w:type="spellEnd"/>
      <w:r w:rsidRPr="0051032A">
        <w:rPr>
          <w:rFonts w:eastAsia="SimSun"/>
        </w:rPr>
        <w:t xml:space="preserve">] </w:t>
      </w:r>
    </w:p>
    <w:p w14:paraId="1425D974" w14:textId="77777777" w:rsidR="00260B6D" w:rsidRPr="0051032A" w:rsidRDefault="00260B6D" w:rsidP="0051032A">
      <w:pPr>
        <w:rPr>
          <w:rFonts w:eastAsia="SimSun"/>
        </w:rPr>
      </w:pPr>
      <w:r w:rsidRPr="0051032A">
        <w:rPr>
          <w:rFonts w:eastAsia="SimSun"/>
        </w:rPr>
        <w:t xml:space="preserve">      </w:t>
      </w:r>
    </w:p>
    <w:p w14:paraId="0B13FA81" w14:textId="77777777" w:rsidR="00260B6D" w:rsidRPr="0051032A" w:rsidRDefault="00260B6D" w:rsidP="0051032A">
      <w:pPr>
        <w:rPr>
          <w:rFonts w:eastAsia="SimSun"/>
        </w:rPr>
      </w:pPr>
      <w:r w:rsidRPr="0051032A">
        <w:rPr>
          <w:rFonts w:eastAsia="SimSun"/>
        </w:rPr>
        <w:t xml:space="preserve">      # Monthly probability of natural history disease progression. We assume individuals who are undiagnosed (X1 — X4), diagnosed and not linked to care (X5 — X8), and those lost from care (X13 — X16), experience similar natural history disease progression in respective compartments.</w:t>
      </w:r>
    </w:p>
    <w:p w14:paraId="187DE5A8" w14:textId="77777777" w:rsidR="00260B6D" w:rsidRPr="0051032A" w:rsidRDefault="00260B6D" w:rsidP="0051032A">
      <w:pPr>
        <w:rPr>
          <w:rFonts w:eastAsia="SimSun"/>
        </w:rPr>
      </w:pPr>
      <w:r w:rsidRPr="0051032A">
        <w:rPr>
          <w:rFonts w:eastAsia="SimSun"/>
        </w:rPr>
        <w:t xml:space="preserve">      delta_1[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input[[s]][l,"delta_1_t",g]</w:t>
      </w:r>
    </w:p>
    <w:p w14:paraId="30E019C0" w14:textId="77777777" w:rsidR="00260B6D" w:rsidRPr="0051032A" w:rsidRDefault="00260B6D" w:rsidP="0051032A">
      <w:pPr>
        <w:rPr>
          <w:rFonts w:eastAsia="SimSun"/>
        </w:rPr>
      </w:pPr>
      <w:r w:rsidRPr="0051032A">
        <w:rPr>
          <w:rFonts w:eastAsia="SimSun"/>
        </w:rPr>
        <w:t xml:space="preserve">      delta_2[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input[[s]][l,"delta_2_t",g]</w:t>
      </w:r>
    </w:p>
    <w:p w14:paraId="2048ABAD" w14:textId="77777777" w:rsidR="00260B6D" w:rsidRPr="0051032A" w:rsidRDefault="00260B6D" w:rsidP="0051032A">
      <w:pPr>
        <w:rPr>
          <w:rFonts w:eastAsia="SimSun"/>
        </w:rPr>
      </w:pPr>
      <w:r w:rsidRPr="0051032A">
        <w:rPr>
          <w:rFonts w:eastAsia="SimSun"/>
        </w:rPr>
        <w:t xml:space="preserve">      delta_3[</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input[[s]][l,"delta_3_t",g]</w:t>
      </w:r>
    </w:p>
    <w:p w14:paraId="1EEEC5EB" w14:textId="77777777" w:rsidR="00260B6D" w:rsidRPr="0051032A" w:rsidRDefault="00260B6D" w:rsidP="0051032A">
      <w:pPr>
        <w:rPr>
          <w:rFonts w:eastAsia="SimSun"/>
        </w:rPr>
      </w:pPr>
      <w:r w:rsidRPr="0051032A">
        <w:rPr>
          <w:rFonts w:eastAsia="SimSun"/>
        </w:rPr>
        <w:t xml:space="preserve">      delta_4[</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delta_1[</w:t>
      </w:r>
      <w:proofErr w:type="spellStart"/>
      <w:r w:rsidRPr="0051032A">
        <w:rPr>
          <w:rFonts w:eastAsia="SimSun"/>
        </w:rPr>
        <w:t>t,s,g</w:t>
      </w:r>
      <w:proofErr w:type="spellEnd"/>
      <w:r w:rsidRPr="0051032A">
        <w:rPr>
          <w:rFonts w:eastAsia="SimSun"/>
        </w:rPr>
        <w:t>]*</w:t>
      </w:r>
      <w:proofErr w:type="spellStart"/>
      <w:r w:rsidRPr="0051032A">
        <w:rPr>
          <w:rFonts w:eastAsia="SimSun"/>
        </w:rPr>
        <w:t>m_delta</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492B9971" w14:textId="77777777" w:rsidR="00260B6D" w:rsidRPr="0051032A" w:rsidRDefault="00260B6D" w:rsidP="0051032A">
      <w:pPr>
        <w:rPr>
          <w:rFonts w:eastAsia="SimSun"/>
        </w:rPr>
      </w:pPr>
      <w:r w:rsidRPr="0051032A">
        <w:rPr>
          <w:rFonts w:eastAsia="SimSun"/>
        </w:rPr>
        <w:t xml:space="preserve">      delta_5[</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delta_2[</w:t>
      </w:r>
      <w:proofErr w:type="spellStart"/>
      <w:r w:rsidRPr="0051032A">
        <w:rPr>
          <w:rFonts w:eastAsia="SimSun"/>
        </w:rPr>
        <w:t>t,s,g</w:t>
      </w:r>
      <w:proofErr w:type="spellEnd"/>
      <w:r w:rsidRPr="0051032A">
        <w:rPr>
          <w:rFonts w:eastAsia="SimSun"/>
        </w:rPr>
        <w:t>]*</w:t>
      </w:r>
      <w:proofErr w:type="spellStart"/>
      <w:r w:rsidRPr="0051032A">
        <w:rPr>
          <w:rFonts w:eastAsia="SimSun"/>
        </w:rPr>
        <w:t>m_delta</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28AA726C" w14:textId="77777777" w:rsidR="00260B6D" w:rsidRPr="0051032A" w:rsidRDefault="00260B6D" w:rsidP="0051032A">
      <w:pPr>
        <w:rPr>
          <w:rFonts w:eastAsia="SimSun"/>
        </w:rPr>
      </w:pPr>
      <w:r w:rsidRPr="0051032A">
        <w:rPr>
          <w:rFonts w:eastAsia="SimSun"/>
        </w:rPr>
        <w:t xml:space="preserve">      delta_6[</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delta_3[</w:t>
      </w:r>
      <w:proofErr w:type="spellStart"/>
      <w:r w:rsidRPr="0051032A">
        <w:rPr>
          <w:rFonts w:eastAsia="SimSun"/>
        </w:rPr>
        <w:t>t,s,g</w:t>
      </w:r>
      <w:proofErr w:type="spellEnd"/>
      <w:r w:rsidRPr="0051032A">
        <w:rPr>
          <w:rFonts w:eastAsia="SimSun"/>
        </w:rPr>
        <w:t>]*</w:t>
      </w:r>
      <w:proofErr w:type="spellStart"/>
      <w:r w:rsidRPr="0051032A">
        <w:rPr>
          <w:rFonts w:eastAsia="SimSun"/>
        </w:rPr>
        <w:t>m_delta</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2DF46211" w14:textId="77777777" w:rsidR="00260B6D" w:rsidRPr="0051032A" w:rsidRDefault="00260B6D" w:rsidP="0051032A">
      <w:pPr>
        <w:rPr>
          <w:rFonts w:eastAsia="SimSun"/>
        </w:rPr>
      </w:pPr>
      <w:r w:rsidRPr="0051032A">
        <w:rPr>
          <w:rFonts w:eastAsia="SimSun"/>
        </w:rPr>
        <w:t xml:space="preserve">      </w:t>
      </w:r>
    </w:p>
    <w:p w14:paraId="1362EEEF" w14:textId="77777777" w:rsidR="00260B6D" w:rsidRPr="0051032A" w:rsidRDefault="00260B6D" w:rsidP="0051032A">
      <w:pPr>
        <w:rPr>
          <w:rFonts w:eastAsia="SimSun"/>
        </w:rPr>
      </w:pPr>
      <w:r w:rsidRPr="0051032A">
        <w:rPr>
          <w:rFonts w:eastAsia="SimSun"/>
        </w:rPr>
        <w:t xml:space="preserve">      # Monthly probability of linkage to care from compartments X5 — X8</w:t>
      </w:r>
    </w:p>
    <w:p w14:paraId="5575089C" w14:textId="77777777" w:rsidR="00260B6D" w:rsidRPr="0051032A" w:rsidRDefault="00260B6D" w:rsidP="0051032A">
      <w:pPr>
        <w:rPr>
          <w:rFonts w:eastAsia="SimSun"/>
        </w:rPr>
      </w:pPr>
      <w:r w:rsidRPr="0051032A">
        <w:rPr>
          <w:rFonts w:eastAsia="SimSun"/>
        </w:rPr>
        <w:t xml:space="preserve">      sigma_1[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input[[s]][l,"sigma_1_t",g]</w:t>
      </w:r>
    </w:p>
    <w:p w14:paraId="05D834F2" w14:textId="77777777" w:rsidR="00260B6D" w:rsidRPr="0051032A" w:rsidRDefault="00260B6D" w:rsidP="0051032A">
      <w:pPr>
        <w:rPr>
          <w:rFonts w:eastAsia="SimSun"/>
        </w:rPr>
      </w:pPr>
      <w:r w:rsidRPr="0051032A">
        <w:rPr>
          <w:rFonts w:eastAsia="SimSun"/>
        </w:rPr>
        <w:t xml:space="preserve">      sigma_2[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input[[s]][l,"sigma_2_t",g]</w:t>
      </w:r>
    </w:p>
    <w:p w14:paraId="5273ED72" w14:textId="77777777" w:rsidR="00260B6D" w:rsidRPr="0051032A" w:rsidRDefault="00260B6D" w:rsidP="0051032A">
      <w:pPr>
        <w:rPr>
          <w:rFonts w:eastAsia="SimSun"/>
        </w:rPr>
      </w:pPr>
      <w:r w:rsidRPr="0051032A">
        <w:rPr>
          <w:rFonts w:eastAsia="SimSun"/>
        </w:rPr>
        <w:t xml:space="preserve">      sigma_3[</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input[[s]][l,"sigma_3_t",g]</w:t>
      </w:r>
    </w:p>
    <w:p w14:paraId="44691DD5" w14:textId="77777777" w:rsidR="00260B6D" w:rsidRPr="0051032A" w:rsidRDefault="00260B6D" w:rsidP="0051032A">
      <w:pPr>
        <w:rPr>
          <w:rFonts w:eastAsia="SimSun"/>
        </w:rPr>
      </w:pPr>
      <w:r w:rsidRPr="0051032A">
        <w:rPr>
          <w:rFonts w:eastAsia="SimSun"/>
        </w:rPr>
        <w:t xml:space="preserve">      sigma_4[</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input[[s]][l,"sigma_4_t",g]</w:t>
      </w:r>
    </w:p>
    <w:p w14:paraId="0FAA520B" w14:textId="77777777" w:rsidR="00260B6D" w:rsidRPr="0051032A" w:rsidRDefault="00260B6D" w:rsidP="0051032A">
      <w:pPr>
        <w:rPr>
          <w:rFonts w:eastAsia="SimSun"/>
        </w:rPr>
      </w:pPr>
      <w:r w:rsidRPr="0051032A">
        <w:rPr>
          <w:rFonts w:eastAsia="SimSun"/>
        </w:rPr>
        <w:t xml:space="preserve">      </w:t>
      </w:r>
    </w:p>
    <w:p w14:paraId="141A256C" w14:textId="77777777" w:rsidR="00260B6D" w:rsidRPr="0051032A" w:rsidRDefault="00260B6D" w:rsidP="0051032A">
      <w:pPr>
        <w:rPr>
          <w:rFonts w:eastAsia="SimSun"/>
        </w:rPr>
      </w:pPr>
      <w:r w:rsidRPr="0051032A">
        <w:rPr>
          <w:rFonts w:eastAsia="SimSun"/>
        </w:rPr>
        <w:t xml:space="preserve">      # Probability of getting lost from care from compartments X9 — X12, X17 — X24</w:t>
      </w:r>
    </w:p>
    <w:p w14:paraId="4A1A6744" w14:textId="77777777" w:rsidR="00260B6D" w:rsidRPr="0051032A" w:rsidRDefault="00260B6D" w:rsidP="0051032A">
      <w:pPr>
        <w:rPr>
          <w:rFonts w:eastAsia="SimSun"/>
        </w:rPr>
      </w:pPr>
      <w:r w:rsidRPr="0051032A">
        <w:rPr>
          <w:rFonts w:eastAsia="SimSun"/>
        </w:rPr>
        <w:t xml:space="preserve">      gamma_1[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input[[s]][l,"gamma_1_t",g]</w:t>
      </w:r>
    </w:p>
    <w:p w14:paraId="71F87D08" w14:textId="77777777" w:rsidR="00260B6D" w:rsidRPr="0051032A" w:rsidRDefault="00260B6D" w:rsidP="0051032A">
      <w:pPr>
        <w:rPr>
          <w:rFonts w:eastAsia="SimSun"/>
        </w:rPr>
      </w:pPr>
      <w:r w:rsidRPr="0051032A">
        <w:rPr>
          <w:rFonts w:eastAsia="SimSun"/>
        </w:rPr>
        <w:t xml:space="preserve">      gamma_2[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input[[s]][l,"gamma_2_t",g]</w:t>
      </w:r>
    </w:p>
    <w:p w14:paraId="64E19A3C" w14:textId="77777777" w:rsidR="00260B6D" w:rsidRPr="0051032A" w:rsidRDefault="00260B6D" w:rsidP="0051032A">
      <w:pPr>
        <w:rPr>
          <w:rFonts w:eastAsia="SimSun"/>
        </w:rPr>
      </w:pPr>
      <w:r w:rsidRPr="0051032A">
        <w:rPr>
          <w:rFonts w:eastAsia="SimSun"/>
        </w:rPr>
        <w:t xml:space="preserve">      gamma_3[</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input[[s]][l,"gamma_3_t",g]</w:t>
      </w:r>
    </w:p>
    <w:p w14:paraId="3DE6D33A" w14:textId="77777777" w:rsidR="00260B6D" w:rsidRPr="0051032A" w:rsidRDefault="00260B6D" w:rsidP="0051032A">
      <w:pPr>
        <w:rPr>
          <w:rFonts w:eastAsia="SimSun"/>
        </w:rPr>
      </w:pPr>
      <w:r w:rsidRPr="0051032A">
        <w:rPr>
          <w:rFonts w:eastAsia="SimSun"/>
        </w:rPr>
        <w:t xml:space="preserve">      gamma_4[</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input[[s]][l,"gamma_4_t",g]</w:t>
      </w:r>
    </w:p>
    <w:p w14:paraId="5B423355" w14:textId="77777777" w:rsidR="00260B6D" w:rsidRPr="0051032A" w:rsidRDefault="00260B6D" w:rsidP="0051032A">
      <w:pPr>
        <w:rPr>
          <w:rFonts w:eastAsia="SimSun"/>
        </w:rPr>
      </w:pPr>
      <w:r w:rsidRPr="0051032A">
        <w:rPr>
          <w:rFonts w:eastAsia="SimSun"/>
        </w:rPr>
        <w:t xml:space="preserve">      gamma_5[</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input[[s]][l,"gamma_5_t",g]</w:t>
      </w:r>
    </w:p>
    <w:p w14:paraId="15B826DD" w14:textId="77777777" w:rsidR="00260B6D" w:rsidRPr="0051032A" w:rsidRDefault="00260B6D" w:rsidP="0051032A">
      <w:pPr>
        <w:rPr>
          <w:rFonts w:eastAsia="SimSun"/>
        </w:rPr>
      </w:pPr>
      <w:r w:rsidRPr="0051032A">
        <w:rPr>
          <w:rFonts w:eastAsia="SimSun"/>
        </w:rPr>
        <w:t xml:space="preserve">      gamma_6[</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input[[s]][l,"gamma_6_t",g]</w:t>
      </w:r>
    </w:p>
    <w:p w14:paraId="54B79DBD" w14:textId="77777777" w:rsidR="00260B6D" w:rsidRPr="0051032A" w:rsidRDefault="00260B6D" w:rsidP="0051032A">
      <w:pPr>
        <w:rPr>
          <w:rFonts w:eastAsia="SimSun"/>
        </w:rPr>
      </w:pPr>
      <w:r w:rsidRPr="0051032A">
        <w:rPr>
          <w:rFonts w:eastAsia="SimSun"/>
        </w:rPr>
        <w:t xml:space="preserve">      gamma_7[</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input[[s]][l,"gamma_7_t",g]</w:t>
      </w:r>
    </w:p>
    <w:p w14:paraId="232B3101" w14:textId="77777777" w:rsidR="00260B6D" w:rsidRPr="0051032A" w:rsidRDefault="00260B6D" w:rsidP="0051032A">
      <w:pPr>
        <w:rPr>
          <w:rFonts w:eastAsia="SimSun"/>
        </w:rPr>
      </w:pPr>
      <w:r w:rsidRPr="0051032A">
        <w:rPr>
          <w:rFonts w:eastAsia="SimSun"/>
        </w:rPr>
        <w:t xml:space="preserve">      gamma_8[</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input[[s]][l,"gamma_8_t",g]</w:t>
      </w:r>
    </w:p>
    <w:p w14:paraId="4B03C8EE" w14:textId="77777777" w:rsidR="00260B6D" w:rsidRPr="0051032A" w:rsidRDefault="00260B6D" w:rsidP="0051032A">
      <w:pPr>
        <w:rPr>
          <w:rFonts w:eastAsia="SimSun"/>
        </w:rPr>
      </w:pPr>
      <w:r w:rsidRPr="0051032A">
        <w:rPr>
          <w:rFonts w:eastAsia="SimSun"/>
        </w:rPr>
        <w:t xml:space="preserve">      gamma_9[</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input[[s]][l,"gamma_9_t",g]</w:t>
      </w:r>
    </w:p>
    <w:p w14:paraId="6B403CEF" w14:textId="77777777" w:rsidR="00260B6D" w:rsidRPr="0051032A" w:rsidRDefault="00260B6D" w:rsidP="0051032A">
      <w:pPr>
        <w:rPr>
          <w:rFonts w:eastAsia="SimSun"/>
        </w:rPr>
      </w:pPr>
      <w:r w:rsidRPr="0051032A">
        <w:rPr>
          <w:rFonts w:eastAsia="SimSun"/>
        </w:rPr>
        <w:t xml:space="preserve">      gamma_10[</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input[[s]][l,"gamma_10_t",g]</w:t>
      </w:r>
    </w:p>
    <w:p w14:paraId="1A6E7AF0" w14:textId="77777777" w:rsidR="00260B6D" w:rsidRPr="0051032A" w:rsidRDefault="00260B6D" w:rsidP="0051032A">
      <w:pPr>
        <w:rPr>
          <w:rFonts w:eastAsia="SimSun"/>
        </w:rPr>
      </w:pPr>
      <w:r w:rsidRPr="0051032A">
        <w:rPr>
          <w:rFonts w:eastAsia="SimSun"/>
        </w:rPr>
        <w:t xml:space="preserve">      gamma_11[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input[[s]][l,"gamma_11_t",g]</w:t>
      </w:r>
    </w:p>
    <w:p w14:paraId="1B6F0210" w14:textId="77777777" w:rsidR="00260B6D" w:rsidRPr="0051032A" w:rsidRDefault="00260B6D" w:rsidP="0051032A">
      <w:pPr>
        <w:rPr>
          <w:rFonts w:eastAsia="SimSun"/>
        </w:rPr>
      </w:pPr>
      <w:r w:rsidRPr="0051032A">
        <w:rPr>
          <w:rFonts w:eastAsia="SimSun"/>
        </w:rPr>
        <w:t xml:space="preserve">      gamma_12[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input[[s]][l,"gamma_12_t",g]</w:t>
      </w:r>
    </w:p>
    <w:p w14:paraId="0CAECE1F" w14:textId="77777777" w:rsidR="00260B6D" w:rsidRPr="0051032A" w:rsidRDefault="00260B6D" w:rsidP="0051032A">
      <w:pPr>
        <w:rPr>
          <w:rFonts w:eastAsia="SimSun"/>
        </w:rPr>
      </w:pPr>
      <w:r w:rsidRPr="0051032A">
        <w:rPr>
          <w:rFonts w:eastAsia="SimSun"/>
        </w:rPr>
        <w:t xml:space="preserve">      </w:t>
      </w:r>
    </w:p>
    <w:p w14:paraId="2926387B" w14:textId="77777777" w:rsidR="00260B6D" w:rsidRPr="0051032A" w:rsidRDefault="00260B6D" w:rsidP="0051032A">
      <w:pPr>
        <w:rPr>
          <w:rFonts w:eastAsia="SimSun"/>
        </w:rPr>
      </w:pPr>
      <w:r w:rsidRPr="0051032A">
        <w:rPr>
          <w:rFonts w:eastAsia="SimSun"/>
        </w:rPr>
        <w:t xml:space="preserve">      # Monthly probability of individuals returning to ART from compartment X16</w:t>
      </w:r>
    </w:p>
    <w:p w14:paraId="3A518985" w14:textId="77777777" w:rsidR="00260B6D" w:rsidRPr="0051032A" w:rsidRDefault="00260B6D" w:rsidP="0051032A">
      <w:pPr>
        <w:rPr>
          <w:rFonts w:eastAsia="SimSun"/>
        </w:rPr>
      </w:pPr>
      <w:r w:rsidRPr="0051032A">
        <w:rPr>
          <w:rFonts w:eastAsia="SimSun"/>
        </w:rPr>
        <w:t xml:space="preserve">      tau_1[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input[[s]][l,"tau_1_t",g]</w:t>
      </w:r>
    </w:p>
    <w:p w14:paraId="65158E0D" w14:textId="77777777" w:rsidR="00260B6D" w:rsidRPr="0051032A" w:rsidRDefault="00260B6D" w:rsidP="0051032A">
      <w:pPr>
        <w:rPr>
          <w:rFonts w:eastAsia="SimSun"/>
        </w:rPr>
      </w:pPr>
      <w:r w:rsidRPr="0051032A">
        <w:rPr>
          <w:rFonts w:eastAsia="SimSun"/>
        </w:rPr>
        <w:t xml:space="preserve">      </w:t>
      </w:r>
    </w:p>
    <w:p w14:paraId="06F787A8" w14:textId="77777777" w:rsidR="00260B6D" w:rsidRPr="0051032A" w:rsidRDefault="00260B6D" w:rsidP="0051032A">
      <w:pPr>
        <w:rPr>
          <w:rFonts w:eastAsia="SimSun"/>
        </w:rPr>
      </w:pPr>
      <w:r w:rsidRPr="0051032A">
        <w:rPr>
          <w:rFonts w:eastAsia="SimSun"/>
        </w:rPr>
        <w:t xml:space="preserve">      # Monthly probability of being on ART and viral </w:t>
      </w:r>
      <w:proofErr w:type="spellStart"/>
      <w:r w:rsidRPr="0051032A">
        <w:rPr>
          <w:rFonts w:eastAsia="SimSun"/>
        </w:rPr>
        <w:t>suprressed</w:t>
      </w:r>
      <w:proofErr w:type="spellEnd"/>
      <w:r w:rsidRPr="0051032A">
        <w:rPr>
          <w:rFonts w:eastAsia="SimSun"/>
        </w:rPr>
        <w:t xml:space="preserve"> from compartments X9 — X12</w:t>
      </w:r>
    </w:p>
    <w:p w14:paraId="611BDFF7" w14:textId="77777777" w:rsidR="00260B6D" w:rsidRPr="0051032A" w:rsidRDefault="00260B6D" w:rsidP="0051032A">
      <w:pPr>
        <w:rPr>
          <w:rFonts w:eastAsia="SimSun"/>
        </w:rPr>
      </w:pPr>
      <w:r w:rsidRPr="0051032A">
        <w:rPr>
          <w:rFonts w:eastAsia="SimSun"/>
        </w:rPr>
        <w:t xml:space="preserve">      theta_1_lb[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input[[s]][l,"theta_1_lb",g]</w:t>
      </w:r>
    </w:p>
    <w:p w14:paraId="056BFFD2" w14:textId="77777777" w:rsidR="00260B6D" w:rsidRPr="0051032A" w:rsidRDefault="00260B6D" w:rsidP="0051032A">
      <w:pPr>
        <w:rPr>
          <w:rFonts w:eastAsia="SimSun"/>
        </w:rPr>
      </w:pPr>
      <w:r w:rsidRPr="0051032A">
        <w:rPr>
          <w:rFonts w:eastAsia="SimSun"/>
        </w:rPr>
        <w:lastRenderedPageBreak/>
        <w:t xml:space="preserve">      theta_1_ub[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input[[s]][l,"theta_1_ub",g]</w:t>
      </w:r>
    </w:p>
    <w:p w14:paraId="1B41BCC9" w14:textId="77777777" w:rsidR="00260B6D" w:rsidRPr="0051032A" w:rsidRDefault="00260B6D" w:rsidP="0051032A">
      <w:pPr>
        <w:rPr>
          <w:rFonts w:eastAsia="SimSun"/>
        </w:rPr>
      </w:pPr>
      <w:r w:rsidRPr="0051032A">
        <w:rPr>
          <w:rFonts w:eastAsia="SimSun"/>
        </w:rPr>
        <w:t xml:space="preserve">      theta_2_lb[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input[[s]][l,"theta_2_lb",g]</w:t>
      </w:r>
    </w:p>
    <w:p w14:paraId="43F425EA" w14:textId="77777777" w:rsidR="00260B6D" w:rsidRPr="0051032A" w:rsidRDefault="00260B6D" w:rsidP="0051032A">
      <w:pPr>
        <w:rPr>
          <w:rFonts w:eastAsia="SimSun"/>
        </w:rPr>
      </w:pPr>
      <w:r w:rsidRPr="0051032A">
        <w:rPr>
          <w:rFonts w:eastAsia="SimSun"/>
        </w:rPr>
        <w:t xml:space="preserve">      theta_2_ub[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input[[s]][l,"theta_2_ub",g]</w:t>
      </w:r>
    </w:p>
    <w:p w14:paraId="085F5302" w14:textId="77777777" w:rsidR="00260B6D" w:rsidRPr="0051032A" w:rsidRDefault="00260B6D" w:rsidP="0051032A">
      <w:pPr>
        <w:rPr>
          <w:rFonts w:eastAsia="SimSun"/>
        </w:rPr>
      </w:pPr>
      <w:r w:rsidRPr="0051032A">
        <w:rPr>
          <w:rFonts w:eastAsia="SimSun"/>
        </w:rPr>
        <w:t xml:space="preserve">      theta_3_lb[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input[[s]][l,"theta_3_lb",g]</w:t>
      </w:r>
    </w:p>
    <w:p w14:paraId="4C0034C4" w14:textId="77777777" w:rsidR="00260B6D" w:rsidRPr="0051032A" w:rsidRDefault="00260B6D" w:rsidP="0051032A">
      <w:pPr>
        <w:rPr>
          <w:rFonts w:eastAsia="SimSun"/>
        </w:rPr>
      </w:pPr>
      <w:r w:rsidRPr="0051032A">
        <w:rPr>
          <w:rFonts w:eastAsia="SimSun"/>
        </w:rPr>
        <w:t xml:space="preserve">      theta_3_ub[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input[[s]][l,"theta_3_ub",g]</w:t>
      </w:r>
    </w:p>
    <w:p w14:paraId="3EF51028" w14:textId="77777777" w:rsidR="00260B6D" w:rsidRPr="0051032A" w:rsidRDefault="00260B6D" w:rsidP="0051032A">
      <w:pPr>
        <w:rPr>
          <w:rFonts w:eastAsia="SimSun"/>
        </w:rPr>
      </w:pPr>
      <w:r w:rsidRPr="0051032A">
        <w:rPr>
          <w:rFonts w:eastAsia="SimSun"/>
        </w:rPr>
        <w:t xml:space="preserve">      theta_4_lb[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input[[s]][l,"theta_4_lb",g]</w:t>
      </w:r>
    </w:p>
    <w:p w14:paraId="5A7996E9" w14:textId="77777777" w:rsidR="00260B6D" w:rsidRPr="0051032A" w:rsidRDefault="00260B6D" w:rsidP="0051032A">
      <w:pPr>
        <w:rPr>
          <w:rFonts w:eastAsia="SimSun"/>
        </w:rPr>
      </w:pPr>
      <w:r w:rsidRPr="0051032A">
        <w:rPr>
          <w:rFonts w:eastAsia="SimSun"/>
        </w:rPr>
        <w:t xml:space="preserve">      theta_4_ub[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input[[s]][l,"theta_4_ub",g]</w:t>
      </w:r>
    </w:p>
    <w:p w14:paraId="059F5452" w14:textId="77777777" w:rsidR="00260B6D" w:rsidRPr="0051032A" w:rsidRDefault="00260B6D" w:rsidP="0051032A">
      <w:pPr>
        <w:rPr>
          <w:rFonts w:eastAsia="SimSun"/>
        </w:rPr>
      </w:pPr>
      <w:r w:rsidRPr="0051032A">
        <w:rPr>
          <w:rFonts w:eastAsia="SimSun"/>
        </w:rPr>
        <w:t xml:space="preserve">      if (g==input[[s</w:t>
      </w:r>
      <w:proofErr w:type="gramStart"/>
      <w:r w:rsidRPr="0051032A">
        <w:rPr>
          <w:rFonts w:eastAsia="SimSun"/>
        </w:rPr>
        <w:t>]][</w:t>
      </w:r>
      <w:proofErr w:type="spellStart"/>
      <w:proofErr w:type="gramEnd"/>
      <w:r w:rsidRPr="0051032A">
        <w:rPr>
          <w:rFonts w:eastAsia="SimSun"/>
        </w:rPr>
        <w:t>l,"generation</w:t>
      </w:r>
      <w:proofErr w:type="spellEnd"/>
      <w:r w:rsidRPr="0051032A">
        <w:rPr>
          <w:rFonts w:eastAsia="SimSun"/>
        </w:rPr>
        <w:t>"] &amp; (input[[s]][</w:t>
      </w:r>
      <w:proofErr w:type="spellStart"/>
      <w:r w:rsidRPr="0051032A">
        <w:rPr>
          <w:rFonts w:eastAsia="SimSun"/>
        </w:rPr>
        <w:t>l,"year</w:t>
      </w:r>
      <w:proofErr w:type="spellEnd"/>
      <w:r w:rsidRPr="0051032A">
        <w:rPr>
          <w:rFonts w:eastAsia="SimSun"/>
        </w:rPr>
        <w:t>"]==2004))</w:t>
      </w:r>
    </w:p>
    <w:p w14:paraId="4C7281F0" w14:textId="77777777" w:rsidR="00260B6D" w:rsidRPr="0051032A" w:rsidRDefault="00260B6D" w:rsidP="0051032A">
      <w:pPr>
        <w:rPr>
          <w:rFonts w:eastAsia="SimSun"/>
        </w:rPr>
      </w:pPr>
      <w:r w:rsidRPr="0051032A">
        <w:rPr>
          <w:rFonts w:eastAsia="SimSun"/>
        </w:rPr>
        <w:t xml:space="preserve">      {</w:t>
      </w:r>
    </w:p>
    <w:p w14:paraId="5FEFBE36" w14:textId="77777777" w:rsidR="00260B6D" w:rsidRPr="0051032A" w:rsidRDefault="00260B6D" w:rsidP="0051032A">
      <w:pPr>
        <w:rPr>
          <w:rFonts w:eastAsia="SimSun"/>
        </w:rPr>
      </w:pPr>
      <w:r w:rsidRPr="0051032A">
        <w:rPr>
          <w:rFonts w:eastAsia="SimSun"/>
        </w:rPr>
        <w:t xml:space="preserve">        # </w:t>
      </w:r>
      <w:proofErr w:type="gramStart"/>
      <w:r w:rsidRPr="0051032A">
        <w:rPr>
          <w:rFonts w:eastAsia="SimSun"/>
        </w:rPr>
        <w:t>generate</w:t>
      </w:r>
      <w:proofErr w:type="gramEnd"/>
      <w:r w:rsidRPr="0051032A">
        <w:rPr>
          <w:rFonts w:eastAsia="SimSun"/>
        </w:rPr>
        <w:t xml:space="preserve"> random parameter estimates from beta distribution in year 2010 and 2015, which will apply for later years</w:t>
      </w:r>
    </w:p>
    <w:p w14:paraId="0B60F849" w14:textId="77777777" w:rsidR="00260B6D" w:rsidRPr="0051032A" w:rsidRDefault="00260B6D" w:rsidP="0051032A">
      <w:pPr>
        <w:rPr>
          <w:rFonts w:eastAsia="SimSun"/>
        </w:rPr>
      </w:pPr>
      <w:r w:rsidRPr="0051032A">
        <w:rPr>
          <w:rFonts w:eastAsia="SimSun"/>
        </w:rPr>
        <w:t xml:space="preserve">        mediate_theta1 &lt;- </w:t>
      </w:r>
      <w:proofErr w:type="spellStart"/>
      <w:r w:rsidRPr="0051032A">
        <w:rPr>
          <w:rFonts w:eastAsia="SimSun"/>
        </w:rPr>
        <w:t>runif</w:t>
      </w:r>
      <w:proofErr w:type="spellEnd"/>
      <w:r w:rsidRPr="0051032A">
        <w:rPr>
          <w:rFonts w:eastAsia="SimSun"/>
        </w:rPr>
        <w:t>(</w:t>
      </w:r>
      <w:proofErr w:type="gramStart"/>
      <w:r w:rsidRPr="0051032A">
        <w:rPr>
          <w:rFonts w:eastAsia="SimSun"/>
        </w:rPr>
        <w:t>1,theta</w:t>
      </w:r>
      <w:proofErr w:type="gramEnd"/>
      <w:r w:rsidRPr="0051032A">
        <w:rPr>
          <w:rFonts w:eastAsia="SimSun"/>
        </w:rPr>
        <w:t>_1_lb[</w:t>
      </w:r>
      <w:proofErr w:type="spellStart"/>
      <w:r w:rsidRPr="0051032A">
        <w:rPr>
          <w:rFonts w:eastAsia="SimSun"/>
        </w:rPr>
        <w:t>t,s,g</w:t>
      </w:r>
      <w:proofErr w:type="spellEnd"/>
      <w:r w:rsidRPr="0051032A">
        <w:rPr>
          <w:rFonts w:eastAsia="SimSun"/>
        </w:rPr>
        <w:t>],theta_1_ub[</w:t>
      </w:r>
      <w:proofErr w:type="spellStart"/>
      <w:r w:rsidRPr="0051032A">
        <w:rPr>
          <w:rFonts w:eastAsia="SimSun"/>
        </w:rPr>
        <w:t>t,s,g</w:t>
      </w:r>
      <w:proofErr w:type="spellEnd"/>
      <w:r w:rsidRPr="0051032A">
        <w:rPr>
          <w:rFonts w:eastAsia="SimSun"/>
        </w:rPr>
        <w:t>])</w:t>
      </w:r>
    </w:p>
    <w:p w14:paraId="2221B3C1" w14:textId="77777777" w:rsidR="00260B6D" w:rsidRPr="0051032A" w:rsidRDefault="00260B6D" w:rsidP="0051032A">
      <w:pPr>
        <w:rPr>
          <w:rFonts w:eastAsia="SimSun"/>
        </w:rPr>
      </w:pPr>
      <w:r w:rsidRPr="0051032A">
        <w:rPr>
          <w:rFonts w:eastAsia="SimSun"/>
        </w:rPr>
        <w:t xml:space="preserve">        mediate_theta2 &lt;- </w:t>
      </w:r>
      <w:proofErr w:type="spellStart"/>
      <w:r w:rsidRPr="0051032A">
        <w:rPr>
          <w:rFonts w:eastAsia="SimSun"/>
        </w:rPr>
        <w:t>runif</w:t>
      </w:r>
      <w:proofErr w:type="spellEnd"/>
      <w:r w:rsidRPr="0051032A">
        <w:rPr>
          <w:rFonts w:eastAsia="SimSun"/>
        </w:rPr>
        <w:t>(</w:t>
      </w:r>
      <w:proofErr w:type="gramStart"/>
      <w:r w:rsidRPr="0051032A">
        <w:rPr>
          <w:rFonts w:eastAsia="SimSun"/>
        </w:rPr>
        <w:t>1,theta</w:t>
      </w:r>
      <w:proofErr w:type="gramEnd"/>
      <w:r w:rsidRPr="0051032A">
        <w:rPr>
          <w:rFonts w:eastAsia="SimSun"/>
        </w:rPr>
        <w:t>_2_lb[</w:t>
      </w:r>
      <w:proofErr w:type="spellStart"/>
      <w:r w:rsidRPr="0051032A">
        <w:rPr>
          <w:rFonts w:eastAsia="SimSun"/>
        </w:rPr>
        <w:t>t,s,g</w:t>
      </w:r>
      <w:proofErr w:type="spellEnd"/>
      <w:r w:rsidRPr="0051032A">
        <w:rPr>
          <w:rFonts w:eastAsia="SimSun"/>
        </w:rPr>
        <w:t>],theta_2_ub[</w:t>
      </w:r>
      <w:proofErr w:type="spellStart"/>
      <w:r w:rsidRPr="0051032A">
        <w:rPr>
          <w:rFonts w:eastAsia="SimSun"/>
        </w:rPr>
        <w:t>t,s,g</w:t>
      </w:r>
      <w:proofErr w:type="spellEnd"/>
      <w:r w:rsidRPr="0051032A">
        <w:rPr>
          <w:rFonts w:eastAsia="SimSun"/>
        </w:rPr>
        <w:t>])</w:t>
      </w:r>
    </w:p>
    <w:p w14:paraId="01F9C58A" w14:textId="77777777" w:rsidR="00260B6D" w:rsidRPr="0051032A" w:rsidRDefault="00260B6D" w:rsidP="0051032A">
      <w:pPr>
        <w:rPr>
          <w:rFonts w:eastAsia="SimSun"/>
        </w:rPr>
      </w:pPr>
      <w:r w:rsidRPr="0051032A">
        <w:rPr>
          <w:rFonts w:eastAsia="SimSun"/>
        </w:rPr>
        <w:t xml:space="preserve">        mediate_theta3 &lt;- </w:t>
      </w:r>
      <w:proofErr w:type="spellStart"/>
      <w:r w:rsidRPr="0051032A">
        <w:rPr>
          <w:rFonts w:eastAsia="SimSun"/>
        </w:rPr>
        <w:t>runif</w:t>
      </w:r>
      <w:proofErr w:type="spellEnd"/>
      <w:r w:rsidRPr="0051032A">
        <w:rPr>
          <w:rFonts w:eastAsia="SimSun"/>
        </w:rPr>
        <w:t>(</w:t>
      </w:r>
      <w:proofErr w:type="gramStart"/>
      <w:r w:rsidRPr="0051032A">
        <w:rPr>
          <w:rFonts w:eastAsia="SimSun"/>
        </w:rPr>
        <w:t>1,theta</w:t>
      </w:r>
      <w:proofErr w:type="gramEnd"/>
      <w:r w:rsidRPr="0051032A">
        <w:rPr>
          <w:rFonts w:eastAsia="SimSun"/>
        </w:rPr>
        <w:t>_3_lb[</w:t>
      </w:r>
      <w:proofErr w:type="spellStart"/>
      <w:r w:rsidRPr="0051032A">
        <w:rPr>
          <w:rFonts w:eastAsia="SimSun"/>
        </w:rPr>
        <w:t>t,s,g</w:t>
      </w:r>
      <w:proofErr w:type="spellEnd"/>
      <w:r w:rsidRPr="0051032A">
        <w:rPr>
          <w:rFonts w:eastAsia="SimSun"/>
        </w:rPr>
        <w:t>],theta_3_ub[</w:t>
      </w:r>
      <w:proofErr w:type="spellStart"/>
      <w:r w:rsidRPr="0051032A">
        <w:rPr>
          <w:rFonts w:eastAsia="SimSun"/>
        </w:rPr>
        <w:t>t,s,g</w:t>
      </w:r>
      <w:proofErr w:type="spellEnd"/>
      <w:r w:rsidRPr="0051032A">
        <w:rPr>
          <w:rFonts w:eastAsia="SimSun"/>
        </w:rPr>
        <w:t>])</w:t>
      </w:r>
    </w:p>
    <w:p w14:paraId="661BEB1D" w14:textId="77777777" w:rsidR="00260B6D" w:rsidRPr="0051032A" w:rsidRDefault="00260B6D" w:rsidP="0051032A">
      <w:pPr>
        <w:rPr>
          <w:rFonts w:eastAsia="SimSun"/>
        </w:rPr>
      </w:pPr>
      <w:r w:rsidRPr="0051032A">
        <w:rPr>
          <w:rFonts w:eastAsia="SimSun"/>
        </w:rPr>
        <w:t xml:space="preserve">        mediate_theta4 &lt;- </w:t>
      </w:r>
      <w:proofErr w:type="spellStart"/>
      <w:r w:rsidRPr="0051032A">
        <w:rPr>
          <w:rFonts w:eastAsia="SimSun"/>
        </w:rPr>
        <w:t>runif</w:t>
      </w:r>
      <w:proofErr w:type="spellEnd"/>
      <w:r w:rsidRPr="0051032A">
        <w:rPr>
          <w:rFonts w:eastAsia="SimSun"/>
        </w:rPr>
        <w:t>(</w:t>
      </w:r>
      <w:proofErr w:type="gramStart"/>
      <w:r w:rsidRPr="0051032A">
        <w:rPr>
          <w:rFonts w:eastAsia="SimSun"/>
        </w:rPr>
        <w:t>1,theta</w:t>
      </w:r>
      <w:proofErr w:type="gramEnd"/>
      <w:r w:rsidRPr="0051032A">
        <w:rPr>
          <w:rFonts w:eastAsia="SimSun"/>
        </w:rPr>
        <w:t>_4_lb[</w:t>
      </w:r>
      <w:proofErr w:type="spellStart"/>
      <w:r w:rsidRPr="0051032A">
        <w:rPr>
          <w:rFonts w:eastAsia="SimSun"/>
        </w:rPr>
        <w:t>t,s,g</w:t>
      </w:r>
      <w:proofErr w:type="spellEnd"/>
      <w:r w:rsidRPr="0051032A">
        <w:rPr>
          <w:rFonts w:eastAsia="SimSun"/>
        </w:rPr>
        <w:t>],theta_4_ub[</w:t>
      </w:r>
      <w:proofErr w:type="spellStart"/>
      <w:r w:rsidRPr="0051032A">
        <w:rPr>
          <w:rFonts w:eastAsia="SimSun"/>
        </w:rPr>
        <w:t>t,s,g</w:t>
      </w:r>
      <w:proofErr w:type="spellEnd"/>
      <w:r w:rsidRPr="0051032A">
        <w:rPr>
          <w:rFonts w:eastAsia="SimSun"/>
        </w:rPr>
        <w:t>])</w:t>
      </w:r>
    </w:p>
    <w:p w14:paraId="5817A947" w14:textId="77777777" w:rsidR="00260B6D" w:rsidRPr="0051032A" w:rsidRDefault="00260B6D" w:rsidP="0051032A">
      <w:pPr>
        <w:rPr>
          <w:rFonts w:eastAsia="SimSun"/>
        </w:rPr>
      </w:pPr>
      <w:r w:rsidRPr="0051032A">
        <w:rPr>
          <w:rFonts w:eastAsia="SimSun"/>
        </w:rPr>
        <w:t xml:space="preserve">      }</w:t>
      </w:r>
    </w:p>
    <w:p w14:paraId="1EC5EF4C" w14:textId="77777777" w:rsidR="00260B6D" w:rsidRPr="0051032A" w:rsidRDefault="00260B6D" w:rsidP="0051032A">
      <w:pPr>
        <w:rPr>
          <w:rFonts w:eastAsia="SimSun"/>
        </w:rPr>
      </w:pPr>
      <w:r w:rsidRPr="0051032A">
        <w:rPr>
          <w:rFonts w:eastAsia="SimSun"/>
        </w:rPr>
        <w:t xml:space="preserve">      theta_1[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mediate_theta1</w:t>
      </w:r>
    </w:p>
    <w:p w14:paraId="2A79FCAB" w14:textId="77777777" w:rsidR="00260B6D" w:rsidRPr="0051032A" w:rsidRDefault="00260B6D" w:rsidP="0051032A">
      <w:pPr>
        <w:rPr>
          <w:rFonts w:eastAsia="SimSun"/>
        </w:rPr>
      </w:pPr>
      <w:r w:rsidRPr="0051032A">
        <w:rPr>
          <w:rFonts w:eastAsia="SimSun"/>
        </w:rPr>
        <w:t xml:space="preserve">      theta_2[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mediate_theta2</w:t>
      </w:r>
    </w:p>
    <w:p w14:paraId="24DEFF98" w14:textId="77777777" w:rsidR="00260B6D" w:rsidRPr="0051032A" w:rsidRDefault="00260B6D" w:rsidP="0051032A">
      <w:pPr>
        <w:rPr>
          <w:rFonts w:eastAsia="SimSun"/>
        </w:rPr>
      </w:pPr>
      <w:r w:rsidRPr="0051032A">
        <w:rPr>
          <w:rFonts w:eastAsia="SimSun"/>
        </w:rPr>
        <w:t xml:space="preserve">      theta_3[</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mediate_theta3</w:t>
      </w:r>
    </w:p>
    <w:p w14:paraId="1A002B09" w14:textId="77777777" w:rsidR="00260B6D" w:rsidRPr="0051032A" w:rsidRDefault="00260B6D" w:rsidP="0051032A">
      <w:pPr>
        <w:rPr>
          <w:rFonts w:eastAsia="SimSun"/>
        </w:rPr>
      </w:pPr>
      <w:r w:rsidRPr="0051032A">
        <w:rPr>
          <w:rFonts w:eastAsia="SimSun"/>
        </w:rPr>
        <w:t xml:space="preserve">      theta_4[</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mediate_theta4</w:t>
      </w:r>
    </w:p>
    <w:p w14:paraId="137FB052" w14:textId="77777777" w:rsidR="00260B6D" w:rsidRPr="0051032A" w:rsidRDefault="00260B6D" w:rsidP="0051032A">
      <w:pPr>
        <w:rPr>
          <w:rFonts w:eastAsia="SimSun"/>
        </w:rPr>
      </w:pPr>
    </w:p>
    <w:p w14:paraId="249BE82C" w14:textId="77777777" w:rsidR="00260B6D" w:rsidRPr="0051032A" w:rsidRDefault="00260B6D" w:rsidP="0051032A">
      <w:pPr>
        <w:rPr>
          <w:rFonts w:eastAsia="SimSun"/>
        </w:rPr>
      </w:pPr>
      <w:r w:rsidRPr="0051032A">
        <w:rPr>
          <w:rFonts w:eastAsia="SimSun"/>
        </w:rPr>
        <w:t xml:space="preserve">    </w:t>
      </w:r>
    </w:p>
    <w:p w14:paraId="0C26A42C" w14:textId="77777777" w:rsidR="00260B6D" w:rsidRPr="0051032A" w:rsidRDefault="00260B6D" w:rsidP="0051032A">
      <w:pPr>
        <w:rPr>
          <w:rFonts w:eastAsia="SimSun"/>
        </w:rPr>
      </w:pPr>
      <w:r w:rsidRPr="0051032A">
        <w:rPr>
          <w:rFonts w:eastAsia="SimSun"/>
        </w:rPr>
        <w:t xml:space="preserve">      # Monthly probability of being on ART and not viral suppressed from compartments X17 — X20</w:t>
      </w:r>
    </w:p>
    <w:p w14:paraId="4174EAB3" w14:textId="77777777" w:rsidR="00260B6D" w:rsidRPr="0051032A" w:rsidRDefault="00260B6D" w:rsidP="0051032A">
      <w:pPr>
        <w:rPr>
          <w:rFonts w:eastAsia="SimSun"/>
        </w:rPr>
      </w:pPr>
      <w:r w:rsidRPr="0051032A">
        <w:rPr>
          <w:rFonts w:eastAsia="SimSun"/>
        </w:rPr>
        <w:t xml:space="preserve">      psi_1[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input[[s]][l,"psi_1_t",g]</w:t>
      </w:r>
    </w:p>
    <w:p w14:paraId="3D5CB024" w14:textId="77777777" w:rsidR="00260B6D" w:rsidRPr="0051032A" w:rsidRDefault="00260B6D" w:rsidP="0051032A">
      <w:pPr>
        <w:rPr>
          <w:rFonts w:eastAsia="SimSun"/>
        </w:rPr>
      </w:pPr>
      <w:r w:rsidRPr="0051032A">
        <w:rPr>
          <w:rFonts w:eastAsia="SimSun"/>
        </w:rPr>
        <w:t xml:space="preserve">      psi_2[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input[[s]][l,"psi_2_t",g]</w:t>
      </w:r>
    </w:p>
    <w:p w14:paraId="27DE2A20" w14:textId="77777777" w:rsidR="00260B6D" w:rsidRPr="0051032A" w:rsidRDefault="00260B6D" w:rsidP="0051032A">
      <w:pPr>
        <w:rPr>
          <w:rFonts w:eastAsia="SimSun"/>
        </w:rPr>
      </w:pPr>
      <w:r w:rsidRPr="0051032A">
        <w:rPr>
          <w:rFonts w:eastAsia="SimSun"/>
        </w:rPr>
        <w:t xml:space="preserve">      psi_3[</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input[[s]][l,"psi_3_t",g]</w:t>
      </w:r>
    </w:p>
    <w:p w14:paraId="1102C753" w14:textId="77777777" w:rsidR="00260B6D" w:rsidRPr="0051032A" w:rsidRDefault="00260B6D" w:rsidP="0051032A">
      <w:pPr>
        <w:rPr>
          <w:rFonts w:eastAsia="SimSun"/>
        </w:rPr>
      </w:pPr>
      <w:r w:rsidRPr="0051032A">
        <w:rPr>
          <w:rFonts w:eastAsia="SimSun"/>
        </w:rPr>
        <w:t xml:space="preserve">      psi_4[</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input[[s]][l,"psi_4_t",g]</w:t>
      </w:r>
    </w:p>
    <w:p w14:paraId="32A56962" w14:textId="77777777" w:rsidR="00260B6D" w:rsidRPr="0051032A" w:rsidRDefault="00260B6D" w:rsidP="0051032A">
      <w:pPr>
        <w:rPr>
          <w:rFonts w:eastAsia="SimSun"/>
        </w:rPr>
      </w:pPr>
      <w:r w:rsidRPr="0051032A">
        <w:rPr>
          <w:rFonts w:eastAsia="SimSun"/>
        </w:rPr>
        <w:t xml:space="preserve">      </w:t>
      </w:r>
    </w:p>
    <w:p w14:paraId="0EC8B137" w14:textId="77777777" w:rsidR="00260B6D" w:rsidRPr="0051032A" w:rsidRDefault="00260B6D" w:rsidP="0051032A">
      <w:pPr>
        <w:rPr>
          <w:rFonts w:eastAsia="SimSun"/>
        </w:rPr>
      </w:pPr>
      <w:r w:rsidRPr="0051032A">
        <w:rPr>
          <w:rFonts w:eastAsia="SimSun"/>
        </w:rPr>
        <w:t xml:space="preserve">      # Multiplier applied to compartments for mortality rate reduction</w:t>
      </w:r>
    </w:p>
    <w:p w14:paraId="444351F0"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m_mu</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l,"m_mu_t",g</w:t>
      </w:r>
      <w:proofErr w:type="spellEnd"/>
      <w:r w:rsidRPr="0051032A">
        <w:rPr>
          <w:rFonts w:eastAsia="SimSun"/>
        </w:rPr>
        <w:t>]</w:t>
      </w:r>
    </w:p>
    <w:p w14:paraId="65AB3E8D" w14:textId="77777777" w:rsidR="00260B6D" w:rsidRPr="0051032A" w:rsidRDefault="00260B6D" w:rsidP="0051032A">
      <w:pPr>
        <w:rPr>
          <w:rFonts w:eastAsia="SimSun"/>
        </w:rPr>
      </w:pPr>
      <w:r w:rsidRPr="0051032A">
        <w:rPr>
          <w:rFonts w:eastAsia="SimSun"/>
        </w:rPr>
        <w:t xml:space="preserve">      </w:t>
      </w:r>
    </w:p>
    <w:p w14:paraId="758B834E" w14:textId="77777777" w:rsidR="00260B6D" w:rsidRPr="0051032A" w:rsidRDefault="00260B6D" w:rsidP="0051032A">
      <w:pPr>
        <w:rPr>
          <w:rFonts w:eastAsia="SimSun"/>
        </w:rPr>
      </w:pPr>
      <w:r w:rsidRPr="0051032A">
        <w:rPr>
          <w:rFonts w:eastAsia="SimSun"/>
        </w:rPr>
        <w:t xml:space="preserve">      # Monthly probability of death from compartments X1 — X24. We assume individuals who are undiagnosed (X1 — X4), diagnosed and not linked to care (X5 — X8), and those lost from care (X13 — X16), experience similar mortality rate in respective compartments.</w:t>
      </w:r>
    </w:p>
    <w:p w14:paraId="0439509C" w14:textId="77777777" w:rsidR="00260B6D" w:rsidRPr="0051032A" w:rsidRDefault="00260B6D" w:rsidP="0051032A">
      <w:pPr>
        <w:rPr>
          <w:rFonts w:eastAsia="SimSun"/>
        </w:rPr>
      </w:pPr>
      <w:r w:rsidRPr="0051032A">
        <w:rPr>
          <w:rFonts w:eastAsia="SimSun"/>
        </w:rPr>
        <w:t xml:space="preserve">      mu_1[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input[[s]][l,"mu_1_t",g]</w:t>
      </w:r>
    </w:p>
    <w:p w14:paraId="25D61B28" w14:textId="77777777" w:rsidR="00260B6D" w:rsidRPr="0051032A" w:rsidRDefault="00260B6D" w:rsidP="0051032A">
      <w:pPr>
        <w:rPr>
          <w:rFonts w:eastAsia="SimSun"/>
        </w:rPr>
      </w:pPr>
      <w:r w:rsidRPr="0051032A">
        <w:rPr>
          <w:rFonts w:eastAsia="SimSun"/>
        </w:rPr>
        <w:t xml:space="preserve">      mu_2[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input[[s]][l,"mu_2_t",g]</w:t>
      </w:r>
    </w:p>
    <w:p w14:paraId="21DCA6FF" w14:textId="77777777" w:rsidR="00260B6D" w:rsidRPr="0051032A" w:rsidRDefault="00260B6D" w:rsidP="0051032A">
      <w:pPr>
        <w:rPr>
          <w:rFonts w:eastAsia="SimSun"/>
        </w:rPr>
      </w:pPr>
      <w:r w:rsidRPr="0051032A">
        <w:rPr>
          <w:rFonts w:eastAsia="SimSun"/>
        </w:rPr>
        <w:t xml:space="preserve">      mu_3[</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input[[s]][l,"mu_3_t",g]</w:t>
      </w:r>
    </w:p>
    <w:p w14:paraId="28FF59D5" w14:textId="77777777" w:rsidR="00260B6D" w:rsidRPr="0051032A" w:rsidRDefault="00260B6D" w:rsidP="0051032A">
      <w:pPr>
        <w:rPr>
          <w:rFonts w:eastAsia="SimSun"/>
        </w:rPr>
      </w:pPr>
      <w:r w:rsidRPr="0051032A">
        <w:rPr>
          <w:rFonts w:eastAsia="SimSun"/>
        </w:rPr>
        <w:t xml:space="preserve">      mu_4[</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input[[s]][l,"mu_4_t",g]</w:t>
      </w:r>
    </w:p>
    <w:p w14:paraId="67260802" w14:textId="77777777" w:rsidR="00260B6D" w:rsidRPr="0051032A" w:rsidRDefault="00260B6D" w:rsidP="0051032A">
      <w:pPr>
        <w:rPr>
          <w:rFonts w:eastAsia="SimSun"/>
        </w:rPr>
      </w:pPr>
      <w:r w:rsidRPr="0051032A">
        <w:rPr>
          <w:rFonts w:eastAsia="SimSun"/>
        </w:rPr>
        <w:t xml:space="preserve">      mu_5[</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mu_1[</w:t>
      </w:r>
      <w:proofErr w:type="spellStart"/>
      <w:r w:rsidRPr="0051032A">
        <w:rPr>
          <w:rFonts w:eastAsia="SimSun"/>
        </w:rPr>
        <w:t>t,s,g</w:t>
      </w:r>
      <w:proofErr w:type="spellEnd"/>
      <w:r w:rsidRPr="0051032A">
        <w:rPr>
          <w:rFonts w:eastAsia="SimSun"/>
        </w:rPr>
        <w:t>]*</w:t>
      </w:r>
      <w:proofErr w:type="spellStart"/>
      <w:r w:rsidRPr="0051032A">
        <w:rPr>
          <w:rFonts w:eastAsia="SimSun"/>
        </w:rPr>
        <w:t>m_mu</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390E2771" w14:textId="77777777" w:rsidR="00260B6D" w:rsidRPr="0051032A" w:rsidRDefault="00260B6D" w:rsidP="0051032A">
      <w:pPr>
        <w:rPr>
          <w:rFonts w:eastAsia="SimSun"/>
        </w:rPr>
      </w:pPr>
      <w:r w:rsidRPr="0051032A">
        <w:rPr>
          <w:rFonts w:eastAsia="SimSun"/>
        </w:rPr>
        <w:t xml:space="preserve">      mu_6[</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mu_2[</w:t>
      </w:r>
      <w:proofErr w:type="spellStart"/>
      <w:r w:rsidRPr="0051032A">
        <w:rPr>
          <w:rFonts w:eastAsia="SimSun"/>
        </w:rPr>
        <w:t>t,s,g</w:t>
      </w:r>
      <w:proofErr w:type="spellEnd"/>
      <w:r w:rsidRPr="0051032A">
        <w:rPr>
          <w:rFonts w:eastAsia="SimSun"/>
        </w:rPr>
        <w:t>]*</w:t>
      </w:r>
      <w:proofErr w:type="spellStart"/>
      <w:r w:rsidRPr="0051032A">
        <w:rPr>
          <w:rFonts w:eastAsia="SimSun"/>
        </w:rPr>
        <w:t>m_mu</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6F0BF769" w14:textId="77777777" w:rsidR="00260B6D" w:rsidRPr="0051032A" w:rsidRDefault="00260B6D" w:rsidP="0051032A">
      <w:pPr>
        <w:rPr>
          <w:rFonts w:eastAsia="SimSun"/>
        </w:rPr>
      </w:pPr>
      <w:r w:rsidRPr="0051032A">
        <w:rPr>
          <w:rFonts w:eastAsia="SimSun"/>
        </w:rPr>
        <w:t xml:space="preserve">      mu_7[</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mu_3[</w:t>
      </w:r>
      <w:proofErr w:type="spellStart"/>
      <w:r w:rsidRPr="0051032A">
        <w:rPr>
          <w:rFonts w:eastAsia="SimSun"/>
        </w:rPr>
        <w:t>t,s,g</w:t>
      </w:r>
      <w:proofErr w:type="spellEnd"/>
      <w:r w:rsidRPr="0051032A">
        <w:rPr>
          <w:rFonts w:eastAsia="SimSun"/>
        </w:rPr>
        <w:t>]*</w:t>
      </w:r>
      <w:proofErr w:type="spellStart"/>
      <w:r w:rsidRPr="0051032A">
        <w:rPr>
          <w:rFonts w:eastAsia="SimSun"/>
        </w:rPr>
        <w:t>m_mu</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391F5D6C" w14:textId="77777777" w:rsidR="00260B6D" w:rsidRPr="0051032A" w:rsidRDefault="00260B6D" w:rsidP="0051032A">
      <w:pPr>
        <w:rPr>
          <w:rFonts w:eastAsia="SimSun"/>
        </w:rPr>
      </w:pPr>
      <w:r w:rsidRPr="0051032A">
        <w:rPr>
          <w:rFonts w:eastAsia="SimSun"/>
        </w:rPr>
        <w:t xml:space="preserve">      mu_8[</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mu_4[</w:t>
      </w:r>
      <w:proofErr w:type="spellStart"/>
      <w:r w:rsidRPr="0051032A">
        <w:rPr>
          <w:rFonts w:eastAsia="SimSun"/>
        </w:rPr>
        <w:t>t,s,g</w:t>
      </w:r>
      <w:proofErr w:type="spellEnd"/>
      <w:r w:rsidRPr="0051032A">
        <w:rPr>
          <w:rFonts w:eastAsia="SimSun"/>
        </w:rPr>
        <w:t>]*</w:t>
      </w:r>
      <w:proofErr w:type="spellStart"/>
      <w:r w:rsidRPr="0051032A">
        <w:rPr>
          <w:rFonts w:eastAsia="SimSun"/>
        </w:rPr>
        <w:t>m_mu</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034FCFD4" w14:textId="77777777" w:rsidR="00260B6D" w:rsidRPr="0051032A" w:rsidRDefault="00260B6D" w:rsidP="0051032A">
      <w:pPr>
        <w:rPr>
          <w:rFonts w:eastAsia="SimSun"/>
        </w:rPr>
      </w:pPr>
      <w:r w:rsidRPr="0051032A">
        <w:rPr>
          <w:rFonts w:eastAsia="SimSun"/>
        </w:rPr>
        <w:t xml:space="preserve">      mu_9[</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input[[s]][l,"mu_9_t",g]</w:t>
      </w:r>
    </w:p>
    <w:p w14:paraId="27E4B875" w14:textId="77777777" w:rsidR="00260B6D" w:rsidRPr="0051032A" w:rsidRDefault="00260B6D" w:rsidP="0051032A">
      <w:pPr>
        <w:rPr>
          <w:rFonts w:eastAsia="SimSun"/>
        </w:rPr>
      </w:pPr>
      <w:r w:rsidRPr="0051032A">
        <w:rPr>
          <w:rFonts w:eastAsia="SimSun"/>
        </w:rPr>
        <w:t xml:space="preserve">      mu_10[</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input[[s]][l,"mu_10_t",g]</w:t>
      </w:r>
    </w:p>
    <w:p w14:paraId="0C851C14" w14:textId="77777777" w:rsidR="00260B6D" w:rsidRPr="0051032A" w:rsidRDefault="00260B6D" w:rsidP="0051032A">
      <w:pPr>
        <w:rPr>
          <w:rFonts w:eastAsia="SimSun"/>
        </w:rPr>
      </w:pPr>
      <w:r w:rsidRPr="0051032A">
        <w:rPr>
          <w:rFonts w:eastAsia="SimSun"/>
        </w:rPr>
        <w:t xml:space="preserve">      mu_11[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input[[s]][l,"mu_11_t",g]</w:t>
      </w:r>
    </w:p>
    <w:p w14:paraId="6992DEE4" w14:textId="77777777" w:rsidR="00260B6D" w:rsidRPr="0051032A" w:rsidRDefault="00260B6D" w:rsidP="0051032A">
      <w:pPr>
        <w:rPr>
          <w:rFonts w:eastAsia="SimSun"/>
        </w:rPr>
      </w:pPr>
      <w:r w:rsidRPr="0051032A">
        <w:rPr>
          <w:rFonts w:eastAsia="SimSun"/>
        </w:rPr>
        <w:lastRenderedPageBreak/>
        <w:t xml:space="preserve">      mu_12[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input[[s]][l,"mu_12_t",g]</w:t>
      </w:r>
    </w:p>
    <w:p w14:paraId="427DB070" w14:textId="77777777" w:rsidR="00260B6D" w:rsidRPr="0051032A" w:rsidRDefault="00260B6D" w:rsidP="0051032A">
      <w:pPr>
        <w:rPr>
          <w:rFonts w:eastAsia="SimSun"/>
        </w:rPr>
      </w:pPr>
      <w:r w:rsidRPr="0051032A">
        <w:rPr>
          <w:rFonts w:eastAsia="SimSun"/>
        </w:rPr>
        <w:t xml:space="preserve">      mu_13[</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input[[s]][l,"mu_13_t",g]</w:t>
      </w:r>
    </w:p>
    <w:p w14:paraId="6AE689D5" w14:textId="77777777" w:rsidR="00260B6D" w:rsidRPr="0051032A" w:rsidRDefault="00260B6D" w:rsidP="0051032A">
      <w:pPr>
        <w:rPr>
          <w:rFonts w:eastAsia="SimSun"/>
        </w:rPr>
      </w:pPr>
      <w:r w:rsidRPr="0051032A">
        <w:rPr>
          <w:rFonts w:eastAsia="SimSun"/>
        </w:rPr>
        <w:t xml:space="preserve">      mu_14[</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input[[s]][l,"mu_14_t",g]</w:t>
      </w:r>
    </w:p>
    <w:p w14:paraId="2942A5B8" w14:textId="77777777" w:rsidR="00260B6D" w:rsidRPr="0051032A" w:rsidRDefault="00260B6D" w:rsidP="0051032A">
      <w:pPr>
        <w:rPr>
          <w:rFonts w:eastAsia="SimSun"/>
        </w:rPr>
      </w:pPr>
      <w:r w:rsidRPr="0051032A">
        <w:rPr>
          <w:rFonts w:eastAsia="SimSun"/>
        </w:rPr>
        <w:t xml:space="preserve">      mu_15[</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input[[s]][l,"mu_15_t",g]</w:t>
      </w:r>
    </w:p>
    <w:p w14:paraId="7CDC48B3" w14:textId="77777777" w:rsidR="00260B6D" w:rsidRPr="0051032A" w:rsidRDefault="00260B6D" w:rsidP="0051032A">
      <w:pPr>
        <w:rPr>
          <w:rFonts w:eastAsia="SimSun"/>
        </w:rPr>
      </w:pPr>
      <w:r w:rsidRPr="0051032A">
        <w:rPr>
          <w:rFonts w:eastAsia="SimSun"/>
        </w:rPr>
        <w:t xml:space="preserve">      mu_16[</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input[[s]][l,"mu_16_t",g]</w:t>
      </w:r>
    </w:p>
    <w:p w14:paraId="29DDF876" w14:textId="77777777" w:rsidR="00260B6D" w:rsidRPr="0051032A" w:rsidRDefault="00260B6D" w:rsidP="0051032A">
      <w:pPr>
        <w:rPr>
          <w:rFonts w:eastAsia="SimSun"/>
        </w:rPr>
      </w:pPr>
      <w:r w:rsidRPr="0051032A">
        <w:rPr>
          <w:rFonts w:eastAsia="SimSun"/>
        </w:rPr>
        <w:t xml:space="preserve">    </w:t>
      </w:r>
    </w:p>
    <w:p w14:paraId="43917D0A" w14:textId="77777777" w:rsidR="00260B6D" w:rsidRPr="0051032A" w:rsidRDefault="00260B6D" w:rsidP="0051032A">
      <w:pPr>
        <w:rPr>
          <w:rFonts w:eastAsia="SimSun"/>
        </w:rPr>
      </w:pPr>
      <w:r w:rsidRPr="0051032A">
        <w:rPr>
          <w:rFonts w:eastAsia="SimSun"/>
        </w:rPr>
        <w:t xml:space="preserve">      # Weight applied to the force of infection expression to account for condom use and effectiveness in reducing HIV transmission. The weight varies based on the subgroup.</w:t>
      </w:r>
    </w:p>
    <w:p w14:paraId="3F76CEFC"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c_r</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l,"c_r_t",g</w:t>
      </w:r>
      <w:proofErr w:type="spellEnd"/>
      <w:r w:rsidRPr="0051032A">
        <w:rPr>
          <w:rFonts w:eastAsia="SimSun"/>
        </w:rPr>
        <w:t>]</w:t>
      </w:r>
    </w:p>
    <w:p w14:paraId="4BEF7808" w14:textId="77777777" w:rsidR="00260B6D" w:rsidRPr="0051032A" w:rsidRDefault="00260B6D" w:rsidP="0051032A">
      <w:pPr>
        <w:rPr>
          <w:rFonts w:eastAsia="SimSun"/>
        </w:rPr>
      </w:pPr>
      <w:r w:rsidRPr="0051032A">
        <w:rPr>
          <w:rFonts w:eastAsia="SimSun"/>
        </w:rPr>
        <w:t xml:space="preserve">      epsilon[</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l,"epsilon_t",g</w:t>
      </w:r>
      <w:proofErr w:type="spellEnd"/>
      <w:r w:rsidRPr="0051032A">
        <w:rPr>
          <w:rFonts w:eastAsia="SimSun"/>
        </w:rPr>
        <w:t>]</w:t>
      </w:r>
    </w:p>
    <w:p w14:paraId="3CDCA69E"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omega_r</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&lt;-(1-(epsilon[</w:t>
      </w:r>
      <w:proofErr w:type="spellStart"/>
      <w:r w:rsidRPr="0051032A">
        <w:rPr>
          <w:rFonts w:eastAsia="SimSun"/>
        </w:rPr>
        <w:t>t,s,g</w:t>
      </w:r>
      <w:proofErr w:type="spellEnd"/>
      <w:r w:rsidRPr="0051032A">
        <w:rPr>
          <w:rFonts w:eastAsia="SimSun"/>
        </w:rPr>
        <w:t>]*</w:t>
      </w:r>
      <w:proofErr w:type="spellStart"/>
      <w:r w:rsidRPr="0051032A">
        <w:rPr>
          <w:rFonts w:eastAsia="SimSun"/>
        </w:rPr>
        <w:t>c_r</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77F0E1D3" w14:textId="77777777" w:rsidR="00260B6D" w:rsidRPr="0051032A" w:rsidRDefault="00260B6D" w:rsidP="0051032A">
      <w:pPr>
        <w:rPr>
          <w:rFonts w:eastAsia="SimSun"/>
        </w:rPr>
      </w:pPr>
      <w:r w:rsidRPr="0051032A">
        <w:rPr>
          <w:rFonts w:eastAsia="SimSun"/>
        </w:rPr>
        <w:t xml:space="preserve">      </w:t>
      </w:r>
    </w:p>
    <w:p w14:paraId="6F14411A" w14:textId="77777777" w:rsidR="00260B6D" w:rsidRPr="0051032A" w:rsidRDefault="00260B6D" w:rsidP="0051032A">
      <w:pPr>
        <w:rPr>
          <w:rFonts w:eastAsia="SimSun"/>
        </w:rPr>
      </w:pPr>
      <w:r w:rsidRPr="0051032A">
        <w:rPr>
          <w:rFonts w:eastAsia="SimSun"/>
        </w:rPr>
        <w:t xml:space="preserve">      # Weight applied to the force of infection expression to account for the benefits of being on ART and viral suppressed.</w:t>
      </w:r>
    </w:p>
    <w:p w14:paraId="7712808C" w14:textId="77777777" w:rsidR="00260B6D" w:rsidRPr="0051032A" w:rsidRDefault="00260B6D" w:rsidP="0051032A">
      <w:pPr>
        <w:rPr>
          <w:rFonts w:eastAsia="SimSun"/>
        </w:rPr>
      </w:pPr>
      <w:r w:rsidRPr="0051032A">
        <w:rPr>
          <w:rFonts w:eastAsia="SimSun"/>
        </w:rPr>
        <w:t xml:space="preserve">      upsilon[</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l,"upsilon_t",g</w:t>
      </w:r>
      <w:proofErr w:type="spellEnd"/>
      <w:r w:rsidRPr="0051032A">
        <w:rPr>
          <w:rFonts w:eastAsia="SimSun"/>
        </w:rPr>
        <w:t>]</w:t>
      </w:r>
    </w:p>
    <w:p w14:paraId="1BDA6FAD" w14:textId="77777777" w:rsidR="00260B6D" w:rsidRPr="0051032A" w:rsidRDefault="00260B6D" w:rsidP="0051032A">
      <w:pPr>
        <w:rPr>
          <w:rFonts w:eastAsia="SimSun"/>
        </w:rPr>
      </w:pPr>
      <w:r w:rsidRPr="0051032A">
        <w:rPr>
          <w:rFonts w:eastAsia="SimSun"/>
        </w:rPr>
        <w:t xml:space="preserve">      kappa[</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(1-upsilon[</w:t>
      </w:r>
      <w:proofErr w:type="spellStart"/>
      <w:r w:rsidRPr="0051032A">
        <w:rPr>
          <w:rFonts w:eastAsia="SimSun"/>
        </w:rPr>
        <w:t>t,s,g</w:t>
      </w:r>
      <w:proofErr w:type="spellEnd"/>
      <w:r w:rsidRPr="0051032A">
        <w:rPr>
          <w:rFonts w:eastAsia="SimSun"/>
        </w:rPr>
        <w:t>])</w:t>
      </w:r>
    </w:p>
    <w:p w14:paraId="25FAFA38" w14:textId="77777777" w:rsidR="00260B6D" w:rsidRPr="0051032A" w:rsidRDefault="00260B6D" w:rsidP="0051032A">
      <w:pPr>
        <w:rPr>
          <w:rFonts w:eastAsia="SimSun"/>
        </w:rPr>
      </w:pPr>
      <w:r w:rsidRPr="0051032A">
        <w:rPr>
          <w:rFonts w:eastAsia="SimSun"/>
        </w:rPr>
        <w:t xml:space="preserve">      </w:t>
      </w:r>
    </w:p>
    <w:p w14:paraId="285DFCEE" w14:textId="77777777" w:rsidR="00260B6D" w:rsidRPr="0051032A" w:rsidRDefault="00260B6D" w:rsidP="0051032A">
      <w:pPr>
        <w:rPr>
          <w:rFonts w:eastAsia="SimSun"/>
        </w:rPr>
      </w:pPr>
      <w:r w:rsidRPr="0051032A">
        <w:rPr>
          <w:rFonts w:eastAsia="SimSun"/>
        </w:rPr>
        <w:t xml:space="preserve">      # Risk of HIV transmission. per sexual act. We assume the risk of HIV transmission is the same from male to female and from female to male.</w:t>
      </w:r>
    </w:p>
    <w:p w14:paraId="38BCEDFC" w14:textId="77777777" w:rsidR="00260B6D" w:rsidRPr="0051032A" w:rsidRDefault="00260B6D" w:rsidP="0051032A">
      <w:pPr>
        <w:rPr>
          <w:rFonts w:eastAsia="SimSun"/>
        </w:rPr>
      </w:pPr>
      <w:r w:rsidRPr="0051032A">
        <w:rPr>
          <w:rFonts w:eastAsia="SimSun"/>
        </w:rPr>
        <w:t xml:space="preserve">      beta[</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l,"beta_t",g</w:t>
      </w:r>
      <w:proofErr w:type="spellEnd"/>
      <w:r w:rsidRPr="0051032A">
        <w:rPr>
          <w:rFonts w:eastAsia="SimSun"/>
        </w:rPr>
        <w:t>]</w:t>
      </w:r>
    </w:p>
    <w:p w14:paraId="4302A6E0" w14:textId="77777777" w:rsidR="00260B6D" w:rsidRPr="0051032A" w:rsidRDefault="00260B6D" w:rsidP="0051032A">
      <w:pPr>
        <w:rPr>
          <w:rFonts w:eastAsia="SimSun"/>
        </w:rPr>
      </w:pPr>
      <w:r w:rsidRPr="0051032A">
        <w:rPr>
          <w:rFonts w:eastAsia="SimSun"/>
        </w:rPr>
        <w:t xml:space="preserve">      </w:t>
      </w:r>
    </w:p>
    <w:p w14:paraId="57C8C068" w14:textId="77777777" w:rsidR="00260B6D" w:rsidRPr="0051032A" w:rsidRDefault="00260B6D" w:rsidP="0051032A">
      <w:pPr>
        <w:rPr>
          <w:rFonts w:eastAsia="SimSun"/>
        </w:rPr>
      </w:pPr>
      <w:r w:rsidRPr="0051032A">
        <w:rPr>
          <w:rFonts w:eastAsia="SimSun"/>
        </w:rPr>
        <w:t xml:space="preserve">      # Average number of sexual contacts per month. This number will vary based on the subgroup considered.</w:t>
      </w:r>
    </w:p>
    <w:p w14:paraId="4B8A383D"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n_r</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l,"n_r_t",g</w:t>
      </w:r>
      <w:proofErr w:type="spellEnd"/>
      <w:r w:rsidRPr="0051032A">
        <w:rPr>
          <w:rFonts w:eastAsia="SimSun"/>
        </w:rPr>
        <w:t>]</w:t>
      </w:r>
    </w:p>
    <w:p w14:paraId="109C4990" w14:textId="77777777" w:rsidR="00260B6D" w:rsidRPr="0051032A" w:rsidRDefault="00260B6D" w:rsidP="0051032A">
      <w:pPr>
        <w:rPr>
          <w:rFonts w:eastAsia="SimSun"/>
        </w:rPr>
      </w:pPr>
      <w:r w:rsidRPr="0051032A">
        <w:rPr>
          <w:rFonts w:eastAsia="SimSun"/>
        </w:rPr>
        <w:t xml:space="preserve">      </w:t>
      </w:r>
    </w:p>
    <w:p w14:paraId="56BEE524" w14:textId="77777777" w:rsidR="00260B6D" w:rsidRPr="0051032A" w:rsidRDefault="00260B6D" w:rsidP="0051032A">
      <w:pPr>
        <w:rPr>
          <w:rFonts w:eastAsia="SimSun"/>
        </w:rPr>
      </w:pPr>
      <w:r w:rsidRPr="0051032A">
        <w:rPr>
          <w:rFonts w:eastAsia="SimSun"/>
        </w:rPr>
        <w:t xml:space="preserve">    } else {</w:t>
      </w:r>
    </w:p>
    <w:p w14:paraId="74696905" w14:textId="77777777" w:rsidR="00260B6D" w:rsidRPr="0051032A" w:rsidRDefault="00260B6D" w:rsidP="0051032A">
      <w:pPr>
        <w:rPr>
          <w:rFonts w:eastAsia="SimSun"/>
        </w:rPr>
      </w:pPr>
      <w:r w:rsidRPr="0051032A">
        <w:rPr>
          <w:rFonts w:eastAsia="SimSun"/>
        </w:rPr>
        <w:t xml:space="preserve">      </w:t>
      </w:r>
    </w:p>
    <w:p w14:paraId="0AEEE7F2" w14:textId="77777777" w:rsidR="00260B6D" w:rsidRPr="0051032A" w:rsidRDefault="00260B6D" w:rsidP="0051032A">
      <w:pPr>
        <w:rPr>
          <w:rFonts w:eastAsia="SimSun"/>
        </w:rPr>
      </w:pPr>
      <w:r w:rsidRPr="0051032A">
        <w:rPr>
          <w:rFonts w:eastAsia="SimSun"/>
        </w:rPr>
        <w:t xml:space="preserve">      l=l+1</w:t>
      </w:r>
    </w:p>
    <w:p w14:paraId="0A44DD99" w14:textId="77777777" w:rsidR="00260B6D" w:rsidRPr="0051032A" w:rsidRDefault="00260B6D" w:rsidP="0051032A">
      <w:pPr>
        <w:rPr>
          <w:rFonts w:eastAsia="SimSun"/>
        </w:rPr>
      </w:pPr>
      <w:r w:rsidRPr="0051032A">
        <w:rPr>
          <w:rFonts w:eastAsia="SimSun"/>
        </w:rPr>
        <w:t xml:space="preserve">      </w:t>
      </w:r>
    </w:p>
    <w:p w14:paraId="0EF5F048" w14:textId="77777777" w:rsidR="00260B6D" w:rsidRPr="0051032A" w:rsidRDefault="00260B6D" w:rsidP="0051032A">
      <w:pPr>
        <w:rPr>
          <w:rFonts w:eastAsia="SimSun"/>
        </w:rPr>
      </w:pPr>
      <w:r w:rsidRPr="0051032A">
        <w:rPr>
          <w:rFonts w:eastAsia="SimSun"/>
        </w:rPr>
        <w:t xml:space="preserve">      # Constant monthly rate of increase in the susceptible population, calculated using data from World Bank to reflect population growth over time.</w:t>
      </w:r>
    </w:p>
    <w:p w14:paraId="0C0FA864" w14:textId="77777777" w:rsidR="00260B6D" w:rsidRPr="0051032A" w:rsidRDefault="00260B6D" w:rsidP="0051032A">
      <w:pPr>
        <w:rPr>
          <w:rFonts w:eastAsia="SimSun"/>
        </w:rPr>
      </w:pPr>
      <w:r w:rsidRPr="0051032A">
        <w:rPr>
          <w:rFonts w:eastAsia="SimSun"/>
        </w:rPr>
        <w:t xml:space="preserve">      rho[</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l,"rho_t",g</w:t>
      </w:r>
      <w:proofErr w:type="spellEnd"/>
      <w:r w:rsidRPr="0051032A">
        <w:rPr>
          <w:rFonts w:eastAsia="SimSun"/>
        </w:rPr>
        <w:t>]</w:t>
      </w:r>
    </w:p>
    <w:p w14:paraId="4FBBBA93" w14:textId="77777777" w:rsidR="00260B6D" w:rsidRPr="0051032A" w:rsidRDefault="00260B6D" w:rsidP="0051032A">
      <w:pPr>
        <w:rPr>
          <w:rFonts w:eastAsia="SimSun"/>
        </w:rPr>
      </w:pPr>
      <w:r w:rsidRPr="0051032A">
        <w:rPr>
          <w:rFonts w:eastAsia="SimSun"/>
        </w:rPr>
        <w:t xml:space="preserve">      </w:t>
      </w:r>
    </w:p>
    <w:p w14:paraId="6FF186B8" w14:textId="77777777" w:rsidR="00260B6D" w:rsidRPr="0051032A" w:rsidRDefault="00260B6D" w:rsidP="0051032A">
      <w:pPr>
        <w:rPr>
          <w:rFonts w:eastAsia="SimSun"/>
        </w:rPr>
      </w:pPr>
      <w:r w:rsidRPr="0051032A">
        <w:rPr>
          <w:rFonts w:eastAsia="SimSun"/>
        </w:rPr>
        <w:t xml:space="preserve">      #Mulitplier for monthly probability of getting diagnosed when CD4&lt;200</w:t>
      </w:r>
    </w:p>
    <w:p w14:paraId="1FCA4193"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alpha_m_mu</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l,"alpha_m_mu_t",g</w:t>
      </w:r>
      <w:proofErr w:type="spellEnd"/>
      <w:r w:rsidRPr="0051032A">
        <w:rPr>
          <w:rFonts w:eastAsia="SimSun"/>
        </w:rPr>
        <w:t>]</w:t>
      </w:r>
    </w:p>
    <w:p w14:paraId="2D425A47"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alpha_m_sd</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l,"alpha_m_sd_t",g</w:t>
      </w:r>
      <w:proofErr w:type="spellEnd"/>
      <w:r w:rsidRPr="0051032A">
        <w:rPr>
          <w:rFonts w:eastAsia="SimSun"/>
        </w:rPr>
        <w:t>]</w:t>
      </w:r>
    </w:p>
    <w:p w14:paraId="658E2045" w14:textId="77777777" w:rsidR="00260B6D" w:rsidRPr="0051032A" w:rsidRDefault="00260B6D" w:rsidP="0051032A">
      <w:pPr>
        <w:rPr>
          <w:rFonts w:eastAsia="SimSun"/>
        </w:rPr>
      </w:pPr>
      <w:r w:rsidRPr="0051032A">
        <w:rPr>
          <w:rFonts w:eastAsia="SimSun"/>
        </w:rPr>
        <w:t xml:space="preserve">      </w:t>
      </w:r>
    </w:p>
    <w:p w14:paraId="1878E60A" w14:textId="77777777" w:rsidR="00260B6D" w:rsidRPr="0051032A" w:rsidRDefault="00260B6D" w:rsidP="0051032A">
      <w:pPr>
        <w:rPr>
          <w:rFonts w:eastAsia="SimSun"/>
        </w:rPr>
      </w:pPr>
      <w:r w:rsidRPr="0051032A">
        <w:rPr>
          <w:rFonts w:eastAsia="SimSun"/>
        </w:rPr>
        <w:t xml:space="preserve">      # Monthly probability of getting diagnosed from compartment X1 — X4</w:t>
      </w:r>
    </w:p>
    <w:p w14:paraId="711DC17B" w14:textId="77777777" w:rsidR="00260B6D" w:rsidRPr="0051032A" w:rsidRDefault="00260B6D" w:rsidP="0051032A">
      <w:pPr>
        <w:rPr>
          <w:rFonts w:eastAsia="SimSun"/>
        </w:rPr>
      </w:pPr>
      <w:r w:rsidRPr="0051032A">
        <w:rPr>
          <w:rFonts w:eastAsia="SimSun"/>
        </w:rPr>
        <w:t xml:space="preserve">      #alpha_1[</w:t>
      </w:r>
      <w:proofErr w:type="gramStart"/>
      <w:r w:rsidRPr="0051032A">
        <w:rPr>
          <w:rFonts w:eastAsia="SimSun"/>
        </w:rPr>
        <w:t>t,s</w:t>
      </w:r>
      <w:proofErr w:type="gramEnd"/>
      <w:r w:rsidRPr="0051032A">
        <w:rPr>
          <w:rFonts w:eastAsia="SimSun"/>
        </w:rPr>
        <w:t>,g] &lt;- input[[s]][l,"alpha_1_t",g]</w:t>
      </w:r>
    </w:p>
    <w:p w14:paraId="1D948033" w14:textId="77777777" w:rsidR="00260B6D" w:rsidRPr="0051032A" w:rsidRDefault="00260B6D" w:rsidP="0051032A">
      <w:pPr>
        <w:rPr>
          <w:rFonts w:eastAsia="SimSun"/>
        </w:rPr>
      </w:pPr>
      <w:r w:rsidRPr="0051032A">
        <w:rPr>
          <w:rFonts w:eastAsia="SimSun"/>
        </w:rPr>
        <w:t xml:space="preserve">      alpha_1_a[</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input[[s]][l,"alpha_1_a_t",g]</w:t>
      </w:r>
    </w:p>
    <w:p w14:paraId="6506E962" w14:textId="77777777" w:rsidR="00260B6D" w:rsidRPr="0051032A" w:rsidRDefault="00260B6D" w:rsidP="0051032A">
      <w:pPr>
        <w:rPr>
          <w:rFonts w:eastAsia="SimSun"/>
        </w:rPr>
      </w:pPr>
      <w:r w:rsidRPr="0051032A">
        <w:rPr>
          <w:rFonts w:eastAsia="SimSun"/>
        </w:rPr>
        <w:t xml:space="preserve">      alpha_1_b[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input[[s]][l,"alpha_1_b_t",g]</w:t>
      </w:r>
    </w:p>
    <w:p w14:paraId="55345208" w14:textId="77777777" w:rsidR="00260B6D" w:rsidRPr="0051032A" w:rsidRDefault="00260B6D" w:rsidP="0051032A">
      <w:pPr>
        <w:rPr>
          <w:rFonts w:eastAsia="SimSun"/>
        </w:rPr>
      </w:pPr>
      <w:r w:rsidRPr="0051032A">
        <w:rPr>
          <w:rFonts w:eastAsia="SimSun"/>
        </w:rPr>
        <w:t xml:space="preserve">      if (g==input[[s</w:t>
      </w:r>
      <w:proofErr w:type="gramStart"/>
      <w:r w:rsidRPr="0051032A">
        <w:rPr>
          <w:rFonts w:eastAsia="SimSun"/>
        </w:rPr>
        <w:t>]][</w:t>
      </w:r>
      <w:proofErr w:type="spellStart"/>
      <w:proofErr w:type="gramEnd"/>
      <w:r w:rsidRPr="0051032A">
        <w:rPr>
          <w:rFonts w:eastAsia="SimSun"/>
        </w:rPr>
        <w:t>l,"generation</w:t>
      </w:r>
      <w:proofErr w:type="spellEnd"/>
      <w:r w:rsidRPr="0051032A">
        <w:rPr>
          <w:rFonts w:eastAsia="SimSun"/>
        </w:rPr>
        <w:t>"] &amp; (input[[s]][</w:t>
      </w:r>
      <w:proofErr w:type="spellStart"/>
      <w:r w:rsidRPr="0051032A">
        <w:rPr>
          <w:rFonts w:eastAsia="SimSun"/>
        </w:rPr>
        <w:t>l,"year</w:t>
      </w:r>
      <w:proofErr w:type="spellEnd"/>
      <w:r w:rsidRPr="0051032A">
        <w:rPr>
          <w:rFonts w:eastAsia="SimSun"/>
        </w:rPr>
        <w:t>"]==2010 | input[[s]][</w:t>
      </w:r>
      <w:proofErr w:type="spellStart"/>
      <w:r w:rsidRPr="0051032A">
        <w:rPr>
          <w:rFonts w:eastAsia="SimSun"/>
        </w:rPr>
        <w:t>l,"year</w:t>
      </w:r>
      <w:proofErr w:type="spellEnd"/>
      <w:r w:rsidRPr="0051032A">
        <w:rPr>
          <w:rFonts w:eastAsia="SimSun"/>
        </w:rPr>
        <w:t>"]==2015))</w:t>
      </w:r>
    </w:p>
    <w:p w14:paraId="533BD94B" w14:textId="77777777" w:rsidR="00260B6D" w:rsidRPr="0051032A" w:rsidRDefault="00260B6D" w:rsidP="0051032A">
      <w:pPr>
        <w:rPr>
          <w:rFonts w:eastAsia="SimSun"/>
        </w:rPr>
      </w:pPr>
      <w:r w:rsidRPr="0051032A">
        <w:rPr>
          <w:rFonts w:eastAsia="SimSun"/>
        </w:rPr>
        <w:t xml:space="preserve">      {</w:t>
      </w:r>
    </w:p>
    <w:p w14:paraId="3A0BEAAA" w14:textId="77777777" w:rsidR="00260B6D" w:rsidRPr="0051032A" w:rsidRDefault="00260B6D" w:rsidP="0051032A">
      <w:pPr>
        <w:rPr>
          <w:rFonts w:eastAsia="SimSun"/>
        </w:rPr>
      </w:pPr>
      <w:r w:rsidRPr="0051032A">
        <w:rPr>
          <w:rFonts w:eastAsia="SimSun"/>
        </w:rPr>
        <w:t xml:space="preserve">        # </w:t>
      </w:r>
      <w:proofErr w:type="gramStart"/>
      <w:r w:rsidRPr="0051032A">
        <w:rPr>
          <w:rFonts w:eastAsia="SimSun"/>
        </w:rPr>
        <w:t>generate</w:t>
      </w:r>
      <w:proofErr w:type="gramEnd"/>
      <w:r w:rsidRPr="0051032A">
        <w:rPr>
          <w:rFonts w:eastAsia="SimSun"/>
        </w:rPr>
        <w:t xml:space="preserve"> random parameter estimates from beta distribution in year 2010 and 2015, which will apply for later years</w:t>
      </w:r>
    </w:p>
    <w:p w14:paraId="76363C1E" w14:textId="77777777" w:rsidR="00260B6D" w:rsidRPr="0051032A" w:rsidRDefault="00260B6D" w:rsidP="0051032A">
      <w:pPr>
        <w:rPr>
          <w:rFonts w:eastAsia="SimSun"/>
        </w:rPr>
      </w:pPr>
      <w:r w:rsidRPr="0051032A">
        <w:rPr>
          <w:rFonts w:eastAsia="SimSun"/>
        </w:rPr>
        <w:t xml:space="preserve">        mediate_a1 &lt;- </w:t>
      </w:r>
      <w:proofErr w:type="spellStart"/>
      <w:r w:rsidRPr="0051032A">
        <w:rPr>
          <w:rFonts w:eastAsia="SimSun"/>
        </w:rPr>
        <w:t>rbeta</w:t>
      </w:r>
      <w:proofErr w:type="spellEnd"/>
      <w:r w:rsidRPr="0051032A">
        <w:rPr>
          <w:rFonts w:eastAsia="SimSun"/>
        </w:rPr>
        <w:t>(</w:t>
      </w:r>
      <w:proofErr w:type="gramStart"/>
      <w:r w:rsidRPr="0051032A">
        <w:rPr>
          <w:rFonts w:eastAsia="SimSun"/>
        </w:rPr>
        <w:t>1,alpha</w:t>
      </w:r>
      <w:proofErr w:type="gramEnd"/>
      <w:r w:rsidRPr="0051032A">
        <w:rPr>
          <w:rFonts w:eastAsia="SimSun"/>
        </w:rPr>
        <w:t>_1_a[</w:t>
      </w:r>
      <w:proofErr w:type="spellStart"/>
      <w:r w:rsidRPr="0051032A">
        <w:rPr>
          <w:rFonts w:eastAsia="SimSun"/>
        </w:rPr>
        <w:t>t,s,g</w:t>
      </w:r>
      <w:proofErr w:type="spellEnd"/>
      <w:r w:rsidRPr="0051032A">
        <w:rPr>
          <w:rFonts w:eastAsia="SimSun"/>
        </w:rPr>
        <w:t>],alpha_1_b[</w:t>
      </w:r>
      <w:proofErr w:type="spellStart"/>
      <w:r w:rsidRPr="0051032A">
        <w:rPr>
          <w:rFonts w:eastAsia="SimSun"/>
        </w:rPr>
        <w:t>t,s,g</w:t>
      </w:r>
      <w:proofErr w:type="spellEnd"/>
      <w:r w:rsidRPr="0051032A">
        <w:rPr>
          <w:rFonts w:eastAsia="SimSun"/>
        </w:rPr>
        <w:t>])</w:t>
      </w:r>
    </w:p>
    <w:p w14:paraId="19AD4C3A" w14:textId="77777777" w:rsidR="00260B6D" w:rsidRPr="0051032A" w:rsidRDefault="00260B6D" w:rsidP="0051032A">
      <w:pPr>
        <w:rPr>
          <w:rFonts w:eastAsia="SimSun"/>
        </w:rPr>
      </w:pPr>
      <w:r w:rsidRPr="0051032A">
        <w:rPr>
          <w:rFonts w:eastAsia="SimSun"/>
        </w:rPr>
        <w:lastRenderedPageBreak/>
        <w:t xml:space="preserve">      }</w:t>
      </w:r>
    </w:p>
    <w:p w14:paraId="28521454"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alpha_m</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w:t>
      </w:r>
    </w:p>
    <w:p w14:paraId="6FE2AA63" w14:textId="77777777" w:rsidR="00260B6D" w:rsidRPr="0051032A" w:rsidRDefault="00260B6D" w:rsidP="0051032A">
      <w:pPr>
        <w:rPr>
          <w:rFonts w:eastAsia="SimSun"/>
        </w:rPr>
      </w:pPr>
      <w:r w:rsidRPr="0051032A">
        <w:rPr>
          <w:rFonts w:eastAsia="SimSun"/>
        </w:rPr>
        <w:t xml:space="preserve">      alpha_1[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mediate_a1</w:t>
      </w:r>
    </w:p>
    <w:p w14:paraId="65AF89EE" w14:textId="77777777" w:rsidR="00260B6D" w:rsidRPr="0051032A" w:rsidRDefault="00260B6D" w:rsidP="0051032A">
      <w:pPr>
        <w:rPr>
          <w:rFonts w:eastAsia="SimSun"/>
        </w:rPr>
      </w:pPr>
      <w:r w:rsidRPr="0051032A">
        <w:rPr>
          <w:rFonts w:eastAsia="SimSun"/>
        </w:rPr>
        <w:t xml:space="preserve">      alpha_2[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mediate_a1</w:t>
      </w:r>
    </w:p>
    <w:p w14:paraId="1A4B53F1" w14:textId="77777777" w:rsidR="00260B6D" w:rsidRPr="0051032A" w:rsidRDefault="00260B6D" w:rsidP="0051032A">
      <w:pPr>
        <w:rPr>
          <w:rFonts w:eastAsia="SimSun"/>
        </w:rPr>
      </w:pPr>
      <w:r w:rsidRPr="0051032A">
        <w:rPr>
          <w:rFonts w:eastAsia="SimSun"/>
        </w:rPr>
        <w:t xml:space="preserve">      alpha_3[</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mediate_a1</w:t>
      </w:r>
    </w:p>
    <w:p w14:paraId="56E00E47" w14:textId="77777777" w:rsidR="00260B6D" w:rsidRPr="0051032A" w:rsidRDefault="00260B6D" w:rsidP="0051032A">
      <w:pPr>
        <w:rPr>
          <w:rFonts w:eastAsia="SimSun"/>
        </w:rPr>
      </w:pPr>
      <w:r w:rsidRPr="0051032A">
        <w:rPr>
          <w:rFonts w:eastAsia="SimSun"/>
        </w:rPr>
        <w:t xml:space="preserve">      alpha_4[</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mediate_a1*mediate</w:t>
      </w:r>
    </w:p>
    <w:p w14:paraId="6C90AFCD" w14:textId="77777777" w:rsidR="00260B6D" w:rsidRPr="0051032A" w:rsidRDefault="00260B6D" w:rsidP="0051032A">
      <w:pPr>
        <w:rPr>
          <w:rFonts w:eastAsia="SimSun"/>
        </w:rPr>
      </w:pPr>
      <w:r w:rsidRPr="0051032A">
        <w:rPr>
          <w:rFonts w:eastAsia="SimSun"/>
        </w:rPr>
        <w:t xml:space="preserve">      </w:t>
      </w:r>
    </w:p>
    <w:p w14:paraId="05B54EE7" w14:textId="77777777" w:rsidR="00260B6D" w:rsidRPr="0051032A" w:rsidRDefault="00260B6D" w:rsidP="0051032A">
      <w:pPr>
        <w:rPr>
          <w:rFonts w:eastAsia="SimSun"/>
        </w:rPr>
      </w:pPr>
      <w:r w:rsidRPr="0051032A">
        <w:rPr>
          <w:rFonts w:eastAsia="SimSun"/>
        </w:rPr>
        <w:t xml:space="preserve">      # Multiplier applied to linkage to care compartments (X9 — X12) to reduce the probability disease progression.</w:t>
      </w:r>
    </w:p>
    <w:p w14:paraId="17A0981C"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m_delta</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l,"m_delta_t",g</w:t>
      </w:r>
      <w:proofErr w:type="spellEnd"/>
      <w:r w:rsidRPr="0051032A">
        <w:rPr>
          <w:rFonts w:eastAsia="SimSun"/>
        </w:rPr>
        <w:t xml:space="preserve">] </w:t>
      </w:r>
    </w:p>
    <w:p w14:paraId="06F839C0" w14:textId="77777777" w:rsidR="00260B6D" w:rsidRPr="0051032A" w:rsidRDefault="00260B6D" w:rsidP="0051032A">
      <w:pPr>
        <w:rPr>
          <w:rFonts w:eastAsia="SimSun"/>
        </w:rPr>
      </w:pPr>
      <w:r w:rsidRPr="0051032A">
        <w:rPr>
          <w:rFonts w:eastAsia="SimSun"/>
        </w:rPr>
        <w:t xml:space="preserve">      </w:t>
      </w:r>
    </w:p>
    <w:p w14:paraId="7BCC2A7A" w14:textId="77777777" w:rsidR="00260B6D" w:rsidRPr="0051032A" w:rsidRDefault="00260B6D" w:rsidP="0051032A">
      <w:pPr>
        <w:rPr>
          <w:rFonts w:eastAsia="SimSun"/>
        </w:rPr>
      </w:pPr>
      <w:r w:rsidRPr="0051032A">
        <w:rPr>
          <w:rFonts w:eastAsia="SimSun"/>
        </w:rPr>
        <w:t xml:space="preserve">      # Monthly probability of natural history disease progression. We assume individuals who are undiagnosed (X1 — X4), diagnosed and not linked to care (X5 — X8), and those lost from care (X13 — X16), experience similar natural history disease progression in respective compartments.</w:t>
      </w:r>
    </w:p>
    <w:p w14:paraId="62867F35" w14:textId="77777777" w:rsidR="00260B6D" w:rsidRPr="0051032A" w:rsidRDefault="00260B6D" w:rsidP="0051032A">
      <w:pPr>
        <w:rPr>
          <w:rFonts w:eastAsia="SimSun"/>
        </w:rPr>
      </w:pPr>
      <w:r w:rsidRPr="0051032A">
        <w:rPr>
          <w:rFonts w:eastAsia="SimSun"/>
        </w:rPr>
        <w:t xml:space="preserve">      delta_1[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input[[s]][l,"delta_1_t",g]</w:t>
      </w:r>
    </w:p>
    <w:p w14:paraId="5CCAFBE1" w14:textId="77777777" w:rsidR="00260B6D" w:rsidRPr="0051032A" w:rsidRDefault="00260B6D" w:rsidP="0051032A">
      <w:pPr>
        <w:rPr>
          <w:rFonts w:eastAsia="SimSun"/>
        </w:rPr>
      </w:pPr>
      <w:r w:rsidRPr="0051032A">
        <w:rPr>
          <w:rFonts w:eastAsia="SimSun"/>
        </w:rPr>
        <w:t xml:space="preserve">      delta_2[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input[[s]][l,"delta_2_t",g]</w:t>
      </w:r>
    </w:p>
    <w:p w14:paraId="722DC898" w14:textId="77777777" w:rsidR="00260B6D" w:rsidRPr="0051032A" w:rsidRDefault="00260B6D" w:rsidP="0051032A">
      <w:pPr>
        <w:rPr>
          <w:rFonts w:eastAsia="SimSun"/>
        </w:rPr>
      </w:pPr>
      <w:r w:rsidRPr="0051032A">
        <w:rPr>
          <w:rFonts w:eastAsia="SimSun"/>
        </w:rPr>
        <w:t xml:space="preserve">      delta_3[</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input[[s]][l,"delta_3_t",g]</w:t>
      </w:r>
    </w:p>
    <w:p w14:paraId="61755199" w14:textId="77777777" w:rsidR="00260B6D" w:rsidRPr="0051032A" w:rsidRDefault="00260B6D" w:rsidP="0051032A">
      <w:pPr>
        <w:rPr>
          <w:rFonts w:eastAsia="SimSun"/>
        </w:rPr>
      </w:pPr>
      <w:r w:rsidRPr="0051032A">
        <w:rPr>
          <w:rFonts w:eastAsia="SimSun"/>
        </w:rPr>
        <w:t xml:space="preserve">      delta_4[</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delta_1[</w:t>
      </w:r>
      <w:proofErr w:type="spellStart"/>
      <w:r w:rsidRPr="0051032A">
        <w:rPr>
          <w:rFonts w:eastAsia="SimSun"/>
        </w:rPr>
        <w:t>t,s,g</w:t>
      </w:r>
      <w:proofErr w:type="spellEnd"/>
      <w:r w:rsidRPr="0051032A">
        <w:rPr>
          <w:rFonts w:eastAsia="SimSun"/>
        </w:rPr>
        <w:t>]*</w:t>
      </w:r>
      <w:proofErr w:type="spellStart"/>
      <w:r w:rsidRPr="0051032A">
        <w:rPr>
          <w:rFonts w:eastAsia="SimSun"/>
        </w:rPr>
        <w:t>m_delta</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6CC84773" w14:textId="77777777" w:rsidR="00260B6D" w:rsidRPr="0051032A" w:rsidRDefault="00260B6D" w:rsidP="0051032A">
      <w:pPr>
        <w:rPr>
          <w:rFonts w:eastAsia="SimSun"/>
        </w:rPr>
      </w:pPr>
      <w:r w:rsidRPr="0051032A">
        <w:rPr>
          <w:rFonts w:eastAsia="SimSun"/>
        </w:rPr>
        <w:t xml:space="preserve">      delta_5[</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delta_2[</w:t>
      </w:r>
      <w:proofErr w:type="spellStart"/>
      <w:r w:rsidRPr="0051032A">
        <w:rPr>
          <w:rFonts w:eastAsia="SimSun"/>
        </w:rPr>
        <w:t>t,s,g</w:t>
      </w:r>
      <w:proofErr w:type="spellEnd"/>
      <w:r w:rsidRPr="0051032A">
        <w:rPr>
          <w:rFonts w:eastAsia="SimSun"/>
        </w:rPr>
        <w:t>]*</w:t>
      </w:r>
      <w:proofErr w:type="spellStart"/>
      <w:r w:rsidRPr="0051032A">
        <w:rPr>
          <w:rFonts w:eastAsia="SimSun"/>
        </w:rPr>
        <w:t>m_delta</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5A6A040E" w14:textId="77777777" w:rsidR="00260B6D" w:rsidRPr="0051032A" w:rsidRDefault="00260B6D" w:rsidP="0051032A">
      <w:pPr>
        <w:rPr>
          <w:rFonts w:eastAsia="SimSun"/>
        </w:rPr>
      </w:pPr>
      <w:r w:rsidRPr="0051032A">
        <w:rPr>
          <w:rFonts w:eastAsia="SimSun"/>
        </w:rPr>
        <w:t xml:space="preserve">      delta_6[</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delta_3[</w:t>
      </w:r>
      <w:proofErr w:type="spellStart"/>
      <w:r w:rsidRPr="0051032A">
        <w:rPr>
          <w:rFonts w:eastAsia="SimSun"/>
        </w:rPr>
        <w:t>t,s,g</w:t>
      </w:r>
      <w:proofErr w:type="spellEnd"/>
      <w:r w:rsidRPr="0051032A">
        <w:rPr>
          <w:rFonts w:eastAsia="SimSun"/>
        </w:rPr>
        <w:t>]*</w:t>
      </w:r>
      <w:proofErr w:type="spellStart"/>
      <w:r w:rsidRPr="0051032A">
        <w:rPr>
          <w:rFonts w:eastAsia="SimSun"/>
        </w:rPr>
        <w:t>m_delta</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302A81E7" w14:textId="77777777" w:rsidR="00260B6D" w:rsidRPr="0051032A" w:rsidRDefault="00260B6D" w:rsidP="0051032A">
      <w:pPr>
        <w:rPr>
          <w:rFonts w:eastAsia="SimSun"/>
        </w:rPr>
      </w:pPr>
      <w:r w:rsidRPr="0051032A">
        <w:rPr>
          <w:rFonts w:eastAsia="SimSun"/>
        </w:rPr>
        <w:t xml:space="preserve">      </w:t>
      </w:r>
    </w:p>
    <w:p w14:paraId="69C63536" w14:textId="77777777" w:rsidR="00260B6D" w:rsidRPr="0051032A" w:rsidRDefault="00260B6D" w:rsidP="0051032A">
      <w:pPr>
        <w:rPr>
          <w:rFonts w:eastAsia="SimSun"/>
        </w:rPr>
      </w:pPr>
      <w:r w:rsidRPr="0051032A">
        <w:rPr>
          <w:rFonts w:eastAsia="SimSun"/>
        </w:rPr>
        <w:t xml:space="preserve">      # Monthly probability of linkage to care from compartments X5 — X8</w:t>
      </w:r>
    </w:p>
    <w:p w14:paraId="73F43E97" w14:textId="77777777" w:rsidR="00260B6D" w:rsidRPr="0051032A" w:rsidRDefault="00260B6D" w:rsidP="0051032A">
      <w:pPr>
        <w:rPr>
          <w:rFonts w:eastAsia="SimSun"/>
        </w:rPr>
      </w:pPr>
      <w:r w:rsidRPr="0051032A">
        <w:rPr>
          <w:rFonts w:eastAsia="SimSun"/>
        </w:rPr>
        <w:t xml:space="preserve">      sigma_1[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input[[s]][l,"sigma_1_t",g]</w:t>
      </w:r>
    </w:p>
    <w:p w14:paraId="7C122F39" w14:textId="77777777" w:rsidR="00260B6D" w:rsidRPr="0051032A" w:rsidRDefault="00260B6D" w:rsidP="0051032A">
      <w:pPr>
        <w:rPr>
          <w:rFonts w:eastAsia="SimSun"/>
        </w:rPr>
      </w:pPr>
      <w:r w:rsidRPr="0051032A">
        <w:rPr>
          <w:rFonts w:eastAsia="SimSun"/>
        </w:rPr>
        <w:t xml:space="preserve">      sigma_2[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input[[s]][l,"sigma_2_t",g]</w:t>
      </w:r>
    </w:p>
    <w:p w14:paraId="60AA8E06" w14:textId="77777777" w:rsidR="00260B6D" w:rsidRPr="0051032A" w:rsidRDefault="00260B6D" w:rsidP="0051032A">
      <w:pPr>
        <w:rPr>
          <w:rFonts w:eastAsia="SimSun"/>
        </w:rPr>
      </w:pPr>
      <w:r w:rsidRPr="0051032A">
        <w:rPr>
          <w:rFonts w:eastAsia="SimSun"/>
        </w:rPr>
        <w:t xml:space="preserve">      sigma_3[</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input[[s]][l,"sigma_3_t",g]</w:t>
      </w:r>
    </w:p>
    <w:p w14:paraId="0A1760D0" w14:textId="77777777" w:rsidR="00260B6D" w:rsidRPr="0051032A" w:rsidRDefault="00260B6D" w:rsidP="0051032A">
      <w:pPr>
        <w:rPr>
          <w:rFonts w:eastAsia="SimSun"/>
        </w:rPr>
      </w:pPr>
      <w:r w:rsidRPr="0051032A">
        <w:rPr>
          <w:rFonts w:eastAsia="SimSun"/>
        </w:rPr>
        <w:t xml:space="preserve">      sigma_4[</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input[[s]][l,"sigma_4_t",g]</w:t>
      </w:r>
    </w:p>
    <w:p w14:paraId="3DE9BCDE" w14:textId="77777777" w:rsidR="00260B6D" w:rsidRPr="0051032A" w:rsidRDefault="00260B6D" w:rsidP="0051032A">
      <w:pPr>
        <w:rPr>
          <w:rFonts w:eastAsia="SimSun"/>
        </w:rPr>
      </w:pPr>
      <w:r w:rsidRPr="0051032A">
        <w:rPr>
          <w:rFonts w:eastAsia="SimSun"/>
        </w:rPr>
        <w:t xml:space="preserve">      </w:t>
      </w:r>
    </w:p>
    <w:p w14:paraId="4AFF580E" w14:textId="77777777" w:rsidR="00260B6D" w:rsidRPr="0051032A" w:rsidRDefault="00260B6D" w:rsidP="0051032A">
      <w:pPr>
        <w:rPr>
          <w:rFonts w:eastAsia="SimSun"/>
        </w:rPr>
      </w:pPr>
      <w:r w:rsidRPr="0051032A">
        <w:rPr>
          <w:rFonts w:eastAsia="SimSun"/>
        </w:rPr>
        <w:t xml:space="preserve">      # Probability of getting lost from care from compartments X9 — X12, X17 — X24</w:t>
      </w:r>
    </w:p>
    <w:p w14:paraId="40E1EEE5" w14:textId="77777777" w:rsidR="00260B6D" w:rsidRPr="0051032A" w:rsidRDefault="00260B6D" w:rsidP="0051032A">
      <w:pPr>
        <w:rPr>
          <w:rFonts w:eastAsia="SimSun"/>
        </w:rPr>
      </w:pPr>
      <w:r w:rsidRPr="0051032A">
        <w:rPr>
          <w:rFonts w:eastAsia="SimSun"/>
        </w:rPr>
        <w:t xml:space="preserve">      gamma_1[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input[[s]][l,"gamma_1_t",g]</w:t>
      </w:r>
    </w:p>
    <w:p w14:paraId="3696B0EB" w14:textId="77777777" w:rsidR="00260B6D" w:rsidRPr="0051032A" w:rsidRDefault="00260B6D" w:rsidP="0051032A">
      <w:pPr>
        <w:rPr>
          <w:rFonts w:eastAsia="SimSun"/>
        </w:rPr>
      </w:pPr>
      <w:r w:rsidRPr="0051032A">
        <w:rPr>
          <w:rFonts w:eastAsia="SimSun"/>
        </w:rPr>
        <w:t xml:space="preserve">      gamma_2[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input[[s]][l,"gamma_2_t",g]</w:t>
      </w:r>
    </w:p>
    <w:p w14:paraId="4E0DE629" w14:textId="77777777" w:rsidR="00260B6D" w:rsidRPr="0051032A" w:rsidRDefault="00260B6D" w:rsidP="0051032A">
      <w:pPr>
        <w:rPr>
          <w:rFonts w:eastAsia="SimSun"/>
        </w:rPr>
      </w:pPr>
      <w:r w:rsidRPr="0051032A">
        <w:rPr>
          <w:rFonts w:eastAsia="SimSun"/>
        </w:rPr>
        <w:t xml:space="preserve">      gamma_3[</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input[[s]][l,"gamma_3_t",g]</w:t>
      </w:r>
    </w:p>
    <w:p w14:paraId="064394FB" w14:textId="77777777" w:rsidR="00260B6D" w:rsidRPr="0051032A" w:rsidRDefault="00260B6D" w:rsidP="0051032A">
      <w:pPr>
        <w:rPr>
          <w:rFonts w:eastAsia="SimSun"/>
        </w:rPr>
      </w:pPr>
      <w:r w:rsidRPr="0051032A">
        <w:rPr>
          <w:rFonts w:eastAsia="SimSun"/>
        </w:rPr>
        <w:t xml:space="preserve">      gamma_4[</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input[[s]][l,"gamma_4_t",g]</w:t>
      </w:r>
    </w:p>
    <w:p w14:paraId="69B70BBE" w14:textId="77777777" w:rsidR="00260B6D" w:rsidRPr="0051032A" w:rsidRDefault="00260B6D" w:rsidP="0051032A">
      <w:pPr>
        <w:rPr>
          <w:rFonts w:eastAsia="SimSun"/>
        </w:rPr>
      </w:pPr>
      <w:r w:rsidRPr="0051032A">
        <w:rPr>
          <w:rFonts w:eastAsia="SimSun"/>
        </w:rPr>
        <w:t xml:space="preserve">      gamma_5[</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input[[s]][l,"gamma_5_t",g]</w:t>
      </w:r>
    </w:p>
    <w:p w14:paraId="2E4A5875" w14:textId="77777777" w:rsidR="00260B6D" w:rsidRPr="0051032A" w:rsidRDefault="00260B6D" w:rsidP="0051032A">
      <w:pPr>
        <w:rPr>
          <w:rFonts w:eastAsia="SimSun"/>
        </w:rPr>
      </w:pPr>
      <w:r w:rsidRPr="0051032A">
        <w:rPr>
          <w:rFonts w:eastAsia="SimSun"/>
        </w:rPr>
        <w:t xml:space="preserve">      gamma_6[</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input[[s]][l,"gamma_6_t",g]</w:t>
      </w:r>
    </w:p>
    <w:p w14:paraId="75305193" w14:textId="77777777" w:rsidR="00260B6D" w:rsidRPr="0051032A" w:rsidRDefault="00260B6D" w:rsidP="0051032A">
      <w:pPr>
        <w:rPr>
          <w:rFonts w:eastAsia="SimSun"/>
        </w:rPr>
      </w:pPr>
      <w:r w:rsidRPr="0051032A">
        <w:rPr>
          <w:rFonts w:eastAsia="SimSun"/>
        </w:rPr>
        <w:t xml:space="preserve">      gamma_7[</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input[[s]][l,"gamma_7_t",g]</w:t>
      </w:r>
    </w:p>
    <w:p w14:paraId="59B662C5" w14:textId="77777777" w:rsidR="00260B6D" w:rsidRPr="0051032A" w:rsidRDefault="00260B6D" w:rsidP="0051032A">
      <w:pPr>
        <w:rPr>
          <w:rFonts w:eastAsia="SimSun"/>
        </w:rPr>
      </w:pPr>
      <w:r w:rsidRPr="0051032A">
        <w:rPr>
          <w:rFonts w:eastAsia="SimSun"/>
        </w:rPr>
        <w:t xml:space="preserve">      gamma_8[</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input[[s]][l,"gamma_8_t",g]</w:t>
      </w:r>
    </w:p>
    <w:p w14:paraId="44F80ED6" w14:textId="77777777" w:rsidR="00260B6D" w:rsidRPr="0051032A" w:rsidRDefault="00260B6D" w:rsidP="0051032A">
      <w:pPr>
        <w:rPr>
          <w:rFonts w:eastAsia="SimSun"/>
        </w:rPr>
      </w:pPr>
      <w:r w:rsidRPr="0051032A">
        <w:rPr>
          <w:rFonts w:eastAsia="SimSun"/>
        </w:rPr>
        <w:t xml:space="preserve">      gamma_9[</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input[[s]][l,"gamma_9_t",g]</w:t>
      </w:r>
    </w:p>
    <w:p w14:paraId="7B5DF776" w14:textId="77777777" w:rsidR="00260B6D" w:rsidRPr="0051032A" w:rsidRDefault="00260B6D" w:rsidP="0051032A">
      <w:pPr>
        <w:rPr>
          <w:rFonts w:eastAsia="SimSun"/>
        </w:rPr>
      </w:pPr>
      <w:r w:rsidRPr="0051032A">
        <w:rPr>
          <w:rFonts w:eastAsia="SimSun"/>
        </w:rPr>
        <w:t xml:space="preserve">      gamma_10[</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input[[s]][l,"gamma_10_t",g]</w:t>
      </w:r>
    </w:p>
    <w:p w14:paraId="5EEB7442" w14:textId="77777777" w:rsidR="00260B6D" w:rsidRPr="0051032A" w:rsidRDefault="00260B6D" w:rsidP="0051032A">
      <w:pPr>
        <w:rPr>
          <w:rFonts w:eastAsia="SimSun"/>
        </w:rPr>
      </w:pPr>
      <w:r w:rsidRPr="0051032A">
        <w:rPr>
          <w:rFonts w:eastAsia="SimSun"/>
        </w:rPr>
        <w:t xml:space="preserve">      gamma_11[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input[[s]][l,"gamma_11_t",g]</w:t>
      </w:r>
    </w:p>
    <w:p w14:paraId="09D7F4B3" w14:textId="77777777" w:rsidR="00260B6D" w:rsidRPr="0051032A" w:rsidRDefault="00260B6D" w:rsidP="0051032A">
      <w:pPr>
        <w:rPr>
          <w:rFonts w:eastAsia="SimSun"/>
        </w:rPr>
      </w:pPr>
      <w:r w:rsidRPr="0051032A">
        <w:rPr>
          <w:rFonts w:eastAsia="SimSun"/>
        </w:rPr>
        <w:t xml:space="preserve">      gamma_12[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input[[s]][l,"gamma_12_t",g]</w:t>
      </w:r>
    </w:p>
    <w:p w14:paraId="3CD34002" w14:textId="77777777" w:rsidR="00260B6D" w:rsidRPr="0051032A" w:rsidRDefault="00260B6D" w:rsidP="0051032A">
      <w:pPr>
        <w:rPr>
          <w:rFonts w:eastAsia="SimSun"/>
        </w:rPr>
      </w:pPr>
      <w:r w:rsidRPr="0051032A">
        <w:rPr>
          <w:rFonts w:eastAsia="SimSun"/>
        </w:rPr>
        <w:t xml:space="preserve">      </w:t>
      </w:r>
    </w:p>
    <w:p w14:paraId="0F4B636C" w14:textId="77777777" w:rsidR="00260B6D" w:rsidRPr="0051032A" w:rsidRDefault="00260B6D" w:rsidP="0051032A">
      <w:pPr>
        <w:rPr>
          <w:rFonts w:eastAsia="SimSun"/>
        </w:rPr>
      </w:pPr>
      <w:r w:rsidRPr="0051032A">
        <w:rPr>
          <w:rFonts w:eastAsia="SimSun"/>
        </w:rPr>
        <w:t xml:space="preserve">      # Monthly probability of individuals returning to ART from compartment X16</w:t>
      </w:r>
    </w:p>
    <w:p w14:paraId="5A31DFC7" w14:textId="77777777" w:rsidR="00260B6D" w:rsidRPr="0051032A" w:rsidRDefault="00260B6D" w:rsidP="0051032A">
      <w:pPr>
        <w:rPr>
          <w:rFonts w:eastAsia="SimSun"/>
        </w:rPr>
      </w:pPr>
      <w:r w:rsidRPr="0051032A">
        <w:rPr>
          <w:rFonts w:eastAsia="SimSun"/>
        </w:rPr>
        <w:t xml:space="preserve">      tau_1[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input[[s]][l,"tau_1_t",g]</w:t>
      </w:r>
    </w:p>
    <w:p w14:paraId="4662C250" w14:textId="77777777" w:rsidR="00260B6D" w:rsidRPr="0051032A" w:rsidRDefault="00260B6D" w:rsidP="0051032A">
      <w:pPr>
        <w:rPr>
          <w:rFonts w:eastAsia="SimSun"/>
        </w:rPr>
      </w:pPr>
      <w:r w:rsidRPr="0051032A">
        <w:rPr>
          <w:rFonts w:eastAsia="SimSun"/>
        </w:rPr>
        <w:t xml:space="preserve">      </w:t>
      </w:r>
    </w:p>
    <w:p w14:paraId="55C55BEA" w14:textId="77777777" w:rsidR="00260B6D" w:rsidRPr="0051032A" w:rsidRDefault="00260B6D" w:rsidP="0051032A">
      <w:pPr>
        <w:rPr>
          <w:rFonts w:eastAsia="SimSun"/>
        </w:rPr>
      </w:pPr>
      <w:r w:rsidRPr="0051032A">
        <w:rPr>
          <w:rFonts w:eastAsia="SimSun"/>
        </w:rPr>
        <w:t xml:space="preserve">      # Monthly probability of being on ART and viral </w:t>
      </w:r>
      <w:proofErr w:type="spellStart"/>
      <w:r w:rsidRPr="0051032A">
        <w:rPr>
          <w:rFonts w:eastAsia="SimSun"/>
        </w:rPr>
        <w:t>suprressed</w:t>
      </w:r>
      <w:proofErr w:type="spellEnd"/>
      <w:r w:rsidRPr="0051032A">
        <w:rPr>
          <w:rFonts w:eastAsia="SimSun"/>
        </w:rPr>
        <w:t xml:space="preserve"> from compartments X9 — X12</w:t>
      </w:r>
    </w:p>
    <w:p w14:paraId="0F640C95" w14:textId="77777777" w:rsidR="00260B6D" w:rsidRPr="0051032A" w:rsidRDefault="00260B6D" w:rsidP="0051032A">
      <w:pPr>
        <w:rPr>
          <w:rFonts w:eastAsia="SimSun"/>
        </w:rPr>
      </w:pPr>
      <w:r w:rsidRPr="0051032A">
        <w:rPr>
          <w:rFonts w:eastAsia="SimSun"/>
        </w:rPr>
        <w:lastRenderedPageBreak/>
        <w:t xml:space="preserve">      theta_1_lb[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input[[s]][l,"theta_1_lb",g]</w:t>
      </w:r>
    </w:p>
    <w:p w14:paraId="0C436B2D" w14:textId="77777777" w:rsidR="00260B6D" w:rsidRPr="0051032A" w:rsidRDefault="00260B6D" w:rsidP="0051032A">
      <w:pPr>
        <w:rPr>
          <w:rFonts w:eastAsia="SimSun"/>
        </w:rPr>
      </w:pPr>
      <w:r w:rsidRPr="0051032A">
        <w:rPr>
          <w:rFonts w:eastAsia="SimSun"/>
        </w:rPr>
        <w:t xml:space="preserve">      theta_1_ub[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input[[s]][l,"theta_1_ub",g]</w:t>
      </w:r>
    </w:p>
    <w:p w14:paraId="117355EC" w14:textId="77777777" w:rsidR="00260B6D" w:rsidRPr="0051032A" w:rsidRDefault="00260B6D" w:rsidP="0051032A">
      <w:pPr>
        <w:rPr>
          <w:rFonts w:eastAsia="SimSun"/>
        </w:rPr>
      </w:pPr>
      <w:r w:rsidRPr="0051032A">
        <w:rPr>
          <w:rFonts w:eastAsia="SimSun"/>
        </w:rPr>
        <w:t xml:space="preserve">      theta_2_lb[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input[[s]][l,"theta_2_lb",g]</w:t>
      </w:r>
    </w:p>
    <w:p w14:paraId="10B3F789" w14:textId="77777777" w:rsidR="00260B6D" w:rsidRPr="0051032A" w:rsidRDefault="00260B6D" w:rsidP="0051032A">
      <w:pPr>
        <w:rPr>
          <w:rFonts w:eastAsia="SimSun"/>
        </w:rPr>
      </w:pPr>
      <w:r w:rsidRPr="0051032A">
        <w:rPr>
          <w:rFonts w:eastAsia="SimSun"/>
        </w:rPr>
        <w:t xml:space="preserve">      theta_2_ub[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input[[s]][l,"theta_2_ub",g]</w:t>
      </w:r>
    </w:p>
    <w:p w14:paraId="632BEA1B" w14:textId="77777777" w:rsidR="00260B6D" w:rsidRPr="0051032A" w:rsidRDefault="00260B6D" w:rsidP="0051032A">
      <w:pPr>
        <w:rPr>
          <w:rFonts w:eastAsia="SimSun"/>
        </w:rPr>
      </w:pPr>
      <w:r w:rsidRPr="0051032A">
        <w:rPr>
          <w:rFonts w:eastAsia="SimSun"/>
        </w:rPr>
        <w:t xml:space="preserve">      theta_3_lb[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input[[s]][l,"theta_3_lb",g]</w:t>
      </w:r>
    </w:p>
    <w:p w14:paraId="26C0F583" w14:textId="77777777" w:rsidR="00260B6D" w:rsidRPr="0051032A" w:rsidRDefault="00260B6D" w:rsidP="0051032A">
      <w:pPr>
        <w:rPr>
          <w:rFonts w:eastAsia="SimSun"/>
        </w:rPr>
      </w:pPr>
      <w:r w:rsidRPr="0051032A">
        <w:rPr>
          <w:rFonts w:eastAsia="SimSun"/>
        </w:rPr>
        <w:t xml:space="preserve">      theta_3_ub[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input[[s]][l,"theta_3_ub",g]</w:t>
      </w:r>
    </w:p>
    <w:p w14:paraId="5397650D" w14:textId="77777777" w:rsidR="00260B6D" w:rsidRPr="0051032A" w:rsidRDefault="00260B6D" w:rsidP="0051032A">
      <w:pPr>
        <w:rPr>
          <w:rFonts w:eastAsia="SimSun"/>
        </w:rPr>
      </w:pPr>
      <w:r w:rsidRPr="0051032A">
        <w:rPr>
          <w:rFonts w:eastAsia="SimSun"/>
        </w:rPr>
        <w:t xml:space="preserve">      theta_4_lb[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input[[s]][l,"theta_4_lb",g]</w:t>
      </w:r>
    </w:p>
    <w:p w14:paraId="720C81FB" w14:textId="77777777" w:rsidR="00260B6D" w:rsidRPr="0051032A" w:rsidRDefault="00260B6D" w:rsidP="0051032A">
      <w:pPr>
        <w:rPr>
          <w:rFonts w:eastAsia="SimSun"/>
        </w:rPr>
      </w:pPr>
      <w:r w:rsidRPr="0051032A">
        <w:rPr>
          <w:rFonts w:eastAsia="SimSun"/>
        </w:rPr>
        <w:t xml:space="preserve">      theta_4_ub[</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input[[s]][l,"theta_4_ub",g]</w:t>
      </w:r>
    </w:p>
    <w:p w14:paraId="64E3675A" w14:textId="77777777" w:rsidR="00260B6D" w:rsidRPr="0051032A" w:rsidRDefault="00260B6D" w:rsidP="0051032A">
      <w:pPr>
        <w:rPr>
          <w:rFonts w:eastAsia="SimSun"/>
        </w:rPr>
      </w:pPr>
      <w:r w:rsidRPr="0051032A">
        <w:rPr>
          <w:rFonts w:eastAsia="SimSun"/>
        </w:rPr>
        <w:t xml:space="preserve">      if (g==input[[s</w:t>
      </w:r>
      <w:proofErr w:type="gramStart"/>
      <w:r w:rsidRPr="0051032A">
        <w:rPr>
          <w:rFonts w:eastAsia="SimSun"/>
        </w:rPr>
        <w:t>]][</w:t>
      </w:r>
      <w:proofErr w:type="spellStart"/>
      <w:proofErr w:type="gramEnd"/>
      <w:r w:rsidRPr="0051032A">
        <w:rPr>
          <w:rFonts w:eastAsia="SimSun"/>
        </w:rPr>
        <w:t>l,"generation</w:t>
      </w:r>
      <w:proofErr w:type="spellEnd"/>
      <w:r w:rsidRPr="0051032A">
        <w:rPr>
          <w:rFonts w:eastAsia="SimSun"/>
        </w:rPr>
        <w:t>"] &amp; (input[[s]][</w:t>
      </w:r>
      <w:proofErr w:type="spellStart"/>
      <w:r w:rsidRPr="0051032A">
        <w:rPr>
          <w:rFonts w:eastAsia="SimSun"/>
        </w:rPr>
        <w:t>l,"year</w:t>
      </w:r>
      <w:proofErr w:type="spellEnd"/>
      <w:r w:rsidRPr="0051032A">
        <w:rPr>
          <w:rFonts w:eastAsia="SimSun"/>
        </w:rPr>
        <w:t>"]==2008 | input[[s]][</w:t>
      </w:r>
      <w:proofErr w:type="spellStart"/>
      <w:r w:rsidRPr="0051032A">
        <w:rPr>
          <w:rFonts w:eastAsia="SimSun"/>
        </w:rPr>
        <w:t>l,"year</w:t>
      </w:r>
      <w:proofErr w:type="spellEnd"/>
      <w:r w:rsidRPr="0051032A">
        <w:rPr>
          <w:rFonts w:eastAsia="SimSun"/>
        </w:rPr>
        <w:t>"]==2014 | input[[s]][</w:t>
      </w:r>
      <w:proofErr w:type="spellStart"/>
      <w:r w:rsidRPr="0051032A">
        <w:rPr>
          <w:rFonts w:eastAsia="SimSun"/>
        </w:rPr>
        <w:t>l,"year</w:t>
      </w:r>
      <w:proofErr w:type="spellEnd"/>
      <w:r w:rsidRPr="0051032A">
        <w:rPr>
          <w:rFonts w:eastAsia="SimSun"/>
        </w:rPr>
        <w:t>"]==2016))</w:t>
      </w:r>
    </w:p>
    <w:p w14:paraId="0300DA90" w14:textId="77777777" w:rsidR="00260B6D" w:rsidRPr="0051032A" w:rsidRDefault="00260B6D" w:rsidP="0051032A">
      <w:pPr>
        <w:rPr>
          <w:rFonts w:eastAsia="SimSun"/>
        </w:rPr>
      </w:pPr>
      <w:r w:rsidRPr="0051032A">
        <w:rPr>
          <w:rFonts w:eastAsia="SimSun"/>
        </w:rPr>
        <w:t xml:space="preserve">      {</w:t>
      </w:r>
    </w:p>
    <w:p w14:paraId="52CD8B3F" w14:textId="77777777" w:rsidR="00260B6D" w:rsidRPr="0051032A" w:rsidRDefault="00260B6D" w:rsidP="0051032A">
      <w:pPr>
        <w:rPr>
          <w:rFonts w:eastAsia="SimSun"/>
        </w:rPr>
      </w:pPr>
      <w:r w:rsidRPr="0051032A">
        <w:rPr>
          <w:rFonts w:eastAsia="SimSun"/>
        </w:rPr>
        <w:t xml:space="preserve">        # </w:t>
      </w:r>
      <w:proofErr w:type="gramStart"/>
      <w:r w:rsidRPr="0051032A">
        <w:rPr>
          <w:rFonts w:eastAsia="SimSun"/>
        </w:rPr>
        <w:t>generate</w:t>
      </w:r>
      <w:proofErr w:type="gramEnd"/>
      <w:r w:rsidRPr="0051032A">
        <w:rPr>
          <w:rFonts w:eastAsia="SimSun"/>
        </w:rPr>
        <w:t xml:space="preserve"> random parameter estimates from beta distribution in year 2010 and 2015, which will apply for later years</w:t>
      </w:r>
    </w:p>
    <w:p w14:paraId="3263CDED" w14:textId="77777777" w:rsidR="00260B6D" w:rsidRPr="0051032A" w:rsidRDefault="00260B6D" w:rsidP="0051032A">
      <w:pPr>
        <w:rPr>
          <w:rFonts w:eastAsia="SimSun"/>
        </w:rPr>
      </w:pPr>
      <w:r w:rsidRPr="0051032A">
        <w:rPr>
          <w:rFonts w:eastAsia="SimSun"/>
        </w:rPr>
        <w:t xml:space="preserve">        mediate_theta1 &lt;- </w:t>
      </w:r>
      <w:proofErr w:type="spellStart"/>
      <w:r w:rsidRPr="0051032A">
        <w:rPr>
          <w:rFonts w:eastAsia="SimSun"/>
        </w:rPr>
        <w:t>runif</w:t>
      </w:r>
      <w:proofErr w:type="spellEnd"/>
      <w:r w:rsidRPr="0051032A">
        <w:rPr>
          <w:rFonts w:eastAsia="SimSun"/>
        </w:rPr>
        <w:t>(</w:t>
      </w:r>
      <w:proofErr w:type="gramStart"/>
      <w:r w:rsidRPr="0051032A">
        <w:rPr>
          <w:rFonts w:eastAsia="SimSun"/>
        </w:rPr>
        <w:t>1,theta</w:t>
      </w:r>
      <w:proofErr w:type="gramEnd"/>
      <w:r w:rsidRPr="0051032A">
        <w:rPr>
          <w:rFonts w:eastAsia="SimSun"/>
        </w:rPr>
        <w:t>_1_lb[</w:t>
      </w:r>
      <w:proofErr w:type="spellStart"/>
      <w:r w:rsidRPr="0051032A">
        <w:rPr>
          <w:rFonts w:eastAsia="SimSun"/>
        </w:rPr>
        <w:t>t,s,g</w:t>
      </w:r>
      <w:proofErr w:type="spellEnd"/>
      <w:r w:rsidRPr="0051032A">
        <w:rPr>
          <w:rFonts w:eastAsia="SimSun"/>
        </w:rPr>
        <w:t>],theta_1_ub[</w:t>
      </w:r>
      <w:proofErr w:type="spellStart"/>
      <w:r w:rsidRPr="0051032A">
        <w:rPr>
          <w:rFonts w:eastAsia="SimSun"/>
        </w:rPr>
        <w:t>t,s,g</w:t>
      </w:r>
      <w:proofErr w:type="spellEnd"/>
      <w:r w:rsidRPr="0051032A">
        <w:rPr>
          <w:rFonts w:eastAsia="SimSun"/>
        </w:rPr>
        <w:t>])</w:t>
      </w:r>
    </w:p>
    <w:p w14:paraId="39DFC601" w14:textId="77777777" w:rsidR="00260B6D" w:rsidRPr="0051032A" w:rsidRDefault="00260B6D" w:rsidP="0051032A">
      <w:pPr>
        <w:rPr>
          <w:rFonts w:eastAsia="SimSun"/>
        </w:rPr>
      </w:pPr>
      <w:r w:rsidRPr="0051032A">
        <w:rPr>
          <w:rFonts w:eastAsia="SimSun"/>
        </w:rPr>
        <w:t xml:space="preserve">        mediate_theta2 &lt;- </w:t>
      </w:r>
      <w:proofErr w:type="spellStart"/>
      <w:r w:rsidRPr="0051032A">
        <w:rPr>
          <w:rFonts w:eastAsia="SimSun"/>
        </w:rPr>
        <w:t>runif</w:t>
      </w:r>
      <w:proofErr w:type="spellEnd"/>
      <w:r w:rsidRPr="0051032A">
        <w:rPr>
          <w:rFonts w:eastAsia="SimSun"/>
        </w:rPr>
        <w:t>(</w:t>
      </w:r>
      <w:proofErr w:type="gramStart"/>
      <w:r w:rsidRPr="0051032A">
        <w:rPr>
          <w:rFonts w:eastAsia="SimSun"/>
        </w:rPr>
        <w:t>1,theta</w:t>
      </w:r>
      <w:proofErr w:type="gramEnd"/>
      <w:r w:rsidRPr="0051032A">
        <w:rPr>
          <w:rFonts w:eastAsia="SimSun"/>
        </w:rPr>
        <w:t>_2_lb[</w:t>
      </w:r>
      <w:proofErr w:type="spellStart"/>
      <w:r w:rsidRPr="0051032A">
        <w:rPr>
          <w:rFonts w:eastAsia="SimSun"/>
        </w:rPr>
        <w:t>t,s,g</w:t>
      </w:r>
      <w:proofErr w:type="spellEnd"/>
      <w:r w:rsidRPr="0051032A">
        <w:rPr>
          <w:rFonts w:eastAsia="SimSun"/>
        </w:rPr>
        <w:t>],theta_2_ub[</w:t>
      </w:r>
      <w:proofErr w:type="spellStart"/>
      <w:r w:rsidRPr="0051032A">
        <w:rPr>
          <w:rFonts w:eastAsia="SimSun"/>
        </w:rPr>
        <w:t>t,s,g</w:t>
      </w:r>
      <w:proofErr w:type="spellEnd"/>
      <w:r w:rsidRPr="0051032A">
        <w:rPr>
          <w:rFonts w:eastAsia="SimSun"/>
        </w:rPr>
        <w:t>])</w:t>
      </w:r>
    </w:p>
    <w:p w14:paraId="58BBE416" w14:textId="77777777" w:rsidR="00260B6D" w:rsidRPr="0051032A" w:rsidRDefault="00260B6D" w:rsidP="0051032A">
      <w:pPr>
        <w:rPr>
          <w:rFonts w:eastAsia="SimSun"/>
        </w:rPr>
      </w:pPr>
      <w:r w:rsidRPr="0051032A">
        <w:rPr>
          <w:rFonts w:eastAsia="SimSun"/>
        </w:rPr>
        <w:t xml:space="preserve">        mediate_theta3 &lt;- </w:t>
      </w:r>
      <w:proofErr w:type="spellStart"/>
      <w:r w:rsidRPr="0051032A">
        <w:rPr>
          <w:rFonts w:eastAsia="SimSun"/>
        </w:rPr>
        <w:t>runif</w:t>
      </w:r>
      <w:proofErr w:type="spellEnd"/>
      <w:r w:rsidRPr="0051032A">
        <w:rPr>
          <w:rFonts w:eastAsia="SimSun"/>
        </w:rPr>
        <w:t>(</w:t>
      </w:r>
      <w:proofErr w:type="gramStart"/>
      <w:r w:rsidRPr="0051032A">
        <w:rPr>
          <w:rFonts w:eastAsia="SimSun"/>
        </w:rPr>
        <w:t>1,theta</w:t>
      </w:r>
      <w:proofErr w:type="gramEnd"/>
      <w:r w:rsidRPr="0051032A">
        <w:rPr>
          <w:rFonts w:eastAsia="SimSun"/>
        </w:rPr>
        <w:t>_3_lb[</w:t>
      </w:r>
      <w:proofErr w:type="spellStart"/>
      <w:r w:rsidRPr="0051032A">
        <w:rPr>
          <w:rFonts w:eastAsia="SimSun"/>
        </w:rPr>
        <w:t>t,s,g</w:t>
      </w:r>
      <w:proofErr w:type="spellEnd"/>
      <w:r w:rsidRPr="0051032A">
        <w:rPr>
          <w:rFonts w:eastAsia="SimSun"/>
        </w:rPr>
        <w:t>],theta_3_ub[</w:t>
      </w:r>
      <w:proofErr w:type="spellStart"/>
      <w:r w:rsidRPr="0051032A">
        <w:rPr>
          <w:rFonts w:eastAsia="SimSun"/>
        </w:rPr>
        <w:t>t,s,g</w:t>
      </w:r>
      <w:proofErr w:type="spellEnd"/>
      <w:r w:rsidRPr="0051032A">
        <w:rPr>
          <w:rFonts w:eastAsia="SimSun"/>
        </w:rPr>
        <w:t>])</w:t>
      </w:r>
    </w:p>
    <w:p w14:paraId="3B2A0406" w14:textId="77777777" w:rsidR="00260B6D" w:rsidRPr="0051032A" w:rsidRDefault="00260B6D" w:rsidP="0051032A">
      <w:pPr>
        <w:rPr>
          <w:rFonts w:eastAsia="SimSun"/>
        </w:rPr>
      </w:pPr>
      <w:r w:rsidRPr="0051032A">
        <w:rPr>
          <w:rFonts w:eastAsia="SimSun"/>
        </w:rPr>
        <w:t xml:space="preserve">        mediate_theta4 &lt;- </w:t>
      </w:r>
      <w:proofErr w:type="spellStart"/>
      <w:r w:rsidRPr="0051032A">
        <w:rPr>
          <w:rFonts w:eastAsia="SimSun"/>
        </w:rPr>
        <w:t>runif</w:t>
      </w:r>
      <w:proofErr w:type="spellEnd"/>
      <w:r w:rsidRPr="0051032A">
        <w:rPr>
          <w:rFonts w:eastAsia="SimSun"/>
        </w:rPr>
        <w:t>(</w:t>
      </w:r>
      <w:proofErr w:type="gramStart"/>
      <w:r w:rsidRPr="0051032A">
        <w:rPr>
          <w:rFonts w:eastAsia="SimSun"/>
        </w:rPr>
        <w:t>1,theta</w:t>
      </w:r>
      <w:proofErr w:type="gramEnd"/>
      <w:r w:rsidRPr="0051032A">
        <w:rPr>
          <w:rFonts w:eastAsia="SimSun"/>
        </w:rPr>
        <w:t>_4_lb[</w:t>
      </w:r>
      <w:proofErr w:type="spellStart"/>
      <w:r w:rsidRPr="0051032A">
        <w:rPr>
          <w:rFonts w:eastAsia="SimSun"/>
        </w:rPr>
        <w:t>t,s,g</w:t>
      </w:r>
      <w:proofErr w:type="spellEnd"/>
      <w:r w:rsidRPr="0051032A">
        <w:rPr>
          <w:rFonts w:eastAsia="SimSun"/>
        </w:rPr>
        <w:t>],theta_4_ub[</w:t>
      </w:r>
      <w:proofErr w:type="spellStart"/>
      <w:r w:rsidRPr="0051032A">
        <w:rPr>
          <w:rFonts w:eastAsia="SimSun"/>
        </w:rPr>
        <w:t>t,s,g</w:t>
      </w:r>
      <w:proofErr w:type="spellEnd"/>
      <w:r w:rsidRPr="0051032A">
        <w:rPr>
          <w:rFonts w:eastAsia="SimSun"/>
        </w:rPr>
        <w:t>])</w:t>
      </w:r>
    </w:p>
    <w:p w14:paraId="55E92076" w14:textId="77777777" w:rsidR="00260B6D" w:rsidRPr="0051032A" w:rsidRDefault="00260B6D" w:rsidP="0051032A">
      <w:pPr>
        <w:rPr>
          <w:rFonts w:eastAsia="SimSun"/>
        </w:rPr>
      </w:pPr>
      <w:r w:rsidRPr="0051032A">
        <w:rPr>
          <w:rFonts w:eastAsia="SimSun"/>
        </w:rPr>
        <w:t xml:space="preserve">      }</w:t>
      </w:r>
    </w:p>
    <w:p w14:paraId="6B8F373D" w14:textId="77777777" w:rsidR="00260B6D" w:rsidRPr="0051032A" w:rsidRDefault="00260B6D" w:rsidP="0051032A">
      <w:pPr>
        <w:rPr>
          <w:rFonts w:eastAsia="SimSun"/>
        </w:rPr>
      </w:pPr>
      <w:r w:rsidRPr="0051032A">
        <w:rPr>
          <w:rFonts w:eastAsia="SimSun"/>
        </w:rPr>
        <w:t xml:space="preserve">      theta_1[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mediate_theta1</w:t>
      </w:r>
    </w:p>
    <w:p w14:paraId="70472055" w14:textId="77777777" w:rsidR="00260B6D" w:rsidRPr="0051032A" w:rsidRDefault="00260B6D" w:rsidP="0051032A">
      <w:pPr>
        <w:rPr>
          <w:rFonts w:eastAsia="SimSun"/>
        </w:rPr>
      </w:pPr>
      <w:r w:rsidRPr="0051032A">
        <w:rPr>
          <w:rFonts w:eastAsia="SimSun"/>
        </w:rPr>
        <w:t xml:space="preserve">      theta_2[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mediate_theta2</w:t>
      </w:r>
    </w:p>
    <w:p w14:paraId="73B062C6" w14:textId="77777777" w:rsidR="00260B6D" w:rsidRPr="0051032A" w:rsidRDefault="00260B6D" w:rsidP="0051032A">
      <w:pPr>
        <w:rPr>
          <w:rFonts w:eastAsia="SimSun"/>
        </w:rPr>
      </w:pPr>
      <w:r w:rsidRPr="0051032A">
        <w:rPr>
          <w:rFonts w:eastAsia="SimSun"/>
        </w:rPr>
        <w:t xml:space="preserve">      theta_3[</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mediate_theta3</w:t>
      </w:r>
    </w:p>
    <w:p w14:paraId="50CA368C" w14:textId="77777777" w:rsidR="00260B6D" w:rsidRPr="0051032A" w:rsidRDefault="00260B6D" w:rsidP="0051032A">
      <w:pPr>
        <w:rPr>
          <w:rFonts w:eastAsia="SimSun"/>
        </w:rPr>
      </w:pPr>
      <w:r w:rsidRPr="0051032A">
        <w:rPr>
          <w:rFonts w:eastAsia="SimSun"/>
        </w:rPr>
        <w:t xml:space="preserve">      theta_4[</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mediate_theta4</w:t>
      </w:r>
    </w:p>
    <w:p w14:paraId="789B72FF" w14:textId="77777777" w:rsidR="00260B6D" w:rsidRPr="0051032A" w:rsidRDefault="00260B6D" w:rsidP="0051032A">
      <w:pPr>
        <w:rPr>
          <w:rFonts w:eastAsia="SimSun"/>
        </w:rPr>
      </w:pPr>
      <w:r w:rsidRPr="0051032A">
        <w:rPr>
          <w:rFonts w:eastAsia="SimSun"/>
        </w:rPr>
        <w:t xml:space="preserve">      </w:t>
      </w:r>
    </w:p>
    <w:p w14:paraId="7E978E2E" w14:textId="77777777" w:rsidR="00260B6D" w:rsidRPr="0051032A" w:rsidRDefault="00260B6D" w:rsidP="0051032A">
      <w:pPr>
        <w:rPr>
          <w:rFonts w:eastAsia="SimSun"/>
        </w:rPr>
      </w:pPr>
      <w:r w:rsidRPr="0051032A">
        <w:rPr>
          <w:rFonts w:eastAsia="SimSun"/>
        </w:rPr>
        <w:t xml:space="preserve">      # Monthly probability of being on ART and not viral suppressed from compartments X17 — X20</w:t>
      </w:r>
    </w:p>
    <w:p w14:paraId="17366A22" w14:textId="77777777" w:rsidR="00260B6D" w:rsidRPr="0051032A" w:rsidRDefault="00260B6D" w:rsidP="0051032A">
      <w:pPr>
        <w:rPr>
          <w:rFonts w:eastAsia="SimSun"/>
        </w:rPr>
      </w:pPr>
      <w:r w:rsidRPr="0051032A">
        <w:rPr>
          <w:rFonts w:eastAsia="SimSun"/>
        </w:rPr>
        <w:t xml:space="preserve">      psi_1[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input[[s]][l,"psi_1_t",g]</w:t>
      </w:r>
    </w:p>
    <w:p w14:paraId="1D9251BA" w14:textId="77777777" w:rsidR="00260B6D" w:rsidRPr="0051032A" w:rsidRDefault="00260B6D" w:rsidP="0051032A">
      <w:pPr>
        <w:rPr>
          <w:rFonts w:eastAsia="SimSun"/>
        </w:rPr>
      </w:pPr>
      <w:r w:rsidRPr="0051032A">
        <w:rPr>
          <w:rFonts w:eastAsia="SimSun"/>
        </w:rPr>
        <w:t xml:space="preserve">      psi_2[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input[[s]][l,"psi_2_t",g]</w:t>
      </w:r>
    </w:p>
    <w:p w14:paraId="115608F7" w14:textId="77777777" w:rsidR="00260B6D" w:rsidRPr="0051032A" w:rsidRDefault="00260B6D" w:rsidP="0051032A">
      <w:pPr>
        <w:rPr>
          <w:rFonts w:eastAsia="SimSun"/>
        </w:rPr>
      </w:pPr>
      <w:r w:rsidRPr="0051032A">
        <w:rPr>
          <w:rFonts w:eastAsia="SimSun"/>
        </w:rPr>
        <w:t xml:space="preserve">      psi_3[</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input[[s]][l,"psi_3_t",g]</w:t>
      </w:r>
    </w:p>
    <w:p w14:paraId="2CA2AEA5" w14:textId="77777777" w:rsidR="00260B6D" w:rsidRPr="0051032A" w:rsidRDefault="00260B6D" w:rsidP="0051032A">
      <w:pPr>
        <w:rPr>
          <w:rFonts w:eastAsia="SimSun"/>
        </w:rPr>
      </w:pPr>
      <w:r w:rsidRPr="0051032A">
        <w:rPr>
          <w:rFonts w:eastAsia="SimSun"/>
        </w:rPr>
        <w:t xml:space="preserve">      psi_4[</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input[[s]][l,"psi_4_t",g]</w:t>
      </w:r>
    </w:p>
    <w:p w14:paraId="7812AB48" w14:textId="77777777" w:rsidR="00260B6D" w:rsidRPr="0051032A" w:rsidRDefault="00260B6D" w:rsidP="0051032A">
      <w:pPr>
        <w:rPr>
          <w:rFonts w:eastAsia="SimSun"/>
        </w:rPr>
      </w:pPr>
      <w:r w:rsidRPr="0051032A">
        <w:rPr>
          <w:rFonts w:eastAsia="SimSun"/>
        </w:rPr>
        <w:t xml:space="preserve">      </w:t>
      </w:r>
    </w:p>
    <w:p w14:paraId="7F41E3F6" w14:textId="77777777" w:rsidR="00260B6D" w:rsidRPr="0051032A" w:rsidRDefault="00260B6D" w:rsidP="0051032A">
      <w:pPr>
        <w:rPr>
          <w:rFonts w:eastAsia="SimSun"/>
        </w:rPr>
      </w:pPr>
      <w:r w:rsidRPr="0051032A">
        <w:rPr>
          <w:rFonts w:eastAsia="SimSun"/>
        </w:rPr>
        <w:t xml:space="preserve">      # Multiplier applied to compartments for linkage to care for mortality rate reduction</w:t>
      </w:r>
    </w:p>
    <w:p w14:paraId="1DD3497C"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m_mu</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l,"m_mu_t",g</w:t>
      </w:r>
      <w:proofErr w:type="spellEnd"/>
      <w:r w:rsidRPr="0051032A">
        <w:rPr>
          <w:rFonts w:eastAsia="SimSun"/>
        </w:rPr>
        <w:t>]</w:t>
      </w:r>
    </w:p>
    <w:p w14:paraId="4DB6C9ED" w14:textId="77777777" w:rsidR="00260B6D" w:rsidRPr="0051032A" w:rsidRDefault="00260B6D" w:rsidP="0051032A">
      <w:pPr>
        <w:rPr>
          <w:rFonts w:eastAsia="SimSun"/>
        </w:rPr>
      </w:pPr>
      <w:r w:rsidRPr="0051032A">
        <w:rPr>
          <w:rFonts w:eastAsia="SimSun"/>
        </w:rPr>
        <w:t xml:space="preserve">      </w:t>
      </w:r>
    </w:p>
    <w:p w14:paraId="786D658E" w14:textId="77777777" w:rsidR="00260B6D" w:rsidRPr="0051032A" w:rsidRDefault="00260B6D" w:rsidP="0051032A">
      <w:pPr>
        <w:rPr>
          <w:rFonts w:eastAsia="SimSun"/>
        </w:rPr>
      </w:pPr>
      <w:r w:rsidRPr="0051032A">
        <w:rPr>
          <w:rFonts w:eastAsia="SimSun"/>
        </w:rPr>
        <w:t xml:space="preserve">      # Monthly probability of death from compartments X1 — X24. We assume individuals who are undiagnosed (X1 — X4), diagnosed and not linked to care (X5 — X8), and those lost from care (X13 — X16), experience similar mortality rate in respective compartments.</w:t>
      </w:r>
    </w:p>
    <w:p w14:paraId="17DDFE56" w14:textId="77777777" w:rsidR="00260B6D" w:rsidRPr="0051032A" w:rsidRDefault="00260B6D" w:rsidP="0051032A">
      <w:pPr>
        <w:rPr>
          <w:rFonts w:eastAsia="SimSun"/>
        </w:rPr>
      </w:pPr>
      <w:r w:rsidRPr="0051032A">
        <w:rPr>
          <w:rFonts w:eastAsia="SimSun"/>
        </w:rPr>
        <w:t xml:space="preserve">      mu_1[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input[[s]][l,"mu_1_t",g]</w:t>
      </w:r>
    </w:p>
    <w:p w14:paraId="3A72E58F" w14:textId="77777777" w:rsidR="00260B6D" w:rsidRPr="0051032A" w:rsidRDefault="00260B6D" w:rsidP="0051032A">
      <w:pPr>
        <w:rPr>
          <w:rFonts w:eastAsia="SimSun"/>
        </w:rPr>
      </w:pPr>
      <w:r w:rsidRPr="0051032A">
        <w:rPr>
          <w:rFonts w:eastAsia="SimSun"/>
        </w:rPr>
        <w:t xml:space="preserve">      mu_2[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input[[s]][l,"mu_2_t",g]</w:t>
      </w:r>
    </w:p>
    <w:p w14:paraId="64DD8141" w14:textId="77777777" w:rsidR="00260B6D" w:rsidRPr="0051032A" w:rsidRDefault="00260B6D" w:rsidP="0051032A">
      <w:pPr>
        <w:rPr>
          <w:rFonts w:eastAsia="SimSun"/>
        </w:rPr>
      </w:pPr>
      <w:r w:rsidRPr="0051032A">
        <w:rPr>
          <w:rFonts w:eastAsia="SimSun"/>
        </w:rPr>
        <w:t xml:space="preserve">      mu_3[</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input[[s]][l,"mu_3_t",g]</w:t>
      </w:r>
    </w:p>
    <w:p w14:paraId="20B48071" w14:textId="77777777" w:rsidR="00260B6D" w:rsidRPr="0051032A" w:rsidRDefault="00260B6D" w:rsidP="0051032A">
      <w:pPr>
        <w:rPr>
          <w:rFonts w:eastAsia="SimSun"/>
        </w:rPr>
      </w:pPr>
      <w:r w:rsidRPr="0051032A">
        <w:rPr>
          <w:rFonts w:eastAsia="SimSun"/>
        </w:rPr>
        <w:t xml:space="preserve">      mu_4[</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input[[s]][l,"mu_4_t",g]</w:t>
      </w:r>
    </w:p>
    <w:p w14:paraId="47B0431F" w14:textId="77777777" w:rsidR="00260B6D" w:rsidRPr="0051032A" w:rsidRDefault="00260B6D" w:rsidP="0051032A">
      <w:pPr>
        <w:rPr>
          <w:rFonts w:eastAsia="SimSun"/>
        </w:rPr>
      </w:pPr>
      <w:r w:rsidRPr="0051032A">
        <w:rPr>
          <w:rFonts w:eastAsia="SimSun"/>
        </w:rPr>
        <w:t xml:space="preserve">      mu_5[</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mu_1[</w:t>
      </w:r>
      <w:proofErr w:type="spellStart"/>
      <w:r w:rsidRPr="0051032A">
        <w:rPr>
          <w:rFonts w:eastAsia="SimSun"/>
        </w:rPr>
        <w:t>t,s,g</w:t>
      </w:r>
      <w:proofErr w:type="spellEnd"/>
      <w:r w:rsidRPr="0051032A">
        <w:rPr>
          <w:rFonts w:eastAsia="SimSun"/>
        </w:rPr>
        <w:t>]*</w:t>
      </w:r>
      <w:proofErr w:type="spellStart"/>
      <w:r w:rsidRPr="0051032A">
        <w:rPr>
          <w:rFonts w:eastAsia="SimSun"/>
        </w:rPr>
        <w:t>m_mu</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500BCE75" w14:textId="77777777" w:rsidR="00260B6D" w:rsidRPr="0051032A" w:rsidRDefault="00260B6D" w:rsidP="0051032A">
      <w:pPr>
        <w:rPr>
          <w:rFonts w:eastAsia="SimSun"/>
        </w:rPr>
      </w:pPr>
      <w:r w:rsidRPr="0051032A">
        <w:rPr>
          <w:rFonts w:eastAsia="SimSun"/>
        </w:rPr>
        <w:t xml:space="preserve">      mu_6[</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mu_2[</w:t>
      </w:r>
      <w:proofErr w:type="spellStart"/>
      <w:r w:rsidRPr="0051032A">
        <w:rPr>
          <w:rFonts w:eastAsia="SimSun"/>
        </w:rPr>
        <w:t>t,s,g</w:t>
      </w:r>
      <w:proofErr w:type="spellEnd"/>
      <w:r w:rsidRPr="0051032A">
        <w:rPr>
          <w:rFonts w:eastAsia="SimSun"/>
        </w:rPr>
        <w:t>]*</w:t>
      </w:r>
      <w:proofErr w:type="spellStart"/>
      <w:r w:rsidRPr="0051032A">
        <w:rPr>
          <w:rFonts w:eastAsia="SimSun"/>
        </w:rPr>
        <w:t>m_mu</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6FFC424E" w14:textId="77777777" w:rsidR="00260B6D" w:rsidRPr="0051032A" w:rsidRDefault="00260B6D" w:rsidP="0051032A">
      <w:pPr>
        <w:rPr>
          <w:rFonts w:eastAsia="SimSun"/>
        </w:rPr>
      </w:pPr>
      <w:r w:rsidRPr="0051032A">
        <w:rPr>
          <w:rFonts w:eastAsia="SimSun"/>
        </w:rPr>
        <w:t xml:space="preserve">      mu_7[</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mu_3[</w:t>
      </w:r>
      <w:proofErr w:type="spellStart"/>
      <w:r w:rsidRPr="0051032A">
        <w:rPr>
          <w:rFonts w:eastAsia="SimSun"/>
        </w:rPr>
        <w:t>t,s,g</w:t>
      </w:r>
      <w:proofErr w:type="spellEnd"/>
      <w:r w:rsidRPr="0051032A">
        <w:rPr>
          <w:rFonts w:eastAsia="SimSun"/>
        </w:rPr>
        <w:t>]*</w:t>
      </w:r>
      <w:proofErr w:type="spellStart"/>
      <w:r w:rsidRPr="0051032A">
        <w:rPr>
          <w:rFonts w:eastAsia="SimSun"/>
        </w:rPr>
        <w:t>m_mu</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3B88A871" w14:textId="77777777" w:rsidR="00260B6D" w:rsidRPr="0051032A" w:rsidRDefault="00260B6D" w:rsidP="0051032A">
      <w:pPr>
        <w:rPr>
          <w:rFonts w:eastAsia="SimSun"/>
        </w:rPr>
      </w:pPr>
      <w:r w:rsidRPr="0051032A">
        <w:rPr>
          <w:rFonts w:eastAsia="SimSun"/>
        </w:rPr>
        <w:t xml:space="preserve">      mu_8[</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mu_4[</w:t>
      </w:r>
      <w:proofErr w:type="spellStart"/>
      <w:r w:rsidRPr="0051032A">
        <w:rPr>
          <w:rFonts w:eastAsia="SimSun"/>
        </w:rPr>
        <w:t>t,s,g</w:t>
      </w:r>
      <w:proofErr w:type="spellEnd"/>
      <w:r w:rsidRPr="0051032A">
        <w:rPr>
          <w:rFonts w:eastAsia="SimSun"/>
        </w:rPr>
        <w:t>]*</w:t>
      </w:r>
      <w:proofErr w:type="spellStart"/>
      <w:r w:rsidRPr="0051032A">
        <w:rPr>
          <w:rFonts w:eastAsia="SimSun"/>
        </w:rPr>
        <w:t>m_mu</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04B2C581" w14:textId="77777777" w:rsidR="00260B6D" w:rsidRPr="0051032A" w:rsidRDefault="00260B6D" w:rsidP="0051032A">
      <w:pPr>
        <w:rPr>
          <w:rFonts w:eastAsia="SimSun"/>
        </w:rPr>
      </w:pPr>
      <w:r w:rsidRPr="0051032A">
        <w:rPr>
          <w:rFonts w:eastAsia="SimSun"/>
        </w:rPr>
        <w:t xml:space="preserve">      mu_9[</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input[[s]][l,"mu_9_t",g]</w:t>
      </w:r>
    </w:p>
    <w:p w14:paraId="594FA028" w14:textId="77777777" w:rsidR="00260B6D" w:rsidRPr="0051032A" w:rsidRDefault="00260B6D" w:rsidP="0051032A">
      <w:pPr>
        <w:rPr>
          <w:rFonts w:eastAsia="SimSun"/>
        </w:rPr>
      </w:pPr>
      <w:r w:rsidRPr="0051032A">
        <w:rPr>
          <w:rFonts w:eastAsia="SimSun"/>
        </w:rPr>
        <w:t xml:space="preserve">      mu_10[</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input[[s]][l,"mu_10_t",g]</w:t>
      </w:r>
    </w:p>
    <w:p w14:paraId="5EC00482" w14:textId="77777777" w:rsidR="00260B6D" w:rsidRPr="0051032A" w:rsidRDefault="00260B6D" w:rsidP="0051032A">
      <w:pPr>
        <w:rPr>
          <w:rFonts w:eastAsia="SimSun"/>
        </w:rPr>
      </w:pPr>
      <w:r w:rsidRPr="0051032A">
        <w:rPr>
          <w:rFonts w:eastAsia="SimSun"/>
        </w:rPr>
        <w:lastRenderedPageBreak/>
        <w:t xml:space="preserve">      mu_11[</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input[[s]][l,"mu_11_t",g]</w:t>
      </w:r>
    </w:p>
    <w:p w14:paraId="0779D13D" w14:textId="77777777" w:rsidR="00260B6D" w:rsidRPr="0051032A" w:rsidRDefault="00260B6D" w:rsidP="0051032A">
      <w:pPr>
        <w:rPr>
          <w:rFonts w:eastAsia="SimSun"/>
        </w:rPr>
      </w:pPr>
      <w:r w:rsidRPr="0051032A">
        <w:rPr>
          <w:rFonts w:eastAsia="SimSun"/>
        </w:rPr>
        <w:t xml:space="preserve">      mu_12[</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input[[s]][l,"mu_12_t",g]</w:t>
      </w:r>
    </w:p>
    <w:p w14:paraId="675CB4C0" w14:textId="77777777" w:rsidR="00260B6D" w:rsidRPr="0051032A" w:rsidRDefault="00260B6D" w:rsidP="0051032A">
      <w:pPr>
        <w:rPr>
          <w:rFonts w:eastAsia="SimSun"/>
        </w:rPr>
      </w:pPr>
      <w:r w:rsidRPr="0051032A">
        <w:rPr>
          <w:rFonts w:eastAsia="SimSun"/>
        </w:rPr>
        <w:t xml:space="preserve">      mu_13[</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input[[s]][l,"mu_13_t",g]</w:t>
      </w:r>
    </w:p>
    <w:p w14:paraId="6A8F0E4D" w14:textId="77777777" w:rsidR="00260B6D" w:rsidRPr="0051032A" w:rsidRDefault="00260B6D" w:rsidP="0051032A">
      <w:pPr>
        <w:rPr>
          <w:rFonts w:eastAsia="SimSun"/>
        </w:rPr>
      </w:pPr>
      <w:r w:rsidRPr="0051032A">
        <w:rPr>
          <w:rFonts w:eastAsia="SimSun"/>
        </w:rPr>
        <w:t xml:space="preserve">      mu_14[</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input[[s]][l,"mu_14_t",g]</w:t>
      </w:r>
    </w:p>
    <w:p w14:paraId="0D24970A" w14:textId="77777777" w:rsidR="00260B6D" w:rsidRPr="0051032A" w:rsidRDefault="00260B6D" w:rsidP="0051032A">
      <w:pPr>
        <w:rPr>
          <w:rFonts w:eastAsia="SimSun"/>
        </w:rPr>
      </w:pPr>
      <w:r w:rsidRPr="0051032A">
        <w:rPr>
          <w:rFonts w:eastAsia="SimSun"/>
        </w:rPr>
        <w:t xml:space="preserve">      mu_15[</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input[[s]][l,"mu_15_t",g]</w:t>
      </w:r>
    </w:p>
    <w:p w14:paraId="4FC2FFCC" w14:textId="77777777" w:rsidR="00260B6D" w:rsidRPr="0051032A" w:rsidRDefault="00260B6D" w:rsidP="0051032A">
      <w:pPr>
        <w:rPr>
          <w:rFonts w:eastAsia="SimSun"/>
        </w:rPr>
      </w:pPr>
      <w:r w:rsidRPr="0051032A">
        <w:rPr>
          <w:rFonts w:eastAsia="SimSun"/>
        </w:rPr>
        <w:t xml:space="preserve">      mu_16[</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input[[s]][l,"mu_16_t",g]</w:t>
      </w:r>
    </w:p>
    <w:p w14:paraId="06DC128C" w14:textId="77777777" w:rsidR="00260B6D" w:rsidRPr="0051032A" w:rsidRDefault="00260B6D" w:rsidP="0051032A">
      <w:pPr>
        <w:rPr>
          <w:rFonts w:eastAsia="SimSun"/>
        </w:rPr>
      </w:pPr>
      <w:r w:rsidRPr="0051032A">
        <w:rPr>
          <w:rFonts w:eastAsia="SimSun"/>
        </w:rPr>
        <w:t xml:space="preserve">      </w:t>
      </w:r>
    </w:p>
    <w:p w14:paraId="43C04BBE" w14:textId="77777777" w:rsidR="00260B6D" w:rsidRPr="0051032A" w:rsidRDefault="00260B6D" w:rsidP="0051032A">
      <w:pPr>
        <w:rPr>
          <w:rFonts w:eastAsia="SimSun"/>
        </w:rPr>
      </w:pPr>
      <w:r w:rsidRPr="0051032A">
        <w:rPr>
          <w:rFonts w:eastAsia="SimSun"/>
        </w:rPr>
        <w:t xml:space="preserve">      # Weight applied to the force of infection expression to account for condom use and effectiveness in reducing HIV transmission. The weight varies based on the subgroup.</w:t>
      </w:r>
    </w:p>
    <w:p w14:paraId="43268B6B"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c_r</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l,"c_r_t",g</w:t>
      </w:r>
      <w:proofErr w:type="spellEnd"/>
      <w:r w:rsidRPr="0051032A">
        <w:rPr>
          <w:rFonts w:eastAsia="SimSun"/>
        </w:rPr>
        <w:t>]</w:t>
      </w:r>
    </w:p>
    <w:p w14:paraId="38BF6814" w14:textId="77777777" w:rsidR="00260B6D" w:rsidRPr="0051032A" w:rsidRDefault="00260B6D" w:rsidP="0051032A">
      <w:pPr>
        <w:rPr>
          <w:rFonts w:eastAsia="SimSun"/>
        </w:rPr>
      </w:pPr>
      <w:r w:rsidRPr="0051032A">
        <w:rPr>
          <w:rFonts w:eastAsia="SimSun"/>
        </w:rPr>
        <w:t xml:space="preserve">      epsilon[</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l,"epsilon_t",g</w:t>
      </w:r>
      <w:proofErr w:type="spellEnd"/>
      <w:r w:rsidRPr="0051032A">
        <w:rPr>
          <w:rFonts w:eastAsia="SimSun"/>
        </w:rPr>
        <w:t>]</w:t>
      </w:r>
    </w:p>
    <w:p w14:paraId="2208A9CC"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omega_r</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&lt;-(1-(epsilon[</w:t>
      </w:r>
      <w:proofErr w:type="spellStart"/>
      <w:r w:rsidRPr="0051032A">
        <w:rPr>
          <w:rFonts w:eastAsia="SimSun"/>
        </w:rPr>
        <w:t>t,s,g</w:t>
      </w:r>
      <w:proofErr w:type="spellEnd"/>
      <w:r w:rsidRPr="0051032A">
        <w:rPr>
          <w:rFonts w:eastAsia="SimSun"/>
        </w:rPr>
        <w:t>]*</w:t>
      </w:r>
      <w:proofErr w:type="spellStart"/>
      <w:r w:rsidRPr="0051032A">
        <w:rPr>
          <w:rFonts w:eastAsia="SimSun"/>
        </w:rPr>
        <w:t>c_r</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4166CB7B" w14:textId="77777777" w:rsidR="00260B6D" w:rsidRPr="0051032A" w:rsidRDefault="00260B6D" w:rsidP="0051032A">
      <w:pPr>
        <w:rPr>
          <w:rFonts w:eastAsia="SimSun"/>
        </w:rPr>
      </w:pPr>
      <w:r w:rsidRPr="0051032A">
        <w:rPr>
          <w:rFonts w:eastAsia="SimSun"/>
        </w:rPr>
        <w:t xml:space="preserve">      </w:t>
      </w:r>
    </w:p>
    <w:p w14:paraId="1F98F564" w14:textId="77777777" w:rsidR="00260B6D" w:rsidRPr="0051032A" w:rsidRDefault="00260B6D" w:rsidP="0051032A">
      <w:pPr>
        <w:rPr>
          <w:rFonts w:eastAsia="SimSun"/>
        </w:rPr>
      </w:pPr>
      <w:r w:rsidRPr="0051032A">
        <w:rPr>
          <w:rFonts w:eastAsia="SimSun"/>
        </w:rPr>
        <w:t xml:space="preserve">      # Weight applied to the force of infection expression to account for the benefits of being on ART and viral suppressed.</w:t>
      </w:r>
    </w:p>
    <w:p w14:paraId="4A0AD0A6" w14:textId="77777777" w:rsidR="00260B6D" w:rsidRPr="0051032A" w:rsidRDefault="00260B6D" w:rsidP="0051032A">
      <w:pPr>
        <w:rPr>
          <w:rFonts w:eastAsia="SimSun"/>
        </w:rPr>
      </w:pPr>
      <w:r w:rsidRPr="0051032A">
        <w:rPr>
          <w:rFonts w:eastAsia="SimSun"/>
        </w:rPr>
        <w:t xml:space="preserve">      upsilon[</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l,"upsilon_t",g</w:t>
      </w:r>
      <w:proofErr w:type="spellEnd"/>
      <w:r w:rsidRPr="0051032A">
        <w:rPr>
          <w:rFonts w:eastAsia="SimSun"/>
        </w:rPr>
        <w:t>]</w:t>
      </w:r>
    </w:p>
    <w:p w14:paraId="1BF3498C" w14:textId="77777777" w:rsidR="00260B6D" w:rsidRPr="0051032A" w:rsidRDefault="00260B6D" w:rsidP="0051032A">
      <w:pPr>
        <w:rPr>
          <w:rFonts w:eastAsia="SimSun"/>
        </w:rPr>
      </w:pPr>
      <w:r w:rsidRPr="0051032A">
        <w:rPr>
          <w:rFonts w:eastAsia="SimSun"/>
        </w:rPr>
        <w:t xml:space="preserve">      kappa[</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(1-upsilon[</w:t>
      </w:r>
      <w:proofErr w:type="spellStart"/>
      <w:r w:rsidRPr="0051032A">
        <w:rPr>
          <w:rFonts w:eastAsia="SimSun"/>
        </w:rPr>
        <w:t>t,s,g</w:t>
      </w:r>
      <w:proofErr w:type="spellEnd"/>
      <w:r w:rsidRPr="0051032A">
        <w:rPr>
          <w:rFonts w:eastAsia="SimSun"/>
        </w:rPr>
        <w:t>])</w:t>
      </w:r>
    </w:p>
    <w:p w14:paraId="5F594025" w14:textId="77777777" w:rsidR="00260B6D" w:rsidRPr="0051032A" w:rsidRDefault="00260B6D" w:rsidP="0051032A">
      <w:pPr>
        <w:rPr>
          <w:rFonts w:eastAsia="SimSun"/>
        </w:rPr>
      </w:pPr>
      <w:r w:rsidRPr="0051032A">
        <w:rPr>
          <w:rFonts w:eastAsia="SimSun"/>
        </w:rPr>
        <w:t xml:space="preserve">      </w:t>
      </w:r>
    </w:p>
    <w:p w14:paraId="7DFEC5CC" w14:textId="77777777" w:rsidR="00260B6D" w:rsidRPr="0051032A" w:rsidRDefault="00260B6D" w:rsidP="0051032A">
      <w:pPr>
        <w:rPr>
          <w:rFonts w:eastAsia="SimSun"/>
        </w:rPr>
      </w:pPr>
      <w:r w:rsidRPr="0051032A">
        <w:rPr>
          <w:rFonts w:eastAsia="SimSun"/>
        </w:rPr>
        <w:t xml:space="preserve">      # Risk of HIV transmission. per sexual act. We assume the risk of HIV transmission is the same from male to female and from female to male.</w:t>
      </w:r>
    </w:p>
    <w:p w14:paraId="31F714B4" w14:textId="77777777" w:rsidR="00260B6D" w:rsidRPr="0051032A" w:rsidRDefault="00260B6D" w:rsidP="0051032A">
      <w:pPr>
        <w:rPr>
          <w:rFonts w:eastAsia="SimSun"/>
        </w:rPr>
      </w:pPr>
      <w:r w:rsidRPr="0051032A">
        <w:rPr>
          <w:rFonts w:eastAsia="SimSun"/>
        </w:rPr>
        <w:t xml:space="preserve">      beta[</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l,"beta_t",g</w:t>
      </w:r>
      <w:proofErr w:type="spellEnd"/>
      <w:r w:rsidRPr="0051032A">
        <w:rPr>
          <w:rFonts w:eastAsia="SimSun"/>
        </w:rPr>
        <w:t>]</w:t>
      </w:r>
    </w:p>
    <w:p w14:paraId="6EE1FEF3" w14:textId="77777777" w:rsidR="00260B6D" w:rsidRPr="0051032A" w:rsidRDefault="00260B6D" w:rsidP="0051032A">
      <w:pPr>
        <w:rPr>
          <w:rFonts w:eastAsia="SimSun"/>
        </w:rPr>
      </w:pPr>
      <w:r w:rsidRPr="0051032A">
        <w:rPr>
          <w:rFonts w:eastAsia="SimSun"/>
        </w:rPr>
        <w:t xml:space="preserve">      </w:t>
      </w:r>
    </w:p>
    <w:p w14:paraId="6EFEAE01" w14:textId="77777777" w:rsidR="00260B6D" w:rsidRPr="0051032A" w:rsidRDefault="00260B6D" w:rsidP="0051032A">
      <w:pPr>
        <w:rPr>
          <w:rFonts w:eastAsia="SimSun"/>
        </w:rPr>
      </w:pPr>
      <w:r w:rsidRPr="0051032A">
        <w:rPr>
          <w:rFonts w:eastAsia="SimSun"/>
        </w:rPr>
        <w:t xml:space="preserve">      # Average number of sexual contacts per month. This number will vary based on the subgroup considered.</w:t>
      </w:r>
    </w:p>
    <w:p w14:paraId="3B6654C6"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n_r</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input[[s]][</w:t>
      </w:r>
      <w:proofErr w:type="spellStart"/>
      <w:r w:rsidRPr="0051032A">
        <w:rPr>
          <w:rFonts w:eastAsia="SimSun"/>
        </w:rPr>
        <w:t>l,"n_r_t",g</w:t>
      </w:r>
      <w:proofErr w:type="spellEnd"/>
      <w:r w:rsidRPr="0051032A">
        <w:rPr>
          <w:rFonts w:eastAsia="SimSun"/>
        </w:rPr>
        <w:t>]</w:t>
      </w:r>
    </w:p>
    <w:p w14:paraId="5FCF05DF" w14:textId="77777777" w:rsidR="00260B6D" w:rsidRPr="0051032A" w:rsidRDefault="00260B6D" w:rsidP="0051032A">
      <w:pPr>
        <w:rPr>
          <w:rFonts w:eastAsia="SimSun"/>
        </w:rPr>
      </w:pPr>
      <w:r w:rsidRPr="0051032A">
        <w:rPr>
          <w:rFonts w:eastAsia="SimSun"/>
        </w:rPr>
        <w:t xml:space="preserve">    }</w:t>
      </w:r>
    </w:p>
    <w:p w14:paraId="242122F7" w14:textId="77777777" w:rsidR="00260B6D" w:rsidRPr="0051032A" w:rsidRDefault="00260B6D" w:rsidP="0051032A">
      <w:pPr>
        <w:rPr>
          <w:rFonts w:eastAsia="SimSun"/>
        </w:rPr>
      </w:pPr>
      <w:r w:rsidRPr="0051032A">
        <w:rPr>
          <w:rFonts w:eastAsia="SimSun"/>
        </w:rPr>
        <w:t xml:space="preserve">  } </w:t>
      </w:r>
    </w:p>
    <w:p w14:paraId="2647273D" w14:textId="77777777" w:rsidR="00260B6D" w:rsidRPr="0051032A" w:rsidRDefault="00260B6D" w:rsidP="0051032A">
      <w:pPr>
        <w:rPr>
          <w:rFonts w:eastAsia="SimSun"/>
        </w:rPr>
      </w:pPr>
      <w:r w:rsidRPr="0051032A">
        <w:rPr>
          <w:rFonts w:eastAsia="SimSun"/>
        </w:rPr>
        <w:t xml:space="preserve"> }</w:t>
      </w:r>
    </w:p>
    <w:p w14:paraId="12B909E8" w14:textId="77777777" w:rsidR="00260B6D" w:rsidRPr="0051032A" w:rsidRDefault="00260B6D" w:rsidP="0051032A">
      <w:pPr>
        <w:rPr>
          <w:rFonts w:eastAsia="SimSun"/>
        </w:rPr>
      </w:pPr>
      <w:r w:rsidRPr="0051032A">
        <w:rPr>
          <w:rFonts w:eastAsia="SimSun"/>
        </w:rPr>
        <w:t>}</w:t>
      </w:r>
    </w:p>
    <w:p w14:paraId="5FBDCC57" w14:textId="77777777" w:rsidR="00260B6D" w:rsidRPr="0051032A" w:rsidRDefault="00260B6D" w:rsidP="0051032A">
      <w:pPr>
        <w:rPr>
          <w:rFonts w:eastAsia="SimSun"/>
        </w:rPr>
      </w:pPr>
    </w:p>
    <w:p w14:paraId="0F551540" w14:textId="77777777" w:rsidR="00260B6D" w:rsidRPr="0051032A" w:rsidRDefault="00260B6D" w:rsidP="0051032A">
      <w:pPr>
        <w:rPr>
          <w:rFonts w:eastAsia="SimSun"/>
        </w:rPr>
      </w:pPr>
    </w:p>
    <w:p w14:paraId="4E1D0474"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Initalize</w:t>
      </w:r>
      <w:proofErr w:type="spellEnd"/>
      <w:r w:rsidRPr="0051032A">
        <w:rPr>
          <w:rFonts w:eastAsia="SimSun"/>
        </w:rPr>
        <w:t xml:space="preserve"> baseline population characteristics</w:t>
      </w:r>
    </w:p>
    <w:p w14:paraId="4A40A590" w14:textId="77777777" w:rsidR="00260B6D" w:rsidRPr="0051032A" w:rsidRDefault="00260B6D" w:rsidP="0051032A">
      <w:pPr>
        <w:rPr>
          <w:rFonts w:eastAsia="SimSun"/>
        </w:rPr>
      </w:pPr>
      <w:r w:rsidRPr="0051032A">
        <w:rPr>
          <w:rFonts w:eastAsia="SimSun"/>
        </w:rPr>
        <w:t>for (t in 1:(trials)) {</w:t>
      </w:r>
    </w:p>
    <w:p w14:paraId="2D1C73D5" w14:textId="77777777" w:rsidR="00260B6D" w:rsidRPr="0051032A" w:rsidRDefault="00260B6D" w:rsidP="0051032A">
      <w:pPr>
        <w:rPr>
          <w:rFonts w:eastAsia="SimSun"/>
        </w:rPr>
      </w:pPr>
      <w:r w:rsidRPr="0051032A">
        <w:rPr>
          <w:rFonts w:eastAsia="SimSun"/>
        </w:rPr>
        <w:t xml:space="preserve">  #Initalize parameters for each sub-group</w:t>
      </w:r>
    </w:p>
    <w:p w14:paraId="37948926" w14:textId="77777777" w:rsidR="00260B6D" w:rsidRPr="0051032A" w:rsidRDefault="00260B6D" w:rsidP="0051032A">
      <w:pPr>
        <w:rPr>
          <w:rFonts w:eastAsia="SimSun"/>
        </w:rPr>
      </w:pPr>
      <w:r w:rsidRPr="0051032A">
        <w:rPr>
          <w:rFonts w:eastAsia="SimSun"/>
        </w:rPr>
        <w:t xml:space="preserve">  for (s in 1:(</w:t>
      </w:r>
      <w:proofErr w:type="spellStart"/>
      <w:r w:rsidRPr="0051032A">
        <w:rPr>
          <w:rFonts w:eastAsia="SimSun"/>
        </w:rPr>
        <w:t>sgroup</w:t>
      </w:r>
      <w:proofErr w:type="spellEnd"/>
      <w:r w:rsidRPr="0051032A">
        <w:rPr>
          <w:rFonts w:eastAsia="SimSun"/>
        </w:rPr>
        <w:t>)) {</w:t>
      </w:r>
    </w:p>
    <w:p w14:paraId="585E3751" w14:textId="77777777" w:rsidR="00260B6D" w:rsidRPr="0051032A" w:rsidRDefault="00260B6D" w:rsidP="0051032A">
      <w:pPr>
        <w:rPr>
          <w:rFonts w:eastAsia="SimSun"/>
        </w:rPr>
      </w:pPr>
      <w:r w:rsidRPr="0051032A">
        <w:rPr>
          <w:rFonts w:eastAsia="SimSun"/>
        </w:rPr>
        <w:t xml:space="preserve">    # Calculate the initial HIV prevalence </w:t>
      </w:r>
    </w:p>
    <w:p w14:paraId="317D0754" w14:textId="77777777" w:rsidR="00260B6D" w:rsidRPr="0051032A" w:rsidRDefault="00260B6D" w:rsidP="0051032A">
      <w:pPr>
        <w:rPr>
          <w:rFonts w:eastAsia="SimSun"/>
        </w:rPr>
      </w:pPr>
      <w:r w:rsidRPr="0051032A">
        <w:rPr>
          <w:rFonts w:eastAsia="SimSun"/>
        </w:rPr>
        <w:t xml:space="preserve">    </w:t>
      </w:r>
    </w:p>
    <w:p w14:paraId="248EE062" w14:textId="77777777" w:rsidR="00260B6D" w:rsidRPr="0051032A" w:rsidRDefault="00260B6D" w:rsidP="0051032A">
      <w:pPr>
        <w:rPr>
          <w:rFonts w:eastAsia="SimSun"/>
        </w:rPr>
      </w:pPr>
      <w:r w:rsidRPr="0051032A">
        <w:rPr>
          <w:rFonts w:eastAsia="SimSun"/>
        </w:rPr>
        <w:t xml:space="preserve">    # Total HIV infected individuals</w:t>
      </w:r>
    </w:p>
    <w:p w14:paraId="1842D24A" w14:textId="77777777" w:rsidR="00260B6D" w:rsidRPr="0051032A" w:rsidRDefault="00260B6D" w:rsidP="0051032A">
      <w:pPr>
        <w:rPr>
          <w:rFonts w:eastAsia="SimSun"/>
        </w:rPr>
      </w:pPr>
      <w:r w:rsidRPr="0051032A">
        <w:rPr>
          <w:rFonts w:eastAsia="SimSun"/>
        </w:rPr>
        <w:t xml:space="preserve">    N[t,s,1] &lt;- X1[t,s,1]+X2[t,s,1]+X3[t,s,1]+X4[t,s,1]+X5[t,s,1]+X6[t,s,1]+X7[t,s,1]+X8[t,s,1]+X9[t,s,1]+X10[t,s,1]+X11[t,s,1]+X12[t,s,1]+X13[t,s,1]+X14[t,s,1]+X15[t,s,1]+X16[t,s,1]+X17[t,s,1]+X18[t,s,1]+X19[t,s,1]+X20[t,s,1]+X21[t,s,1]+X22[t,s,1]+X23[t,s,1]+X24[t,s,1]</w:t>
      </w:r>
    </w:p>
    <w:p w14:paraId="568A2DAF" w14:textId="77777777" w:rsidR="00260B6D" w:rsidRPr="0051032A" w:rsidRDefault="00260B6D" w:rsidP="0051032A">
      <w:pPr>
        <w:rPr>
          <w:rFonts w:eastAsia="SimSun"/>
        </w:rPr>
      </w:pPr>
      <w:r w:rsidRPr="0051032A">
        <w:rPr>
          <w:rFonts w:eastAsia="SimSun"/>
        </w:rPr>
        <w:t xml:space="preserve">    </w:t>
      </w:r>
    </w:p>
    <w:p w14:paraId="0E077363" w14:textId="77777777" w:rsidR="00260B6D" w:rsidRPr="0051032A" w:rsidRDefault="00260B6D" w:rsidP="0051032A">
      <w:pPr>
        <w:rPr>
          <w:rFonts w:eastAsia="SimSun"/>
        </w:rPr>
      </w:pPr>
      <w:r w:rsidRPr="0051032A">
        <w:rPr>
          <w:rFonts w:eastAsia="SimSun"/>
        </w:rPr>
        <w:t xml:space="preserve">    # Total population of individuals who are not viral suppressed</w:t>
      </w:r>
    </w:p>
    <w:p w14:paraId="4EE24427" w14:textId="77777777" w:rsidR="00260B6D" w:rsidRPr="0051032A" w:rsidRDefault="00260B6D" w:rsidP="0051032A">
      <w:pPr>
        <w:rPr>
          <w:rFonts w:eastAsia="SimSun"/>
        </w:rPr>
      </w:pPr>
      <w:r w:rsidRPr="0051032A">
        <w:rPr>
          <w:rFonts w:eastAsia="SimSun"/>
        </w:rPr>
        <w:t xml:space="preserve">    Z[t,s,1] &lt;- X1[t,s,1]+X2[t,s,1]+X3[t,s,1]+X4[t,s,1]+X5[t,s,1]+X6[t,s,1]+X7[t,s,1]+X8[t,s,1]+X9[t,s,1]+X10</w:t>
      </w:r>
      <w:r w:rsidRPr="0051032A">
        <w:rPr>
          <w:rFonts w:eastAsia="SimSun"/>
        </w:rPr>
        <w:lastRenderedPageBreak/>
        <w:t>[t,s,1]+X11[t,s,1]+X12[t,s,1]+X13[t,s,1]+X14[t,s,1]+X15[t,s,1]+X16[t,s,1]+X21[t,s,1]+X22[t,s,1]+X23[t,s,1]+X24[t,s,1]</w:t>
      </w:r>
    </w:p>
    <w:p w14:paraId="595D65EE" w14:textId="77777777" w:rsidR="00260B6D" w:rsidRPr="0051032A" w:rsidRDefault="00260B6D" w:rsidP="0051032A">
      <w:pPr>
        <w:rPr>
          <w:rFonts w:eastAsia="SimSun"/>
        </w:rPr>
      </w:pPr>
      <w:r w:rsidRPr="0051032A">
        <w:rPr>
          <w:rFonts w:eastAsia="SimSun"/>
        </w:rPr>
        <w:t xml:space="preserve">    </w:t>
      </w:r>
    </w:p>
    <w:p w14:paraId="6F1C4C86" w14:textId="77777777" w:rsidR="00260B6D" w:rsidRPr="0051032A" w:rsidRDefault="00260B6D" w:rsidP="0051032A">
      <w:pPr>
        <w:rPr>
          <w:rFonts w:eastAsia="SimSun"/>
        </w:rPr>
      </w:pPr>
      <w:r w:rsidRPr="0051032A">
        <w:rPr>
          <w:rFonts w:eastAsia="SimSun"/>
        </w:rPr>
        <w:t xml:space="preserve">    # Total population of individuals who are viral suppressed</w:t>
      </w:r>
    </w:p>
    <w:p w14:paraId="2BB0B48E" w14:textId="77777777" w:rsidR="00260B6D" w:rsidRPr="0051032A" w:rsidRDefault="00260B6D" w:rsidP="0051032A">
      <w:pPr>
        <w:rPr>
          <w:rFonts w:eastAsia="SimSun"/>
        </w:rPr>
      </w:pPr>
      <w:r w:rsidRPr="0051032A">
        <w:rPr>
          <w:rFonts w:eastAsia="SimSun"/>
        </w:rPr>
        <w:t xml:space="preserve">    V[</w:t>
      </w:r>
      <w:proofErr w:type="gramStart"/>
      <w:r w:rsidRPr="0051032A">
        <w:rPr>
          <w:rFonts w:eastAsia="SimSun"/>
        </w:rPr>
        <w:t>t,s</w:t>
      </w:r>
      <w:proofErr w:type="gramEnd"/>
      <w:r w:rsidRPr="0051032A">
        <w:rPr>
          <w:rFonts w:eastAsia="SimSun"/>
        </w:rPr>
        <w:t>,1] &lt;- X17[t,s,1]+X18[t,s,1]+X19[t,s,1]+X20[t,s,1]</w:t>
      </w:r>
    </w:p>
    <w:p w14:paraId="350B7970" w14:textId="77777777" w:rsidR="00260B6D" w:rsidRPr="0051032A" w:rsidRDefault="00260B6D" w:rsidP="0051032A">
      <w:pPr>
        <w:rPr>
          <w:rFonts w:eastAsia="SimSun"/>
        </w:rPr>
      </w:pPr>
      <w:r w:rsidRPr="0051032A">
        <w:rPr>
          <w:rFonts w:eastAsia="SimSun"/>
        </w:rPr>
        <w:t xml:space="preserve">    </w:t>
      </w:r>
    </w:p>
    <w:p w14:paraId="143E8CF7" w14:textId="77777777" w:rsidR="00260B6D" w:rsidRPr="0051032A" w:rsidRDefault="00260B6D" w:rsidP="0051032A">
      <w:pPr>
        <w:rPr>
          <w:rFonts w:eastAsia="SimSun"/>
        </w:rPr>
      </w:pPr>
      <w:r w:rsidRPr="0051032A">
        <w:rPr>
          <w:rFonts w:eastAsia="SimSun"/>
        </w:rPr>
        <w:t xml:space="preserve">    # Total population of individuals infected but undiagnosed </w:t>
      </w:r>
    </w:p>
    <w:p w14:paraId="3EB299F3" w14:textId="77777777" w:rsidR="00260B6D" w:rsidRPr="0051032A" w:rsidRDefault="00260B6D" w:rsidP="0051032A">
      <w:pPr>
        <w:rPr>
          <w:rFonts w:eastAsia="SimSun"/>
        </w:rPr>
      </w:pPr>
      <w:r w:rsidRPr="0051032A">
        <w:rPr>
          <w:rFonts w:eastAsia="SimSun"/>
        </w:rPr>
        <w:t xml:space="preserve">    # Undiagnosed[</w:t>
      </w:r>
      <w:proofErr w:type="gramStart"/>
      <w:r w:rsidRPr="0051032A">
        <w:rPr>
          <w:rFonts w:eastAsia="SimSun"/>
        </w:rPr>
        <w:t>t,s</w:t>
      </w:r>
      <w:proofErr w:type="gramEnd"/>
      <w:r w:rsidRPr="0051032A">
        <w:rPr>
          <w:rFonts w:eastAsia="SimSun"/>
        </w:rPr>
        <w:t>,1] &lt;- X1[t,s,1]+X2[t,s,1]+X3[t,s,1]+X4[t,s,1]</w:t>
      </w:r>
    </w:p>
    <w:p w14:paraId="64C8DE49" w14:textId="77777777" w:rsidR="00260B6D" w:rsidRPr="0051032A" w:rsidRDefault="00260B6D" w:rsidP="0051032A">
      <w:pPr>
        <w:rPr>
          <w:rFonts w:eastAsia="SimSun"/>
        </w:rPr>
      </w:pPr>
      <w:r w:rsidRPr="0051032A">
        <w:rPr>
          <w:rFonts w:eastAsia="SimSun"/>
        </w:rPr>
        <w:t xml:space="preserve">    </w:t>
      </w:r>
    </w:p>
    <w:p w14:paraId="09047CA7" w14:textId="77777777" w:rsidR="00260B6D" w:rsidRPr="0051032A" w:rsidRDefault="00260B6D" w:rsidP="0051032A">
      <w:pPr>
        <w:rPr>
          <w:rFonts w:eastAsia="SimSun"/>
        </w:rPr>
      </w:pPr>
      <w:r w:rsidRPr="0051032A">
        <w:rPr>
          <w:rFonts w:eastAsia="SimSun"/>
        </w:rPr>
        <w:t xml:space="preserve">    # Total population of individuals diagnosed with HIV</w:t>
      </w:r>
    </w:p>
    <w:p w14:paraId="0C2EB5E3" w14:textId="77777777" w:rsidR="00260B6D" w:rsidRPr="0051032A" w:rsidRDefault="00260B6D" w:rsidP="0051032A">
      <w:pPr>
        <w:rPr>
          <w:rFonts w:eastAsia="SimSun"/>
        </w:rPr>
      </w:pPr>
      <w:r w:rsidRPr="0051032A">
        <w:rPr>
          <w:rFonts w:eastAsia="SimSun"/>
        </w:rPr>
        <w:t xml:space="preserve">    Diagnosed[t,s,1] &lt;- X5[t,s,1]+X6[t,s,1]+X7[t,s,1]+X8[t,s,1]+X9[t,s,1]+X10[t,s,1]+X11[t,s,1]+X12[t,s,1]+X13[t,s,1]+X14[t,s,1]+X15[t,s,1]+X16[t,s,1]+X17[t,s,1]+X18[t,s,1]+X19[t,s,1]+X20[t,s,1]+X21[t,s,1]+X22[t,s,1]+X23[t,s,1]+X24[t,s,1]</w:t>
      </w:r>
    </w:p>
    <w:p w14:paraId="7704872D" w14:textId="77777777" w:rsidR="00260B6D" w:rsidRPr="0051032A" w:rsidRDefault="00260B6D" w:rsidP="0051032A">
      <w:pPr>
        <w:rPr>
          <w:rFonts w:eastAsia="SimSun"/>
        </w:rPr>
      </w:pPr>
      <w:r w:rsidRPr="0051032A">
        <w:rPr>
          <w:rFonts w:eastAsia="SimSun"/>
        </w:rPr>
        <w:t xml:space="preserve">    </w:t>
      </w:r>
    </w:p>
    <w:p w14:paraId="03C2AEA8" w14:textId="77777777" w:rsidR="00260B6D" w:rsidRPr="0051032A" w:rsidRDefault="00260B6D" w:rsidP="0051032A">
      <w:pPr>
        <w:rPr>
          <w:rFonts w:eastAsia="SimSun"/>
        </w:rPr>
      </w:pPr>
      <w:r w:rsidRPr="0051032A">
        <w:rPr>
          <w:rFonts w:eastAsia="SimSun"/>
        </w:rPr>
        <w:t xml:space="preserve">    # Total population of individuals newly diagnosed</w:t>
      </w:r>
    </w:p>
    <w:p w14:paraId="5EB30652"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New_Diagnosed</w:t>
      </w:r>
      <w:proofErr w:type="spellEnd"/>
      <w:r w:rsidRPr="0051032A">
        <w:rPr>
          <w:rFonts w:eastAsia="SimSun"/>
        </w:rPr>
        <w:t>[</w:t>
      </w:r>
      <w:proofErr w:type="gramStart"/>
      <w:r w:rsidRPr="0051032A">
        <w:rPr>
          <w:rFonts w:eastAsia="SimSun"/>
        </w:rPr>
        <w:t>t,s</w:t>
      </w:r>
      <w:proofErr w:type="gramEnd"/>
      <w:r w:rsidRPr="0051032A">
        <w:rPr>
          <w:rFonts w:eastAsia="SimSun"/>
        </w:rPr>
        <w:t>,1] &lt;- X1[t,s,1]*alpha_1[t,s,g]+X2[t,s,1]*alpha_2[t,s,g]+X3[t,s,1]*alpha_3[t,s,g]+X4[t,s,1]*alpha_4[t,s,g]</w:t>
      </w:r>
    </w:p>
    <w:p w14:paraId="150666D6" w14:textId="77777777" w:rsidR="00260B6D" w:rsidRPr="0051032A" w:rsidRDefault="00260B6D" w:rsidP="0051032A">
      <w:pPr>
        <w:rPr>
          <w:rFonts w:eastAsia="SimSun"/>
        </w:rPr>
      </w:pPr>
      <w:r w:rsidRPr="0051032A">
        <w:rPr>
          <w:rFonts w:eastAsia="SimSun"/>
        </w:rPr>
        <w:t xml:space="preserve">    </w:t>
      </w:r>
    </w:p>
    <w:p w14:paraId="31A3DA90" w14:textId="77777777" w:rsidR="00260B6D" w:rsidRPr="0051032A" w:rsidRDefault="00260B6D" w:rsidP="0051032A">
      <w:pPr>
        <w:rPr>
          <w:rFonts w:eastAsia="SimSun"/>
        </w:rPr>
      </w:pPr>
      <w:r w:rsidRPr="0051032A">
        <w:rPr>
          <w:rFonts w:eastAsia="SimSun"/>
        </w:rPr>
        <w:t xml:space="preserve">    # Total population of </w:t>
      </w:r>
      <w:proofErr w:type="spellStart"/>
      <w:r w:rsidRPr="0051032A">
        <w:rPr>
          <w:rFonts w:eastAsia="SimSun"/>
        </w:rPr>
        <w:t>inidivudlas</w:t>
      </w:r>
      <w:proofErr w:type="spellEnd"/>
      <w:r w:rsidRPr="0051032A">
        <w:rPr>
          <w:rFonts w:eastAsia="SimSun"/>
        </w:rPr>
        <w:t xml:space="preserve"> linked to care</w:t>
      </w:r>
    </w:p>
    <w:p w14:paraId="76049057" w14:textId="77777777" w:rsidR="00260B6D" w:rsidRPr="0051032A" w:rsidRDefault="00260B6D" w:rsidP="0051032A">
      <w:pPr>
        <w:rPr>
          <w:rFonts w:eastAsia="SimSun"/>
        </w:rPr>
      </w:pPr>
      <w:r w:rsidRPr="0051032A">
        <w:rPr>
          <w:rFonts w:eastAsia="SimSun"/>
        </w:rPr>
        <w:t xml:space="preserve">    # Linked[</w:t>
      </w:r>
      <w:proofErr w:type="gramStart"/>
      <w:r w:rsidRPr="0051032A">
        <w:rPr>
          <w:rFonts w:eastAsia="SimSun"/>
        </w:rPr>
        <w:t>t,s</w:t>
      </w:r>
      <w:proofErr w:type="gramEnd"/>
      <w:r w:rsidRPr="0051032A">
        <w:rPr>
          <w:rFonts w:eastAsia="SimSun"/>
        </w:rPr>
        <w:t>,1] &lt;- X9[t,s,1]+X10[t,s,1]+X11[t,s,1]+X12[t,s,1]</w:t>
      </w:r>
    </w:p>
    <w:p w14:paraId="28224521" w14:textId="77777777" w:rsidR="00260B6D" w:rsidRPr="0051032A" w:rsidRDefault="00260B6D" w:rsidP="0051032A">
      <w:pPr>
        <w:rPr>
          <w:rFonts w:eastAsia="SimSun"/>
        </w:rPr>
      </w:pPr>
      <w:r w:rsidRPr="0051032A">
        <w:rPr>
          <w:rFonts w:eastAsia="SimSun"/>
        </w:rPr>
        <w:t xml:space="preserve">    </w:t>
      </w:r>
    </w:p>
    <w:p w14:paraId="45C2CFA4" w14:textId="77777777" w:rsidR="00260B6D" w:rsidRPr="0051032A" w:rsidRDefault="00260B6D" w:rsidP="0051032A">
      <w:pPr>
        <w:rPr>
          <w:rFonts w:eastAsia="SimSun"/>
        </w:rPr>
      </w:pPr>
      <w:r w:rsidRPr="0051032A">
        <w:rPr>
          <w:rFonts w:eastAsia="SimSun"/>
        </w:rPr>
        <w:t xml:space="preserve">    # Total population of individuals lost</w:t>
      </w:r>
    </w:p>
    <w:p w14:paraId="5DA49973" w14:textId="77777777" w:rsidR="00260B6D" w:rsidRPr="0051032A" w:rsidRDefault="00260B6D" w:rsidP="0051032A">
      <w:pPr>
        <w:rPr>
          <w:rFonts w:eastAsia="SimSun"/>
        </w:rPr>
      </w:pPr>
      <w:r w:rsidRPr="0051032A">
        <w:rPr>
          <w:rFonts w:eastAsia="SimSun"/>
        </w:rPr>
        <w:t xml:space="preserve">    # Lost[</w:t>
      </w:r>
      <w:proofErr w:type="gramStart"/>
      <w:r w:rsidRPr="0051032A">
        <w:rPr>
          <w:rFonts w:eastAsia="SimSun"/>
        </w:rPr>
        <w:t>t,s</w:t>
      </w:r>
      <w:proofErr w:type="gramEnd"/>
      <w:r w:rsidRPr="0051032A">
        <w:rPr>
          <w:rFonts w:eastAsia="SimSun"/>
        </w:rPr>
        <w:t>,1] &lt;-  X13[t,s,1]+X14[t,s,1]+X15[t,s,1]+X16[t,s,1]</w:t>
      </w:r>
    </w:p>
    <w:p w14:paraId="0E9FA693" w14:textId="77777777" w:rsidR="00260B6D" w:rsidRPr="0051032A" w:rsidRDefault="00260B6D" w:rsidP="0051032A">
      <w:pPr>
        <w:rPr>
          <w:rFonts w:eastAsia="SimSun"/>
        </w:rPr>
      </w:pPr>
      <w:r w:rsidRPr="0051032A">
        <w:rPr>
          <w:rFonts w:eastAsia="SimSun"/>
        </w:rPr>
        <w:t xml:space="preserve">    </w:t>
      </w:r>
    </w:p>
    <w:p w14:paraId="1DC6080E" w14:textId="77777777" w:rsidR="00260B6D" w:rsidRPr="0051032A" w:rsidRDefault="00260B6D" w:rsidP="0051032A">
      <w:pPr>
        <w:rPr>
          <w:rFonts w:eastAsia="SimSun"/>
        </w:rPr>
      </w:pPr>
      <w:r w:rsidRPr="0051032A">
        <w:rPr>
          <w:rFonts w:eastAsia="SimSun"/>
        </w:rPr>
        <w:t xml:space="preserve">    # Total population of individuals on ART and suppressed</w:t>
      </w:r>
    </w:p>
    <w:p w14:paraId="512FD2D5" w14:textId="77777777" w:rsidR="00260B6D" w:rsidRPr="0051032A" w:rsidRDefault="00260B6D" w:rsidP="0051032A">
      <w:pPr>
        <w:rPr>
          <w:rFonts w:eastAsia="SimSun"/>
        </w:rPr>
      </w:pPr>
      <w:r w:rsidRPr="0051032A">
        <w:rPr>
          <w:rFonts w:eastAsia="SimSun"/>
        </w:rPr>
        <w:t xml:space="preserve">    Suppressed[</w:t>
      </w:r>
      <w:proofErr w:type="gramStart"/>
      <w:r w:rsidRPr="0051032A">
        <w:rPr>
          <w:rFonts w:eastAsia="SimSun"/>
        </w:rPr>
        <w:t>t,s</w:t>
      </w:r>
      <w:proofErr w:type="gramEnd"/>
      <w:r w:rsidRPr="0051032A">
        <w:rPr>
          <w:rFonts w:eastAsia="SimSun"/>
        </w:rPr>
        <w:t>,1] &lt;- X17[t,s,1]+X18[t,s,1]+X19[t,s,1]+X20[t,s,1]</w:t>
      </w:r>
    </w:p>
    <w:p w14:paraId="32B815BD" w14:textId="77777777" w:rsidR="00260B6D" w:rsidRPr="0051032A" w:rsidRDefault="00260B6D" w:rsidP="0051032A">
      <w:pPr>
        <w:rPr>
          <w:rFonts w:eastAsia="SimSun"/>
        </w:rPr>
      </w:pPr>
      <w:r w:rsidRPr="0051032A">
        <w:rPr>
          <w:rFonts w:eastAsia="SimSun"/>
        </w:rPr>
        <w:t xml:space="preserve">    </w:t>
      </w:r>
    </w:p>
    <w:p w14:paraId="5B26BDC3" w14:textId="77777777" w:rsidR="00260B6D" w:rsidRPr="0051032A" w:rsidRDefault="00260B6D" w:rsidP="0051032A">
      <w:pPr>
        <w:rPr>
          <w:rFonts w:eastAsia="SimSun"/>
        </w:rPr>
      </w:pPr>
      <w:r w:rsidRPr="0051032A">
        <w:rPr>
          <w:rFonts w:eastAsia="SimSun"/>
        </w:rPr>
        <w:t xml:space="preserve">    # Total population of individuals on ART and not suppressed</w:t>
      </w:r>
    </w:p>
    <w:p w14:paraId="784AD454" w14:textId="77777777" w:rsidR="00260B6D" w:rsidRPr="0051032A" w:rsidRDefault="00260B6D" w:rsidP="0051032A">
      <w:pPr>
        <w:rPr>
          <w:rFonts w:eastAsia="SimSun"/>
        </w:rPr>
      </w:pPr>
      <w:r w:rsidRPr="0051032A">
        <w:rPr>
          <w:rFonts w:eastAsia="SimSun"/>
        </w:rPr>
        <w:t xml:space="preserve">    # </w:t>
      </w:r>
      <w:proofErr w:type="spellStart"/>
      <w:r w:rsidRPr="0051032A">
        <w:rPr>
          <w:rFonts w:eastAsia="SimSun"/>
        </w:rPr>
        <w:t>Not_Suppressed</w:t>
      </w:r>
      <w:proofErr w:type="spellEnd"/>
      <w:r w:rsidRPr="0051032A">
        <w:rPr>
          <w:rFonts w:eastAsia="SimSun"/>
        </w:rPr>
        <w:t>[</w:t>
      </w:r>
      <w:proofErr w:type="gramStart"/>
      <w:r w:rsidRPr="0051032A">
        <w:rPr>
          <w:rFonts w:eastAsia="SimSun"/>
        </w:rPr>
        <w:t>t,s</w:t>
      </w:r>
      <w:proofErr w:type="gramEnd"/>
      <w:r w:rsidRPr="0051032A">
        <w:rPr>
          <w:rFonts w:eastAsia="SimSun"/>
        </w:rPr>
        <w:t>,1] &lt;- X21[t,s,1]+X22[t,s,1]+X23[t,s,1]+X24[t,s,1]</w:t>
      </w:r>
    </w:p>
    <w:p w14:paraId="69C08955" w14:textId="77777777" w:rsidR="00260B6D" w:rsidRPr="0051032A" w:rsidRDefault="00260B6D" w:rsidP="0051032A">
      <w:pPr>
        <w:rPr>
          <w:rFonts w:eastAsia="SimSun"/>
        </w:rPr>
      </w:pPr>
      <w:r w:rsidRPr="0051032A">
        <w:rPr>
          <w:rFonts w:eastAsia="SimSun"/>
        </w:rPr>
        <w:t xml:space="preserve">    </w:t>
      </w:r>
    </w:p>
    <w:p w14:paraId="1A617499" w14:textId="77777777" w:rsidR="00260B6D" w:rsidRPr="0051032A" w:rsidRDefault="00260B6D" w:rsidP="0051032A">
      <w:pPr>
        <w:rPr>
          <w:rFonts w:eastAsia="SimSun"/>
        </w:rPr>
      </w:pPr>
      <w:r w:rsidRPr="0051032A">
        <w:rPr>
          <w:rFonts w:eastAsia="SimSun"/>
        </w:rPr>
        <w:t xml:space="preserve">    # Total population of individuals on ART</w:t>
      </w:r>
    </w:p>
    <w:p w14:paraId="27C2C895"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On_ART</w:t>
      </w:r>
      <w:proofErr w:type="spellEnd"/>
      <w:r w:rsidRPr="0051032A">
        <w:rPr>
          <w:rFonts w:eastAsia="SimSun"/>
        </w:rPr>
        <w:t>[</w:t>
      </w:r>
      <w:proofErr w:type="gramStart"/>
      <w:r w:rsidRPr="0051032A">
        <w:rPr>
          <w:rFonts w:eastAsia="SimSun"/>
        </w:rPr>
        <w:t>t,s</w:t>
      </w:r>
      <w:proofErr w:type="gramEnd"/>
      <w:r w:rsidRPr="0051032A">
        <w:rPr>
          <w:rFonts w:eastAsia="SimSun"/>
        </w:rPr>
        <w:t>,1] &lt;- X17[t,s,1]+X18[t,s,1]+X19[t,s,1]+X20[t,s,1]+X21[t,s,1]+X22[t,s,1]+X23[t,s,1]+X24[t,s,1]</w:t>
      </w:r>
    </w:p>
    <w:p w14:paraId="7695BC0A" w14:textId="77777777" w:rsidR="00260B6D" w:rsidRPr="0051032A" w:rsidRDefault="00260B6D" w:rsidP="0051032A">
      <w:pPr>
        <w:rPr>
          <w:rFonts w:eastAsia="SimSun"/>
        </w:rPr>
      </w:pPr>
      <w:r w:rsidRPr="0051032A">
        <w:rPr>
          <w:rFonts w:eastAsia="SimSun"/>
        </w:rPr>
        <w:t xml:space="preserve">    </w:t>
      </w:r>
    </w:p>
    <w:p w14:paraId="695BC983" w14:textId="77777777" w:rsidR="00260B6D" w:rsidRPr="0051032A" w:rsidRDefault="00260B6D" w:rsidP="0051032A">
      <w:pPr>
        <w:rPr>
          <w:rFonts w:eastAsia="SimSun"/>
        </w:rPr>
      </w:pPr>
      <w:r w:rsidRPr="0051032A">
        <w:rPr>
          <w:rFonts w:eastAsia="SimSun"/>
        </w:rPr>
        <w:t xml:space="preserve">    if (N[</w:t>
      </w:r>
      <w:proofErr w:type="gramStart"/>
      <w:r w:rsidRPr="0051032A">
        <w:rPr>
          <w:rFonts w:eastAsia="SimSun"/>
        </w:rPr>
        <w:t>t,s</w:t>
      </w:r>
      <w:proofErr w:type="gramEnd"/>
      <w:r w:rsidRPr="0051032A">
        <w:rPr>
          <w:rFonts w:eastAsia="SimSun"/>
        </w:rPr>
        <w:t>,1]==0) {</w:t>
      </w:r>
    </w:p>
    <w:p w14:paraId="014E866D" w14:textId="77777777" w:rsidR="00260B6D" w:rsidRPr="0051032A" w:rsidRDefault="00260B6D" w:rsidP="0051032A">
      <w:pPr>
        <w:rPr>
          <w:rFonts w:eastAsia="SimSun"/>
        </w:rPr>
      </w:pPr>
      <w:r w:rsidRPr="0051032A">
        <w:rPr>
          <w:rFonts w:eastAsia="SimSun"/>
        </w:rPr>
        <w:t xml:space="preserve">      </w:t>
      </w:r>
    </w:p>
    <w:p w14:paraId="3C87C34A"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p_r</w:t>
      </w:r>
      <w:proofErr w:type="spellEnd"/>
      <w:r w:rsidRPr="0051032A">
        <w:rPr>
          <w:rFonts w:eastAsia="SimSun"/>
        </w:rPr>
        <w:t>[</w:t>
      </w:r>
      <w:proofErr w:type="gramStart"/>
      <w:r w:rsidRPr="0051032A">
        <w:rPr>
          <w:rFonts w:eastAsia="SimSun"/>
        </w:rPr>
        <w:t>t,s</w:t>
      </w:r>
      <w:proofErr w:type="gramEnd"/>
      <w:r w:rsidRPr="0051032A">
        <w:rPr>
          <w:rFonts w:eastAsia="SimSun"/>
        </w:rPr>
        <w:t>,1] &lt;- 0</w:t>
      </w:r>
    </w:p>
    <w:p w14:paraId="3F5BB07F"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p_r_v</w:t>
      </w:r>
      <w:proofErr w:type="spellEnd"/>
      <w:r w:rsidRPr="0051032A">
        <w:rPr>
          <w:rFonts w:eastAsia="SimSun"/>
        </w:rPr>
        <w:t>[</w:t>
      </w:r>
      <w:proofErr w:type="gramStart"/>
      <w:r w:rsidRPr="0051032A">
        <w:rPr>
          <w:rFonts w:eastAsia="SimSun"/>
        </w:rPr>
        <w:t>t,s</w:t>
      </w:r>
      <w:proofErr w:type="gramEnd"/>
      <w:r w:rsidRPr="0051032A">
        <w:rPr>
          <w:rFonts w:eastAsia="SimSun"/>
        </w:rPr>
        <w:t>,1] &lt;- 0</w:t>
      </w:r>
    </w:p>
    <w:p w14:paraId="3B8EC96F" w14:textId="77777777" w:rsidR="00260B6D" w:rsidRPr="0051032A" w:rsidRDefault="00260B6D" w:rsidP="0051032A">
      <w:pPr>
        <w:rPr>
          <w:rFonts w:eastAsia="SimSun"/>
        </w:rPr>
      </w:pPr>
      <w:r w:rsidRPr="0051032A">
        <w:rPr>
          <w:rFonts w:eastAsia="SimSun"/>
        </w:rPr>
        <w:t xml:space="preserve">      </w:t>
      </w:r>
    </w:p>
    <w:p w14:paraId="6FD2843C" w14:textId="77777777" w:rsidR="00260B6D" w:rsidRPr="0051032A" w:rsidRDefault="00260B6D" w:rsidP="0051032A">
      <w:pPr>
        <w:rPr>
          <w:rFonts w:eastAsia="SimSun"/>
        </w:rPr>
      </w:pPr>
      <w:r w:rsidRPr="0051032A">
        <w:rPr>
          <w:rFonts w:eastAsia="SimSun"/>
        </w:rPr>
        <w:t xml:space="preserve">    } else {</w:t>
      </w:r>
    </w:p>
    <w:p w14:paraId="7A27D4A0" w14:textId="77777777" w:rsidR="00260B6D" w:rsidRPr="0051032A" w:rsidRDefault="00260B6D" w:rsidP="0051032A">
      <w:pPr>
        <w:rPr>
          <w:rFonts w:eastAsia="SimSun"/>
        </w:rPr>
      </w:pPr>
      <w:r w:rsidRPr="0051032A">
        <w:rPr>
          <w:rFonts w:eastAsia="SimSun"/>
        </w:rPr>
        <w:t xml:space="preserve">      # percentage of individuals who are not viral </w:t>
      </w:r>
      <w:proofErr w:type="spellStart"/>
      <w:r w:rsidRPr="0051032A">
        <w:rPr>
          <w:rFonts w:eastAsia="SimSun"/>
        </w:rPr>
        <w:t>supprressed</w:t>
      </w:r>
      <w:proofErr w:type="spellEnd"/>
      <w:r w:rsidRPr="0051032A">
        <w:rPr>
          <w:rFonts w:eastAsia="SimSun"/>
        </w:rPr>
        <w:t xml:space="preserve"> among people living with HIV</w:t>
      </w:r>
    </w:p>
    <w:p w14:paraId="6514EE71"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p_r</w:t>
      </w:r>
      <w:proofErr w:type="spellEnd"/>
      <w:r w:rsidRPr="0051032A">
        <w:rPr>
          <w:rFonts w:eastAsia="SimSun"/>
        </w:rPr>
        <w:t>[</w:t>
      </w:r>
      <w:proofErr w:type="gramStart"/>
      <w:r w:rsidRPr="0051032A">
        <w:rPr>
          <w:rFonts w:eastAsia="SimSun"/>
        </w:rPr>
        <w:t>t,s</w:t>
      </w:r>
      <w:proofErr w:type="gramEnd"/>
      <w:r w:rsidRPr="0051032A">
        <w:rPr>
          <w:rFonts w:eastAsia="SimSun"/>
        </w:rPr>
        <w:t>,1] &lt;- Z[t,s,1]/N[t,s,1]</w:t>
      </w:r>
    </w:p>
    <w:p w14:paraId="6F0C49AD" w14:textId="77777777" w:rsidR="00260B6D" w:rsidRPr="0051032A" w:rsidRDefault="00260B6D" w:rsidP="0051032A">
      <w:pPr>
        <w:rPr>
          <w:rFonts w:eastAsia="SimSun"/>
        </w:rPr>
      </w:pPr>
      <w:r w:rsidRPr="0051032A">
        <w:rPr>
          <w:rFonts w:eastAsia="SimSun"/>
        </w:rPr>
        <w:t xml:space="preserve">      </w:t>
      </w:r>
    </w:p>
    <w:p w14:paraId="45736FE1" w14:textId="77777777" w:rsidR="00260B6D" w:rsidRPr="0051032A" w:rsidRDefault="00260B6D" w:rsidP="0051032A">
      <w:pPr>
        <w:rPr>
          <w:rFonts w:eastAsia="SimSun"/>
        </w:rPr>
      </w:pPr>
      <w:r w:rsidRPr="0051032A">
        <w:rPr>
          <w:rFonts w:eastAsia="SimSun"/>
        </w:rPr>
        <w:t xml:space="preserve">      # Prevalence of individuals who are viral </w:t>
      </w:r>
      <w:proofErr w:type="spellStart"/>
      <w:r w:rsidRPr="0051032A">
        <w:rPr>
          <w:rFonts w:eastAsia="SimSun"/>
        </w:rPr>
        <w:t>supprressed</w:t>
      </w:r>
      <w:proofErr w:type="spellEnd"/>
      <w:r w:rsidRPr="0051032A">
        <w:rPr>
          <w:rFonts w:eastAsia="SimSun"/>
        </w:rPr>
        <w:t xml:space="preserve"> among people living with HIV</w:t>
      </w:r>
    </w:p>
    <w:p w14:paraId="7897D24B" w14:textId="77777777" w:rsidR="00260B6D" w:rsidRPr="0051032A" w:rsidRDefault="00260B6D" w:rsidP="0051032A">
      <w:pPr>
        <w:rPr>
          <w:rFonts w:eastAsia="SimSun"/>
        </w:rPr>
      </w:pPr>
      <w:r w:rsidRPr="0051032A">
        <w:rPr>
          <w:rFonts w:eastAsia="SimSun"/>
        </w:rPr>
        <w:lastRenderedPageBreak/>
        <w:t xml:space="preserve">      </w:t>
      </w:r>
      <w:proofErr w:type="spellStart"/>
      <w:r w:rsidRPr="0051032A">
        <w:rPr>
          <w:rFonts w:eastAsia="SimSun"/>
        </w:rPr>
        <w:t>p_r_v</w:t>
      </w:r>
      <w:proofErr w:type="spellEnd"/>
      <w:r w:rsidRPr="0051032A">
        <w:rPr>
          <w:rFonts w:eastAsia="SimSun"/>
        </w:rPr>
        <w:t>[</w:t>
      </w:r>
      <w:proofErr w:type="gramStart"/>
      <w:r w:rsidRPr="0051032A">
        <w:rPr>
          <w:rFonts w:eastAsia="SimSun"/>
        </w:rPr>
        <w:t>t,s</w:t>
      </w:r>
      <w:proofErr w:type="gramEnd"/>
      <w:r w:rsidRPr="0051032A">
        <w:rPr>
          <w:rFonts w:eastAsia="SimSun"/>
        </w:rPr>
        <w:t xml:space="preserve">,1] &lt;- V[t,s,1]/N[t,s,1]  </w:t>
      </w:r>
    </w:p>
    <w:p w14:paraId="736B72FD" w14:textId="77777777" w:rsidR="00260B6D" w:rsidRPr="0051032A" w:rsidRDefault="00260B6D" w:rsidP="0051032A">
      <w:pPr>
        <w:rPr>
          <w:rFonts w:eastAsia="SimSun"/>
        </w:rPr>
      </w:pPr>
      <w:r w:rsidRPr="0051032A">
        <w:rPr>
          <w:rFonts w:eastAsia="SimSun"/>
        </w:rPr>
        <w:t xml:space="preserve">    }</w:t>
      </w:r>
    </w:p>
    <w:p w14:paraId="7C275BE7" w14:textId="77777777" w:rsidR="00260B6D" w:rsidRPr="0051032A" w:rsidRDefault="00260B6D" w:rsidP="0051032A">
      <w:pPr>
        <w:rPr>
          <w:rFonts w:eastAsia="SimSun"/>
        </w:rPr>
      </w:pPr>
      <w:r w:rsidRPr="0051032A">
        <w:rPr>
          <w:rFonts w:eastAsia="SimSun"/>
        </w:rPr>
        <w:t xml:space="preserve">    </w:t>
      </w:r>
    </w:p>
    <w:p w14:paraId="0CFDA0D6" w14:textId="77777777" w:rsidR="00260B6D" w:rsidRPr="0051032A" w:rsidRDefault="00260B6D" w:rsidP="0051032A">
      <w:pPr>
        <w:rPr>
          <w:rFonts w:eastAsia="SimSun"/>
        </w:rPr>
      </w:pPr>
      <w:r w:rsidRPr="0051032A">
        <w:rPr>
          <w:rFonts w:eastAsia="SimSun"/>
        </w:rPr>
        <w:t xml:space="preserve">    # initial value for force of infection and new infection (set to null)</w:t>
      </w:r>
    </w:p>
    <w:p w14:paraId="790FE537"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lambda_t_r</w:t>
      </w:r>
      <w:proofErr w:type="spellEnd"/>
      <w:r w:rsidRPr="0051032A">
        <w:rPr>
          <w:rFonts w:eastAsia="SimSun"/>
        </w:rPr>
        <w:t>[</w:t>
      </w:r>
      <w:proofErr w:type="gramStart"/>
      <w:r w:rsidRPr="0051032A">
        <w:rPr>
          <w:rFonts w:eastAsia="SimSun"/>
        </w:rPr>
        <w:t>t,s</w:t>
      </w:r>
      <w:proofErr w:type="gramEnd"/>
      <w:r w:rsidRPr="0051032A">
        <w:rPr>
          <w:rFonts w:eastAsia="SimSun"/>
        </w:rPr>
        <w:t>,1] &lt;- NA</w:t>
      </w:r>
    </w:p>
    <w:p w14:paraId="71D96703" w14:textId="77777777" w:rsidR="00260B6D" w:rsidRPr="0051032A" w:rsidRDefault="00260B6D" w:rsidP="0051032A">
      <w:pPr>
        <w:rPr>
          <w:rFonts w:eastAsia="SimSun"/>
        </w:rPr>
      </w:pPr>
      <w:r w:rsidRPr="0051032A">
        <w:rPr>
          <w:rFonts w:eastAsia="SimSun"/>
        </w:rPr>
        <w:t xml:space="preserve">    NI[</w:t>
      </w:r>
      <w:proofErr w:type="gramStart"/>
      <w:r w:rsidRPr="0051032A">
        <w:rPr>
          <w:rFonts w:eastAsia="SimSun"/>
        </w:rPr>
        <w:t>t,s</w:t>
      </w:r>
      <w:proofErr w:type="gramEnd"/>
      <w:r w:rsidRPr="0051032A">
        <w:rPr>
          <w:rFonts w:eastAsia="SimSun"/>
        </w:rPr>
        <w:t>,1] &lt;- NA</w:t>
      </w:r>
    </w:p>
    <w:p w14:paraId="3C51DDFE"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N_total</w:t>
      </w:r>
      <w:proofErr w:type="spellEnd"/>
      <w:r w:rsidRPr="0051032A">
        <w:rPr>
          <w:rFonts w:eastAsia="SimSun"/>
        </w:rPr>
        <w:t>[t,1,1]</w:t>
      </w:r>
    </w:p>
    <w:p w14:paraId="2BBE3583" w14:textId="77777777" w:rsidR="00260B6D" w:rsidRPr="0051032A" w:rsidRDefault="00260B6D" w:rsidP="0051032A">
      <w:pPr>
        <w:rPr>
          <w:rFonts w:eastAsia="SimSun"/>
        </w:rPr>
      </w:pPr>
      <w:r w:rsidRPr="0051032A">
        <w:rPr>
          <w:rFonts w:eastAsia="SimSun"/>
        </w:rPr>
        <w:t xml:space="preserve">  }</w:t>
      </w:r>
    </w:p>
    <w:p w14:paraId="16575426" w14:textId="05BF061E" w:rsidR="00260B6D" w:rsidRPr="0051032A" w:rsidRDefault="00260B6D" w:rsidP="0051032A">
      <w:pPr>
        <w:rPr>
          <w:rFonts w:eastAsia="SimSun"/>
        </w:rPr>
      </w:pPr>
      <w:r w:rsidRPr="0051032A">
        <w:rPr>
          <w:rFonts w:eastAsia="SimSun"/>
        </w:rPr>
        <w:t>}</w:t>
      </w:r>
    </w:p>
    <w:p w14:paraId="3178EFDC" w14:textId="7DEC9C24" w:rsidR="00260B6D" w:rsidRPr="0051032A" w:rsidRDefault="00260B6D" w:rsidP="0051032A">
      <w:r w:rsidRPr="0051032A">
        <w:rPr>
          <w:rFonts w:eastAsia="SimSun"/>
        </w:rPr>
        <w:t># End of initializing the parameters for sub-group</w:t>
      </w:r>
      <w:r w:rsidRPr="0051032A">
        <w:br/>
      </w:r>
      <w:r w:rsidRPr="0051032A">
        <w:rPr>
          <w:rFonts w:eastAsia="SimSun"/>
        </w:rPr>
        <w:t xml:space="preserve">  # Start the loop by generations</w:t>
      </w:r>
      <w:r w:rsidRPr="0051032A">
        <w:br/>
      </w:r>
      <w:r w:rsidRPr="0051032A">
        <w:rPr>
          <w:rFonts w:eastAsia="SimSun"/>
        </w:rPr>
        <w:t xml:space="preserve">  # The loop of generations goes before loops of sub-groups since operations in time period t+1 depends on the outcomes from all sub-groups in time period t.</w:t>
      </w:r>
      <w:r w:rsidRPr="0051032A">
        <w:br/>
      </w:r>
      <w:r w:rsidRPr="0051032A">
        <w:rPr>
          <w:rFonts w:eastAsia="SimSun"/>
        </w:rPr>
        <w:t xml:space="preserve">  # The generations starts from time 2 so that the equations in </w:t>
      </w:r>
      <w:proofErr w:type="spellStart"/>
      <w:r w:rsidRPr="0051032A">
        <w:rPr>
          <w:rFonts w:eastAsia="SimSun"/>
        </w:rPr>
        <w:t>R are</w:t>
      </w:r>
      <w:proofErr w:type="spellEnd"/>
      <w:r w:rsidRPr="0051032A">
        <w:rPr>
          <w:rFonts w:eastAsia="SimSun"/>
        </w:rPr>
        <w:t xml:space="preserve"> in line with the difference equation. </w:t>
      </w:r>
      <w:r w:rsidRPr="0051032A">
        <w:br/>
      </w:r>
      <w:r w:rsidRPr="0051032A">
        <w:rPr>
          <w:rFonts w:eastAsia="SimSun"/>
        </w:rPr>
        <w:t xml:space="preserve">  for (g in 2:(generations))</w:t>
      </w:r>
      <w:r w:rsidRPr="0051032A">
        <w:br/>
      </w:r>
      <w:r w:rsidRPr="0051032A">
        <w:rPr>
          <w:rFonts w:eastAsia="SimSun"/>
        </w:rPr>
        <w:t xml:space="preserve">  {</w:t>
      </w:r>
      <w:r w:rsidRPr="0051032A">
        <w:br/>
      </w:r>
      <w:r w:rsidRPr="0051032A">
        <w:rPr>
          <w:rFonts w:eastAsia="SimSun"/>
        </w:rPr>
        <w:t xml:space="preserve">   for (s in 1:(</w:t>
      </w:r>
      <w:proofErr w:type="spellStart"/>
      <w:r w:rsidRPr="0051032A">
        <w:rPr>
          <w:rFonts w:eastAsia="SimSun"/>
        </w:rPr>
        <w:t>sgroup</w:t>
      </w:r>
      <w:proofErr w:type="spellEnd"/>
      <w:r w:rsidRPr="0051032A">
        <w:rPr>
          <w:rFonts w:eastAsia="SimSun"/>
        </w:rPr>
        <w:t>))</w:t>
      </w:r>
      <w:r w:rsidRPr="0051032A">
        <w:br/>
      </w:r>
      <w:r w:rsidRPr="0051032A">
        <w:rPr>
          <w:rFonts w:eastAsia="SimSun"/>
        </w:rPr>
        <w:t xml:space="preserve">    {</w:t>
      </w:r>
      <w:r w:rsidRPr="0051032A">
        <w:br/>
      </w:r>
      <w:r w:rsidRPr="0051032A">
        <w:rPr>
          <w:rFonts w:eastAsia="SimSun"/>
        </w:rPr>
        <w:t xml:space="preserve">     # Based on the number of sub-group, calculate the force of infection with mixing</w:t>
      </w:r>
      <w:r w:rsidRPr="0051032A">
        <w:br/>
      </w:r>
      <w:r w:rsidRPr="0051032A">
        <w:rPr>
          <w:rFonts w:eastAsia="SimSun"/>
        </w:rPr>
        <w:t xml:space="preserve">     # group 1-5: low risk urban women</w:t>
      </w:r>
      <w:r w:rsidRPr="0051032A">
        <w:br/>
      </w:r>
      <w:r w:rsidRPr="0051032A">
        <w:rPr>
          <w:rFonts w:eastAsia="SimSun"/>
        </w:rPr>
        <w:t xml:space="preserve">     # group 6-10: high risk urban women</w:t>
      </w:r>
      <w:r w:rsidRPr="0051032A">
        <w:br/>
      </w:r>
      <w:r w:rsidRPr="0051032A">
        <w:rPr>
          <w:rFonts w:eastAsia="SimSun"/>
        </w:rPr>
        <w:t xml:space="preserve">     # group 11-15: low risk rural women</w:t>
      </w:r>
      <w:r w:rsidRPr="0051032A">
        <w:br/>
      </w:r>
      <w:r w:rsidRPr="0051032A">
        <w:rPr>
          <w:rFonts w:eastAsia="SimSun"/>
        </w:rPr>
        <w:t xml:space="preserve">     # group 16-20: urban men</w:t>
      </w:r>
      <w:r w:rsidRPr="0051032A">
        <w:br/>
      </w:r>
      <w:r w:rsidRPr="0051032A">
        <w:rPr>
          <w:rFonts w:eastAsia="SimSun"/>
        </w:rPr>
        <w:t xml:space="preserve">     # group 21-25: rural men</w:t>
      </w:r>
      <w:r w:rsidRPr="0051032A">
        <w:br/>
      </w:r>
      <w:r w:rsidRPr="0051032A">
        <w:rPr>
          <w:rFonts w:eastAsia="SimSun"/>
        </w:rPr>
        <w:t xml:space="preserve">     </w:t>
      </w:r>
      <w:r w:rsidRPr="0051032A">
        <w:br/>
      </w:r>
      <w:r w:rsidRPr="0051032A">
        <w:rPr>
          <w:rFonts w:eastAsia="SimSun"/>
        </w:rPr>
        <w:t xml:space="preserve">      # total population of low risk urban women from last generation, who will mix with urban men </w:t>
      </w:r>
      <w:r w:rsidRPr="0051032A">
        <w:br/>
      </w:r>
      <w:r w:rsidRPr="0051032A">
        <w:rPr>
          <w:rFonts w:eastAsia="SimSun"/>
        </w:rPr>
        <w:t xml:space="preserve">      </w:t>
      </w:r>
      <w:proofErr w:type="spellStart"/>
      <w:r w:rsidRPr="0051032A">
        <w:rPr>
          <w:rFonts w:eastAsia="SimSun"/>
        </w:rPr>
        <w:t>N_lr_u_f</w:t>
      </w:r>
      <w:proofErr w:type="spellEnd"/>
      <w:r w:rsidRPr="0051032A">
        <w:rPr>
          <w:rFonts w:eastAsia="SimSun"/>
        </w:rPr>
        <w:t>[t,s,g-1] &lt;- S[t,1,g-1]+S[t,2,g-1]+S[t,3,g-1]+S[t,4,g-1]+S[t,5,g-1]+N[t,1,g-1]+N[t,2,g-1]+N[t,3,g-1]+N[t,4,g-1]+N[t,5,g-1]</w:t>
      </w:r>
      <w:r w:rsidRPr="0051032A">
        <w:br/>
      </w:r>
      <w:r w:rsidRPr="0051032A">
        <w:rPr>
          <w:rFonts w:eastAsia="SimSun"/>
        </w:rPr>
        <w:t xml:space="preserve">      </w:t>
      </w:r>
      <w:r w:rsidRPr="0051032A">
        <w:br/>
      </w:r>
      <w:r w:rsidRPr="0051032A">
        <w:rPr>
          <w:rFonts w:eastAsia="SimSun"/>
        </w:rPr>
        <w:t xml:space="preserve">      # total population of high risk urban women from last generation, who will mix with urban and rural men </w:t>
      </w:r>
      <w:r w:rsidRPr="0051032A">
        <w:br/>
      </w:r>
      <w:r w:rsidRPr="0051032A">
        <w:rPr>
          <w:rFonts w:eastAsia="SimSun"/>
        </w:rPr>
        <w:t xml:space="preserve">      </w:t>
      </w:r>
      <w:proofErr w:type="spellStart"/>
      <w:r w:rsidRPr="0051032A">
        <w:rPr>
          <w:rFonts w:eastAsia="SimSun"/>
        </w:rPr>
        <w:t>N_hr_f</w:t>
      </w:r>
      <w:proofErr w:type="spellEnd"/>
      <w:r w:rsidRPr="0051032A">
        <w:rPr>
          <w:rFonts w:eastAsia="SimSun"/>
        </w:rPr>
        <w:t>[t,s,g-1] &lt;- S[t,6,g-1]+S[t,7,g-1]+S[t,8,g-1]+S[t,9,g-1]+S[t,10,g-1]+N[t,6,g-1]+N[t,7,g-1]+N[t,8,g-1]+N[t,9,g-1]+N[t,10,g-1]</w:t>
      </w:r>
      <w:r w:rsidRPr="0051032A">
        <w:br/>
      </w:r>
      <w:r w:rsidRPr="0051032A">
        <w:rPr>
          <w:rFonts w:eastAsia="SimSun"/>
        </w:rPr>
        <w:t xml:space="preserve">      </w:t>
      </w:r>
      <w:r w:rsidRPr="0051032A">
        <w:br/>
      </w:r>
      <w:r w:rsidRPr="0051032A">
        <w:rPr>
          <w:rFonts w:eastAsia="SimSun"/>
        </w:rPr>
        <w:t xml:space="preserve">      # total population of low risk rural women from last generation, who will mix with rural men </w:t>
      </w:r>
      <w:r w:rsidRPr="0051032A">
        <w:br/>
      </w:r>
      <w:r w:rsidRPr="0051032A">
        <w:rPr>
          <w:rFonts w:eastAsia="SimSun"/>
        </w:rPr>
        <w:t xml:space="preserve">      </w:t>
      </w:r>
      <w:proofErr w:type="spellStart"/>
      <w:r w:rsidRPr="0051032A">
        <w:rPr>
          <w:rFonts w:eastAsia="SimSun"/>
        </w:rPr>
        <w:t>N_lr_r_f</w:t>
      </w:r>
      <w:proofErr w:type="spellEnd"/>
      <w:r w:rsidRPr="0051032A">
        <w:rPr>
          <w:rFonts w:eastAsia="SimSun"/>
        </w:rPr>
        <w:t>[t,s,g-1] &lt;- S[t,11,g-1]+S[t,12,g-1]+S[t,13,g-1]+S[t,14,g-1]+S[t,15,g-1]+N[t,11,g-1]+N[t,12,g-1]+N[t,13,g-1]+N[t,14,g-1]+N[t,15,g-1]</w:t>
      </w:r>
      <w:r w:rsidRPr="0051032A">
        <w:br/>
      </w:r>
      <w:r w:rsidRPr="0051032A">
        <w:rPr>
          <w:rFonts w:eastAsia="SimSun"/>
        </w:rPr>
        <w:t xml:space="preserve">      </w:t>
      </w:r>
      <w:r w:rsidRPr="0051032A">
        <w:br/>
      </w:r>
      <w:r w:rsidRPr="0051032A">
        <w:rPr>
          <w:rFonts w:eastAsia="SimSun"/>
        </w:rPr>
        <w:t xml:space="preserve">      # total population of urban men from last generation, who will mix with high risk women and low risk urban women</w:t>
      </w:r>
      <w:r w:rsidRPr="0051032A">
        <w:br/>
      </w:r>
      <w:r w:rsidRPr="0051032A">
        <w:rPr>
          <w:rFonts w:eastAsia="SimSun"/>
        </w:rPr>
        <w:t xml:space="preserve">      </w:t>
      </w:r>
      <w:proofErr w:type="spellStart"/>
      <w:r w:rsidRPr="0051032A">
        <w:rPr>
          <w:rFonts w:eastAsia="SimSun"/>
        </w:rPr>
        <w:t>N_u_m</w:t>
      </w:r>
      <w:proofErr w:type="spellEnd"/>
      <w:r w:rsidRPr="0051032A">
        <w:rPr>
          <w:rFonts w:eastAsia="SimSun"/>
        </w:rPr>
        <w:t>[t,s,g-1] &lt;- S[t,16,g-1]+S[t,17,g-1]+S[t,18,g-1]+S[t,19,g-1]+S[t,20,g-1]+N[t,16,g-1]+N[t,17,g-1]+N[t,18,g-1]+N[t,19,g-1]+N[t,20,g-1]</w:t>
      </w:r>
      <w:r w:rsidRPr="0051032A">
        <w:br/>
      </w:r>
      <w:r w:rsidRPr="0051032A">
        <w:rPr>
          <w:rFonts w:eastAsia="SimSun"/>
        </w:rPr>
        <w:t xml:space="preserve">      </w:t>
      </w:r>
      <w:r w:rsidRPr="0051032A">
        <w:br/>
      </w:r>
      <w:r w:rsidRPr="0051032A">
        <w:rPr>
          <w:rFonts w:eastAsia="SimSun"/>
        </w:rPr>
        <w:t xml:space="preserve">      # total population of rural men from last generation, who will mix with high risk women and </w:t>
      </w:r>
      <w:r w:rsidRPr="0051032A">
        <w:rPr>
          <w:rFonts w:eastAsia="SimSun"/>
        </w:rPr>
        <w:lastRenderedPageBreak/>
        <w:t>low risk rural women</w:t>
      </w:r>
      <w:r w:rsidRPr="0051032A">
        <w:br/>
      </w:r>
      <w:r w:rsidRPr="0051032A">
        <w:rPr>
          <w:rFonts w:eastAsia="SimSun"/>
        </w:rPr>
        <w:t xml:space="preserve">      </w:t>
      </w:r>
      <w:proofErr w:type="spellStart"/>
      <w:r w:rsidRPr="0051032A">
        <w:rPr>
          <w:rFonts w:eastAsia="SimSun"/>
        </w:rPr>
        <w:t>N_r_m</w:t>
      </w:r>
      <w:proofErr w:type="spellEnd"/>
      <w:r w:rsidRPr="0051032A">
        <w:rPr>
          <w:rFonts w:eastAsia="SimSun"/>
        </w:rPr>
        <w:t>[t,s,g-1] &lt;- S[t,21,g-1]+S[t,22,g-1]+S[t,23,g-1]+S[t,24,g-1]+S[t,25,g-1]+N[t,21,g-1]+N[t,22,g-1]+N[t,23,g-1]+N[t,24,g-1]+N[t,25,g-1]</w:t>
      </w:r>
      <w:r w:rsidRPr="0051032A">
        <w:br/>
      </w:r>
      <w:r w:rsidRPr="0051032A">
        <w:rPr>
          <w:rFonts w:eastAsia="SimSun"/>
        </w:rPr>
        <w:t xml:space="preserve">      </w:t>
      </w:r>
      <w:r w:rsidRPr="0051032A">
        <w:br/>
      </w:r>
      <w:r w:rsidRPr="0051032A">
        <w:rPr>
          <w:rFonts w:eastAsia="SimSun"/>
        </w:rPr>
        <w:t xml:space="preserve">    # low risk urban women mixed with urban men</w:t>
      </w:r>
      <w:r w:rsidRPr="0051032A">
        <w:br/>
      </w:r>
      <w:r w:rsidRPr="0051032A">
        <w:rPr>
          <w:rFonts w:eastAsia="SimSun"/>
        </w:rPr>
        <w:t xml:space="preserve">    if (s&gt;=1&amp;s&lt;=5) </w:t>
      </w:r>
      <w:r w:rsidRPr="0051032A">
        <w:br/>
      </w:r>
      <w:r w:rsidRPr="0051032A">
        <w:rPr>
          <w:rFonts w:eastAsia="SimSun"/>
        </w:rPr>
        <w:t xml:space="preserve">    {</w:t>
      </w:r>
      <w:r w:rsidRPr="0051032A">
        <w:br/>
      </w:r>
      <w:r w:rsidRPr="0051032A">
        <w:rPr>
          <w:rFonts w:eastAsia="SimSun"/>
        </w:rPr>
        <w:t xml:space="preserve">      for (j in 16:20) </w:t>
      </w:r>
      <w:r w:rsidRPr="0051032A">
        <w:br/>
      </w:r>
      <w:r w:rsidRPr="0051032A">
        <w:rPr>
          <w:rFonts w:eastAsia="SimSun"/>
        </w:rPr>
        <w:t xml:space="preserve">        {</w:t>
      </w:r>
      <w:r w:rsidRPr="0051032A">
        <w:br/>
      </w:r>
      <w:r w:rsidRPr="0051032A">
        <w:rPr>
          <w:rFonts w:eastAsia="SimSun"/>
        </w:rPr>
        <w:t xml:space="preserve">    # force of infection low risk urban women</w:t>
      </w:r>
      <w:r w:rsidRPr="0051032A">
        <w:br/>
      </w:r>
      <w:r w:rsidRPr="0051032A">
        <w:rPr>
          <w:rFonts w:eastAsia="SimSun"/>
        </w:rPr>
        <w:t xml:space="preserve">    </w:t>
      </w:r>
      <w:proofErr w:type="spellStart"/>
      <w:r w:rsidRPr="0051032A">
        <w:rPr>
          <w:rFonts w:eastAsia="SimSun"/>
        </w:rPr>
        <w:t>lambda_t_r</w:t>
      </w:r>
      <w:proofErr w:type="spellEnd"/>
      <w:r w:rsidRPr="0051032A">
        <w:rPr>
          <w:rFonts w:eastAsia="SimSun"/>
        </w:rPr>
        <w:t>[</w:t>
      </w:r>
      <w:proofErr w:type="spellStart"/>
      <w:r w:rsidRPr="0051032A">
        <w:rPr>
          <w:rFonts w:eastAsia="SimSun"/>
        </w:rPr>
        <w:t>t,s,g</w:t>
      </w:r>
      <w:proofErr w:type="spellEnd"/>
      <w:r w:rsidRPr="0051032A">
        <w:rPr>
          <w:rFonts w:eastAsia="SimSun"/>
        </w:rPr>
        <w:t>] &lt;-  lambda_t_r[t,s,g]+((N[t,j,g-1]+S[t,j,g-1])/N_u_m[t,s,g-1])*(N[t,j,g-1]/(N[t,j,g-1]+S[t,j,g-1]))*(1-(1-(omega_r[t,s]*beta[t,s]*(kappa[t,s]*p_r_v[t,j,g-1]+p_r[t,j,g-1])))^n_r[t,s])</w:t>
      </w:r>
      <w:r w:rsidRPr="0051032A">
        <w:br/>
      </w:r>
      <w:r w:rsidRPr="0051032A">
        <w:rPr>
          <w:rFonts w:eastAsia="SimSun"/>
        </w:rPr>
        <w:t xml:space="preserve">      } </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 high risk women mixed with urban and rural men</w:t>
      </w:r>
      <w:r w:rsidRPr="0051032A">
        <w:br/>
      </w:r>
      <w:r w:rsidRPr="0051032A">
        <w:rPr>
          <w:rFonts w:eastAsia="SimSun"/>
        </w:rPr>
        <w:t xml:space="preserve">    if (s&gt;=6&amp;s&lt;=10) </w:t>
      </w:r>
      <w:r w:rsidRPr="0051032A">
        <w:br/>
      </w:r>
      <w:r w:rsidRPr="0051032A">
        <w:rPr>
          <w:rFonts w:eastAsia="SimSun"/>
        </w:rPr>
        <w:t xml:space="preserve">    {</w:t>
      </w:r>
      <w:r w:rsidRPr="0051032A">
        <w:br/>
      </w:r>
      <w:r w:rsidRPr="0051032A">
        <w:rPr>
          <w:rFonts w:eastAsia="SimSun"/>
        </w:rPr>
        <w:t xml:space="preserve">      for (j in 16:25) </w:t>
      </w:r>
      <w:r w:rsidRPr="0051032A">
        <w:br/>
      </w:r>
      <w:r w:rsidRPr="0051032A">
        <w:rPr>
          <w:rFonts w:eastAsia="SimSun"/>
        </w:rPr>
        <w:t xml:space="preserve">      {</w:t>
      </w:r>
      <w:r w:rsidRPr="0051032A">
        <w:br/>
      </w:r>
      <w:r w:rsidRPr="0051032A">
        <w:rPr>
          <w:rFonts w:eastAsia="SimSun"/>
        </w:rPr>
        <w:t xml:space="preserve">        # force of infection (high risk urban women)</w:t>
      </w:r>
      <w:r w:rsidRPr="0051032A">
        <w:br/>
      </w:r>
      <w:r w:rsidRPr="0051032A">
        <w:rPr>
          <w:rFonts w:eastAsia="SimSun"/>
        </w:rPr>
        <w:t xml:space="preserve">        </w:t>
      </w:r>
      <w:proofErr w:type="spellStart"/>
      <w:r w:rsidRPr="0051032A">
        <w:rPr>
          <w:rFonts w:eastAsia="SimSun"/>
        </w:rPr>
        <w:t>lambda_t_r</w:t>
      </w:r>
      <w:proofErr w:type="spellEnd"/>
      <w:r w:rsidRPr="0051032A">
        <w:rPr>
          <w:rFonts w:eastAsia="SimSun"/>
        </w:rPr>
        <w:t>[</w:t>
      </w:r>
      <w:proofErr w:type="spellStart"/>
      <w:r w:rsidRPr="0051032A">
        <w:rPr>
          <w:rFonts w:eastAsia="SimSun"/>
        </w:rPr>
        <w:t>t,s,g</w:t>
      </w:r>
      <w:proofErr w:type="spellEnd"/>
      <w:r w:rsidRPr="0051032A">
        <w:rPr>
          <w:rFonts w:eastAsia="SimSun"/>
        </w:rPr>
        <w:t>] &lt;-  lambda_t_r[t,s,g]+((N[t,j,g-1]+S[t,j,g-1])/N_u_m[t,s,g-1])*(N[t,j,g-1]/(N[t,j,g-1]+S[t,j,g-1]))*(1-(1-(omega_r[t,s]*beta[t,s]*(kappa[t,s]*p_r_v[t,j,g-1]+p_r[t,j,g-1])))^n_r[t,s])</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 low risk rural women mixed with rural men</w:t>
      </w:r>
      <w:r w:rsidRPr="0051032A">
        <w:br/>
      </w:r>
      <w:r w:rsidRPr="0051032A">
        <w:rPr>
          <w:rFonts w:eastAsia="SimSun"/>
        </w:rPr>
        <w:t xml:space="preserve">    if (s&gt;=11&amp;s&lt;=15) </w:t>
      </w:r>
      <w:r w:rsidRPr="0051032A">
        <w:br/>
      </w:r>
      <w:r w:rsidRPr="0051032A">
        <w:rPr>
          <w:rFonts w:eastAsia="SimSun"/>
        </w:rPr>
        <w:t xml:space="preserve">    {</w:t>
      </w:r>
      <w:r w:rsidRPr="0051032A">
        <w:br/>
      </w:r>
      <w:r w:rsidRPr="0051032A">
        <w:rPr>
          <w:rFonts w:eastAsia="SimSun"/>
        </w:rPr>
        <w:t xml:space="preserve">      for (j in 21:25) </w:t>
      </w:r>
      <w:r w:rsidRPr="0051032A">
        <w:br/>
      </w:r>
      <w:r w:rsidRPr="0051032A">
        <w:rPr>
          <w:rFonts w:eastAsia="SimSun"/>
        </w:rPr>
        <w:t xml:space="preserve">      {</w:t>
      </w:r>
      <w:r w:rsidRPr="0051032A">
        <w:br/>
      </w:r>
      <w:r w:rsidRPr="0051032A">
        <w:rPr>
          <w:rFonts w:eastAsia="SimSun"/>
        </w:rPr>
        <w:t xml:space="preserve">        # force of infection (low risk rural women)</w:t>
      </w:r>
      <w:r w:rsidRPr="0051032A">
        <w:br/>
      </w:r>
      <w:r w:rsidRPr="0051032A">
        <w:rPr>
          <w:rFonts w:eastAsia="SimSun"/>
        </w:rPr>
        <w:t xml:space="preserve">        </w:t>
      </w:r>
      <w:proofErr w:type="spellStart"/>
      <w:r w:rsidRPr="0051032A">
        <w:rPr>
          <w:rFonts w:eastAsia="SimSun"/>
        </w:rPr>
        <w:t>lambda_t_r</w:t>
      </w:r>
      <w:proofErr w:type="spellEnd"/>
      <w:r w:rsidRPr="0051032A">
        <w:rPr>
          <w:rFonts w:eastAsia="SimSun"/>
        </w:rPr>
        <w:t>[</w:t>
      </w:r>
      <w:proofErr w:type="spellStart"/>
      <w:r w:rsidRPr="0051032A">
        <w:rPr>
          <w:rFonts w:eastAsia="SimSun"/>
        </w:rPr>
        <w:t>t,s,g</w:t>
      </w:r>
      <w:proofErr w:type="spellEnd"/>
      <w:r w:rsidRPr="0051032A">
        <w:rPr>
          <w:rFonts w:eastAsia="SimSun"/>
        </w:rPr>
        <w:t>] &lt;-  lambda_t_r[t,s,g]+((N[t,j,g-1]+S[t,j,g-1])/N_u_m[t,s,g-1])*(N[t,j,g-1]/(N[t,j,g-1]+S[t,j,g-1]))*(1-(1-(omega_r[t,s]*beta[t,s]*(kappa[t,s]*p_r_v[t,j,g-1]+p_r[t,j,g-1])))^n_r[t,s])</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 urban men mixed with low risk urban women and high risk women</w:t>
      </w:r>
      <w:r w:rsidRPr="0051032A">
        <w:br/>
      </w:r>
      <w:r w:rsidRPr="0051032A">
        <w:rPr>
          <w:rFonts w:eastAsia="SimSun"/>
        </w:rPr>
        <w:t xml:space="preserve">    if (s&gt;=16&amp;s&lt;=20) </w:t>
      </w:r>
      <w:r w:rsidRPr="0051032A">
        <w:br/>
      </w:r>
      <w:r w:rsidRPr="0051032A">
        <w:rPr>
          <w:rFonts w:eastAsia="SimSun"/>
        </w:rPr>
        <w:t xml:space="preserve">    {</w:t>
      </w:r>
      <w:r w:rsidRPr="0051032A">
        <w:br/>
      </w:r>
      <w:r w:rsidRPr="0051032A">
        <w:rPr>
          <w:rFonts w:eastAsia="SimSun"/>
        </w:rPr>
        <w:t xml:space="preserve">      for (j in 1:10) </w:t>
      </w:r>
      <w:r w:rsidRPr="0051032A">
        <w:br/>
      </w:r>
      <w:r w:rsidRPr="0051032A">
        <w:rPr>
          <w:rFonts w:eastAsia="SimSun"/>
        </w:rPr>
        <w:t xml:space="preserve">      {</w:t>
      </w:r>
      <w:r w:rsidRPr="0051032A">
        <w:br/>
      </w:r>
      <w:r w:rsidRPr="0051032A">
        <w:rPr>
          <w:rFonts w:eastAsia="SimSun"/>
        </w:rPr>
        <w:t xml:space="preserve">        # force of infection (urban men)</w:t>
      </w:r>
      <w:r w:rsidRPr="0051032A">
        <w:br/>
      </w:r>
      <w:r w:rsidRPr="0051032A">
        <w:rPr>
          <w:rFonts w:eastAsia="SimSun"/>
        </w:rPr>
        <w:lastRenderedPageBreak/>
        <w:t xml:space="preserve">        </w:t>
      </w:r>
      <w:proofErr w:type="spellStart"/>
      <w:r w:rsidRPr="0051032A">
        <w:rPr>
          <w:rFonts w:eastAsia="SimSun"/>
        </w:rPr>
        <w:t>lambda_t_r</w:t>
      </w:r>
      <w:proofErr w:type="spellEnd"/>
      <w:r w:rsidRPr="0051032A">
        <w:rPr>
          <w:rFonts w:eastAsia="SimSun"/>
        </w:rPr>
        <w:t>[</w:t>
      </w:r>
      <w:proofErr w:type="spellStart"/>
      <w:r w:rsidRPr="0051032A">
        <w:rPr>
          <w:rFonts w:eastAsia="SimSun"/>
        </w:rPr>
        <w:t>t,s,g</w:t>
      </w:r>
      <w:proofErr w:type="spellEnd"/>
      <w:r w:rsidRPr="0051032A">
        <w:rPr>
          <w:rFonts w:eastAsia="SimSun"/>
        </w:rPr>
        <w:t>] &lt;-  lambda_t_r[t,s,g]+((N[t,j,g-1]+S[t,j,g-1])/N_u_m[t,s,g-1])*(N[t,j,g-1]/(N[t,j,g-1]+S[t,j,g-1]))*(1-(1-(omega_r[t,s]*beta[t,s]*(kappa[t,s]*p_r_v[t,j,g-1]+p_r[t,j,g-1])))^n_r[t,s])</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 rural men mixed with low risk rural women and high risk women</w:t>
      </w:r>
      <w:r w:rsidRPr="0051032A">
        <w:br/>
      </w:r>
      <w:r w:rsidRPr="0051032A">
        <w:rPr>
          <w:rFonts w:eastAsia="SimSun"/>
        </w:rPr>
        <w:t xml:space="preserve">    if (s&gt;=21&amp;s&lt;=25) </w:t>
      </w:r>
      <w:r w:rsidRPr="0051032A">
        <w:br/>
      </w:r>
      <w:r w:rsidRPr="0051032A">
        <w:rPr>
          <w:rFonts w:eastAsia="SimSun"/>
        </w:rPr>
        <w:t xml:space="preserve">    {</w:t>
      </w:r>
      <w:r w:rsidRPr="0051032A">
        <w:br/>
      </w:r>
      <w:r w:rsidRPr="0051032A">
        <w:rPr>
          <w:rFonts w:eastAsia="SimSun"/>
        </w:rPr>
        <w:t xml:space="preserve">      for (j in 6:15) </w:t>
      </w:r>
      <w:r w:rsidRPr="0051032A">
        <w:br/>
      </w:r>
      <w:r w:rsidRPr="0051032A">
        <w:rPr>
          <w:rFonts w:eastAsia="SimSun"/>
        </w:rPr>
        <w:t xml:space="preserve">      {</w:t>
      </w:r>
      <w:r w:rsidRPr="0051032A">
        <w:br/>
      </w:r>
      <w:r w:rsidRPr="0051032A">
        <w:rPr>
          <w:rFonts w:eastAsia="SimSun"/>
        </w:rPr>
        <w:t xml:space="preserve">        # force of infection (rural men)</w:t>
      </w:r>
      <w:r w:rsidRPr="0051032A">
        <w:br/>
      </w:r>
      <w:r w:rsidRPr="0051032A">
        <w:rPr>
          <w:rFonts w:eastAsia="SimSun"/>
        </w:rPr>
        <w:t xml:space="preserve">        </w:t>
      </w:r>
      <w:proofErr w:type="spellStart"/>
      <w:r w:rsidRPr="0051032A">
        <w:rPr>
          <w:rFonts w:eastAsia="SimSun"/>
        </w:rPr>
        <w:t>lambda_t_r</w:t>
      </w:r>
      <w:proofErr w:type="spellEnd"/>
      <w:r w:rsidRPr="0051032A">
        <w:rPr>
          <w:rFonts w:eastAsia="SimSun"/>
        </w:rPr>
        <w:t>[</w:t>
      </w:r>
      <w:proofErr w:type="spellStart"/>
      <w:r w:rsidRPr="0051032A">
        <w:rPr>
          <w:rFonts w:eastAsia="SimSun"/>
        </w:rPr>
        <w:t>t,s,g</w:t>
      </w:r>
      <w:proofErr w:type="spellEnd"/>
      <w:r w:rsidRPr="0051032A">
        <w:rPr>
          <w:rFonts w:eastAsia="SimSun"/>
        </w:rPr>
        <w:t>] &lt;-  lambda_t_r[t,s,g]+((N[t,j,g-1]+S[t,j,g-1])/N_u_m[t,s,g-1])*(N[t,j,g-1]/(N[t,j,g-1]+S[t,j,g-1]))*(1-(1-(omega_r[t,s]*beta[t,s]*(kappa[t,s]*p_r_v[t,j,g-1]+p_r[t,j,g-1])))^n_r[t,s])</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 Calculate new infections</w:t>
      </w:r>
      <w:r w:rsidRPr="0051032A">
        <w:br/>
      </w:r>
      <w:r w:rsidRPr="0051032A">
        <w:rPr>
          <w:rFonts w:eastAsia="SimSun"/>
        </w:rPr>
        <w:t xml:space="preserve">    NI[</w:t>
      </w:r>
      <w:proofErr w:type="spellStart"/>
      <w:r w:rsidRPr="0051032A">
        <w:rPr>
          <w:rFonts w:eastAsia="SimSun"/>
        </w:rPr>
        <w:t>t,s,g</w:t>
      </w:r>
      <w:proofErr w:type="spellEnd"/>
      <w:r w:rsidRPr="0051032A">
        <w:rPr>
          <w:rFonts w:eastAsia="SimSun"/>
        </w:rPr>
        <w:t xml:space="preserve">] &lt;- </w:t>
      </w:r>
      <w:proofErr w:type="spellStart"/>
      <w:r w:rsidRPr="0051032A">
        <w:rPr>
          <w:rFonts w:eastAsia="SimSun"/>
        </w:rPr>
        <w:t>lambda_t_r</w:t>
      </w:r>
      <w:proofErr w:type="spellEnd"/>
      <w:r w:rsidRPr="0051032A">
        <w:rPr>
          <w:rFonts w:eastAsia="SimSun"/>
        </w:rPr>
        <w:t>[</w:t>
      </w:r>
      <w:proofErr w:type="spellStart"/>
      <w:r w:rsidRPr="0051032A">
        <w:rPr>
          <w:rFonts w:eastAsia="SimSun"/>
        </w:rPr>
        <w:t>t,s,g</w:t>
      </w:r>
      <w:proofErr w:type="spellEnd"/>
      <w:r w:rsidRPr="0051032A">
        <w:rPr>
          <w:rFonts w:eastAsia="SimSun"/>
        </w:rPr>
        <w:t>]*S[t,s,g-1]</w:t>
      </w:r>
      <w:r w:rsidRPr="0051032A">
        <w:br/>
      </w:r>
      <w:r w:rsidRPr="0051032A">
        <w:rPr>
          <w:rFonts w:eastAsia="SimSun"/>
        </w:rPr>
        <w:t xml:space="preserve">    </w:t>
      </w:r>
      <w:r w:rsidRPr="0051032A">
        <w:br/>
      </w:r>
      <w:r w:rsidRPr="0051032A">
        <w:rPr>
          <w:rFonts w:eastAsia="SimSun"/>
        </w:rPr>
        <w:t xml:space="preserve">    # Difference equation for each compartments</w:t>
      </w:r>
      <w:r w:rsidRPr="0051032A">
        <w:br/>
      </w:r>
      <w:r w:rsidRPr="0051032A">
        <w:rPr>
          <w:rFonts w:eastAsia="SimSun"/>
        </w:rPr>
        <w:t xml:space="preserve">    source("T:/Health Behavior and Policy/Faculty/Kimmel/Common/Personnel work/Deo/</w:t>
      </w:r>
      <w:proofErr w:type="spellStart"/>
      <w:r w:rsidRPr="0051032A">
        <w:rPr>
          <w:rFonts w:eastAsia="SimSun"/>
        </w:rPr>
        <w:t>IeDEA</w:t>
      </w:r>
      <w:proofErr w:type="spellEnd"/>
      <w:r w:rsidRPr="0051032A">
        <w:rPr>
          <w:rFonts w:eastAsia="SimSun"/>
        </w:rPr>
        <w:t xml:space="preserve">/HIV Transmission Model-Rwanda/R Code/Shared code/diff_equation_0224_subgroup.R") </w:t>
      </w:r>
      <w:r w:rsidRPr="0051032A">
        <w:br/>
      </w:r>
      <w:r w:rsidRPr="0051032A">
        <w:rPr>
          <w:rFonts w:eastAsia="SimSun"/>
        </w:rPr>
        <w:t xml:space="preserve">    </w:t>
      </w:r>
      <w:r w:rsidRPr="0051032A">
        <w:br/>
      </w:r>
      <w:r w:rsidRPr="0051032A">
        <w:rPr>
          <w:rFonts w:eastAsia="SimSun"/>
        </w:rPr>
        <w:t xml:space="preserve">    # Total population of HIV infected individuals</w:t>
      </w:r>
      <w:r w:rsidRPr="0051032A">
        <w:br/>
      </w:r>
      <w:r w:rsidRPr="0051032A">
        <w:rPr>
          <w:rFonts w:eastAsia="SimSun"/>
        </w:rPr>
        <w:t xml:space="preserve">    N[</w:t>
      </w:r>
      <w:proofErr w:type="spellStart"/>
      <w:r w:rsidRPr="0051032A">
        <w:rPr>
          <w:rFonts w:eastAsia="SimSun"/>
        </w:rPr>
        <w:t>t,s,g</w:t>
      </w:r>
      <w:proofErr w:type="spellEnd"/>
      <w:r w:rsidRPr="0051032A">
        <w:rPr>
          <w:rFonts w:eastAsia="SimSun"/>
        </w:rPr>
        <w:t>] &lt;- X1[t,s,g]+X2[t,s,g]+X3[t,s,g]+X4[t,s,g]+X5[t,s,g]+X6[t,s,g]+X7[t,s,g]+X8[t,s,g]+X9[t,s,g]+X10[t,s,g]+X11[t,s,g]+X12[t,s,g]+X13[t,s,g]+X14[t,s,g]+X15[t,s,g]+X16[t,s,g]+X17[t,s,g]+X18[t,s,g]+X19[t,s,g]+X20[t,s,g]+X21[t,s,g]+X22[t,s,g]+X23[t,s,g]+X24[t,s,g]</w:t>
      </w:r>
      <w:r w:rsidRPr="0051032A">
        <w:br/>
      </w:r>
      <w:r w:rsidRPr="0051032A">
        <w:rPr>
          <w:rFonts w:eastAsia="SimSun"/>
        </w:rPr>
        <w:t xml:space="preserve">    </w:t>
      </w:r>
      <w:r w:rsidRPr="0051032A">
        <w:br/>
      </w:r>
      <w:r w:rsidRPr="0051032A">
        <w:rPr>
          <w:rFonts w:eastAsia="SimSun"/>
        </w:rPr>
        <w:t xml:space="preserve">    # Total population of individuals who are not viral suppressed</w:t>
      </w:r>
      <w:r w:rsidRPr="0051032A">
        <w:br/>
      </w:r>
      <w:r w:rsidRPr="0051032A">
        <w:rPr>
          <w:rFonts w:eastAsia="SimSun"/>
        </w:rPr>
        <w:t xml:space="preserve">    Z[</w:t>
      </w:r>
      <w:proofErr w:type="spellStart"/>
      <w:r w:rsidRPr="0051032A">
        <w:rPr>
          <w:rFonts w:eastAsia="SimSun"/>
        </w:rPr>
        <w:t>t,s,g</w:t>
      </w:r>
      <w:proofErr w:type="spellEnd"/>
      <w:r w:rsidRPr="0051032A">
        <w:rPr>
          <w:rFonts w:eastAsia="SimSun"/>
        </w:rPr>
        <w:t>] &lt;- X1[t,s,g]+X2[t,s,g]+X3[t,s,g]+X4[t,s,g]+X5[t,s,g]+X6[t,s,g]+X7[t,s,g]+X8[t,s,g]+X9[t,s,g]+X10[t,s,g]+X11[t,s,g]+X12[t,s,g]+X13[t,s,g]+X14[t,s,g]+X15[t,s,g]+X16[t,s,g]+X21[t,s,g]+X22[t,s,g]+X23[t,s,g]+X24[t,s,g]</w:t>
      </w:r>
      <w:r w:rsidRPr="0051032A">
        <w:br/>
      </w:r>
      <w:r w:rsidRPr="0051032A">
        <w:rPr>
          <w:rFonts w:eastAsia="SimSun"/>
        </w:rPr>
        <w:t xml:space="preserve">    </w:t>
      </w:r>
      <w:r w:rsidRPr="0051032A">
        <w:br/>
      </w:r>
      <w:r w:rsidRPr="0051032A">
        <w:rPr>
          <w:rFonts w:eastAsia="SimSun"/>
        </w:rPr>
        <w:t xml:space="preserve">    # Total population of individuals who are viral suppressed</w:t>
      </w:r>
      <w:r w:rsidRPr="0051032A">
        <w:br/>
      </w:r>
      <w:r w:rsidRPr="0051032A">
        <w:rPr>
          <w:rFonts w:eastAsia="SimSun"/>
        </w:rPr>
        <w:t xml:space="preserve">    V[</w:t>
      </w:r>
      <w:proofErr w:type="spellStart"/>
      <w:r w:rsidRPr="0051032A">
        <w:rPr>
          <w:rFonts w:eastAsia="SimSun"/>
        </w:rPr>
        <w:t>t,s,g</w:t>
      </w:r>
      <w:proofErr w:type="spellEnd"/>
      <w:r w:rsidRPr="0051032A">
        <w:rPr>
          <w:rFonts w:eastAsia="SimSun"/>
        </w:rPr>
        <w:t>] &lt;- X17[</w:t>
      </w:r>
      <w:proofErr w:type="spellStart"/>
      <w:r w:rsidRPr="0051032A">
        <w:rPr>
          <w:rFonts w:eastAsia="SimSun"/>
        </w:rPr>
        <w:t>t,s,g</w:t>
      </w:r>
      <w:proofErr w:type="spellEnd"/>
      <w:r w:rsidRPr="0051032A">
        <w:rPr>
          <w:rFonts w:eastAsia="SimSun"/>
        </w:rPr>
        <w:t>]+X18[</w:t>
      </w:r>
      <w:proofErr w:type="spellStart"/>
      <w:r w:rsidRPr="0051032A">
        <w:rPr>
          <w:rFonts w:eastAsia="SimSun"/>
        </w:rPr>
        <w:t>t,s,g</w:t>
      </w:r>
      <w:proofErr w:type="spellEnd"/>
      <w:r w:rsidRPr="0051032A">
        <w:rPr>
          <w:rFonts w:eastAsia="SimSun"/>
        </w:rPr>
        <w:t>]+X19[</w:t>
      </w:r>
      <w:proofErr w:type="spellStart"/>
      <w:r w:rsidRPr="0051032A">
        <w:rPr>
          <w:rFonts w:eastAsia="SimSun"/>
        </w:rPr>
        <w:t>t,s,g</w:t>
      </w:r>
      <w:proofErr w:type="spellEnd"/>
      <w:r w:rsidRPr="0051032A">
        <w:rPr>
          <w:rFonts w:eastAsia="SimSun"/>
        </w:rPr>
        <w:t>]+X20[</w:t>
      </w:r>
      <w:proofErr w:type="spellStart"/>
      <w:r w:rsidRPr="0051032A">
        <w:rPr>
          <w:rFonts w:eastAsia="SimSun"/>
        </w:rPr>
        <w:t>t,s,g</w:t>
      </w:r>
      <w:proofErr w:type="spellEnd"/>
      <w:r w:rsidRPr="0051032A">
        <w:rPr>
          <w:rFonts w:eastAsia="SimSun"/>
        </w:rPr>
        <w:t>]</w:t>
      </w:r>
      <w:r w:rsidRPr="0051032A">
        <w:br/>
      </w:r>
      <w:r w:rsidRPr="0051032A">
        <w:rPr>
          <w:rFonts w:eastAsia="SimSun"/>
        </w:rPr>
        <w:t xml:space="preserve">    </w:t>
      </w:r>
      <w:r w:rsidRPr="0051032A">
        <w:br/>
      </w:r>
      <w:r w:rsidRPr="0051032A">
        <w:rPr>
          <w:rFonts w:eastAsia="SimSun"/>
        </w:rPr>
        <w:t xml:space="preserve">    if (N[</w:t>
      </w:r>
      <w:proofErr w:type="spellStart"/>
      <w:r w:rsidRPr="0051032A">
        <w:rPr>
          <w:rFonts w:eastAsia="SimSun"/>
        </w:rPr>
        <w:t>t,s,g</w:t>
      </w:r>
      <w:proofErr w:type="spellEnd"/>
      <w:r w:rsidRPr="0051032A">
        <w:rPr>
          <w:rFonts w:eastAsia="SimSun"/>
        </w:rPr>
        <w:t>]==0) {</w:t>
      </w:r>
      <w:r w:rsidRPr="0051032A">
        <w:br/>
      </w:r>
      <w:r w:rsidRPr="0051032A">
        <w:rPr>
          <w:rFonts w:eastAsia="SimSun"/>
        </w:rPr>
        <w:t xml:space="preserve">      </w:t>
      </w:r>
      <w:r w:rsidRPr="0051032A">
        <w:br/>
      </w:r>
      <w:r w:rsidRPr="0051032A">
        <w:rPr>
          <w:rFonts w:eastAsia="SimSun"/>
        </w:rPr>
        <w:t xml:space="preserve">      </w:t>
      </w:r>
      <w:proofErr w:type="spellStart"/>
      <w:r w:rsidRPr="0051032A">
        <w:rPr>
          <w:rFonts w:eastAsia="SimSun"/>
        </w:rPr>
        <w:t>p_r</w:t>
      </w:r>
      <w:proofErr w:type="spellEnd"/>
      <w:r w:rsidRPr="0051032A">
        <w:rPr>
          <w:rFonts w:eastAsia="SimSun"/>
        </w:rPr>
        <w:t>[</w:t>
      </w:r>
      <w:proofErr w:type="spellStart"/>
      <w:r w:rsidRPr="0051032A">
        <w:rPr>
          <w:rFonts w:eastAsia="SimSun"/>
        </w:rPr>
        <w:t>t,s,g</w:t>
      </w:r>
      <w:proofErr w:type="spellEnd"/>
      <w:r w:rsidRPr="0051032A">
        <w:rPr>
          <w:rFonts w:eastAsia="SimSun"/>
        </w:rPr>
        <w:t>] &lt;- 0</w:t>
      </w:r>
      <w:r w:rsidRPr="0051032A">
        <w:br/>
      </w:r>
      <w:r w:rsidRPr="0051032A">
        <w:rPr>
          <w:rFonts w:eastAsia="SimSun"/>
        </w:rPr>
        <w:t xml:space="preserve">      </w:t>
      </w:r>
      <w:proofErr w:type="spellStart"/>
      <w:r w:rsidRPr="0051032A">
        <w:rPr>
          <w:rFonts w:eastAsia="SimSun"/>
        </w:rPr>
        <w:t>p_r_v</w:t>
      </w:r>
      <w:proofErr w:type="spellEnd"/>
      <w:r w:rsidRPr="0051032A">
        <w:rPr>
          <w:rFonts w:eastAsia="SimSun"/>
        </w:rPr>
        <w:t>[</w:t>
      </w:r>
      <w:proofErr w:type="spellStart"/>
      <w:r w:rsidRPr="0051032A">
        <w:rPr>
          <w:rFonts w:eastAsia="SimSun"/>
        </w:rPr>
        <w:t>t,s,g</w:t>
      </w:r>
      <w:proofErr w:type="spellEnd"/>
      <w:r w:rsidRPr="0051032A">
        <w:rPr>
          <w:rFonts w:eastAsia="SimSun"/>
        </w:rPr>
        <w:t>] &lt;- 0</w:t>
      </w:r>
      <w:r w:rsidRPr="0051032A">
        <w:br/>
      </w:r>
      <w:r w:rsidRPr="0051032A">
        <w:rPr>
          <w:rFonts w:eastAsia="SimSun"/>
        </w:rPr>
        <w:t xml:space="preserve">      </w:t>
      </w:r>
      <w:r w:rsidRPr="0051032A">
        <w:br/>
      </w:r>
      <w:r w:rsidRPr="0051032A">
        <w:rPr>
          <w:rFonts w:eastAsia="SimSun"/>
        </w:rPr>
        <w:lastRenderedPageBreak/>
        <w:t xml:space="preserve">    } else {</w:t>
      </w:r>
      <w:r w:rsidRPr="0051032A">
        <w:br/>
      </w:r>
      <w:r w:rsidRPr="0051032A">
        <w:rPr>
          <w:rFonts w:eastAsia="SimSun"/>
        </w:rPr>
        <w:t xml:space="preserve">      </w:t>
      </w:r>
      <w:r w:rsidRPr="0051032A">
        <w:br/>
      </w:r>
      <w:r w:rsidRPr="0051032A">
        <w:rPr>
          <w:rFonts w:eastAsia="SimSun"/>
        </w:rPr>
        <w:t xml:space="preserve">      # Prevalence of HIV in the population based on individuals who are not viral </w:t>
      </w:r>
      <w:proofErr w:type="spellStart"/>
      <w:r w:rsidRPr="0051032A">
        <w:rPr>
          <w:rFonts w:eastAsia="SimSun"/>
        </w:rPr>
        <w:t>supprressed</w:t>
      </w:r>
      <w:proofErr w:type="spellEnd"/>
      <w:r w:rsidRPr="0051032A">
        <w:br/>
      </w:r>
      <w:r w:rsidRPr="0051032A">
        <w:rPr>
          <w:rFonts w:eastAsia="SimSun"/>
        </w:rPr>
        <w:t xml:space="preserve">      </w:t>
      </w:r>
      <w:proofErr w:type="spellStart"/>
      <w:r w:rsidRPr="0051032A">
        <w:rPr>
          <w:rFonts w:eastAsia="SimSun"/>
        </w:rPr>
        <w:t>p_r</w:t>
      </w:r>
      <w:proofErr w:type="spellEnd"/>
      <w:r w:rsidRPr="0051032A">
        <w:rPr>
          <w:rFonts w:eastAsia="SimSun"/>
        </w:rPr>
        <w:t>[</w:t>
      </w:r>
      <w:proofErr w:type="spellStart"/>
      <w:r w:rsidRPr="0051032A">
        <w:rPr>
          <w:rFonts w:eastAsia="SimSun"/>
        </w:rPr>
        <w:t>t,s,g</w:t>
      </w:r>
      <w:proofErr w:type="spellEnd"/>
      <w:r w:rsidRPr="0051032A">
        <w:rPr>
          <w:rFonts w:eastAsia="SimSun"/>
        </w:rPr>
        <w:t>] &lt;- Z[</w:t>
      </w:r>
      <w:proofErr w:type="spellStart"/>
      <w:r w:rsidRPr="0051032A">
        <w:rPr>
          <w:rFonts w:eastAsia="SimSun"/>
        </w:rPr>
        <w:t>t,s,g</w:t>
      </w:r>
      <w:proofErr w:type="spellEnd"/>
      <w:r w:rsidRPr="0051032A">
        <w:rPr>
          <w:rFonts w:eastAsia="SimSun"/>
        </w:rPr>
        <w:t>]/N[</w:t>
      </w:r>
      <w:proofErr w:type="spellStart"/>
      <w:r w:rsidRPr="0051032A">
        <w:rPr>
          <w:rFonts w:eastAsia="SimSun"/>
        </w:rPr>
        <w:t>t,s,g</w:t>
      </w:r>
      <w:proofErr w:type="spellEnd"/>
      <w:r w:rsidRPr="0051032A">
        <w:rPr>
          <w:rFonts w:eastAsia="SimSun"/>
        </w:rPr>
        <w:t>]</w:t>
      </w:r>
      <w:r w:rsidRPr="0051032A">
        <w:br/>
      </w:r>
      <w:r w:rsidRPr="0051032A">
        <w:rPr>
          <w:rFonts w:eastAsia="SimSun"/>
        </w:rPr>
        <w:t xml:space="preserve">      </w:t>
      </w:r>
      <w:r w:rsidRPr="0051032A">
        <w:br/>
      </w:r>
      <w:r w:rsidRPr="0051032A">
        <w:rPr>
          <w:rFonts w:eastAsia="SimSun"/>
        </w:rPr>
        <w:t xml:space="preserve">      # Prevalence of HIV in the population based on individuals who are viral </w:t>
      </w:r>
      <w:proofErr w:type="spellStart"/>
      <w:r w:rsidRPr="0051032A">
        <w:rPr>
          <w:rFonts w:eastAsia="SimSun"/>
        </w:rPr>
        <w:t>supprressed</w:t>
      </w:r>
      <w:proofErr w:type="spellEnd"/>
      <w:r w:rsidRPr="0051032A">
        <w:br/>
      </w:r>
      <w:r w:rsidRPr="0051032A">
        <w:rPr>
          <w:rFonts w:eastAsia="SimSun"/>
        </w:rPr>
        <w:t xml:space="preserve">      </w:t>
      </w:r>
      <w:proofErr w:type="spellStart"/>
      <w:r w:rsidRPr="0051032A">
        <w:rPr>
          <w:rFonts w:eastAsia="SimSun"/>
        </w:rPr>
        <w:t>p_r_v</w:t>
      </w:r>
      <w:proofErr w:type="spellEnd"/>
      <w:r w:rsidRPr="0051032A">
        <w:rPr>
          <w:rFonts w:eastAsia="SimSun"/>
        </w:rPr>
        <w:t>[</w:t>
      </w:r>
      <w:proofErr w:type="spellStart"/>
      <w:r w:rsidRPr="0051032A">
        <w:rPr>
          <w:rFonts w:eastAsia="SimSun"/>
        </w:rPr>
        <w:t>t,s,g</w:t>
      </w:r>
      <w:proofErr w:type="spellEnd"/>
      <w:r w:rsidRPr="0051032A">
        <w:rPr>
          <w:rFonts w:eastAsia="SimSun"/>
        </w:rPr>
        <w:t>] &lt;- V[</w:t>
      </w:r>
      <w:proofErr w:type="spellStart"/>
      <w:r w:rsidRPr="0051032A">
        <w:rPr>
          <w:rFonts w:eastAsia="SimSun"/>
        </w:rPr>
        <w:t>t,s,g</w:t>
      </w:r>
      <w:proofErr w:type="spellEnd"/>
      <w:r w:rsidRPr="0051032A">
        <w:rPr>
          <w:rFonts w:eastAsia="SimSun"/>
        </w:rPr>
        <w:t>]/N[</w:t>
      </w:r>
      <w:proofErr w:type="spellStart"/>
      <w:r w:rsidRPr="0051032A">
        <w:rPr>
          <w:rFonts w:eastAsia="SimSun"/>
        </w:rPr>
        <w:t>t,s,g</w:t>
      </w:r>
      <w:proofErr w:type="spellEnd"/>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 EPIDMIC CURVES </w:t>
      </w:r>
      <w:r w:rsidRPr="0051032A">
        <w:br/>
      </w:r>
      <w:r w:rsidRPr="0051032A">
        <w:br/>
      </w:r>
      <w:r w:rsidRPr="0051032A">
        <w:rPr>
          <w:rFonts w:eastAsia="SimSun"/>
        </w:rPr>
        <w:t xml:space="preserve">for (t in (1:trials)){  </w:t>
      </w:r>
      <w:r w:rsidRPr="0051032A">
        <w:br/>
      </w:r>
      <w:r w:rsidRPr="0051032A">
        <w:rPr>
          <w:rFonts w:eastAsia="SimSun"/>
        </w:rPr>
        <w:t xml:space="preserve">  for (g in (1:generations)) {</w:t>
      </w:r>
      <w:r w:rsidRPr="0051032A">
        <w:br/>
      </w:r>
      <w:r w:rsidRPr="0051032A">
        <w:rPr>
          <w:rFonts w:eastAsia="SimSun"/>
        </w:rPr>
        <w:t xml:space="preserve">    for (s in (1:sgroup)){</w:t>
      </w:r>
      <w:r w:rsidRPr="0051032A">
        <w:br/>
      </w:r>
      <w:r w:rsidRPr="0051032A">
        <w:rPr>
          <w:rFonts w:eastAsia="SimSun"/>
        </w:rPr>
        <w:t xml:space="preserve">      </w:t>
      </w:r>
      <w:proofErr w:type="spellStart"/>
      <w:r w:rsidRPr="0051032A">
        <w:rPr>
          <w:rFonts w:eastAsia="SimSun"/>
        </w:rPr>
        <w:t>NI_total</w:t>
      </w:r>
      <w:proofErr w:type="spellEnd"/>
      <w:r w:rsidRPr="0051032A">
        <w:rPr>
          <w:rFonts w:eastAsia="SimSun"/>
        </w:rPr>
        <w:t>[t,1,g]=</w:t>
      </w:r>
      <w:proofErr w:type="spellStart"/>
      <w:r w:rsidRPr="0051032A">
        <w:rPr>
          <w:rFonts w:eastAsia="SimSun"/>
        </w:rPr>
        <w:t>NI_total</w:t>
      </w:r>
      <w:proofErr w:type="spellEnd"/>
      <w:r w:rsidRPr="0051032A">
        <w:rPr>
          <w:rFonts w:eastAsia="SimSun"/>
        </w:rPr>
        <w:t>[t,1,g]+NI[</w:t>
      </w:r>
      <w:proofErr w:type="spellStart"/>
      <w:r w:rsidRPr="0051032A">
        <w:rPr>
          <w:rFonts w:eastAsia="SimSun"/>
        </w:rPr>
        <w:t>t,s,g</w:t>
      </w:r>
      <w:proofErr w:type="spellEnd"/>
      <w:r w:rsidRPr="0051032A">
        <w:rPr>
          <w:rFonts w:eastAsia="SimSun"/>
        </w:rPr>
        <w:t>]</w:t>
      </w:r>
      <w:r w:rsidRPr="0051032A">
        <w:br/>
      </w:r>
      <w:r w:rsidRPr="0051032A">
        <w:rPr>
          <w:rFonts w:eastAsia="SimSun"/>
        </w:rPr>
        <w:t xml:space="preserve">      </w:t>
      </w:r>
      <w:proofErr w:type="spellStart"/>
      <w:r w:rsidRPr="0051032A">
        <w:rPr>
          <w:rFonts w:eastAsia="SimSun"/>
        </w:rPr>
        <w:t>N_total</w:t>
      </w:r>
      <w:proofErr w:type="spellEnd"/>
      <w:r w:rsidRPr="0051032A">
        <w:rPr>
          <w:rFonts w:eastAsia="SimSun"/>
        </w:rPr>
        <w:t>[t,1,g]=</w:t>
      </w:r>
      <w:proofErr w:type="spellStart"/>
      <w:r w:rsidRPr="0051032A">
        <w:rPr>
          <w:rFonts w:eastAsia="SimSun"/>
        </w:rPr>
        <w:t>N_total</w:t>
      </w:r>
      <w:proofErr w:type="spellEnd"/>
      <w:r w:rsidRPr="0051032A">
        <w:rPr>
          <w:rFonts w:eastAsia="SimSun"/>
        </w:rPr>
        <w:t>[t,1,g]+N[</w:t>
      </w:r>
      <w:proofErr w:type="spellStart"/>
      <w:r w:rsidRPr="0051032A">
        <w:rPr>
          <w:rFonts w:eastAsia="SimSun"/>
        </w:rPr>
        <w:t>t,s,g</w:t>
      </w:r>
      <w:proofErr w:type="spellEnd"/>
      <w:r w:rsidRPr="0051032A">
        <w:rPr>
          <w:rFonts w:eastAsia="SimSun"/>
        </w:rPr>
        <w:t>]</w:t>
      </w:r>
      <w:r w:rsidRPr="0051032A">
        <w:br/>
      </w:r>
      <w:r w:rsidRPr="0051032A">
        <w:rPr>
          <w:rFonts w:eastAsia="SimSun"/>
        </w:rPr>
        <w:t xml:space="preserve">      </w:t>
      </w:r>
      <w:proofErr w:type="spellStart"/>
      <w:r w:rsidRPr="0051032A">
        <w:rPr>
          <w:rFonts w:eastAsia="SimSun"/>
        </w:rPr>
        <w:t>Z_total</w:t>
      </w:r>
      <w:proofErr w:type="spellEnd"/>
      <w:r w:rsidRPr="0051032A">
        <w:rPr>
          <w:rFonts w:eastAsia="SimSun"/>
        </w:rPr>
        <w:t>[t,1,g]=</w:t>
      </w:r>
      <w:proofErr w:type="spellStart"/>
      <w:r w:rsidRPr="0051032A">
        <w:rPr>
          <w:rFonts w:eastAsia="SimSun"/>
        </w:rPr>
        <w:t>Z_total</w:t>
      </w:r>
      <w:proofErr w:type="spellEnd"/>
      <w:r w:rsidRPr="0051032A">
        <w:rPr>
          <w:rFonts w:eastAsia="SimSun"/>
        </w:rPr>
        <w:t>[t,1,g]+Z[</w:t>
      </w:r>
      <w:proofErr w:type="spellStart"/>
      <w:r w:rsidRPr="0051032A">
        <w:rPr>
          <w:rFonts w:eastAsia="SimSun"/>
        </w:rPr>
        <w:t>t,s,g</w:t>
      </w:r>
      <w:proofErr w:type="spellEnd"/>
      <w:r w:rsidRPr="0051032A">
        <w:rPr>
          <w:rFonts w:eastAsia="SimSun"/>
        </w:rPr>
        <w:t>]</w:t>
      </w:r>
      <w:r w:rsidRPr="0051032A">
        <w:br/>
      </w:r>
      <w:r w:rsidRPr="0051032A">
        <w:rPr>
          <w:rFonts w:eastAsia="SimSun"/>
        </w:rPr>
        <w:t xml:space="preserve">      </w:t>
      </w:r>
      <w:proofErr w:type="spellStart"/>
      <w:r w:rsidRPr="0051032A">
        <w:rPr>
          <w:rFonts w:eastAsia="SimSun"/>
        </w:rPr>
        <w:t>V_total</w:t>
      </w:r>
      <w:proofErr w:type="spellEnd"/>
      <w:r w:rsidRPr="0051032A">
        <w:rPr>
          <w:rFonts w:eastAsia="SimSun"/>
        </w:rPr>
        <w:t>[t,1,g]=</w:t>
      </w:r>
      <w:proofErr w:type="spellStart"/>
      <w:r w:rsidRPr="0051032A">
        <w:rPr>
          <w:rFonts w:eastAsia="SimSun"/>
        </w:rPr>
        <w:t>V_total</w:t>
      </w:r>
      <w:proofErr w:type="spellEnd"/>
      <w:r w:rsidRPr="0051032A">
        <w:rPr>
          <w:rFonts w:eastAsia="SimSun"/>
        </w:rPr>
        <w:t>[t,1,g]+V[</w:t>
      </w:r>
      <w:proofErr w:type="spellStart"/>
      <w:r w:rsidRPr="0051032A">
        <w:rPr>
          <w:rFonts w:eastAsia="SimSun"/>
        </w:rPr>
        <w:t>t,s,g</w:t>
      </w:r>
      <w:proofErr w:type="spellEnd"/>
      <w:r w:rsidRPr="0051032A">
        <w:rPr>
          <w:rFonts w:eastAsia="SimSun"/>
        </w:rPr>
        <w:t>]</w:t>
      </w:r>
      <w:r w:rsidRPr="0051032A">
        <w:br/>
      </w:r>
      <w:r w:rsidRPr="0051032A">
        <w:rPr>
          <w:rFonts w:eastAsia="SimSun"/>
        </w:rPr>
        <w:t xml:space="preserve">      </w:t>
      </w:r>
      <w:proofErr w:type="spellStart"/>
      <w:r w:rsidRPr="0051032A">
        <w:rPr>
          <w:rFonts w:eastAsia="SimSun"/>
        </w:rPr>
        <w:t>S_total</w:t>
      </w:r>
      <w:proofErr w:type="spellEnd"/>
      <w:r w:rsidRPr="0051032A">
        <w:rPr>
          <w:rFonts w:eastAsia="SimSun"/>
        </w:rPr>
        <w:t>[t,1,g]=</w:t>
      </w:r>
      <w:proofErr w:type="spellStart"/>
      <w:r w:rsidRPr="0051032A">
        <w:rPr>
          <w:rFonts w:eastAsia="SimSun"/>
        </w:rPr>
        <w:t>S_total</w:t>
      </w:r>
      <w:proofErr w:type="spellEnd"/>
      <w:r w:rsidRPr="0051032A">
        <w:rPr>
          <w:rFonts w:eastAsia="SimSun"/>
        </w:rPr>
        <w:t>[t,1,g]+S[</w:t>
      </w:r>
      <w:proofErr w:type="spellStart"/>
      <w:r w:rsidRPr="0051032A">
        <w:rPr>
          <w:rFonts w:eastAsia="SimSun"/>
        </w:rPr>
        <w:t>t,s,g</w:t>
      </w:r>
      <w:proofErr w:type="spellEnd"/>
      <w:r w:rsidRPr="0051032A">
        <w:rPr>
          <w:rFonts w:eastAsia="SimSun"/>
        </w:rPr>
        <w:t>]</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for (t in (1:trials)) {</w:t>
      </w:r>
      <w:r w:rsidRPr="0051032A">
        <w:br/>
      </w:r>
      <w:r w:rsidRPr="0051032A">
        <w:rPr>
          <w:rFonts w:eastAsia="SimSun"/>
        </w:rPr>
        <w:t xml:space="preserve">  # Assign a vector to store the year variables</w:t>
      </w:r>
      <w:r w:rsidRPr="0051032A">
        <w:br/>
      </w:r>
      <w:r w:rsidRPr="0051032A">
        <w:rPr>
          <w:rFonts w:eastAsia="SimSun"/>
        </w:rPr>
        <w:t xml:space="preserve">  year &lt;- seq(from=2004, to=2039, by=1)</w:t>
      </w:r>
      <w:r w:rsidRPr="0051032A">
        <w:br/>
      </w:r>
      <w:r w:rsidRPr="0051032A">
        <w:br/>
      </w:r>
      <w:r w:rsidRPr="0051032A">
        <w:rPr>
          <w:rFonts w:eastAsia="SimSun"/>
        </w:rPr>
        <w:t xml:space="preserve">  # Annual new infection</w:t>
      </w:r>
      <w:r w:rsidRPr="0051032A">
        <w:br/>
      </w:r>
      <w:r w:rsidRPr="0051032A">
        <w:rPr>
          <w:rFonts w:eastAsia="SimSun"/>
        </w:rPr>
        <w:t xml:space="preserve">  library(zoo)</w:t>
      </w:r>
      <w:r w:rsidRPr="0051032A">
        <w:br/>
      </w:r>
      <w:r w:rsidRPr="0051032A">
        <w:rPr>
          <w:rFonts w:eastAsia="SimSun"/>
        </w:rPr>
        <w:t xml:space="preserve">  </w:t>
      </w:r>
      <w:proofErr w:type="spellStart"/>
      <w:r w:rsidRPr="0051032A">
        <w:rPr>
          <w:rFonts w:eastAsia="SimSun"/>
        </w:rPr>
        <w:t>NI_total_y</w:t>
      </w:r>
      <w:proofErr w:type="spellEnd"/>
      <w:r w:rsidRPr="0051032A">
        <w:rPr>
          <w:rFonts w:eastAsia="SimSun"/>
        </w:rPr>
        <w:t xml:space="preserve">[t,] &lt;- </w:t>
      </w:r>
      <w:proofErr w:type="spellStart"/>
      <w:r w:rsidRPr="0051032A">
        <w:rPr>
          <w:rFonts w:eastAsia="SimSun"/>
        </w:rPr>
        <w:t>rollapply</w:t>
      </w:r>
      <w:proofErr w:type="spellEnd"/>
      <w:r w:rsidRPr="0051032A">
        <w:rPr>
          <w:rFonts w:eastAsia="SimSun"/>
        </w:rPr>
        <w:t>(</w:t>
      </w:r>
      <w:proofErr w:type="spellStart"/>
      <w:r w:rsidRPr="0051032A">
        <w:rPr>
          <w:rFonts w:eastAsia="SimSun"/>
        </w:rPr>
        <w:t>NI_total</w:t>
      </w:r>
      <w:proofErr w:type="spellEnd"/>
      <w:r w:rsidRPr="0051032A">
        <w:rPr>
          <w:rFonts w:eastAsia="SimSun"/>
        </w:rPr>
        <w:t>[t,1,],1,sum,by=12)</w:t>
      </w:r>
      <w:r w:rsidRPr="0051032A">
        <w:br/>
      </w:r>
      <w:r w:rsidRPr="0051032A">
        <w:rPr>
          <w:rFonts w:eastAsia="SimSun"/>
        </w:rPr>
        <w:t xml:space="preserve">  plot(year, </w:t>
      </w:r>
      <w:proofErr w:type="spellStart"/>
      <w:r w:rsidRPr="0051032A">
        <w:rPr>
          <w:rFonts w:eastAsia="SimSun"/>
        </w:rPr>
        <w:t>NI_total_y</w:t>
      </w:r>
      <w:proofErr w:type="spellEnd"/>
      <w:r w:rsidRPr="0051032A">
        <w:rPr>
          <w:rFonts w:eastAsia="SimSun"/>
        </w:rPr>
        <w:t xml:space="preserve">[t,], type = "l", col="red", </w:t>
      </w:r>
      <w:proofErr w:type="spellStart"/>
      <w:r w:rsidRPr="0051032A">
        <w:rPr>
          <w:rFonts w:eastAsia="SimSun"/>
        </w:rPr>
        <w:t>xlab</w:t>
      </w:r>
      <w:proofErr w:type="spellEnd"/>
      <w:r w:rsidRPr="0051032A">
        <w:rPr>
          <w:rFonts w:eastAsia="SimSun"/>
        </w:rPr>
        <w:t xml:space="preserve"> = "Year", </w:t>
      </w:r>
      <w:proofErr w:type="spellStart"/>
      <w:r w:rsidRPr="0051032A">
        <w:rPr>
          <w:rFonts w:eastAsia="SimSun"/>
        </w:rPr>
        <w:t>ylab</w:t>
      </w:r>
      <w:proofErr w:type="spellEnd"/>
      <w:r w:rsidRPr="0051032A">
        <w:rPr>
          <w:rFonts w:eastAsia="SimSun"/>
        </w:rPr>
        <w:t xml:space="preserve"> = "New HIV Infections", main = "Annual individuals newly infected - Overall", </w:t>
      </w:r>
      <w:proofErr w:type="spellStart"/>
      <w:r w:rsidRPr="0051032A">
        <w:rPr>
          <w:rFonts w:eastAsia="SimSun"/>
        </w:rPr>
        <w:t>ylim</w:t>
      </w:r>
      <w:proofErr w:type="spellEnd"/>
      <w:r w:rsidRPr="0051032A">
        <w:rPr>
          <w:rFonts w:eastAsia="SimSun"/>
        </w:rPr>
        <w:t>=c(0,max(</w:t>
      </w:r>
      <w:proofErr w:type="spellStart"/>
      <w:r w:rsidRPr="0051032A">
        <w:rPr>
          <w:rFonts w:eastAsia="SimSun"/>
        </w:rPr>
        <w:t>NI_total_y</w:t>
      </w:r>
      <w:proofErr w:type="spellEnd"/>
      <w:r w:rsidRPr="0051032A">
        <w:rPr>
          <w:rFonts w:eastAsia="SimSun"/>
        </w:rPr>
        <w:t>[t,],na.rm=TRUE)))</w:t>
      </w:r>
      <w:r w:rsidRPr="0051032A">
        <w:br/>
      </w:r>
      <w:r w:rsidRPr="0051032A">
        <w:rPr>
          <w:rFonts w:eastAsia="SimSun"/>
        </w:rPr>
        <w:t xml:space="preserve">  </w:t>
      </w:r>
      <w:r w:rsidRPr="0051032A">
        <w:br/>
      </w:r>
      <w:r w:rsidRPr="0051032A">
        <w:rPr>
          <w:rFonts w:eastAsia="SimSun"/>
        </w:rPr>
        <w:t xml:space="preserve">  # People living with HIV</w:t>
      </w:r>
      <w:r w:rsidRPr="0051032A">
        <w:br/>
      </w:r>
      <w:r w:rsidRPr="0051032A">
        <w:rPr>
          <w:rFonts w:eastAsia="SimSun"/>
        </w:rPr>
        <w:t xml:space="preserve">  </w:t>
      </w:r>
      <w:proofErr w:type="spellStart"/>
      <w:r w:rsidRPr="0051032A">
        <w:rPr>
          <w:rFonts w:eastAsia="SimSun"/>
        </w:rPr>
        <w:t>N_total_y</w:t>
      </w:r>
      <w:proofErr w:type="spellEnd"/>
      <w:r w:rsidRPr="0051032A">
        <w:rPr>
          <w:rFonts w:eastAsia="SimSun"/>
        </w:rPr>
        <w:t xml:space="preserve">[t,] &lt;- </w:t>
      </w:r>
      <w:proofErr w:type="spellStart"/>
      <w:r w:rsidRPr="0051032A">
        <w:rPr>
          <w:rFonts w:eastAsia="SimSun"/>
        </w:rPr>
        <w:t>N_total</w:t>
      </w:r>
      <w:proofErr w:type="spellEnd"/>
      <w:r w:rsidRPr="0051032A">
        <w:rPr>
          <w:rFonts w:eastAsia="SimSun"/>
        </w:rPr>
        <w:t>[t,1,][seq(1, length(</w:t>
      </w:r>
      <w:proofErr w:type="spellStart"/>
      <w:r w:rsidRPr="0051032A">
        <w:rPr>
          <w:rFonts w:eastAsia="SimSun"/>
        </w:rPr>
        <w:t>N_total</w:t>
      </w:r>
      <w:proofErr w:type="spellEnd"/>
      <w:r w:rsidRPr="0051032A">
        <w:rPr>
          <w:rFonts w:eastAsia="SimSun"/>
        </w:rPr>
        <w:t>[t,1,]), 12)]</w:t>
      </w:r>
      <w:r w:rsidRPr="0051032A">
        <w:br/>
      </w:r>
      <w:r w:rsidRPr="0051032A">
        <w:rPr>
          <w:rFonts w:eastAsia="SimSun"/>
        </w:rPr>
        <w:t xml:space="preserve">  plot(year, </w:t>
      </w:r>
      <w:proofErr w:type="spellStart"/>
      <w:r w:rsidRPr="0051032A">
        <w:rPr>
          <w:rFonts w:eastAsia="SimSun"/>
        </w:rPr>
        <w:t>N_total_y</w:t>
      </w:r>
      <w:proofErr w:type="spellEnd"/>
      <w:r w:rsidRPr="0051032A">
        <w:rPr>
          <w:rFonts w:eastAsia="SimSun"/>
        </w:rPr>
        <w:t xml:space="preserve">[t,], type = "l", col="red", </w:t>
      </w:r>
      <w:proofErr w:type="spellStart"/>
      <w:r w:rsidRPr="0051032A">
        <w:rPr>
          <w:rFonts w:eastAsia="SimSun"/>
        </w:rPr>
        <w:t>xlab</w:t>
      </w:r>
      <w:proofErr w:type="spellEnd"/>
      <w:r w:rsidRPr="0051032A">
        <w:rPr>
          <w:rFonts w:eastAsia="SimSun"/>
        </w:rPr>
        <w:t xml:space="preserve"> = "Year", </w:t>
      </w:r>
      <w:proofErr w:type="spellStart"/>
      <w:r w:rsidRPr="0051032A">
        <w:rPr>
          <w:rFonts w:eastAsia="SimSun"/>
        </w:rPr>
        <w:t>ylab</w:t>
      </w:r>
      <w:proofErr w:type="spellEnd"/>
      <w:r w:rsidRPr="0051032A">
        <w:rPr>
          <w:rFonts w:eastAsia="SimSun"/>
        </w:rPr>
        <w:t xml:space="preserve"> = "Individuals living with HIV", main = "Annual individuals living with HIV - Overall", </w:t>
      </w:r>
      <w:proofErr w:type="spellStart"/>
      <w:r w:rsidRPr="0051032A">
        <w:rPr>
          <w:rFonts w:eastAsia="SimSun"/>
        </w:rPr>
        <w:t>ylim</w:t>
      </w:r>
      <w:proofErr w:type="spellEnd"/>
      <w:r w:rsidRPr="0051032A">
        <w:rPr>
          <w:rFonts w:eastAsia="SimSun"/>
        </w:rPr>
        <w:t>=c(0,max(</w:t>
      </w:r>
      <w:proofErr w:type="spellStart"/>
      <w:r w:rsidRPr="0051032A">
        <w:rPr>
          <w:rFonts w:eastAsia="SimSun"/>
        </w:rPr>
        <w:t>N_total_y</w:t>
      </w:r>
      <w:proofErr w:type="spellEnd"/>
      <w:r w:rsidRPr="0051032A">
        <w:rPr>
          <w:rFonts w:eastAsia="SimSun"/>
        </w:rPr>
        <w:t>[t,],na.rm=TRUE)))</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 HIV prevalence</w:t>
      </w:r>
      <w:r w:rsidRPr="0051032A">
        <w:br/>
      </w:r>
      <w:r w:rsidRPr="0051032A">
        <w:rPr>
          <w:rFonts w:eastAsia="SimSun"/>
        </w:rPr>
        <w:t xml:space="preserve">  </w:t>
      </w:r>
      <w:proofErr w:type="spellStart"/>
      <w:r w:rsidRPr="0051032A">
        <w:rPr>
          <w:rFonts w:eastAsia="SimSun"/>
        </w:rPr>
        <w:t>Prevalence_total</w:t>
      </w:r>
      <w:proofErr w:type="spellEnd"/>
      <w:r w:rsidRPr="0051032A">
        <w:rPr>
          <w:rFonts w:eastAsia="SimSun"/>
        </w:rPr>
        <w:t>[t,1,] &lt;- (</w:t>
      </w:r>
      <w:proofErr w:type="spellStart"/>
      <w:r w:rsidRPr="0051032A">
        <w:rPr>
          <w:rFonts w:eastAsia="SimSun"/>
        </w:rPr>
        <w:t>Z_total</w:t>
      </w:r>
      <w:proofErr w:type="spellEnd"/>
      <w:r w:rsidRPr="0051032A">
        <w:rPr>
          <w:rFonts w:eastAsia="SimSun"/>
        </w:rPr>
        <w:t>[t,1,]+</w:t>
      </w:r>
      <w:proofErr w:type="spellStart"/>
      <w:r w:rsidRPr="0051032A">
        <w:rPr>
          <w:rFonts w:eastAsia="SimSun"/>
        </w:rPr>
        <w:t>V_total</w:t>
      </w:r>
      <w:proofErr w:type="spellEnd"/>
      <w:r w:rsidRPr="0051032A">
        <w:rPr>
          <w:rFonts w:eastAsia="SimSun"/>
        </w:rPr>
        <w:t>[t,1,])/(</w:t>
      </w:r>
      <w:proofErr w:type="spellStart"/>
      <w:r w:rsidRPr="0051032A">
        <w:rPr>
          <w:rFonts w:eastAsia="SimSun"/>
        </w:rPr>
        <w:t>N_total</w:t>
      </w:r>
      <w:proofErr w:type="spellEnd"/>
      <w:r w:rsidRPr="0051032A">
        <w:rPr>
          <w:rFonts w:eastAsia="SimSun"/>
        </w:rPr>
        <w:t>[t,1,]+</w:t>
      </w:r>
      <w:proofErr w:type="spellStart"/>
      <w:r w:rsidRPr="0051032A">
        <w:rPr>
          <w:rFonts w:eastAsia="SimSun"/>
        </w:rPr>
        <w:t>S_total</w:t>
      </w:r>
      <w:proofErr w:type="spellEnd"/>
      <w:r w:rsidRPr="0051032A">
        <w:rPr>
          <w:rFonts w:eastAsia="SimSun"/>
        </w:rPr>
        <w:t>[t,1,])</w:t>
      </w:r>
      <w:r w:rsidRPr="0051032A">
        <w:br/>
      </w:r>
      <w:r w:rsidRPr="0051032A">
        <w:rPr>
          <w:rFonts w:eastAsia="SimSun"/>
        </w:rPr>
        <w:t xml:space="preserve">  </w:t>
      </w:r>
      <w:proofErr w:type="spellStart"/>
      <w:r w:rsidRPr="0051032A">
        <w:rPr>
          <w:rFonts w:eastAsia="SimSun"/>
        </w:rPr>
        <w:t>Prevalence_total_y</w:t>
      </w:r>
      <w:proofErr w:type="spellEnd"/>
      <w:r w:rsidRPr="0051032A">
        <w:rPr>
          <w:rFonts w:eastAsia="SimSun"/>
        </w:rPr>
        <w:t xml:space="preserve">[t,] &lt;- </w:t>
      </w:r>
      <w:proofErr w:type="spellStart"/>
      <w:r w:rsidRPr="0051032A">
        <w:rPr>
          <w:rFonts w:eastAsia="SimSun"/>
        </w:rPr>
        <w:t>Prevalence_total</w:t>
      </w:r>
      <w:proofErr w:type="spellEnd"/>
      <w:r w:rsidRPr="0051032A">
        <w:rPr>
          <w:rFonts w:eastAsia="SimSun"/>
        </w:rPr>
        <w:t>[t,1,][seq(1,length(</w:t>
      </w:r>
      <w:proofErr w:type="spellStart"/>
      <w:r w:rsidRPr="0051032A">
        <w:rPr>
          <w:rFonts w:eastAsia="SimSun"/>
        </w:rPr>
        <w:t>Prevalence_total</w:t>
      </w:r>
      <w:proofErr w:type="spellEnd"/>
      <w:r w:rsidRPr="0051032A">
        <w:rPr>
          <w:rFonts w:eastAsia="SimSun"/>
        </w:rPr>
        <w:t>[t,1,]),12)]</w:t>
      </w:r>
      <w:r w:rsidRPr="0051032A">
        <w:br/>
      </w:r>
      <w:r w:rsidRPr="0051032A">
        <w:rPr>
          <w:rFonts w:eastAsia="SimSun"/>
        </w:rPr>
        <w:lastRenderedPageBreak/>
        <w:t xml:space="preserve">  plot(year, 100*</w:t>
      </w:r>
      <w:proofErr w:type="spellStart"/>
      <w:r w:rsidRPr="0051032A">
        <w:rPr>
          <w:rFonts w:eastAsia="SimSun"/>
        </w:rPr>
        <w:t>Prevalence_total_y</w:t>
      </w:r>
      <w:proofErr w:type="spellEnd"/>
      <w:r w:rsidRPr="0051032A">
        <w:rPr>
          <w:rFonts w:eastAsia="SimSun"/>
        </w:rPr>
        <w:t xml:space="preserve">[t,], type = "l", col="red", </w:t>
      </w:r>
      <w:proofErr w:type="spellStart"/>
      <w:r w:rsidRPr="0051032A">
        <w:rPr>
          <w:rFonts w:eastAsia="SimSun"/>
        </w:rPr>
        <w:t>xlab</w:t>
      </w:r>
      <w:proofErr w:type="spellEnd"/>
      <w:r w:rsidRPr="0051032A">
        <w:rPr>
          <w:rFonts w:eastAsia="SimSun"/>
        </w:rPr>
        <w:t xml:space="preserve"> = "Year", </w:t>
      </w:r>
      <w:proofErr w:type="spellStart"/>
      <w:r w:rsidRPr="0051032A">
        <w:rPr>
          <w:rFonts w:eastAsia="SimSun"/>
        </w:rPr>
        <w:t>ylab</w:t>
      </w:r>
      <w:proofErr w:type="spellEnd"/>
      <w:r w:rsidRPr="0051032A">
        <w:rPr>
          <w:rFonts w:eastAsia="SimSun"/>
        </w:rPr>
        <w:t xml:space="preserve"> = "Prevalence (%)", main = "Annual HIV prevalence - Overall", </w:t>
      </w:r>
      <w:proofErr w:type="spellStart"/>
      <w:r w:rsidRPr="0051032A">
        <w:rPr>
          <w:rFonts w:eastAsia="SimSun"/>
        </w:rPr>
        <w:t>ylim</w:t>
      </w:r>
      <w:proofErr w:type="spellEnd"/>
      <w:r w:rsidRPr="0051032A">
        <w:rPr>
          <w:rFonts w:eastAsia="SimSun"/>
        </w:rPr>
        <w:t>=c(0,max(100*</w:t>
      </w:r>
      <w:proofErr w:type="spellStart"/>
      <w:r w:rsidRPr="0051032A">
        <w:rPr>
          <w:rFonts w:eastAsia="SimSun"/>
        </w:rPr>
        <w:t>Prevalence_total_y</w:t>
      </w:r>
      <w:proofErr w:type="spellEnd"/>
      <w:r w:rsidRPr="0051032A">
        <w:rPr>
          <w:rFonts w:eastAsia="SimSun"/>
        </w:rPr>
        <w:t>[t,],na.rm=TRUE)))</w:t>
      </w:r>
      <w:r w:rsidRPr="0051032A">
        <w:br/>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 Subgroups</w:t>
      </w:r>
      <w:r w:rsidRPr="0051032A">
        <w:br/>
      </w:r>
      <w:r w:rsidRPr="0051032A">
        <w:rPr>
          <w:rFonts w:eastAsia="SimSun"/>
        </w:rPr>
        <w:t xml:space="preserve">  # # For now, we only report new HIV infections, people living with HIV, and HIV prevalence for each sub-group. </w:t>
      </w:r>
      <w:r w:rsidRPr="0051032A">
        <w:br/>
      </w:r>
      <w:r w:rsidRPr="0051032A">
        <w:rPr>
          <w:rFonts w:eastAsia="SimSun"/>
        </w:rPr>
        <w:t xml:space="preserve">  for (s in (1:sgroup)){</w:t>
      </w:r>
      <w:r w:rsidRPr="0051032A">
        <w:br/>
      </w:r>
      <w:r w:rsidRPr="0051032A">
        <w:rPr>
          <w:rFonts w:eastAsia="SimSun"/>
        </w:rPr>
        <w:t xml:space="preserve">  # New infections </w:t>
      </w:r>
      <w:r w:rsidRPr="0051032A">
        <w:br/>
      </w:r>
      <w:r w:rsidRPr="0051032A">
        <w:rPr>
          <w:rFonts w:eastAsia="SimSun"/>
        </w:rPr>
        <w:t xml:space="preserve">   </w:t>
      </w:r>
      <w:proofErr w:type="spellStart"/>
      <w:r w:rsidRPr="0051032A">
        <w:rPr>
          <w:rFonts w:eastAsia="SimSun"/>
        </w:rPr>
        <w:t>NI_y</w:t>
      </w:r>
      <w:proofErr w:type="spellEnd"/>
      <w:r w:rsidRPr="0051032A">
        <w:rPr>
          <w:rFonts w:eastAsia="SimSun"/>
        </w:rPr>
        <w:t>[</w:t>
      </w:r>
      <w:proofErr w:type="spellStart"/>
      <w:r w:rsidRPr="0051032A">
        <w:rPr>
          <w:rFonts w:eastAsia="SimSun"/>
        </w:rPr>
        <w:t>t,s</w:t>
      </w:r>
      <w:proofErr w:type="spellEnd"/>
      <w:r w:rsidRPr="0051032A">
        <w:rPr>
          <w:rFonts w:eastAsia="SimSun"/>
        </w:rPr>
        <w:t xml:space="preserve">,] &lt;- </w:t>
      </w:r>
      <w:proofErr w:type="spellStart"/>
      <w:r w:rsidRPr="0051032A">
        <w:rPr>
          <w:rFonts w:eastAsia="SimSun"/>
        </w:rPr>
        <w:t>rollapply</w:t>
      </w:r>
      <w:proofErr w:type="spellEnd"/>
      <w:r w:rsidRPr="0051032A">
        <w:rPr>
          <w:rFonts w:eastAsia="SimSun"/>
        </w:rPr>
        <w:t>(NI[</w:t>
      </w:r>
      <w:proofErr w:type="spellStart"/>
      <w:r w:rsidRPr="0051032A">
        <w:rPr>
          <w:rFonts w:eastAsia="SimSun"/>
        </w:rPr>
        <w:t>t,s</w:t>
      </w:r>
      <w:proofErr w:type="spellEnd"/>
      <w:r w:rsidRPr="0051032A">
        <w:rPr>
          <w:rFonts w:eastAsia="SimSun"/>
        </w:rPr>
        <w:t>,],1,sum,by=12)</w:t>
      </w:r>
      <w:r w:rsidRPr="0051032A">
        <w:br/>
      </w:r>
      <w:r w:rsidRPr="0051032A">
        <w:rPr>
          <w:rFonts w:eastAsia="SimSun"/>
        </w:rPr>
        <w:t xml:space="preserve">   </w:t>
      </w:r>
      <w:r w:rsidRPr="0051032A">
        <w:br/>
      </w:r>
      <w:r w:rsidRPr="0051032A">
        <w:rPr>
          <w:rFonts w:eastAsia="SimSun"/>
        </w:rPr>
        <w:t xml:space="preserve">  # People living with HIV</w:t>
      </w:r>
      <w:r w:rsidRPr="0051032A">
        <w:br/>
      </w:r>
      <w:r w:rsidRPr="0051032A">
        <w:rPr>
          <w:rFonts w:eastAsia="SimSun"/>
        </w:rPr>
        <w:t xml:space="preserve">  </w:t>
      </w:r>
      <w:proofErr w:type="spellStart"/>
      <w:r w:rsidRPr="0051032A">
        <w:rPr>
          <w:rFonts w:eastAsia="SimSun"/>
        </w:rPr>
        <w:t>N_y</w:t>
      </w:r>
      <w:proofErr w:type="spellEnd"/>
      <w:r w:rsidRPr="0051032A">
        <w:rPr>
          <w:rFonts w:eastAsia="SimSun"/>
        </w:rPr>
        <w:t>[</w:t>
      </w:r>
      <w:proofErr w:type="spellStart"/>
      <w:r w:rsidRPr="0051032A">
        <w:rPr>
          <w:rFonts w:eastAsia="SimSun"/>
        </w:rPr>
        <w:t>t,s</w:t>
      </w:r>
      <w:proofErr w:type="spellEnd"/>
      <w:r w:rsidRPr="0051032A">
        <w:rPr>
          <w:rFonts w:eastAsia="SimSun"/>
        </w:rPr>
        <w:t>,] &lt;- N[</w:t>
      </w:r>
      <w:proofErr w:type="spellStart"/>
      <w:r w:rsidRPr="0051032A">
        <w:rPr>
          <w:rFonts w:eastAsia="SimSun"/>
        </w:rPr>
        <w:t>t,s</w:t>
      </w:r>
      <w:proofErr w:type="spellEnd"/>
      <w:r w:rsidRPr="0051032A">
        <w:rPr>
          <w:rFonts w:eastAsia="SimSun"/>
        </w:rPr>
        <w:t>,][seq(1, length(N[</w:t>
      </w:r>
      <w:proofErr w:type="spellStart"/>
      <w:r w:rsidRPr="0051032A">
        <w:rPr>
          <w:rFonts w:eastAsia="SimSun"/>
        </w:rPr>
        <w:t>t,s</w:t>
      </w:r>
      <w:proofErr w:type="spellEnd"/>
      <w:r w:rsidRPr="0051032A">
        <w:rPr>
          <w:rFonts w:eastAsia="SimSun"/>
        </w:rPr>
        <w:t>,]), 12)]</w:t>
      </w:r>
      <w:r w:rsidRPr="0051032A">
        <w:br/>
      </w:r>
      <w:r w:rsidRPr="0051032A">
        <w:br/>
      </w:r>
      <w:r w:rsidRPr="0051032A">
        <w:rPr>
          <w:rFonts w:eastAsia="SimSun"/>
        </w:rPr>
        <w:t xml:space="preserve">  # HIV prevalence</w:t>
      </w:r>
      <w:r w:rsidRPr="0051032A">
        <w:br/>
      </w:r>
      <w:r w:rsidRPr="0051032A">
        <w:rPr>
          <w:rFonts w:eastAsia="SimSun"/>
        </w:rPr>
        <w:t xml:space="preserve">   Prevalence[</w:t>
      </w:r>
      <w:proofErr w:type="spellStart"/>
      <w:r w:rsidRPr="0051032A">
        <w:rPr>
          <w:rFonts w:eastAsia="SimSun"/>
        </w:rPr>
        <w:t>t,s</w:t>
      </w:r>
      <w:proofErr w:type="spellEnd"/>
      <w:r w:rsidRPr="0051032A">
        <w:rPr>
          <w:rFonts w:eastAsia="SimSun"/>
        </w:rPr>
        <w:t>,] &lt;- (Z[</w:t>
      </w:r>
      <w:proofErr w:type="spellStart"/>
      <w:r w:rsidRPr="0051032A">
        <w:rPr>
          <w:rFonts w:eastAsia="SimSun"/>
        </w:rPr>
        <w:t>t,s</w:t>
      </w:r>
      <w:proofErr w:type="spellEnd"/>
      <w:r w:rsidRPr="0051032A">
        <w:rPr>
          <w:rFonts w:eastAsia="SimSun"/>
        </w:rPr>
        <w:t>,]+V[</w:t>
      </w:r>
      <w:proofErr w:type="spellStart"/>
      <w:r w:rsidRPr="0051032A">
        <w:rPr>
          <w:rFonts w:eastAsia="SimSun"/>
        </w:rPr>
        <w:t>t,s</w:t>
      </w:r>
      <w:proofErr w:type="spellEnd"/>
      <w:r w:rsidRPr="0051032A">
        <w:rPr>
          <w:rFonts w:eastAsia="SimSun"/>
        </w:rPr>
        <w:t>,])/(N[</w:t>
      </w:r>
      <w:proofErr w:type="spellStart"/>
      <w:r w:rsidRPr="0051032A">
        <w:rPr>
          <w:rFonts w:eastAsia="SimSun"/>
        </w:rPr>
        <w:t>t,s</w:t>
      </w:r>
      <w:proofErr w:type="spellEnd"/>
      <w:r w:rsidRPr="0051032A">
        <w:rPr>
          <w:rFonts w:eastAsia="SimSun"/>
        </w:rPr>
        <w:t>,]+S[</w:t>
      </w:r>
      <w:proofErr w:type="spellStart"/>
      <w:r w:rsidRPr="0051032A">
        <w:rPr>
          <w:rFonts w:eastAsia="SimSun"/>
        </w:rPr>
        <w:t>t,s</w:t>
      </w:r>
      <w:proofErr w:type="spellEnd"/>
      <w:r w:rsidRPr="0051032A">
        <w:rPr>
          <w:rFonts w:eastAsia="SimSun"/>
        </w:rPr>
        <w:t>,])</w:t>
      </w:r>
      <w:r w:rsidRPr="0051032A">
        <w:br/>
      </w:r>
      <w:r w:rsidRPr="0051032A">
        <w:rPr>
          <w:rFonts w:eastAsia="SimSun"/>
        </w:rPr>
        <w:t xml:space="preserve">   </w:t>
      </w:r>
      <w:proofErr w:type="spellStart"/>
      <w:r w:rsidRPr="0051032A">
        <w:rPr>
          <w:rFonts w:eastAsia="SimSun"/>
        </w:rPr>
        <w:t>Prevalence_y</w:t>
      </w:r>
      <w:proofErr w:type="spellEnd"/>
      <w:r w:rsidRPr="0051032A">
        <w:rPr>
          <w:rFonts w:eastAsia="SimSun"/>
        </w:rPr>
        <w:t>[</w:t>
      </w:r>
      <w:proofErr w:type="spellStart"/>
      <w:r w:rsidRPr="0051032A">
        <w:rPr>
          <w:rFonts w:eastAsia="SimSun"/>
        </w:rPr>
        <w:t>t,s</w:t>
      </w:r>
      <w:proofErr w:type="spellEnd"/>
      <w:r w:rsidRPr="0051032A">
        <w:rPr>
          <w:rFonts w:eastAsia="SimSun"/>
        </w:rPr>
        <w:t>,] &lt;- Prevalence[</w:t>
      </w:r>
      <w:proofErr w:type="spellStart"/>
      <w:r w:rsidRPr="0051032A">
        <w:rPr>
          <w:rFonts w:eastAsia="SimSun"/>
        </w:rPr>
        <w:t>t,s</w:t>
      </w:r>
      <w:proofErr w:type="spellEnd"/>
      <w:r w:rsidRPr="0051032A">
        <w:rPr>
          <w:rFonts w:eastAsia="SimSun"/>
        </w:rPr>
        <w:t>,][seq(1,length(Prevalence[</w:t>
      </w:r>
      <w:proofErr w:type="spellStart"/>
      <w:r w:rsidRPr="0051032A">
        <w:rPr>
          <w:rFonts w:eastAsia="SimSun"/>
        </w:rPr>
        <w:t>t,s</w:t>
      </w:r>
      <w:proofErr w:type="spellEnd"/>
      <w:r w:rsidRPr="0051032A">
        <w:rPr>
          <w:rFonts w:eastAsia="SimSun"/>
        </w:rPr>
        <w:t>,]),12)]</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 xml:space="preserve">  for (s in (1:sgroup)){</w:t>
      </w:r>
      <w:r w:rsidRPr="0051032A">
        <w:br/>
      </w:r>
      <w:r w:rsidRPr="0051032A">
        <w:rPr>
          <w:rFonts w:eastAsia="SimSun"/>
        </w:rPr>
        <w:t xml:space="preserve">    plot(year, </w:t>
      </w:r>
      <w:proofErr w:type="spellStart"/>
      <w:r w:rsidRPr="0051032A">
        <w:rPr>
          <w:rFonts w:eastAsia="SimSun"/>
        </w:rPr>
        <w:t>NI_y</w:t>
      </w:r>
      <w:proofErr w:type="spellEnd"/>
      <w:r w:rsidRPr="0051032A">
        <w:rPr>
          <w:rFonts w:eastAsia="SimSun"/>
        </w:rPr>
        <w:t>[</w:t>
      </w:r>
      <w:proofErr w:type="spellStart"/>
      <w:r w:rsidRPr="0051032A">
        <w:rPr>
          <w:rFonts w:eastAsia="SimSun"/>
        </w:rPr>
        <w:t>t,s</w:t>
      </w:r>
      <w:proofErr w:type="spellEnd"/>
      <w:r w:rsidRPr="0051032A">
        <w:rPr>
          <w:rFonts w:eastAsia="SimSun"/>
        </w:rPr>
        <w:t xml:space="preserve">,], type = "l", col="red", </w:t>
      </w:r>
      <w:proofErr w:type="spellStart"/>
      <w:r w:rsidRPr="0051032A">
        <w:rPr>
          <w:rFonts w:eastAsia="SimSun"/>
        </w:rPr>
        <w:t>xlab</w:t>
      </w:r>
      <w:proofErr w:type="spellEnd"/>
      <w:r w:rsidRPr="0051032A">
        <w:rPr>
          <w:rFonts w:eastAsia="SimSun"/>
        </w:rPr>
        <w:t xml:space="preserve"> = "Year", </w:t>
      </w:r>
      <w:proofErr w:type="spellStart"/>
      <w:r w:rsidRPr="0051032A">
        <w:rPr>
          <w:rFonts w:eastAsia="SimSun"/>
        </w:rPr>
        <w:t>ylab</w:t>
      </w:r>
      <w:proofErr w:type="spellEnd"/>
      <w:r w:rsidRPr="0051032A">
        <w:rPr>
          <w:rFonts w:eastAsia="SimSun"/>
        </w:rPr>
        <w:t xml:space="preserve"> = "New HIV Infections", main = "Annual individuals newly infected", </w:t>
      </w:r>
      <w:proofErr w:type="spellStart"/>
      <w:r w:rsidRPr="0051032A">
        <w:rPr>
          <w:rFonts w:eastAsia="SimSun"/>
        </w:rPr>
        <w:t>ylim</w:t>
      </w:r>
      <w:proofErr w:type="spellEnd"/>
      <w:r w:rsidRPr="0051032A">
        <w:rPr>
          <w:rFonts w:eastAsia="SimSun"/>
        </w:rPr>
        <w:t>=c(0,max(</w:t>
      </w:r>
      <w:proofErr w:type="spellStart"/>
      <w:r w:rsidRPr="0051032A">
        <w:rPr>
          <w:rFonts w:eastAsia="SimSun"/>
        </w:rPr>
        <w:t>NI_y</w:t>
      </w:r>
      <w:proofErr w:type="spellEnd"/>
      <w:r w:rsidRPr="0051032A">
        <w:rPr>
          <w:rFonts w:eastAsia="SimSun"/>
        </w:rPr>
        <w:t>[t,,],na.rm=TRUE)))</w:t>
      </w:r>
      <w:r w:rsidRPr="0051032A">
        <w:br/>
      </w:r>
      <w:r w:rsidRPr="0051032A">
        <w:rPr>
          <w:rFonts w:eastAsia="SimSun"/>
        </w:rPr>
        <w:t xml:space="preserve">    plot(year, </w:t>
      </w:r>
      <w:proofErr w:type="spellStart"/>
      <w:r w:rsidRPr="0051032A">
        <w:rPr>
          <w:rFonts w:eastAsia="SimSun"/>
        </w:rPr>
        <w:t>N_y</w:t>
      </w:r>
      <w:proofErr w:type="spellEnd"/>
      <w:r w:rsidRPr="0051032A">
        <w:rPr>
          <w:rFonts w:eastAsia="SimSun"/>
        </w:rPr>
        <w:t>[</w:t>
      </w:r>
      <w:proofErr w:type="spellStart"/>
      <w:r w:rsidRPr="0051032A">
        <w:rPr>
          <w:rFonts w:eastAsia="SimSun"/>
        </w:rPr>
        <w:t>t,s</w:t>
      </w:r>
      <w:proofErr w:type="spellEnd"/>
      <w:r w:rsidRPr="0051032A">
        <w:rPr>
          <w:rFonts w:eastAsia="SimSun"/>
        </w:rPr>
        <w:t xml:space="preserve">,], type = "l", col="red", </w:t>
      </w:r>
      <w:proofErr w:type="spellStart"/>
      <w:r w:rsidRPr="0051032A">
        <w:rPr>
          <w:rFonts w:eastAsia="SimSun"/>
        </w:rPr>
        <w:t>xlab</w:t>
      </w:r>
      <w:proofErr w:type="spellEnd"/>
      <w:r w:rsidRPr="0051032A">
        <w:rPr>
          <w:rFonts w:eastAsia="SimSun"/>
        </w:rPr>
        <w:t xml:space="preserve"> = "Year", </w:t>
      </w:r>
      <w:proofErr w:type="spellStart"/>
      <w:r w:rsidRPr="0051032A">
        <w:rPr>
          <w:rFonts w:eastAsia="SimSun"/>
        </w:rPr>
        <w:t>ylab</w:t>
      </w:r>
      <w:proofErr w:type="spellEnd"/>
      <w:r w:rsidRPr="0051032A">
        <w:rPr>
          <w:rFonts w:eastAsia="SimSun"/>
        </w:rPr>
        <w:t xml:space="preserve"> = "Individuals living with HIV", main = "Annual individuals living with HIV", </w:t>
      </w:r>
      <w:proofErr w:type="spellStart"/>
      <w:r w:rsidRPr="0051032A">
        <w:rPr>
          <w:rFonts w:eastAsia="SimSun"/>
        </w:rPr>
        <w:t>ylim</w:t>
      </w:r>
      <w:proofErr w:type="spellEnd"/>
      <w:r w:rsidRPr="0051032A">
        <w:rPr>
          <w:rFonts w:eastAsia="SimSun"/>
        </w:rPr>
        <w:t>=c(0,max(</w:t>
      </w:r>
      <w:proofErr w:type="spellStart"/>
      <w:r w:rsidRPr="0051032A">
        <w:rPr>
          <w:rFonts w:eastAsia="SimSun"/>
        </w:rPr>
        <w:t>N_y</w:t>
      </w:r>
      <w:proofErr w:type="spellEnd"/>
      <w:r w:rsidRPr="0051032A">
        <w:rPr>
          <w:rFonts w:eastAsia="SimSun"/>
        </w:rPr>
        <w:t>[t,,],na.rm=TRUE)))</w:t>
      </w:r>
      <w:r w:rsidRPr="0051032A">
        <w:br/>
      </w:r>
      <w:r w:rsidRPr="0051032A">
        <w:rPr>
          <w:rFonts w:eastAsia="SimSun"/>
        </w:rPr>
        <w:t xml:space="preserve">    plot(year, 100*</w:t>
      </w:r>
      <w:proofErr w:type="spellStart"/>
      <w:r w:rsidRPr="0051032A">
        <w:rPr>
          <w:rFonts w:eastAsia="SimSun"/>
        </w:rPr>
        <w:t>Prevalence_y</w:t>
      </w:r>
      <w:proofErr w:type="spellEnd"/>
      <w:r w:rsidRPr="0051032A">
        <w:rPr>
          <w:rFonts w:eastAsia="SimSun"/>
        </w:rPr>
        <w:t>[</w:t>
      </w:r>
      <w:proofErr w:type="spellStart"/>
      <w:r w:rsidRPr="0051032A">
        <w:rPr>
          <w:rFonts w:eastAsia="SimSun"/>
        </w:rPr>
        <w:t>t,s</w:t>
      </w:r>
      <w:proofErr w:type="spellEnd"/>
      <w:r w:rsidRPr="0051032A">
        <w:rPr>
          <w:rFonts w:eastAsia="SimSun"/>
        </w:rPr>
        <w:t xml:space="preserve">,], type = "l", col="red", </w:t>
      </w:r>
      <w:proofErr w:type="spellStart"/>
      <w:r w:rsidRPr="0051032A">
        <w:rPr>
          <w:rFonts w:eastAsia="SimSun"/>
        </w:rPr>
        <w:t>xlab</w:t>
      </w:r>
      <w:proofErr w:type="spellEnd"/>
      <w:r w:rsidRPr="0051032A">
        <w:rPr>
          <w:rFonts w:eastAsia="SimSun"/>
        </w:rPr>
        <w:t xml:space="preserve"> = "Year", </w:t>
      </w:r>
      <w:proofErr w:type="spellStart"/>
      <w:r w:rsidRPr="0051032A">
        <w:rPr>
          <w:rFonts w:eastAsia="SimSun"/>
        </w:rPr>
        <w:t>ylab</w:t>
      </w:r>
      <w:proofErr w:type="spellEnd"/>
      <w:r w:rsidRPr="0051032A">
        <w:rPr>
          <w:rFonts w:eastAsia="SimSun"/>
        </w:rPr>
        <w:t xml:space="preserve"> = "Prevalence (%)", main = "Annual HIV prevalence", </w:t>
      </w:r>
      <w:proofErr w:type="spellStart"/>
      <w:r w:rsidRPr="0051032A">
        <w:rPr>
          <w:rFonts w:eastAsia="SimSun"/>
        </w:rPr>
        <w:t>ylim</w:t>
      </w:r>
      <w:proofErr w:type="spellEnd"/>
      <w:r w:rsidRPr="0051032A">
        <w:rPr>
          <w:rFonts w:eastAsia="SimSun"/>
        </w:rPr>
        <w:t>=c(0,max(100*</w:t>
      </w:r>
      <w:proofErr w:type="spellStart"/>
      <w:r w:rsidRPr="0051032A">
        <w:rPr>
          <w:rFonts w:eastAsia="SimSun"/>
        </w:rPr>
        <w:t>Prevalence_y</w:t>
      </w:r>
      <w:proofErr w:type="spellEnd"/>
      <w:r w:rsidRPr="0051032A">
        <w:rPr>
          <w:rFonts w:eastAsia="SimSun"/>
        </w:rPr>
        <w:t>[t,,],na.rm=TRUE)))</w:t>
      </w:r>
      <w:r w:rsidRPr="0051032A">
        <w:br/>
      </w:r>
      <w:r w:rsidRPr="0051032A">
        <w:rPr>
          <w:rFonts w:eastAsia="SimSun"/>
        </w:rPr>
        <w:t xml:space="preserve">  }</w:t>
      </w:r>
      <w:r w:rsidRPr="0051032A">
        <w:br/>
      </w:r>
      <w:r w:rsidRPr="0051032A">
        <w:rPr>
          <w:rFonts w:eastAsia="SimSun"/>
        </w:rPr>
        <w:t xml:space="preserve">  </w:t>
      </w:r>
      <w:r w:rsidRPr="0051032A">
        <w:br/>
      </w:r>
      <w:r w:rsidRPr="0051032A">
        <w:rPr>
          <w:rFonts w:eastAsia="SimSun"/>
        </w:rPr>
        <w:t>}</w:t>
      </w:r>
    </w:p>
    <w:p w14:paraId="07969B06" w14:textId="77777777" w:rsidR="00260B6D" w:rsidRPr="0051032A" w:rsidRDefault="00260B6D" w:rsidP="0051032A">
      <w:r w:rsidRPr="0051032A">
        <w:rPr>
          <w:rFonts w:eastAsia="SimSun"/>
        </w:rPr>
        <w:t xml:space="preserve">## </w:t>
      </w:r>
      <w:r w:rsidRPr="0051032A">
        <w:br/>
      </w:r>
      <w:r w:rsidRPr="0051032A">
        <w:rPr>
          <w:rFonts w:eastAsia="SimSun"/>
        </w:rPr>
        <w:t>## Attaching package: 'zoo'</w:t>
      </w:r>
    </w:p>
    <w:p w14:paraId="37C5EF53" w14:textId="77777777" w:rsidR="00260B6D" w:rsidRPr="0051032A" w:rsidRDefault="00260B6D" w:rsidP="0051032A">
      <w:r w:rsidRPr="0051032A">
        <w:rPr>
          <w:rFonts w:eastAsia="SimSun"/>
        </w:rPr>
        <w:t>## The following objects are masked from '</w:t>
      </w:r>
      <w:proofErr w:type="spellStart"/>
      <w:proofErr w:type="gramStart"/>
      <w:r w:rsidRPr="0051032A">
        <w:rPr>
          <w:rFonts w:eastAsia="SimSun"/>
        </w:rPr>
        <w:t>package:base</w:t>
      </w:r>
      <w:proofErr w:type="spellEnd"/>
      <w:proofErr w:type="gramEnd"/>
      <w:r w:rsidRPr="0051032A">
        <w:rPr>
          <w:rFonts w:eastAsia="SimSun"/>
        </w:rPr>
        <w:t>':</w:t>
      </w:r>
      <w:r w:rsidRPr="0051032A">
        <w:br/>
      </w:r>
      <w:r w:rsidRPr="0051032A">
        <w:rPr>
          <w:rFonts w:eastAsia="SimSun"/>
        </w:rPr>
        <w:t xml:space="preserve">## </w:t>
      </w:r>
      <w:r w:rsidRPr="0051032A">
        <w:br/>
      </w:r>
      <w:r w:rsidRPr="0051032A">
        <w:rPr>
          <w:rFonts w:eastAsia="SimSun"/>
        </w:rPr>
        <w:t xml:space="preserve">##     </w:t>
      </w:r>
      <w:proofErr w:type="spellStart"/>
      <w:r w:rsidRPr="0051032A">
        <w:rPr>
          <w:rFonts w:eastAsia="SimSun"/>
        </w:rPr>
        <w:t>as.Date</w:t>
      </w:r>
      <w:proofErr w:type="spellEnd"/>
      <w:r w:rsidRPr="0051032A">
        <w:rPr>
          <w:rFonts w:eastAsia="SimSun"/>
        </w:rPr>
        <w:t xml:space="preserve">, </w:t>
      </w:r>
      <w:proofErr w:type="spellStart"/>
      <w:r w:rsidRPr="0051032A">
        <w:rPr>
          <w:rFonts w:eastAsia="SimSun"/>
        </w:rPr>
        <w:t>as.Date.numeric</w:t>
      </w:r>
      <w:proofErr w:type="spellEnd"/>
    </w:p>
    <w:p w14:paraId="740483E9" w14:textId="0C730B4B" w:rsidR="004F6186" w:rsidRPr="0051032A" w:rsidRDefault="00260B6D" w:rsidP="0051032A">
      <w:r w:rsidRPr="0051032A">
        <w:rPr>
          <w:rFonts w:eastAsia="SimSun"/>
        </w:rPr>
        <w:t>#End of the loop</w:t>
      </w:r>
    </w:p>
    <w:p w14:paraId="2879DB83" w14:textId="77777777" w:rsidR="00122CDD" w:rsidRPr="0051032A" w:rsidRDefault="00122CDD" w:rsidP="0051032A"/>
    <w:p w14:paraId="70CF110C" w14:textId="77777777" w:rsidR="00260B6D" w:rsidRPr="0051032A" w:rsidRDefault="00260B6D" w:rsidP="0051032A">
      <w:pPr>
        <w:rPr>
          <w:rFonts w:eastAsiaTheme="minorEastAsia"/>
        </w:rPr>
      </w:pPr>
      <w:r w:rsidRPr="0051032A">
        <w:rPr>
          <w:rFonts w:eastAsiaTheme="minorEastAsia"/>
        </w:rPr>
        <w:t xml:space="preserve">Difference equation: Difference equation is prepared as a separate R code so that it is re-usable and easy to modify. The codes were presented as follows. </w:t>
      </w:r>
    </w:p>
    <w:p w14:paraId="52CDE8ED" w14:textId="77777777" w:rsidR="00260B6D" w:rsidRPr="0051032A" w:rsidRDefault="00260B6D" w:rsidP="0051032A">
      <w:pPr>
        <w:rPr>
          <w:rFonts w:eastAsiaTheme="minorEastAsia"/>
        </w:rPr>
      </w:pPr>
    </w:p>
    <w:p w14:paraId="406DB7C5" w14:textId="77777777" w:rsidR="00260B6D" w:rsidRPr="0051032A" w:rsidRDefault="00260B6D" w:rsidP="0051032A">
      <w:pPr>
        <w:rPr>
          <w:rFonts w:eastAsia="SimSun"/>
        </w:rPr>
      </w:pPr>
      <w:r w:rsidRPr="0051032A">
        <w:rPr>
          <w:rFonts w:eastAsia="SimSun"/>
        </w:rPr>
        <w:t xml:space="preserve">    # Difference equation for </w:t>
      </w:r>
      <w:proofErr w:type="spellStart"/>
      <w:r w:rsidRPr="0051032A">
        <w:rPr>
          <w:rFonts w:eastAsia="SimSun"/>
        </w:rPr>
        <w:t>susceptable</w:t>
      </w:r>
      <w:proofErr w:type="spellEnd"/>
      <w:r w:rsidRPr="0051032A">
        <w:rPr>
          <w:rFonts w:eastAsia="SimSun"/>
        </w:rPr>
        <w:t xml:space="preserve"> population</w:t>
      </w:r>
      <w:r w:rsidRPr="0051032A">
        <w:br/>
      </w:r>
      <w:r w:rsidRPr="0051032A">
        <w:rPr>
          <w:rFonts w:eastAsia="SimSun"/>
        </w:rPr>
        <w:t xml:space="preserve">    S[</w:t>
      </w:r>
      <w:proofErr w:type="spellStart"/>
      <w:r w:rsidRPr="0051032A">
        <w:rPr>
          <w:rFonts w:eastAsia="SimSun"/>
        </w:rPr>
        <w:t>t,s,g</w:t>
      </w:r>
      <w:proofErr w:type="spellEnd"/>
      <w:r w:rsidRPr="0051032A">
        <w:rPr>
          <w:rFonts w:eastAsia="SimSun"/>
        </w:rPr>
        <w:t>] &lt;- S[t,s,g-1]+rho[</w:t>
      </w:r>
      <w:proofErr w:type="spellStart"/>
      <w:r w:rsidRPr="0051032A">
        <w:rPr>
          <w:rFonts w:eastAsia="SimSun"/>
        </w:rPr>
        <w:t>t,s</w:t>
      </w:r>
      <w:proofErr w:type="spellEnd"/>
      <w:r w:rsidRPr="0051032A">
        <w:rPr>
          <w:rFonts w:eastAsia="SimSun"/>
        </w:rPr>
        <w:t>]*S[t,s,g-1]-</w:t>
      </w:r>
      <w:proofErr w:type="spellStart"/>
      <w:r w:rsidRPr="0051032A">
        <w:rPr>
          <w:rFonts w:eastAsia="SimSun"/>
        </w:rPr>
        <w:t>lambda_t_r</w:t>
      </w:r>
      <w:proofErr w:type="spellEnd"/>
      <w:r w:rsidRPr="0051032A">
        <w:rPr>
          <w:rFonts w:eastAsia="SimSun"/>
        </w:rPr>
        <w:t>[</w:t>
      </w:r>
      <w:proofErr w:type="spellStart"/>
      <w:r w:rsidRPr="0051032A">
        <w:rPr>
          <w:rFonts w:eastAsia="SimSun"/>
        </w:rPr>
        <w:t>t,s,g</w:t>
      </w:r>
      <w:proofErr w:type="spellEnd"/>
      <w:r w:rsidRPr="0051032A">
        <w:rPr>
          <w:rFonts w:eastAsia="SimSun"/>
        </w:rPr>
        <w:t>]*S[t,s,g-1]</w:t>
      </w:r>
      <w:r w:rsidRPr="0051032A">
        <w:br/>
      </w:r>
      <w:r w:rsidRPr="0051032A">
        <w:rPr>
          <w:rFonts w:eastAsia="SimSun"/>
        </w:rPr>
        <w:t xml:space="preserve">    </w:t>
      </w:r>
      <w:r w:rsidRPr="0051032A">
        <w:br/>
      </w:r>
      <w:r w:rsidRPr="0051032A">
        <w:rPr>
          <w:rFonts w:eastAsia="SimSun"/>
        </w:rPr>
        <w:t xml:space="preserve">    # Difference equations for compartments X1 - X4 (undiagnosed individuals)</w:t>
      </w:r>
      <w:r w:rsidRPr="0051032A">
        <w:br/>
      </w:r>
      <w:r w:rsidRPr="0051032A">
        <w:rPr>
          <w:rFonts w:eastAsia="SimSun"/>
        </w:rPr>
        <w:t xml:space="preserve">    </w:t>
      </w:r>
      <w:r w:rsidRPr="0051032A">
        <w:br/>
      </w:r>
      <w:r w:rsidRPr="0051032A">
        <w:rPr>
          <w:rFonts w:eastAsia="SimSun"/>
        </w:rPr>
        <w:lastRenderedPageBreak/>
        <w:t xml:space="preserve">    X1[</w:t>
      </w:r>
      <w:proofErr w:type="spellStart"/>
      <w:r w:rsidRPr="0051032A">
        <w:rPr>
          <w:rFonts w:eastAsia="SimSun"/>
        </w:rPr>
        <w:t>t,s,g</w:t>
      </w:r>
      <w:proofErr w:type="spellEnd"/>
      <w:r w:rsidRPr="0051032A">
        <w:rPr>
          <w:rFonts w:eastAsia="SimSun"/>
        </w:rPr>
        <w:t>] &lt;- X1[t,s,g-1]+lambda_t_r[t,s,g]*S[t,s,g-1]-delta_1[t,s]*X1[t,s,g-1]-alpha_1[t,s]*X1[t,s,g-1]-mu_1[t,s]*X1[t,s,g-1]</w:t>
      </w:r>
      <w:r w:rsidRPr="0051032A">
        <w:br/>
      </w:r>
      <w:r w:rsidRPr="0051032A">
        <w:rPr>
          <w:rFonts w:eastAsia="SimSun"/>
        </w:rPr>
        <w:t xml:space="preserve">    </w:t>
      </w:r>
      <w:r w:rsidRPr="0051032A">
        <w:br/>
      </w:r>
      <w:r w:rsidRPr="0051032A">
        <w:rPr>
          <w:rFonts w:eastAsia="SimSun"/>
        </w:rPr>
        <w:t xml:space="preserve">    X2[</w:t>
      </w:r>
      <w:proofErr w:type="spellStart"/>
      <w:r w:rsidRPr="0051032A">
        <w:rPr>
          <w:rFonts w:eastAsia="SimSun"/>
        </w:rPr>
        <w:t>t,s,g</w:t>
      </w:r>
      <w:proofErr w:type="spellEnd"/>
      <w:r w:rsidRPr="0051032A">
        <w:rPr>
          <w:rFonts w:eastAsia="SimSun"/>
        </w:rPr>
        <w:t>] &lt;- X2[t,s,g-1]+delta_1[t,s]*X1[t,s,g-1]-delta_2[t,s]*X2[t,s,g-1]-alpha_2[t,s]*X2[t,s,g-1]-mu_2[t,s]*X2[t,s,g-1]</w:t>
      </w:r>
      <w:r w:rsidRPr="0051032A">
        <w:br/>
      </w:r>
      <w:r w:rsidRPr="0051032A">
        <w:rPr>
          <w:rFonts w:eastAsia="SimSun"/>
        </w:rPr>
        <w:t xml:space="preserve">    </w:t>
      </w:r>
      <w:r w:rsidRPr="0051032A">
        <w:br/>
      </w:r>
      <w:r w:rsidRPr="0051032A">
        <w:rPr>
          <w:rFonts w:eastAsia="SimSun"/>
        </w:rPr>
        <w:t xml:space="preserve">    X3[</w:t>
      </w:r>
      <w:proofErr w:type="spellStart"/>
      <w:r w:rsidRPr="0051032A">
        <w:rPr>
          <w:rFonts w:eastAsia="SimSun"/>
        </w:rPr>
        <w:t>t,s,g</w:t>
      </w:r>
      <w:proofErr w:type="spellEnd"/>
      <w:r w:rsidRPr="0051032A">
        <w:rPr>
          <w:rFonts w:eastAsia="SimSun"/>
        </w:rPr>
        <w:t>] &lt;- X3[t,s,g-1]+delta_2[t,s]*X2[t,s,g-1]-delta_3[t,s]*X3[t,s,g-1]-alpha_3[t,s]*X3[t,s,g-1]-mu_3[t,s]*X3[t,s,g-1]</w:t>
      </w:r>
      <w:r w:rsidRPr="0051032A">
        <w:br/>
      </w:r>
      <w:r w:rsidRPr="0051032A">
        <w:rPr>
          <w:rFonts w:eastAsia="SimSun"/>
        </w:rPr>
        <w:t xml:space="preserve">    </w:t>
      </w:r>
      <w:r w:rsidRPr="0051032A">
        <w:br/>
      </w:r>
      <w:r w:rsidRPr="0051032A">
        <w:rPr>
          <w:rFonts w:eastAsia="SimSun"/>
        </w:rPr>
        <w:t xml:space="preserve">    X4[</w:t>
      </w:r>
      <w:proofErr w:type="spellStart"/>
      <w:r w:rsidRPr="0051032A">
        <w:rPr>
          <w:rFonts w:eastAsia="SimSun"/>
        </w:rPr>
        <w:t>t,s,g</w:t>
      </w:r>
      <w:proofErr w:type="spellEnd"/>
      <w:r w:rsidRPr="0051032A">
        <w:rPr>
          <w:rFonts w:eastAsia="SimSun"/>
        </w:rPr>
        <w:t>] &lt;- X4[t,s,g-1]+delta_3[t,s]*X3[t,s,g-1]-alpha_4[t,s]*X4[t,s,g-1]-mu_4[t,s]*X4[t,s,g-1]</w:t>
      </w:r>
      <w:r w:rsidRPr="0051032A">
        <w:br/>
      </w:r>
      <w:r w:rsidRPr="0051032A">
        <w:rPr>
          <w:rFonts w:eastAsia="SimSun"/>
        </w:rPr>
        <w:t xml:space="preserve">    </w:t>
      </w:r>
      <w:r w:rsidRPr="0051032A">
        <w:br/>
      </w:r>
      <w:r w:rsidRPr="0051032A">
        <w:rPr>
          <w:rFonts w:eastAsia="SimSun"/>
        </w:rPr>
        <w:t xml:space="preserve">    # Difference equations for compartments X5 - X8 (diagnosed individuals)</w:t>
      </w:r>
      <w:r w:rsidRPr="0051032A">
        <w:br/>
      </w:r>
      <w:r w:rsidRPr="0051032A">
        <w:rPr>
          <w:rFonts w:eastAsia="SimSun"/>
        </w:rPr>
        <w:t xml:space="preserve">    </w:t>
      </w:r>
      <w:r w:rsidRPr="0051032A">
        <w:br/>
      </w:r>
      <w:r w:rsidRPr="0051032A">
        <w:rPr>
          <w:rFonts w:eastAsia="SimSun"/>
        </w:rPr>
        <w:t xml:space="preserve">    X5[</w:t>
      </w:r>
      <w:proofErr w:type="spellStart"/>
      <w:r w:rsidRPr="0051032A">
        <w:rPr>
          <w:rFonts w:eastAsia="SimSun"/>
        </w:rPr>
        <w:t>t,s,g</w:t>
      </w:r>
      <w:proofErr w:type="spellEnd"/>
      <w:r w:rsidRPr="0051032A">
        <w:rPr>
          <w:rFonts w:eastAsia="SimSun"/>
        </w:rPr>
        <w:t>] &lt;- X5[t,s,g-1]+alpha_1[t,s]*X1[t,s,g-1]-delta_1[t,s]*X5[t,s,g-1]-sigma_1[t,s]*X5[t,s,g-1]-mu_1[t,s]*X5[t,s,g-1]</w:t>
      </w:r>
      <w:r w:rsidRPr="0051032A">
        <w:br/>
      </w:r>
      <w:r w:rsidRPr="0051032A">
        <w:rPr>
          <w:rFonts w:eastAsia="SimSun"/>
        </w:rPr>
        <w:t xml:space="preserve">    </w:t>
      </w:r>
      <w:r w:rsidRPr="0051032A">
        <w:br/>
      </w:r>
      <w:r w:rsidRPr="0051032A">
        <w:rPr>
          <w:rFonts w:eastAsia="SimSun"/>
        </w:rPr>
        <w:t xml:space="preserve">    X6[</w:t>
      </w:r>
      <w:proofErr w:type="spellStart"/>
      <w:r w:rsidRPr="0051032A">
        <w:rPr>
          <w:rFonts w:eastAsia="SimSun"/>
        </w:rPr>
        <w:t>t,s,g</w:t>
      </w:r>
      <w:proofErr w:type="spellEnd"/>
      <w:r w:rsidRPr="0051032A">
        <w:rPr>
          <w:rFonts w:eastAsia="SimSun"/>
        </w:rPr>
        <w:t>] &lt;- X6[t,s,g-1]+alpha_2[t,s]*X2[t,s,g-1]+delta_1[t,s]*X5[t,s,g-1]-delta_2[t,s]*X6[t,s,g-1]-sigma_2[t,s]*X6[t,s,g-1]-mu_2[t,s]*X6[t,s,g-1]</w:t>
      </w:r>
      <w:r w:rsidRPr="0051032A">
        <w:br/>
      </w:r>
      <w:r w:rsidRPr="0051032A">
        <w:rPr>
          <w:rFonts w:eastAsia="SimSun"/>
        </w:rPr>
        <w:t xml:space="preserve">    </w:t>
      </w:r>
      <w:r w:rsidRPr="0051032A">
        <w:br/>
      </w:r>
      <w:r w:rsidRPr="0051032A">
        <w:rPr>
          <w:rFonts w:eastAsia="SimSun"/>
        </w:rPr>
        <w:t xml:space="preserve">    X7[</w:t>
      </w:r>
      <w:proofErr w:type="spellStart"/>
      <w:r w:rsidRPr="0051032A">
        <w:rPr>
          <w:rFonts w:eastAsia="SimSun"/>
        </w:rPr>
        <w:t>t,s,g</w:t>
      </w:r>
      <w:proofErr w:type="spellEnd"/>
      <w:r w:rsidRPr="0051032A">
        <w:rPr>
          <w:rFonts w:eastAsia="SimSun"/>
        </w:rPr>
        <w:t>] &lt;- X7[t,s,g-1]+alpha_3[t,s]*X3[t,s,g-1]+delta_2[t,s]*X6[t,s,g-1]-delta_3[t,s]*X7[t,s,g-1]-sigma_3[t,s]*X7[t,s,g-1]-mu_3[t,s]*X7[t,s,g-1]</w:t>
      </w:r>
      <w:r w:rsidRPr="0051032A">
        <w:br/>
      </w:r>
      <w:r w:rsidRPr="0051032A">
        <w:rPr>
          <w:rFonts w:eastAsia="SimSun"/>
        </w:rPr>
        <w:t xml:space="preserve">    </w:t>
      </w:r>
      <w:r w:rsidRPr="0051032A">
        <w:br/>
      </w:r>
      <w:r w:rsidRPr="0051032A">
        <w:rPr>
          <w:rFonts w:eastAsia="SimSun"/>
        </w:rPr>
        <w:t xml:space="preserve">    X8[</w:t>
      </w:r>
      <w:proofErr w:type="spellStart"/>
      <w:r w:rsidRPr="0051032A">
        <w:rPr>
          <w:rFonts w:eastAsia="SimSun"/>
        </w:rPr>
        <w:t>t,s,g</w:t>
      </w:r>
      <w:proofErr w:type="spellEnd"/>
      <w:r w:rsidRPr="0051032A">
        <w:rPr>
          <w:rFonts w:eastAsia="SimSun"/>
        </w:rPr>
        <w:t>] &lt;- X8[t,s,g-1]+alpha_4[t,s]*X4[t,s,g-1]+delta_3[t,s]*X7[t,s,g-1]-sigma_4[t,s]*X8[t,s,g-1]-mu_4[t,s]*X8[t,s,g-1]</w:t>
      </w:r>
      <w:r w:rsidRPr="0051032A">
        <w:br/>
      </w:r>
      <w:r w:rsidRPr="0051032A">
        <w:rPr>
          <w:rFonts w:eastAsia="SimSun"/>
        </w:rPr>
        <w:t xml:space="preserve">    </w:t>
      </w:r>
      <w:r w:rsidRPr="0051032A">
        <w:br/>
      </w:r>
      <w:r w:rsidRPr="0051032A">
        <w:rPr>
          <w:rFonts w:eastAsia="SimSun"/>
        </w:rPr>
        <w:t xml:space="preserve">    # Difference equations for compartments X9 - X12 (individuals linked to care)</w:t>
      </w:r>
      <w:r w:rsidRPr="0051032A">
        <w:br/>
      </w:r>
      <w:r w:rsidRPr="0051032A">
        <w:rPr>
          <w:rFonts w:eastAsia="SimSun"/>
        </w:rPr>
        <w:t xml:space="preserve">    </w:t>
      </w:r>
      <w:r w:rsidRPr="0051032A">
        <w:br/>
      </w:r>
      <w:r w:rsidRPr="0051032A">
        <w:rPr>
          <w:rFonts w:eastAsia="SimSun"/>
        </w:rPr>
        <w:t xml:space="preserve">    X9[</w:t>
      </w:r>
      <w:proofErr w:type="spellStart"/>
      <w:r w:rsidRPr="0051032A">
        <w:rPr>
          <w:rFonts w:eastAsia="SimSun"/>
        </w:rPr>
        <w:t>t,s,g</w:t>
      </w:r>
      <w:proofErr w:type="spellEnd"/>
      <w:r w:rsidRPr="0051032A">
        <w:rPr>
          <w:rFonts w:eastAsia="SimSun"/>
        </w:rPr>
        <w:t>] &lt;- X9[t,s,g-1]+sigma_1[t,s]*X5[t,s,g-1]-delta_4[t,s]*X9[t,s,g-1]-theta_1[t,s]*X9[t,s,g-1]-gamma_1[t,s]*X9[t,s,g-1]-mu_5[t,s]*X9[t,s,g-1]</w:t>
      </w:r>
      <w:r w:rsidRPr="0051032A">
        <w:br/>
      </w:r>
      <w:r w:rsidRPr="0051032A">
        <w:rPr>
          <w:rFonts w:eastAsia="SimSun"/>
        </w:rPr>
        <w:t xml:space="preserve">    </w:t>
      </w:r>
      <w:r w:rsidRPr="0051032A">
        <w:br/>
      </w:r>
      <w:r w:rsidRPr="0051032A">
        <w:rPr>
          <w:rFonts w:eastAsia="SimSun"/>
        </w:rPr>
        <w:t xml:space="preserve">    X10[</w:t>
      </w:r>
      <w:proofErr w:type="spellStart"/>
      <w:r w:rsidRPr="0051032A">
        <w:rPr>
          <w:rFonts w:eastAsia="SimSun"/>
        </w:rPr>
        <w:t>t,s,g</w:t>
      </w:r>
      <w:proofErr w:type="spellEnd"/>
      <w:r w:rsidRPr="0051032A">
        <w:rPr>
          <w:rFonts w:eastAsia="SimSun"/>
        </w:rPr>
        <w:t>] &lt;- X10[t,s,g-1]+sigma_2[t,s]*X6[t,s,g-1]+delta_4[t,s]*X9[t,s,g-1]-delta_5[t,s]*X10[t,s,g-1]-theta_2[t,s]*X10[t,s,g-1]-gamma_2[t,s]*X10[t,s,g-1]-mu_6[t,s]*X10[t,s,g-1]</w:t>
      </w:r>
      <w:r w:rsidRPr="0051032A">
        <w:br/>
      </w:r>
      <w:r w:rsidRPr="0051032A">
        <w:rPr>
          <w:rFonts w:eastAsia="SimSun"/>
        </w:rPr>
        <w:t xml:space="preserve">    </w:t>
      </w:r>
      <w:r w:rsidRPr="0051032A">
        <w:br/>
      </w:r>
      <w:r w:rsidRPr="0051032A">
        <w:rPr>
          <w:rFonts w:eastAsia="SimSun"/>
        </w:rPr>
        <w:t xml:space="preserve">    X11[</w:t>
      </w:r>
      <w:proofErr w:type="spellStart"/>
      <w:r w:rsidRPr="0051032A">
        <w:rPr>
          <w:rFonts w:eastAsia="SimSun"/>
        </w:rPr>
        <w:t>t,s,g</w:t>
      </w:r>
      <w:proofErr w:type="spellEnd"/>
      <w:r w:rsidRPr="0051032A">
        <w:rPr>
          <w:rFonts w:eastAsia="SimSun"/>
        </w:rPr>
        <w:t>] &lt;- X11[t,s,g-1]+sigma_3[t,s]*X7[t,s,g-1]+delta_5[t,s]*X10[t,s,g-1]-delta_6[t,s]*X11[t,s,g-1]-theta_3[t,s]*X11[t,s,g-1]-gamma_3[t,s]*X11[t,s,g-1]-mu_7[t,s]*X11[t,s,g-1]</w:t>
      </w:r>
      <w:r w:rsidRPr="0051032A">
        <w:br/>
      </w:r>
      <w:r w:rsidRPr="0051032A">
        <w:rPr>
          <w:rFonts w:eastAsia="SimSun"/>
        </w:rPr>
        <w:t xml:space="preserve">    </w:t>
      </w:r>
      <w:r w:rsidRPr="0051032A">
        <w:br/>
      </w:r>
      <w:r w:rsidRPr="0051032A">
        <w:rPr>
          <w:rFonts w:eastAsia="SimSun"/>
        </w:rPr>
        <w:t xml:space="preserve">    X12[</w:t>
      </w:r>
      <w:proofErr w:type="spellStart"/>
      <w:r w:rsidRPr="0051032A">
        <w:rPr>
          <w:rFonts w:eastAsia="SimSun"/>
        </w:rPr>
        <w:t>t,s,g</w:t>
      </w:r>
      <w:proofErr w:type="spellEnd"/>
      <w:r w:rsidRPr="0051032A">
        <w:rPr>
          <w:rFonts w:eastAsia="SimSun"/>
        </w:rPr>
        <w:t>] &lt;- X12[t,s,g-1]+sigma_4[t,s]*X8[t,s,g-1]+delta_6[t,s]*X11[t,s,g-1]-theta_4[t,s]*X12[t,s,g-1]-gamma_4[t,s]*X12[t,s,g-1]-mu_8[t,s]*X12[t,s,g-1]</w:t>
      </w:r>
      <w:r w:rsidRPr="0051032A">
        <w:br/>
      </w:r>
      <w:r w:rsidRPr="0051032A">
        <w:rPr>
          <w:rFonts w:eastAsia="SimSun"/>
        </w:rPr>
        <w:t xml:space="preserve">    </w:t>
      </w:r>
      <w:r w:rsidRPr="0051032A">
        <w:br/>
      </w:r>
      <w:r w:rsidRPr="0051032A">
        <w:rPr>
          <w:rFonts w:eastAsia="SimSun"/>
        </w:rPr>
        <w:t xml:space="preserve">    # Difference equations for compartments X13 - X16 (individuals lost from care)</w:t>
      </w:r>
      <w:r w:rsidRPr="0051032A">
        <w:br/>
      </w:r>
      <w:r w:rsidRPr="0051032A">
        <w:rPr>
          <w:rFonts w:eastAsia="SimSun"/>
        </w:rPr>
        <w:t xml:space="preserve">    </w:t>
      </w:r>
      <w:r w:rsidRPr="0051032A">
        <w:br/>
      </w:r>
      <w:r w:rsidRPr="0051032A">
        <w:rPr>
          <w:rFonts w:eastAsia="SimSun"/>
        </w:rPr>
        <w:t xml:space="preserve">    X13[</w:t>
      </w:r>
      <w:proofErr w:type="spellStart"/>
      <w:r w:rsidRPr="0051032A">
        <w:rPr>
          <w:rFonts w:eastAsia="SimSun"/>
        </w:rPr>
        <w:t>t,s,g</w:t>
      </w:r>
      <w:proofErr w:type="spellEnd"/>
      <w:r w:rsidRPr="0051032A">
        <w:rPr>
          <w:rFonts w:eastAsia="SimSun"/>
        </w:rPr>
        <w:t>] &lt;- X13[t,s,g-1]+gamma_1[t,s]*X9[t,s,g-1]+gamma_5[t,s]*X17[t,s,g-1]+gamma_9[t,s]*X21[t,s,g-1]-delta_1[t,s]*X13[t,s,g-1]-mu_1[t,s]*X13[t,s,g-1]</w:t>
      </w:r>
      <w:r w:rsidRPr="0051032A">
        <w:br/>
      </w:r>
      <w:r w:rsidRPr="0051032A">
        <w:rPr>
          <w:rFonts w:eastAsia="SimSun"/>
        </w:rPr>
        <w:lastRenderedPageBreak/>
        <w:t xml:space="preserve">    </w:t>
      </w:r>
      <w:r w:rsidRPr="0051032A">
        <w:br/>
      </w:r>
      <w:r w:rsidRPr="0051032A">
        <w:rPr>
          <w:rFonts w:eastAsia="SimSun"/>
        </w:rPr>
        <w:t xml:space="preserve">    X14[</w:t>
      </w:r>
      <w:proofErr w:type="spellStart"/>
      <w:r w:rsidRPr="0051032A">
        <w:rPr>
          <w:rFonts w:eastAsia="SimSun"/>
        </w:rPr>
        <w:t>t,s,g</w:t>
      </w:r>
      <w:proofErr w:type="spellEnd"/>
      <w:r w:rsidRPr="0051032A">
        <w:rPr>
          <w:rFonts w:eastAsia="SimSun"/>
        </w:rPr>
        <w:t>] &lt;- X14[t,s,g-1]+gamma_2[t,s]*X10[t,s,g-1]+gamma_6[t,s]*X18[t,s,g-1]+gamma_10[t,s]*X22[t,s,g-1]+delta_1[t,s]*X13[t,s,g-1]-delta_2[t,s]*X14[t,s,g-1]-mu_2[t,s]*X14[t,s,g-1]</w:t>
      </w:r>
      <w:r w:rsidRPr="0051032A">
        <w:br/>
      </w:r>
      <w:r w:rsidRPr="0051032A">
        <w:rPr>
          <w:rFonts w:eastAsia="SimSun"/>
        </w:rPr>
        <w:t xml:space="preserve">    </w:t>
      </w:r>
      <w:r w:rsidRPr="0051032A">
        <w:br/>
      </w:r>
      <w:r w:rsidRPr="0051032A">
        <w:rPr>
          <w:rFonts w:eastAsia="SimSun"/>
        </w:rPr>
        <w:t xml:space="preserve">    X15[</w:t>
      </w:r>
      <w:proofErr w:type="spellStart"/>
      <w:r w:rsidRPr="0051032A">
        <w:rPr>
          <w:rFonts w:eastAsia="SimSun"/>
        </w:rPr>
        <w:t>t,s,g</w:t>
      </w:r>
      <w:proofErr w:type="spellEnd"/>
      <w:r w:rsidRPr="0051032A">
        <w:rPr>
          <w:rFonts w:eastAsia="SimSun"/>
        </w:rPr>
        <w:t>] &lt;- X15[t,s,g-1]+gamma_3[t,s]*X11[t,s,g-1]+gamma_7[t,s]*X19[t,s,g-1]+gamma_11[t,s]*X23[t,s,g-1]+delta_2[t,s]*X14[t,s,g-1]-delta_3[t,s]*X15[t,s,g-1]-mu_3[t,s]*X15[t,s,g-1]</w:t>
      </w:r>
      <w:r w:rsidRPr="0051032A">
        <w:br/>
      </w:r>
      <w:r w:rsidRPr="0051032A">
        <w:rPr>
          <w:rFonts w:eastAsia="SimSun"/>
        </w:rPr>
        <w:t xml:space="preserve">    </w:t>
      </w:r>
      <w:r w:rsidRPr="0051032A">
        <w:br/>
      </w:r>
      <w:r w:rsidRPr="0051032A">
        <w:rPr>
          <w:rFonts w:eastAsia="SimSun"/>
        </w:rPr>
        <w:t xml:space="preserve">    X16[</w:t>
      </w:r>
      <w:proofErr w:type="spellStart"/>
      <w:r w:rsidRPr="0051032A">
        <w:rPr>
          <w:rFonts w:eastAsia="SimSun"/>
        </w:rPr>
        <w:t>t,s,g</w:t>
      </w:r>
      <w:proofErr w:type="spellEnd"/>
      <w:r w:rsidRPr="0051032A">
        <w:rPr>
          <w:rFonts w:eastAsia="SimSun"/>
        </w:rPr>
        <w:t>] &lt;- X16[t,s,g-1]+gamma_4[t,s]*X12[t,s,g-1]+gamma_8[t,s]*X20[t,s,g-1]+gamma_12[t,s]*X24[t,s,g-1]+delta_3[t,s]*X15[t,s,g-1]-tau_1[t,s]*X16[t,s,g-1]-mu_4[t,s]*X16[t,s,g-1]</w:t>
      </w:r>
      <w:r w:rsidRPr="0051032A">
        <w:br/>
      </w:r>
      <w:r w:rsidRPr="0051032A">
        <w:rPr>
          <w:rFonts w:eastAsia="SimSun"/>
        </w:rPr>
        <w:t xml:space="preserve">    </w:t>
      </w:r>
      <w:r w:rsidRPr="0051032A">
        <w:br/>
      </w:r>
      <w:r w:rsidRPr="0051032A">
        <w:rPr>
          <w:rFonts w:eastAsia="SimSun"/>
        </w:rPr>
        <w:t xml:space="preserve">    # Difference equations for compartments X17 - X20 (individuals who are viral suppressed)</w:t>
      </w:r>
      <w:r w:rsidRPr="0051032A">
        <w:br/>
      </w:r>
      <w:r w:rsidRPr="0051032A">
        <w:rPr>
          <w:rFonts w:eastAsia="SimSun"/>
        </w:rPr>
        <w:t xml:space="preserve">    </w:t>
      </w:r>
      <w:r w:rsidRPr="0051032A">
        <w:br/>
      </w:r>
      <w:r w:rsidRPr="0051032A">
        <w:rPr>
          <w:rFonts w:eastAsia="SimSun"/>
        </w:rPr>
        <w:t xml:space="preserve">    X17[</w:t>
      </w:r>
      <w:proofErr w:type="spellStart"/>
      <w:r w:rsidRPr="0051032A">
        <w:rPr>
          <w:rFonts w:eastAsia="SimSun"/>
        </w:rPr>
        <w:t>t,s,g</w:t>
      </w:r>
      <w:proofErr w:type="spellEnd"/>
      <w:r w:rsidRPr="0051032A">
        <w:rPr>
          <w:rFonts w:eastAsia="SimSun"/>
        </w:rPr>
        <w:t>] &lt;- X17[t,s,g-1]+theta_1[t,s]*X9[t,s,g-1]-gamma_5[t,s]*X17[t,s,g-1]-psi_1[t,s]*X17[t,s,g-1]-mu_9[t,s]*X17[t,s,g-1]</w:t>
      </w:r>
      <w:r w:rsidRPr="0051032A">
        <w:br/>
      </w:r>
      <w:r w:rsidRPr="0051032A">
        <w:rPr>
          <w:rFonts w:eastAsia="SimSun"/>
        </w:rPr>
        <w:t xml:space="preserve">    </w:t>
      </w:r>
      <w:r w:rsidRPr="0051032A">
        <w:br/>
      </w:r>
      <w:r w:rsidRPr="0051032A">
        <w:rPr>
          <w:rFonts w:eastAsia="SimSun"/>
        </w:rPr>
        <w:t xml:space="preserve">    X18[</w:t>
      </w:r>
      <w:proofErr w:type="spellStart"/>
      <w:r w:rsidRPr="0051032A">
        <w:rPr>
          <w:rFonts w:eastAsia="SimSun"/>
        </w:rPr>
        <w:t>t,s,g</w:t>
      </w:r>
      <w:proofErr w:type="spellEnd"/>
      <w:r w:rsidRPr="0051032A">
        <w:rPr>
          <w:rFonts w:eastAsia="SimSun"/>
        </w:rPr>
        <w:t>] &lt;- X18[t,s,g-1]+theta_2[t,s]*X10[t,s,g-1]-gamma_6[t,s]*X18[t,s,g-1]-psi_2[t,s]*X18[t,s,g-1]-mu_10[t,s]*X18[t,s,g-1]</w:t>
      </w:r>
      <w:r w:rsidRPr="0051032A">
        <w:br/>
      </w:r>
      <w:r w:rsidRPr="0051032A">
        <w:rPr>
          <w:rFonts w:eastAsia="SimSun"/>
        </w:rPr>
        <w:t xml:space="preserve">    </w:t>
      </w:r>
      <w:r w:rsidRPr="0051032A">
        <w:br/>
      </w:r>
      <w:r w:rsidRPr="0051032A">
        <w:rPr>
          <w:rFonts w:eastAsia="SimSun"/>
        </w:rPr>
        <w:t xml:space="preserve">    X19[</w:t>
      </w:r>
      <w:proofErr w:type="spellStart"/>
      <w:r w:rsidRPr="0051032A">
        <w:rPr>
          <w:rFonts w:eastAsia="SimSun"/>
        </w:rPr>
        <w:t>t,s,g</w:t>
      </w:r>
      <w:proofErr w:type="spellEnd"/>
      <w:r w:rsidRPr="0051032A">
        <w:rPr>
          <w:rFonts w:eastAsia="SimSun"/>
        </w:rPr>
        <w:t>] &lt;- X19[t,s,g-1]+theta_3[t,s]*X11[t,s,g-1]-gamma_7[t,s]*X19[t,s,g-1]-psi_3[t,s]*X19[t,s,g-1]-mu_11[t,s]*X19[t,s,g-1]</w:t>
      </w:r>
      <w:r w:rsidRPr="0051032A">
        <w:br/>
      </w:r>
      <w:r w:rsidRPr="0051032A">
        <w:rPr>
          <w:rFonts w:eastAsia="SimSun"/>
        </w:rPr>
        <w:t xml:space="preserve">    </w:t>
      </w:r>
      <w:r w:rsidRPr="0051032A">
        <w:br/>
      </w:r>
      <w:r w:rsidRPr="0051032A">
        <w:rPr>
          <w:rFonts w:eastAsia="SimSun"/>
        </w:rPr>
        <w:t xml:space="preserve">    X20[</w:t>
      </w:r>
      <w:proofErr w:type="spellStart"/>
      <w:r w:rsidRPr="0051032A">
        <w:rPr>
          <w:rFonts w:eastAsia="SimSun"/>
        </w:rPr>
        <w:t>t,s,g</w:t>
      </w:r>
      <w:proofErr w:type="spellEnd"/>
      <w:r w:rsidRPr="0051032A">
        <w:rPr>
          <w:rFonts w:eastAsia="SimSun"/>
        </w:rPr>
        <w:t>] &lt;- X20[t,s,g-1]+theta_4[t,s]*X12[t,s,g-1]+tau_1[t,s]*X16[t,s,g-1]-gamma_8[t,s]*X20[t,s,g-1]-psi_4[t,s]*X20[t,s,g-1]-mu_12[t,s]*X20[t,s,g-1]</w:t>
      </w:r>
      <w:r w:rsidRPr="0051032A">
        <w:br/>
      </w:r>
      <w:r w:rsidRPr="0051032A">
        <w:rPr>
          <w:rFonts w:eastAsia="SimSun"/>
        </w:rPr>
        <w:t xml:space="preserve">    </w:t>
      </w:r>
      <w:r w:rsidRPr="0051032A">
        <w:br/>
      </w:r>
      <w:r w:rsidRPr="0051032A">
        <w:rPr>
          <w:rFonts w:eastAsia="SimSun"/>
        </w:rPr>
        <w:t xml:space="preserve">    # Difference equations compartments X21 - X24 (individuals who are not viral suppressed)</w:t>
      </w:r>
      <w:r w:rsidRPr="0051032A">
        <w:br/>
      </w:r>
      <w:r w:rsidRPr="0051032A">
        <w:rPr>
          <w:rFonts w:eastAsia="SimSun"/>
        </w:rPr>
        <w:t xml:space="preserve">    </w:t>
      </w:r>
      <w:r w:rsidRPr="0051032A">
        <w:br/>
      </w:r>
      <w:r w:rsidRPr="0051032A">
        <w:rPr>
          <w:rFonts w:eastAsia="SimSun"/>
        </w:rPr>
        <w:t xml:space="preserve">    X21[</w:t>
      </w:r>
      <w:proofErr w:type="spellStart"/>
      <w:r w:rsidRPr="0051032A">
        <w:rPr>
          <w:rFonts w:eastAsia="SimSun"/>
        </w:rPr>
        <w:t>t,s,g</w:t>
      </w:r>
      <w:proofErr w:type="spellEnd"/>
      <w:r w:rsidRPr="0051032A">
        <w:rPr>
          <w:rFonts w:eastAsia="SimSun"/>
        </w:rPr>
        <w:t>] &lt;- X21[t,s,g-1]+psi_1[t,s]*X17[t,s,g-1]-gamma_9[t,s]*X21[t,s,g-1]-mu_13[t,s]*X21[t,s,g-1]</w:t>
      </w:r>
      <w:r w:rsidRPr="0051032A">
        <w:br/>
      </w:r>
      <w:r w:rsidRPr="0051032A">
        <w:rPr>
          <w:rFonts w:eastAsia="SimSun"/>
        </w:rPr>
        <w:t xml:space="preserve">    </w:t>
      </w:r>
      <w:r w:rsidRPr="0051032A">
        <w:br/>
      </w:r>
      <w:r w:rsidRPr="0051032A">
        <w:rPr>
          <w:rFonts w:eastAsia="SimSun"/>
        </w:rPr>
        <w:t xml:space="preserve">    X22[</w:t>
      </w:r>
      <w:proofErr w:type="spellStart"/>
      <w:r w:rsidRPr="0051032A">
        <w:rPr>
          <w:rFonts w:eastAsia="SimSun"/>
        </w:rPr>
        <w:t>t,s,g</w:t>
      </w:r>
      <w:proofErr w:type="spellEnd"/>
      <w:r w:rsidRPr="0051032A">
        <w:rPr>
          <w:rFonts w:eastAsia="SimSun"/>
        </w:rPr>
        <w:t>] &lt;- X22[t,s,g-1]+psi_2[t,s]*X18[t,s,g-1]-gamma_10[t,s]*X22[t,s,g-1]-mu_14[t,s]*X22[t,s,g-1]</w:t>
      </w:r>
      <w:r w:rsidRPr="0051032A">
        <w:br/>
      </w:r>
      <w:r w:rsidRPr="0051032A">
        <w:rPr>
          <w:rFonts w:eastAsia="SimSun"/>
        </w:rPr>
        <w:t xml:space="preserve">    </w:t>
      </w:r>
      <w:r w:rsidRPr="0051032A">
        <w:br/>
      </w:r>
      <w:r w:rsidRPr="0051032A">
        <w:rPr>
          <w:rFonts w:eastAsia="SimSun"/>
        </w:rPr>
        <w:t xml:space="preserve">    X23[</w:t>
      </w:r>
      <w:proofErr w:type="spellStart"/>
      <w:r w:rsidRPr="0051032A">
        <w:rPr>
          <w:rFonts w:eastAsia="SimSun"/>
        </w:rPr>
        <w:t>t,s,g</w:t>
      </w:r>
      <w:proofErr w:type="spellEnd"/>
      <w:r w:rsidRPr="0051032A">
        <w:rPr>
          <w:rFonts w:eastAsia="SimSun"/>
        </w:rPr>
        <w:t>] &lt;- X23[t,s,g-1]+psi_3[t,s]*X19[t,s,g-1]-gamma_11[t,s]*X23[t,s,g-1]-mu_15[t,s]*X23[t,s,g-1]</w:t>
      </w:r>
      <w:r w:rsidRPr="0051032A">
        <w:br/>
      </w:r>
      <w:r w:rsidRPr="0051032A">
        <w:rPr>
          <w:rFonts w:eastAsia="SimSun"/>
        </w:rPr>
        <w:t xml:space="preserve">    </w:t>
      </w:r>
      <w:r w:rsidRPr="0051032A">
        <w:br/>
      </w:r>
      <w:r w:rsidRPr="0051032A">
        <w:rPr>
          <w:rFonts w:eastAsia="SimSun"/>
        </w:rPr>
        <w:t xml:space="preserve">    X24[</w:t>
      </w:r>
      <w:proofErr w:type="spellStart"/>
      <w:r w:rsidRPr="0051032A">
        <w:rPr>
          <w:rFonts w:eastAsia="SimSun"/>
        </w:rPr>
        <w:t>t,s,g</w:t>
      </w:r>
      <w:proofErr w:type="spellEnd"/>
      <w:r w:rsidRPr="0051032A">
        <w:rPr>
          <w:rFonts w:eastAsia="SimSun"/>
        </w:rPr>
        <w:t>] &lt;- X24[t,s,g-1]+psi_4[t,s]*X20[t,s,g-1]-gamma_12[t,s]*X24[t,s,g-1]-mu_16[t,s]*X24[t,s,g-1]</w:t>
      </w:r>
      <w:r w:rsidRPr="0051032A">
        <w:br/>
      </w:r>
      <w:r w:rsidRPr="0051032A">
        <w:rPr>
          <w:rFonts w:eastAsia="SimSun"/>
        </w:rPr>
        <w:t xml:space="preserve">    </w:t>
      </w:r>
      <w:r w:rsidRPr="0051032A">
        <w:br/>
      </w:r>
      <w:r w:rsidRPr="0051032A">
        <w:rPr>
          <w:rFonts w:eastAsia="SimSun"/>
        </w:rPr>
        <w:t xml:space="preserve">    # Difference equations for compartment D (individuals who have died)</w:t>
      </w:r>
      <w:r w:rsidRPr="0051032A">
        <w:br/>
      </w:r>
      <w:r w:rsidRPr="0051032A">
        <w:rPr>
          <w:rFonts w:eastAsia="SimSun"/>
        </w:rPr>
        <w:t xml:space="preserve">    </w:t>
      </w:r>
      <w:r w:rsidRPr="0051032A">
        <w:br/>
      </w:r>
      <w:r w:rsidRPr="0051032A">
        <w:rPr>
          <w:rFonts w:eastAsia="SimSun"/>
        </w:rPr>
        <w:t xml:space="preserve">    D[</w:t>
      </w:r>
      <w:proofErr w:type="spellStart"/>
      <w:r w:rsidRPr="0051032A">
        <w:rPr>
          <w:rFonts w:eastAsia="SimSun"/>
        </w:rPr>
        <w:t>t,s,g</w:t>
      </w:r>
      <w:proofErr w:type="spellEnd"/>
      <w:r w:rsidRPr="0051032A">
        <w:rPr>
          <w:rFonts w:eastAsia="SimSun"/>
        </w:rPr>
        <w:t>] &lt;- D[t,s,g-1]+mu_1[t,s]*(X1[t,s,g-1]+X5[t,s,g-1]+X13[t,s,g-1])+mu_2[t,s]*(X2[t,s,g-1]+X6[t,s,g-1]+X14[t,s,g-1])+mu_3[t,s]*(X3[t,s,g-1]+X7[t,s,g-1]+X15[t,s,g-1])+ mu_4[t,s]*(X4[t,s,g-1]+X8[t,s,g-1]+X16[t,s,g-1])+mu_5[t,s]*X9[t,s,g-1]+mu_6[t,s]*X10[t,s,g-</w:t>
      </w:r>
      <w:r w:rsidRPr="0051032A">
        <w:rPr>
          <w:rFonts w:eastAsia="SimSun"/>
        </w:rPr>
        <w:lastRenderedPageBreak/>
        <w:t>1]+mu_7[t,s]*X11[t,s,g-1]+mu_8[t,s]*X12[t,s,g-1]+mu_9[t,s]*X17[t,s,g-1]+mu_10[t,s]*X18[t,s,g-1]+mu_11[t,s]*X19[t,s,g-1]+mu_12[t,s]*X20[t,s,g-1]+mu_13[t,s]*X21[t,s,g-1]+mu_14[t,s]*X22[t,s,g-1]+mu_15[t,s]*X23[t,s,g-1]+mu_16[t,s]*X24[t,s,g-1]</w:t>
      </w:r>
    </w:p>
    <w:p w14:paraId="4C2FDB14" w14:textId="77777777" w:rsidR="00260B6D" w:rsidRPr="0051032A" w:rsidRDefault="00260B6D" w:rsidP="0051032A">
      <w:pPr>
        <w:rPr>
          <w:rFonts w:eastAsia="SimSun"/>
        </w:rPr>
      </w:pPr>
    </w:p>
    <w:p w14:paraId="62F4784A" w14:textId="77777777" w:rsidR="00260B6D" w:rsidRPr="0051032A" w:rsidRDefault="00260B6D" w:rsidP="0051032A">
      <w:pPr>
        <w:rPr>
          <w:rFonts w:eastAsia="SimSun"/>
        </w:rPr>
      </w:pPr>
      <w:r w:rsidRPr="0051032A">
        <w:rPr>
          <w:rFonts w:eastAsia="SimSun"/>
        </w:rPr>
        <w:t># Calibration targets #</w:t>
      </w:r>
    </w:p>
    <w:p w14:paraId="57B7898C" w14:textId="77777777" w:rsidR="00260B6D" w:rsidRPr="0051032A" w:rsidRDefault="00260B6D" w:rsidP="0051032A">
      <w:pPr>
        <w:rPr>
          <w:rFonts w:eastAsia="SimSun"/>
        </w:rPr>
      </w:pPr>
      <w:r w:rsidRPr="0051032A">
        <w:rPr>
          <w:rFonts w:eastAsia="SimSun"/>
        </w:rPr>
        <w:t># Import calibration targets #</w:t>
      </w:r>
    </w:p>
    <w:p w14:paraId="37249175" w14:textId="77777777" w:rsidR="00260B6D" w:rsidRPr="0051032A" w:rsidRDefault="00260B6D" w:rsidP="0051032A">
      <w:pPr>
        <w:rPr>
          <w:rFonts w:eastAsia="SimSun"/>
        </w:rPr>
      </w:pPr>
      <w:r w:rsidRPr="0051032A">
        <w:rPr>
          <w:rFonts w:eastAsia="SimSun"/>
        </w:rPr>
        <w:t xml:space="preserve">files &lt;- </w:t>
      </w:r>
      <w:proofErr w:type="spellStart"/>
      <w:proofErr w:type="gramStart"/>
      <w:r w:rsidRPr="0051032A">
        <w:rPr>
          <w:rFonts w:eastAsia="SimSun"/>
        </w:rPr>
        <w:t>list.files</w:t>
      </w:r>
      <w:proofErr w:type="spellEnd"/>
      <w:proofErr w:type="gramEnd"/>
      <w:r w:rsidRPr="0051032A">
        <w:rPr>
          <w:rFonts w:eastAsia="SimSun"/>
        </w:rPr>
        <w:t>(path="~/Dropbox/</w:t>
      </w:r>
      <w:proofErr w:type="spellStart"/>
      <w:r w:rsidRPr="0051032A">
        <w:rPr>
          <w:rFonts w:eastAsia="SimSun"/>
        </w:rPr>
        <w:t>VCU_PhD_Year</w:t>
      </w:r>
      <w:proofErr w:type="spellEnd"/>
      <w:r w:rsidRPr="0051032A">
        <w:rPr>
          <w:rFonts w:eastAsia="SimSun"/>
        </w:rPr>
        <w:t xml:space="preserve"> 3&amp;4/GRA/Rwanda-Model/Calibration/", pattern = "csv")</w:t>
      </w:r>
    </w:p>
    <w:p w14:paraId="10ED07EE" w14:textId="77777777" w:rsidR="00260B6D" w:rsidRPr="0051032A" w:rsidRDefault="00260B6D" w:rsidP="0051032A">
      <w:pPr>
        <w:rPr>
          <w:rFonts w:eastAsia="SimSun"/>
        </w:rPr>
      </w:pPr>
      <w:proofErr w:type="spellStart"/>
      <w:proofErr w:type="gramStart"/>
      <w:r w:rsidRPr="0051032A">
        <w:rPr>
          <w:rFonts w:eastAsia="SimSun"/>
        </w:rPr>
        <w:t>setwd</w:t>
      </w:r>
      <w:proofErr w:type="spellEnd"/>
      <w:r w:rsidRPr="0051032A">
        <w:rPr>
          <w:rFonts w:eastAsia="SimSun"/>
        </w:rPr>
        <w:t>(</w:t>
      </w:r>
      <w:proofErr w:type="gramEnd"/>
      <w:r w:rsidRPr="0051032A">
        <w:rPr>
          <w:rFonts w:eastAsia="SimSun"/>
        </w:rPr>
        <w:t>"~/Dropbox/</w:t>
      </w:r>
      <w:proofErr w:type="spellStart"/>
      <w:r w:rsidRPr="0051032A">
        <w:rPr>
          <w:rFonts w:eastAsia="SimSun"/>
        </w:rPr>
        <w:t>VCU_PhD_Year</w:t>
      </w:r>
      <w:proofErr w:type="spellEnd"/>
      <w:r w:rsidRPr="0051032A">
        <w:rPr>
          <w:rFonts w:eastAsia="SimSun"/>
        </w:rPr>
        <w:t xml:space="preserve"> 3&amp;4/GRA/Rwanda-Model/Calibration")</w:t>
      </w:r>
    </w:p>
    <w:p w14:paraId="7055E171" w14:textId="77777777" w:rsidR="00260B6D" w:rsidRPr="0051032A" w:rsidRDefault="00260B6D" w:rsidP="0051032A">
      <w:pPr>
        <w:rPr>
          <w:rFonts w:eastAsia="SimSun"/>
        </w:rPr>
      </w:pPr>
      <w:proofErr w:type="spellStart"/>
      <w:r w:rsidRPr="0051032A">
        <w:rPr>
          <w:rFonts w:eastAsia="SimSun"/>
        </w:rPr>
        <w:t>Target_all</w:t>
      </w:r>
      <w:proofErr w:type="spellEnd"/>
      <w:r w:rsidRPr="0051032A">
        <w:rPr>
          <w:rFonts w:eastAsia="SimSun"/>
        </w:rPr>
        <w:t xml:space="preserve"> &lt;- read.csv("Targets_00.csv")</w:t>
      </w:r>
    </w:p>
    <w:p w14:paraId="29B69DCB" w14:textId="77777777" w:rsidR="00260B6D" w:rsidRPr="0051032A" w:rsidRDefault="00260B6D" w:rsidP="0051032A">
      <w:pPr>
        <w:rPr>
          <w:rFonts w:eastAsia="SimSun"/>
        </w:rPr>
      </w:pPr>
    </w:p>
    <w:p w14:paraId="5DD04465" w14:textId="77777777" w:rsidR="00260B6D" w:rsidRPr="0051032A" w:rsidRDefault="00260B6D" w:rsidP="0051032A">
      <w:pPr>
        <w:rPr>
          <w:rFonts w:eastAsia="SimSun"/>
        </w:rPr>
      </w:pPr>
      <w:r w:rsidRPr="0051032A">
        <w:rPr>
          <w:rFonts w:eastAsia="SimSun"/>
        </w:rPr>
        <w:t xml:space="preserve"># EPIDMIC CURVES </w:t>
      </w:r>
    </w:p>
    <w:p w14:paraId="19DCB3C1" w14:textId="77777777" w:rsidR="00260B6D" w:rsidRPr="0051032A" w:rsidRDefault="00260B6D" w:rsidP="0051032A">
      <w:pPr>
        <w:rPr>
          <w:rFonts w:eastAsia="SimSun"/>
        </w:rPr>
      </w:pPr>
    </w:p>
    <w:p w14:paraId="42E8BD84" w14:textId="77777777" w:rsidR="00260B6D" w:rsidRPr="0051032A" w:rsidRDefault="00260B6D" w:rsidP="0051032A">
      <w:pPr>
        <w:rPr>
          <w:rFonts w:eastAsia="SimSun"/>
        </w:rPr>
      </w:pPr>
    </w:p>
    <w:p w14:paraId="75BB58F3" w14:textId="77777777" w:rsidR="00260B6D" w:rsidRPr="0051032A" w:rsidRDefault="00260B6D" w:rsidP="0051032A">
      <w:pPr>
        <w:rPr>
          <w:rFonts w:eastAsia="SimSun"/>
        </w:rPr>
      </w:pPr>
    </w:p>
    <w:p w14:paraId="2F5066FA" w14:textId="77777777" w:rsidR="00260B6D" w:rsidRPr="0051032A" w:rsidRDefault="00260B6D" w:rsidP="0051032A">
      <w:pPr>
        <w:rPr>
          <w:rFonts w:eastAsia="SimSun"/>
        </w:rPr>
      </w:pPr>
      <w:r w:rsidRPr="0051032A">
        <w:rPr>
          <w:rFonts w:eastAsia="SimSun"/>
        </w:rPr>
        <w:t># Generate predicted outcomes for overall population</w:t>
      </w:r>
    </w:p>
    <w:p w14:paraId="3A8B52AC" w14:textId="77777777" w:rsidR="00260B6D" w:rsidRPr="0051032A" w:rsidRDefault="00260B6D" w:rsidP="0051032A">
      <w:pPr>
        <w:rPr>
          <w:rFonts w:eastAsia="SimSun"/>
        </w:rPr>
      </w:pPr>
      <w:r w:rsidRPr="0051032A">
        <w:rPr>
          <w:rFonts w:eastAsia="SimSun"/>
        </w:rPr>
        <w:t>for (t in (</w:t>
      </w:r>
      <w:proofErr w:type="gramStart"/>
      <w:r w:rsidRPr="0051032A">
        <w:rPr>
          <w:rFonts w:eastAsia="SimSun"/>
        </w:rPr>
        <w:t>1:trials</w:t>
      </w:r>
      <w:proofErr w:type="gramEnd"/>
      <w:r w:rsidRPr="0051032A">
        <w:rPr>
          <w:rFonts w:eastAsia="SimSun"/>
        </w:rPr>
        <w:t xml:space="preserve">)){  </w:t>
      </w:r>
    </w:p>
    <w:p w14:paraId="0DEF5FC3" w14:textId="77777777" w:rsidR="00260B6D" w:rsidRPr="0051032A" w:rsidRDefault="00260B6D" w:rsidP="0051032A">
      <w:pPr>
        <w:rPr>
          <w:rFonts w:eastAsia="SimSun"/>
        </w:rPr>
      </w:pPr>
      <w:r w:rsidRPr="0051032A">
        <w:rPr>
          <w:rFonts w:eastAsia="SimSun"/>
        </w:rPr>
        <w:t xml:space="preserve">  for (g in (</w:t>
      </w:r>
      <w:proofErr w:type="gramStart"/>
      <w:r w:rsidRPr="0051032A">
        <w:rPr>
          <w:rFonts w:eastAsia="SimSun"/>
        </w:rPr>
        <w:t>1:generations</w:t>
      </w:r>
      <w:proofErr w:type="gramEnd"/>
      <w:r w:rsidRPr="0051032A">
        <w:rPr>
          <w:rFonts w:eastAsia="SimSun"/>
        </w:rPr>
        <w:t>)) {</w:t>
      </w:r>
    </w:p>
    <w:p w14:paraId="3339760F"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NI_total</w:t>
      </w:r>
      <w:proofErr w:type="spellEnd"/>
      <w:r w:rsidRPr="0051032A">
        <w:rPr>
          <w:rFonts w:eastAsia="SimSun"/>
        </w:rPr>
        <w:t>[t,</w:t>
      </w:r>
      <w:proofErr w:type="gramStart"/>
      <w:r w:rsidRPr="0051032A">
        <w:rPr>
          <w:rFonts w:eastAsia="SimSun"/>
        </w:rPr>
        <w:t>1,g</w:t>
      </w:r>
      <w:proofErr w:type="gramEnd"/>
      <w:r w:rsidRPr="0051032A">
        <w:rPr>
          <w:rFonts w:eastAsia="SimSun"/>
        </w:rPr>
        <w:t>] &lt;- 0</w:t>
      </w:r>
    </w:p>
    <w:p w14:paraId="3E72FC75"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N_total</w:t>
      </w:r>
      <w:proofErr w:type="spellEnd"/>
      <w:r w:rsidRPr="0051032A">
        <w:rPr>
          <w:rFonts w:eastAsia="SimSun"/>
        </w:rPr>
        <w:t>[t,</w:t>
      </w:r>
      <w:proofErr w:type="gramStart"/>
      <w:r w:rsidRPr="0051032A">
        <w:rPr>
          <w:rFonts w:eastAsia="SimSun"/>
        </w:rPr>
        <w:t>1,g</w:t>
      </w:r>
      <w:proofErr w:type="gramEnd"/>
      <w:r w:rsidRPr="0051032A">
        <w:rPr>
          <w:rFonts w:eastAsia="SimSun"/>
        </w:rPr>
        <w:t>] &lt;- 0</w:t>
      </w:r>
    </w:p>
    <w:p w14:paraId="5C4BFAA1"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Z_total</w:t>
      </w:r>
      <w:proofErr w:type="spellEnd"/>
      <w:r w:rsidRPr="0051032A">
        <w:rPr>
          <w:rFonts w:eastAsia="SimSun"/>
        </w:rPr>
        <w:t>[t,</w:t>
      </w:r>
      <w:proofErr w:type="gramStart"/>
      <w:r w:rsidRPr="0051032A">
        <w:rPr>
          <w:rFonts w:eastAsia="SimSun"/>
        </w:rPr>
        <w:t>1,g</w:t>
      </w:r>
      <w:proofErr w:type="gramEnd"/>
      <w:r w:rsidRPr="0051032A">
        <w:rPr>
          <w:rFonts w:eastAsia="SimSun"/>
        </w:rPr>
        <w:t>] &lt;- 0</w:t>
      </w:r>
    </w:p>
    <w:p w14:paraId="69DAE26E"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V_total</w:t>
      </w:r>
      <w:proofErr w:type="spellEnd"/>
      <w:r w:rsidRPr="0051032A">
        <w:rPr>
          <w:rFonts w:eastAsia="SimSun"/>
        </w:rPr>
        <w:t>[t,</w:t>
      </w:r>
      <w:proofErr w:type="gramStart"/>
      <w:r w:rsidRPr="0051032A">
        <w:rPr>
          <w:rFonts w:eastAsia="SimSun"/>
        </w:rPr>
        <w:t>1,g</w:t>
      </w:r>
      <w:proofErr w:type="gramEnd"/>
      <w:r w:rsidRPr="0051032A">
        <w:rPr>
          <w:rFonts w:eastAsia="SimSun"/>
        </w:rPr>
        <w:t>] &lt;- 0</w:t>
      </w:r>
    </w:p>
    <w:p w14:paraId="0D2D7E0A"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S_total</w:t>
      </w:r>
      <w:proofErr w:type="spellEnd"/>
      <w:r w:rsidRPr="0051032A">
        <w:rPr>
          <w:rFonts w:eastAsia="SimSun"/>
        </w:rPr>
        <w:t>[t,</w:t>
      </w:r>
      <w:proofErr w:type="gramStart"/>
      <w:r w:rsidRPr="0051032A">
        <w:rPr>
          <w:rFonts w:eastAsia="SimSun"/>
        </w:rPr>
        <w:t>1,g</w:t>
      </w:r>
      <w:proofErr w:type="gramEnd"/>
      <w:r w:rsidRPr="0051032A">
        <w:rPr>
          <w:rFonts w:eastAsia="SimSun"/>
        </w:rPr>
        <w:t>] &lt;- 0</w:t>
      </w:r>
    </w:p>
    <w:p w14:paraId="25490493"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Diagnosed_total</w:t>
      </w:r>
      <w:proofErr w:type="spellEnd"/>
      <w:r w:rsidRPr="0051032A">
        <w:rPr>
          <w:rFonts w:eastAsia="SimSun"/>
        </w:rPr>
        <w:t>[t,</w:t>
      </w:r>
      <w:proofErr w:type="gramStart"/>
      <w:r w:rsidRPr="0051032A">
        <w:rPr>
          <w:rFonts w:eastAsia="SimSun"/>
        </w:rPr>
        <w:t>1,g</w:t>
      </w:r>
      <w:proofErr w:type="gramEnd"/>
      <w:r w:rsidRPr="0051032A">
        <w:rPr>
          <w:rFonts w:eastAsia="SimSun"/>
        </w:rPr>
        <w:t>] &lt;- 0</w:t>
      </w:r>
    </w:p>
    <w:p w14:paraId="7D41450E"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New_Diagnosed_total</w:t>
      </w:r>
      <w:proofErr w:type="spellEnd"/>
      <w:r w:rsidRPr="0051032A">
        <w:rPr>
          <w:rFonts w:eastAsia="SimSun"/>
        </w:rPr>
        <w:t>[t,</w:t>
      </w:r>
      <w:proofErr w:type="gramStart"/>
      <w:r w:rsidRPr="0051032A">
        <w:rPr>
          <w:rFonts w:eastAsia="SimSun"/>
        </w:rPr>
        <w:t>1,g</w:t>
      </w:r>
      <w:proofErr w:type="gramEnd"/>
      <w:r w:rsidRPr="0051032A">
        <w:rPr>
          <w:rFonts w:eastAsia="SimSun"/>
        </w:rPr>
        <w:t>] &lt;- 0</w:t>
      </w:r>
    </w:p>
    <w:p w14:paraId="4C031921" w14:textId="77777777" w:rsidR="00260B6D" w:rsidRPr="0051032A" w:rsidRDefault="00260B6D" w:rsidP="0051032A">
      <w:pPr>
        <w:rPr>
          <w:rFonts w:eastAsia="SimSun"/>
        </w:rPr>
      </w:pPr>
      <w:r w:rsidRPr="0051032A">
        <w:rPr>
          <w:rFonts w:eastAsia="SimSun"/>
        </w:rPr>
        <w:t xml:space="preserve">    # </w:t>
      </w:r>
      <w:proofErr w:type="spellStart"/>
      <w:r w:rsidRPr="0051032A">
        <w:rPr>
          <w:rFonts w:eastAsia="SimSun"/>
        </w:rPr>
        <w:t>Linked_total</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&lt;- 0</w:t>
      </w:r>
    </w:p>
    <w:p w14:paraId="2DE7E852" w14:textId="77777777" w:rsidR="00260B6D" w:rsidRPr="0051032A" w:rsidRDefault="00260B6D" w:rsidP="0051032A">
      <w:pPr>
        <w:rPr>
          <w:rFonts w:eastAsia="SimSun"/>
        </w:rPr>
      </w:pPr>
      <w:r w:rsidRPr="0051032A">
        <w:rPr>
          <w:rFonts w:eastAsia="SimSun"/>
        </w:rPr>
        <w:t xml:space="preserve">    # </w:t>
      </w:r>
      <w:proofErr w:type="spellStart"/>
      <w:r w:rsidRPr="0051032A">
        <w:rPr>
          <w:rFonts w:eastAsia="SimSun"/>
        </w:rPr>
        <w:t>Lost_total</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&lt;- 0</w:t>
      </w:r>
    </w:p>
    <w:p w14:paraId="34C869C2"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Suppressed_total</w:t>
      </w:r>
      <w:proofErr w:type="spellEnd"/>
      <w:r w:rsidRPr="0051032A">
        <w:rPr>
          <w:rFonts w:eastAsia="SimSun"/>
        </w:rPr>
        <w:t>[t,</w:t>
      </w:r>
      <w:proofErr w:type="gramStart"/>
      <w:r w:rsidRPr="0051032A">
        <w:rPr>
          <w:rFonts w:eastAsia="SimSun"/>
        </w:rPr>
        <w:t>1,g</w:t>
      </w:r>
      <w:proofErr w:type="gramEnd"/>
      <w:r w:rsidRPr="0051032A">
        <w:rPr>
          <w:rFonts w:eastAsia="SimSun"/>
        </w:rPr>
        <w:t>] &lt;- 0</w:t>
      </w:r>
    </w:p>
    <w:p w14:paraId="078DF466" w14:textId="77777777" w:rsidR="00260B6D" w:rsidRPr="0051032A" w:rsidRDefault="00260B6D" w:rsidP="0051032A">
      <w:pPr>
        <w:rPr>
          <w:rFonts w:eastAsia="SimSun"/>
        </w:rPr>
      </w:pPr>
      <w:r w:rsidRPr="0051032A">
        <w:rPr>
          <w:rFonts w:eastAsia="SimSun"/>
        </w:rPr>
        <w:t xml:space="preserve">    # </w:t>
      </w:r>
      <w:proofErr w:type="spellStart"/>
      <w:r w:rsidRPr="0051032A">
        <w:rPr>
          <w:rFonts w:eastAsia="SimSun"/>
        </w:rPr>
        <w:t>Not_Suppressed_total</w:t>
      </w:r>
      <w:proofErr w:type="spellEnd"/>
      <w:r w:rsidRPr="0051032A">
        <w:rPr>
          <w:rFonts w:eastAsia="SimSun"/>
        </w:rPr>
        <w:t>[</w:t>
      </w:r>
      <w:proofErr w:type="spellStart"/>
      <w:proofErr w:type="gramStart"/>
      <w:r w:rsidRPr="0051032A">
        <w:rPr>
          <w:rFonts w:eastAsia="SimSun"/>
        </w:rPr>
        <w:t>t,s</w:t>
      </w:r>
      <w:proofErr w:type="gramEnd"/>
      <w:r w:rsidRPr="0051032A">
        <w:rPr>
          <w:rFonts w:eastAsia="SimSun"/>
        </w:rPr>
        <w:t>,g</w:t>
      </w:r>
      <w:proofErr w:type="spellEnd"/>
      <w:r w:rsidRPr="0051032A">
        <w:rPr>
          <w:rFonts w:eastAsia="SimSun"/>
        </w:rPr>
        <w:t>] &lt;- 0</w:t>
      </w:r>
    </w:p>
    <w:p w14:paraId="6BE59404"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On_ART_total</w:t>
      </w:r>
      <w:proofErr w:type="spellEnd"/>
      <w:r w:rsidRPr="0051032A">
        <w:rPr>
          <w:rFonts w:eastAsia="SimSun"/>
        </w:rPr>
        <w:t>[t,</w:t>
      </w:r>
      <w:proofErr w:type="gramStart"/>
      <w:r w:rsidRPr="0051032A">
        <w:rPr>
          <w:rFonts w:eastAsia="SimSun"/>
        </w:rPr>
        <w:t>1,g</w:t>
      </w:r>
      <w:proofErr w:type="gramEnd"/>
      <w:r w:rsidRPr="0051032A">
        <w:rPr>
          <w:rFonts w:eastAsia="SimSun"/>
        </w:rPr>
        <w:t>] &lt;- 0</w:t>
      </w:r>
    </w:p>
    <w:p w14:paraId="616C48AC" w14:textId="77777777" w:rsidR="00260B6D" w:rsidRPr="0051032A" w:rsidRDefault="00260B6D" w:rsidP="0051032A">
      <w:pPr>
        <w:rPr>
          <w:rFonts w:eastAsia="SimSun"/>
        </w:rPr>
      </w:pPr>
      <w:r w:rsidRPr="0051032A">
        <w:rPr>
          <w:rFonts w:eastAsia="SimSun"/>
        </w:rPr>
        <w:t xml:space="preserve">    for (s in (</w:t>
      </w:r>
      <w:proofErr w:type="gramStart"/>
      <w:r w:rsidRPr="0051032A">
        <w:rPr>
          <w:rFonts w:eastAsia="SimSun"/>
        </w:rPr>
        <w:t>1:sgroup</w:t>
      </w:r>
      <w:proofErr w:type="gramEnd"/>
      <w:r w:rsidRPr="0051032A">
        <w:rPr>
          <w:rFonts w:eastAsia="SimSun"/>
        </w:rPr>
        <w:t>)){</w:t>
      </w:r>
    </w:p>
    <w:p w14:paraId="122CEBFE" w14:textId="77777777" w:rsidR="00260B6D" w:rsidRPr="0051032A" w:rsidRDefault="00260B6D" w:rsidP="0051032A">
      <w:pPr>
        <w:rPr>
          <w:rFonts w:eastAsia="SimSun"/>
        </w:rPr>
      </w:pPr>
      <w:r w:rsidRPr="0051032A">
        <w:rPr>
          <w:rFonts w:eastAsia="SimSun"/>
        </w:rPr>
        <w:t xml:space="preserve">      # Initialize parameter values       </w:t>
      </w:r>
      <w:proofErr w:type="spellStart"/>
      <w:r w:rsidRPr="0051032A">
        <w:rPr>
          <w:rFonts w:eastAsia="SimSun"/>
        </w:rPr>
        <w:t>NI_total</w:t>
      </w:r>
      <w:proofErr w:type="spellEnd"/>
      <w:r w:rsidRPr="0051032A">
        <w:rPr>
          <w:rFonts w:eastAsia="SimSun"/>
        </w:rPr>
        <w:t>[t,</w:t>
      </w:r>
      <w:proofErr w:type="gramStart"/>
      <w:r w:rsidRPr="0051032A">
        <w:rPr>
          <w:rFonts w:eastAsia="SimSun"/>
        </w:rPr>
        <w:t>1,g</w:t>
      </w:r>
      <w:proofErr w:type="gramEnd"/>
      <w:r w:rsidRPr="0051032A">
        <w:rPr>
          <w:rFonts w:eastAsia="SimSun"/>
        </w:rPr>
        <w:t>]=</w:t>
      </w:r>
      <w:proofErr w:type="spellStart"/>
      <w:r w:rsidRPr="0051032A">
        <w:rPr>
          <w:rFonts w:eastAsia="SimSun"/>
        </w:rPr>
        <w:t>NI_total</w:t>
      </w:r>
      <w:proofErr w:type="spellEnd"/>
      <w:r w:rsidRPr="0051032A">
        <w:rPr>
          <w:rFonts w:eastAsia="SimSun"/>
        </w:rPr>
        <w:t>[t,1,g]+NI[</w:t>
      </w:r>
      <w:proofErr w:type="spellStart"/>
      <w:r w:rsidRPr="0051032A">
        <w:rPr>
          <w:rFonts w:eastAsia="SimSun"/>
        </w:rPr>
        <w:t>t,s,g</w:t>
      </w:r>
      <w:proofErr w:type="spellEnd"/>
      <w:r w:rsidRPr="0051032A">
        <w:rPr>
          <w:rFonts w:eastAsia="SimSun"/>
        </w:rPr>
        <w:t>]</w:t>
      </w:r>
    </w:p>
    <w:p w14:paraId="60662C43"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N_total</w:t>
      </w:r>
      <w:proofErr w:type="spellEnd"/>
      <w:r w:rsidRPr="0051032A">
        <w:rPr>
          <w:rFonts w:eastAsia="SimSun"/>
        </w:rPr>
        <w:t>[t,</w:t>
      </w:r>
      <w:proofErr w:type="gramStart"/>
      <w:r w:rsidRPr="0051032A">
        <w:rPr>
          <w:rFonts w:eastAsia="SimSun"/>
        </w:rPr>
        <w:t>1,g</w:t>
      </w:r>
      <w:proofErr w:type="gramEnd"/>
      <w:r w:rsidRPr="0051032A">
        <w:rPr>
          <w:rFonts w:eastAsia="SimSun"/>
        </w:rPr>
        <w:t>]=</w:t>
      </w:r>
      <w:proofErr w:type="spellStart"/>
      <w:r w:rsidRPr="0051032A">
        <w:rPr>
          <w:rFonts w:eastAsia="SimSun"/>
        </w:rPr>
        <w:t>N_total</w:t>
      </w:r>
      <w:proofErr w:type="spellEnd"/>
      <w:r w:rsidRPr="0051032A">
        <w:rPr>
          <w:rFonts w:eastAsia="SimSun"/>
        </w:rPr>
        <w:t>[t,1,g]+N[</w:t>
      </w:r>
      <w:proofErr w:type="spellStart"/>
      <w:r w:rsidRPr="0051032A">
        <w:rPr>
          <w:rFonts w:eastAsia="SimSun"/>
        </w:rPr>
        <w:t>t,s,g</w:t>
      </w:r>
      <w:proofErr w:type="spellEnd"/>
      <w:r w:rsidRPr="0051032A">
        <w:rPr>
          <w:rFonts w:eastAsia="SimSun"/>
        </w:rPr>
        <w:t>]</w:t>
      </w:r>
    </w:p>
    <w:p w14:paraId="4ABD00FF"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Z_total</w:t>
      </w:r>
      <w:proofErr w:type="spellEnd"/>
      <w:r w:rsidRPr="0051032A">
        <w:rPr>
          <w:rFonts w:eastAsia="SimSun"/>
        </w:rPr>
        <w:t>[t,</w:t>
      </w:r>
      <w:proofErr w:type="gramStart"/>
      <w:r w:rsidRPr="0051032A">
        <w:rPr>
          <w:rFonts w:eastAsia="SimSun"/>
        </w:rPr>
        <w:t>1,g</w:t>
      </w:r>
      <w:proofErr w:type="gramEnd"/>
      <w:r w:rsidRPr="0051032A">
        <w:rPr>
          <w:rFonts w:eastAsia="SimSun"/>
        </w:rPr>
        <w:t>]=</w:t>
      </w:r>
      <w:proofErr w:type="spellStart"/>
      <w:r w:rsidRPr="0051032A">
        <w:rPr>
          <w:rFonts w:eastAsia="SimSun"/>
        </w:rPr>
        <w:t>Z_total</w:t>
      </w:r>
      <w:proofErr w:type="spellEnd"/>
      <w:r w:rsidRPr="0051032A">
        <w:rPr>
          <w:rFonts w:eastAsia="SimSun"/>
        </w:rPr>
        <w:t>[t,1,g]+Z[</w:t>
      </w:r>
      <w:proofErr w:type="spellStart"/>
      <w:r w:rsidRPr="0051032A">
        <w:rPr>
          <w:rFonts w:eastAsia="SimSun"/>
        </w:rPr>
        <w:t>t,s,g</w:t>
      </w:r>
      <w:proofErr w:type="spellEnd"/>
      <w:r w:rsidRPr="0051032A">
        <w:rPr>
          <w:rFonts w:eastAsia="SimSun"/>
        </w:rPr>
        <w:t>]</w:t>
      </w:r>
    </w:p>
    <w:p w14:paraId="4FDC1DBD"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V_total</w:t>
      </w:r>
      <w:proofErr w:type="spellEnd"/>
      <w:r w:rsidRPr="0051032A">
        <w:rPr>
          <w:rFonts w:eastAsia="SimSun"/>
        </w:rPr>
        <w:t>[t,</w:t>
      </w:r>
      <w:proofErr w:type="gramStart"/>
      <w:r w:rsidRPr="0051032A">
        <w:rPr>
          <w:rFonts w:eastAsia="SimSun"/>
        </w:rPr>
        <w:t>1,g</w:t>
      </w:r>
      <w:proofErr w:type="gramEnd"/>
      <w:r w:rsidRPr="0051032A">
        <w:rPr>
          <w:rFonts w:eastAsia="SimSun"/>
        </w:rPr>
        <w:t>]=</w:t>
      </w:r>
      <w:proofErr w:type="spellStart"/>
      <w:r w:rsidRPr="0051032A">
        <w:rPr>
          <w:rFonts w:eastAsia="SimSun"/>
        </w:rPr>
        <w:t>V_total</w:t>
      </w:r>
      <w:proofErr w:type="spellEnd"/>
      <w:r w:rsidRPr="0051032A">
        <w:rPr>
          <w:rFonts w:eastAsia="SimSun"/>
        </w:rPr>
        <w:t>[t,1,g]+V[</w:t>
      </w:r>
      <w:proofErr w:type="spellStart"/>
      <w:r w:rsidRPr="0051032A">
        <w:rPr>
          <w:rFonts w:eastAsia="SimSun"/>
        </w:rPr>
        <w:t>t,s,g</w:t>
      </w:r>
      <w:proofErr w:type="spellEnd"/>
      <w:r w:rsidRPr="0051032A">
        <w:rPr>
          <w:rFonts w:eastAsia="SimSun"/>
        </w:rPr>
        <w:t>]</w:t>
      </w:r>
    </w:p>
    <w:p w14:paraId="4A6DB31A"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S_total</w:t>
      </w:r>
      <w:proofErr w:type="spellEnd"/>
      <w:r w:rsidRPr="0051032A">
        <w:rPr>
          <w:rFonts w:eastAsia="SimSun"/>
        </w:rPr>
        <w:t>[t,</w:t>
      </w:r>
      <w:proofErr w:type="gramStart"/>
      <w:r w:rsidRPr="0051032A">
        <w:rPr>
          <w:rFonts w:eastAsia="SimSun"/>
        </w:rPr>
        <w:t>1,g</w:t>
      </w:r>
      <w:proofErr w:type="gramEnd"/>
      <w:r w:rsidRPr="0051032A">
        <w:rPr>
          <w:rFonts w:eastAsia="SimSun"/>
        </w:rPr>
        <w:t>]=</w:t>
      </w:r>
      <w:proofErr w:type="spellStart"/>
      <w:r w:rsidRPr="0051032A">
        <w:rPr>
          <w:rFonts w:eastAsia="SimSun"/>
        </w:rPr>
        <w:t>S_total</w:t>
      </w:r>
      <w:proofErr w:type="spellEnd"/>
      <w:r w:rsidRPr="0051032A">
        <w:rPr>
          <w:rFonts w:eastAsia="SimSun"/>
        </w:rPr>
        <w:t>[t,1,g]+S[</w:t>
      </w:r>
      <w:proofErr w:type="spellStart"/>
      <w:r w:rsidRPr="0051032A">
        <w:rPr>
          <w:rFonts w:eastAsia="SimSun"/>
        </w:rPr>
        <w:t>t,s,g</w:t>
      </w:r>
      <w:proofErr w:type="spellEnd"/>
      <w:r w:rsidRPr="0051032A">
        <w:rPr>
          <w:rFonts w:eastAsia="SimSun"/>
        </w:rPr>
        <w:t>]</w:t>
      </w:r>
    </w:p>
    <w:p w14:paraId="6D7CC54F" w14:textId="77777777" w:rsidR="00260B6D" w:rsidRPr="0051032A" w:rsidRDefault="00260B6D" w:rsidP="0051032A">
      <w:pPr>
        <w:rPr>
          <w:rFonts w:eastAsia="SimSun"/>
        </w:rPr>
      </w:pPr>
      <w:r w:rsidRPr="0051032A">
        <w:rPr>
          <w:rFonts w:eastAsia="SimSun"/>
        </w:rPr>
        <w:t xml:space="preserve">      # Undiagnosed_total[t,</w:t>
      </w:r>
      <w:proofErr w:type="gramStart"/>
      <w:r w:rsidRPr="0051032A">
        <w:rPr>
          <w:rFonts w:eastAsia="SimSun"/>
        </w:rPr>
        <w:t>1,g</w:t>
      </w:r>
      <w:proofErr w:type="gramEnd"/>
      <w:r w:rsidRPr="0051032A">
        <w:rPr>
          <w:rFonts w:eastAsia="SimSun"/>
        </w:rPr>
        <w:t>]=Undiagnosed_total[t,1,g]+Undiagnosed[t,s,g]</w:t>
      </w:r>
    </w:p>
    <w:p w14:paraId="66AA51DF"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Diagnosed_total</w:t>
      </w:r>
      <w:proofErr w:type="spellEnd"/>
      <w:r w:rsidRPr="0051032A">
        <w:rPr>
          <w:rFonts w:eastAsia="SimSun"/>
        </w:rPr>
        <w:t>[t,</w:t>
      </w:r>
      <w:proofErr w:type="gramStart"/>
      <w:r w:rsidRPr="0051032A">
        <w:rPr>
          <w:rFonts w:eastAsia="SimSun"/>
        </w:rPr>
        <w:t>1,g</w:t>
      </w:r>
      <w:proofErr w:type="gramEnd"/>
      <w:r w:rsidRPr="0051032A">
        <w:rPr>
          <w:rFonts w:eastAsia="SimSun"/>
        </w:rPr>
        <w:t>]=</w:t>
      </w:r>
      <w:proofErr w:type="spellStart"/>
      <w:r w:rsidRPr="0051032A">
        <w:rPr>
          <w:rFonts w:eastAsia="SimSun"/>
        </w:rPr>
        <w:t>Diagnosed_total</w:t>
      </w:r>
      <w:proofErr w:type="spellEnd"/>
      <w:r w:rsidRPr="0051032A">
        <w:rPr>
          <w:rFonts w:eastAsia="SimSun"/>
        </w:rPr>
        <w:t>[t,1,g]+Diagnosed[</w:t>
      </w:r>
      <w:proofErr w:type="spellStart"/>
      <w:r w:rsidRPr="0051032A">
        <w:rPr>
          <w:rFonts w:eastAsia="SimSun"/>
        </w:rPr>
        <w:t>t,s,g</w:t>
      </w:r>
      <w:proofErr w:type="spellEnd"/>
      <w:r w:rsidRPr="0051032A">
        <w:rPr>
          <w:rFonts w:eastAsia="SimSun"/>
        </w:rPr>
        <w:t>]</w:t>
      </w:r>
    </w:p>
    <w:p w14:paraId="2F13C0B0" w14:textId="77777777" w:rsidR="00260B6D" w:rsidRPr="0051032A" w:rsidRDefault="00260B6D" w:rsidP="0051032A">
      <w:pPr>
        <w:rPr>
          <w:rFonts w:eastAsia="SimSun"/>
        </w:rPr>
      </w:pPr>
      <w:r w:rsidRPr="0051032A">
        <w:rPr>
          <w:rFonts w:eastAsia="SimSun"/>
        </w:rPr>
        <w:t xml:space="preserve">      New_Diagnosed_total[t,</w:t>
      </w:r>
      <w:proofErr w:type="gramStart"/>
      <w:r w:rsidRPr="0051032A">
        <w:rPr>
          <w:rFonts w:eastAsia="SimSun"/>
        </w:rPr>
        <w:t>1,g</w:t>
      </w:r>
      <w:proofErr w:type="gramEnd"/>
      <w:r w:rsidRPr="0051032A">
        <w:rPr>
          <w:rFonts w:eastAsia="SimSun"/>
        </w:rPr>
        <w:t>]=New_Diagnosed_total[t,1,g]+New_Diagnosed[t,s,g]</w:t>
      </w:r>
    </w:p>
    <w:p w14:paraId="23D3F043" w14:textId="77777777" w:rsidR="00260B6D" w:rsidRPr="0051032A" w:rsidRDefault="00260B6D" w:rsidP="0051032A">
      <w:pPr>
        <w:rPr>
          <w:rFonts w:eastAsia="SimSun"/>
        </w:rPr>
      </w:pPr>
      <w:r w:rsidRPr="0051032A">
        <w:rPr>
          <w:rFonts w:eastAsia="SimSun"/>
        </w:rPr>
        <w:t xml:space="preserve">      # </w:t>
      </w:r>
      <w:proofErr w:type="spellStart"/>
      <w:r w:rsidRPr="0051032A">
        <w:rPr>
          <w:rFonts w:eastAsia="SimSun"/>
        </w:rPr>
        <w:t>Linked_total</w:t>
      </w:r>
      <w:proofErr w:type="spellEnd"/>
      <w:r w:rsidRPr="0051032A">
        <w:rPr>
          <w:rFonts w:eastAsia="SimSun"/>
        </w:rPr>
        <w:t>[t,</w:t>
      </w:r>
      <w:proofErr w:type="gramStart"/>
      <w:r w:rsidRPr="0051032A">
        <w:rPr>
          <w:rFonts w:eastAsia="SimSun"/>
        </w:rPr>
        <w:t>1,g</w:t>
      </w:r>
      <w:proofErr w:type="gramEnd"/>
      <w:r w:rsidRPr="0051032A">
        <w:rPr>
          <w:rFonts w:eastAsia="SimSun"/>
        </w:rPr>
        <w:t>]=</w:t>
      </w:r>
      <w:proofErr w:type="spellStart"/>
      <w:r w:rsidRPr="0051032A">
        <w:rPr>
          <w:rFonts w:eastAsia="SimSun"/>
        </w:rPr>
        <w:t>Linked_total</w:t>
      </w:r>
      <w:proofErr w:type="spellEnd"/>
      <w:r w:rsidRPr="0051032A">
        <w:rPr>
          <w:rFonts w:eastAsia="SimSun"/>
        </w:rPr>
        <w:t>[t,1,g]+Linked[</w:t>
      </w:r>
      <w:proofErr w:type="spellStart"/>
      <w:r w:rsidRPr="0051032A">
        <w:rPr>
          <w:rFonts w:eastAsia="SimSun"/>
        </w:rPr>
        <w:t>t,s,g</w:t>
      </w:r>
      <w:proofErr w:type="spellEnd"/>
      <w:r w:rsidRPr="0051032A">
        <w:rPr>
          <w:rFonts w:eastAsia="SimSun"/>
        </w:rPr>
        <w:t>]</w:t>
      </w:r>
    </w:p>
    <w:p w14:paraId="14B50964" w14:textId="77777777" w:rsidR="00260B6D" w:rsidRPr="0051032A" w:rsidRDefault="00260B6D" w:rsidP="0051032A">
      <w:pPr>
        <w:rPr>
          <w:rFonts w:eastAsia="SimSun"/>
        </w:rPr>
      </w:pPr>
      <w:r w:rsidRPr="0051032A">
        <w:rPr>
          <w:rFonts w:eastAsia="SimSun"/>
        </w:rPr>
        <w:t xml:space="preserve">      # </w:t>
      </w:r>
      <w:proofErr w:type="spellStart"/>
      <w:r w:rsidRPr="0051032A">
        <w:rPr>
          <w:rFonts w:eastAsia="SimSun"/>
        </w:rPr>
        <w:t>Lost_total</w:t>
      </w:r>
      <w:proofErr w:type="spellEnd"/>
      <w:r w:rsidRPr="0051032A">
        <w:rPr>
          <w:rFonts w:eastAsia="SimSun"/>
        </w:rPr>
        <w:t>[t,</w:t>
      </w:r>
      <w:proofErr w:type="gramStart"/>
      <w:r w:rsidRPr="0051032A">
        <w:rPr>
          <w:rFonts w:eastAsia="SimSun"/>
        </w:rPr>
        <w:t>1,g</w:t>
      </w:r>
      <w:proofErr w:type="gramEnd"/>
      <w:r w:rsidRPr="0051032A">
        <w:rPr>
          <w:rFonts w:eastAsia="SimSun"/>
        </w:rPr>
        <w:t>]=</w:t>
      </w:r>
      <w:proofErr w:type="spellStart"/>
      <w:r w:rsidRPr="0051032A">
        <w:rPr>
          <w:rFonts w:eastAsia="SimSun"/>
        </w:rPr>
        <w:t>Lost_total</w:t>
      </w:r>
      <w:proofErr w:type="spellEnd"/>
      <w:r w:rsidRPr="0051032A">
        <w:rPr>
          <w:rFonts w:eastAsia="SimSun"/>
        </w:rPr>
        <w:t>[t,1,g]+Lost[</w:t>
      </w:r>
      <w:proofErr w:type="spellStart"/>
      <w:r w:rsidRPr="0051032A">
        <w:rPr>
          <w:rFonts w:eastAsia="SimSun"/>
        </w:rPr>
        <w:t>t,s,g</w:t>
      </w:r>
      <w:proofErr w:type="spellEnd"/>
      <w:r w:rsidRPr="0051032A">
        <w:rPr>
          <w:rFonts w:eastAsia="SimSun"/>
        </w:rPr>
        <w:t>]</w:t>
      </w:r>
    </w:p>
    <w:p w14:paraId="00360D03" w14:textId="77777777" w:rsidR="00260B6D" w:rsidRPr="0051032A" w:rsidRDefault="00260B6D" w:rsidP="0051032A">
      <w:pPr>
        <w:rPr>
          <w:rFonts w:eastAsia="SimSun"/>
        </w:rPr>
      </w:pPr>
      <w:r w:rsidRPr="0051032A">
        <w:rPr>
          <w:rFonts w:eastAsia="SimSun"/>
        </w:rPr>
        <w:t xml:space="preserve">      Suppressed_total[t,</w:t>
      </w:r>
      <w:proofErr w:type="gramStart"/>
      <w:r w:rsidRPr="0051032A">
        <w:rPr>
          <w:rFonts w:eastAsia="SimSun"/>
        </w:rPr>
        <w:t>1,g</w:t>
      </w:r>
      <w:proofErr w:type="gramEnd"/>
      <w:r w:rsidRPr="0051032A">
        <w:rPr>
          <w:rFonts w:eastAsia="SimSun"/>
        </w:rPr>
        <w:t>]=Suppressed_total[t,1,g]+Suppressed[t,s,g]</w:t>
      </w:r>
    </w:p>
    <w:p w14:paraId="349DCABD" w14:textId="77777777" w:rsidR="00260B6D" w:rsidRPr="0051032A" w:rsidRDefault="00260B6D" w:rsidP="0051032A">
      <w:pPr>
        <w:rPr>
          <w:rFonts w:eastAsia="SimSun"/>
        </w:rPr>
      </w:pPr>
      <w:r w:rsidRPr="0051032A">
        <w:rPr>
          <w:rFonts w:eastAsia="SimSun"/>
        </w:rPr>
        <w:t xml:space="preserve">      # Not_Suppressed_total[t,</w:t>
      </w:r>
      <w:proofErr w:type="gramStart"/>
      <w:r w:rsidRPr="0051032A">
        <w:rPr>
          <w:rFonts w:eastAsia="SimSun"/>
        </w:rPr>
        <w:t>1,g</w:t>
      </w:r>
      <w:proofErr w:type="gramEnd"/>
      <w:r w:rsidRPr="0051032A">
        <w:rPr>
          <w:rFonts w:eastAsia="SimSun"/>
        </w:rPr>
        <w:t>]=Not_Suppressed_total[t,1,g]+Not_Suppressed[t,s,g]</w:t>
      </w:r>
    </w:p>
    <w:p w14:paraId="2477734E"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On_ART_total</w:t>
      </w:r>
      <w:proofErr w:type="spellEnd"/>
      <w:r w:rsidRPr="0051032A">
        <w:rPr>
          <w:rFonts w:eastAsia="SimSun"/>
        </w:rPr>
        <w:t>[t,</w:t>
      </w:r>
      <w:proofErr w:type="gramStart"/>
      <w:r w:rsidRPr="0051032A">
        <w:rPr>
          <w:rFonts w:eastAsia="SimSun"/>
        </w:rPr>
        <w:t>1,g</w:t>
      </w:r>
      <w:proofErr w:type="gramEnd"/>
      <w:r w:rsidRPr="0051032A">
        <w:rPr>
          <w:rFonts w:eastAsia="SimSun"/>
        </w:rPr>
        <w:t>]=</w:t>
      </w:r>
      <w:proofErr w:type="spellStart"/>
      <w:r w:rsidRPr="0051032A">
        <w:rPr>
          <w:rFonts w:eastAsia="SimSun"/>
        </w:rPr>
        <w:t>On_ART_total</w:t>
      </w:r>
      <w:proofErr w:type="spellEnd"/>
      <w:r w:rsidRPr="0051032A">
        <w:rPr>
          <w:rFonts w:eastAsia="SimSun"/>
        </w:rPr>
        <w:t>[t,1,g]+</w:t>
      </w:r>
      <w:proofErr w:type="spellStart"/>
      <w:r w:rsidRPr="0051032A">
        <w:rPr>
          <w:rFonts w:eastAsia="SimSun"/>
        </w:rPr>
        <w:t>On_ART</w:t>
      </w:r>
      <w:proofErr w:type="spellEnd"/>
      <w:r w:rsidRPr="0051032A">
        <w:rPr>
          <w:rFonts w:eastAsia="SimSun"/>
        </w:rPr>
        <w:t>[</w:t>
      </w:r>
      <w:proofErr w:type="spellStart"/>
      <w:r w:rsidRPr="0051032A">
        <w:rPr>
          <w:rFonts w:eastAsia="SimSun"/>
        </w:rPr>
        <w:t>t,s,g</w:t>
      </w:r>
      <w:proofErr w:type="spellEnd"/>
      <w:r w:rsidRPr="0051032A">
        <w:rPr>
          <w:rFonts w:eastAsia="SimSun"/>
        </w:rPr>
        <w:t>]</w:t>
      </w:r>
    </w:p>
    <w:p w14:paraId="158F3382" w14:textId="77777777" w:rsidR="00260B6D" w:rsidRPr="0051032A" w:rsidRDefault="00260B6D" w:rsidP="0051032A">
      <w:pPr>
        <w:rPr>
          <w:rFonts w:eastAsia="SimSun"/>
        </w:rPr>
      </w:pPr>
      <w:r w:rsidRPr="0051032A">
        <w:rPr>
          <w:rFonts w:eastAsia="SimSun"/>
        </w:rPr>
        <w:t xml:space="preserve">    }</w:t>
      </w:r>
    </w:p>
    <w:p w14:paraId="31B7B03C" w14:textId="77777777" w:rsidR="00260B6D" w:rsidRPr="0051032A" w:rsidRDefault="00260B6D" w:rsidP="0051032A">
      <w:pPr>
        <w:rPr>
          <w:rFonts w:eastAsia="SimSun"/>
        </w:rPr>
      </w:pPr>
      <w:r w:rsidRPr="0051032A">
        <w:rPr>
          <w:rFonts w:eastAsia="SimSun"/>
        </w:rPr>
        <w:lastRenderedPageBreak/>
        <w:t xml:space="preserve">  }</w:t>
      </w:r>
    </w:p>
    <w:p w14:paraId="6EF0B580" w14:textId="77777777" w:rsidR="00260B6D" w:rsidRPr="0051032A" w:rsidRDefault="00260B6D" w:rsidP="0051032A">
      <w:pPr>
        <w:rPr>
          <w:rFonts w:eastAsia="SimSun"/>
        </w:rPr>
      </w:pPr>
      <w:r w:rsidRPr="0051032A">
        <w:rPr>
          <w:rFonts w:eastAsia="SimSun"/>
        </w:rPr>
        <w:t xml:space="preserve">}  </w:t>
      </w:r>
    </w:p>
    <w:p w14:paraId="236FE930" w14:textId="77777777" w:rsidR="00260B6D" w:rsidRPr="0051032A" w:rsidRDefault="00260B6D" w:rsidP="0051032A">
      <w:pPr>
        <w:rPr>
          <w:rFonts w:eastAsia="SimSun"/>
        </w:rPr>
      </w:pPr>
    </w:p>
    <w:p w14:paraId="17518951" w14:textId="77777777" w:rsidR="00260B6D" w:rsidRPr="0051032A" w:rsidRDefault="00260B6D" w:rsidP="0051032A">
      <w:pPr>
        <w:rPr>
          <w:rFonts w:eastAsia="SimSun"/>
        </w:rPr>
      </w:pPr>
      <w:r w:rsidRPr="0051032A">
        <w:rPr>
          <w:rFonts w:eastAsia="SimSun"/>
        </w:rPr>
        <w:t># Generate annual outcomes for overall population</w:t>
      </w:r>
    </w:p>
    <w:p w14:paraId="2E0DA8B7" w14:textId="77777777" w:rsidR="00260B6D" w:rsidRPr="0051032A" w:rsidRDefault="00260B6D" w:rsidP="0051032A">
      <w:pPr>
        <w:rPr>
          <w:rFonts w:eastAsia="SimSun"/>
        </w:rPr>
      </w:pPr>
      <w:r w:rsidRPr="0051032A">
        <w:rPr>
          <w:rFonts w:eastAsia="SimSun"/>
        </w:rPr>
        <w:t>library(zoo)</w:t>
      </w:r>
    </w:p>
    <w:p w14:paraId="5D0E4879" w14:textId="77777777" w:rsidR="00260B6D" w:rsidRPr="0051032A" w:rsidRDefault="00260B6D" w:rsidP="0051032A">
      <w:pPr>
        <w:rPr>
          <w:rFonts w:eastAsia="SimSun"/>
        </w:rPr>
      </w:pPr>
    </w:p>
    <w:p w14:paraId="07FF3B8D" w14:textId="77777777" w:rsidR="00260B6D" w:rsidRPr="0051032A" w:rsidRDefault="00260B6D" w:rsidP="0051032A">
      <w:pPr>
        <w:rPr>
          <w:rFonts w:eastAsia="SimSun"/>
        </w:rPr>
      </w:pPr>
      <w:r w:rsidRPr="0051032A">
        <w:rPr>
          <w:rFonts w:eastAsia="SimSun"/>
        </w:rPr>
        <w:t>for (t in (</w:t>
      </w:r>
      <w:proofErr w:type="gramStart"/>
      <w:r w:rsidRPr="0051032A">
        <w:rPr>
          <w:rFonts w:eastAsia="SimSun"/>
        </w:rPr>
        <w:t>1:trials</w:t>
      </w:r>
      <w:proofErr w:type="gramEnd"/>
      <w:r w:rsidRPr="0051032A">
        <w:rPr>
          <w:rFonts w:eastAsia="SimSun"/>
        </w:rPr>
        <w:t>)) {</w:t>
      </w:r>
    </w:p>
    <w:p w14:paraId="659C51C8" w14:textId="77777777" w:rsidR="00260B6D" w:rsidRPr="0051032A" w:rsidRDefault="00260B6D" w:rsidP="0051032A">
      <w:pPr>
        <w:rPr>
          <w:rFonts w:eastAsia="SimSun"/>
        </w:rPr>
      </w:pPr>
      <w:r w:rsidRPr="0051032A">
        <w:rPr>
          <w:rFonts w:eastAsia="SimSun"/>
        </w:rPr>
        <w:t xml:space="preserve">  # Assign a vector to store the year variables</w:t>
      </w:r>
    </w:p>
    <w:p w14:paraId="38FA6363" w14:textId="77777777" w:rsidR="00260B6D" w:rsidRPr="0051032A" w:rsidRDefault="00260B6D" w:rsidP="0051032A">
      <w:pPr>
        <w:rPr>
          <w:rFonts w:eastAsia="SimSun"/>
        </w:rPr>
      </w:pPr>
      <w:r w:rsidRPr="0051032A">
        <w:rPr>
          <w:rFonts w:eastAsia="SimSun"/>
        </w:rPr>
        <w:t xml:space="preserve">  year &lt;- </w:t>
      </w:r>
      <w:proofErr w:type="gramStart"/>
      <w:r w:rsidRPr="0051032A">
        <w:rPr>
          <w:rFonts w:eastAsia="SimSun"/>
        </w:rPr>
        <w:t>seq(</w:t>
      </w:r>
      <w:proofErr w:type="gramEnd"/>
      <w:r w:rsidRPr="0051032A">
        <w:rPr>
          <w:rFonts w:eastAsia="SimSun"/>
        </w:rPr>
        <w:t>from=2004, to=2039, by=1)</w:t>
      </w:r>
    </w:p>
    <w:p w14:paraId="78C39EDC" w14:textId="77777777" w:rsidR="00260B6D" w:rsidRPr="0051032A" w:rsidRDefault="00260B6D" w:rsidP="0051032A">
      <w:pPr>
        <w:rPr>
          <w:rFonts w:eastAsia="SimSun"/>
        </w:rPr>
      </w:pPr>
      <w:r w:rsidRPr="0051032A">
        <w:rPr>
          <w:rFonts w:eastAsia="SimSun"/>
        </w:rPr>
        <w:t xml:space="preserve">  </w:t>
      </w:r>
    </w:p>
    <w:p w14:paraId="03B24C38" w14:textId="77777777" w:rsidR="00260B6D" w:rsidRPr="0051032A" w:rsidRDefault="00260B6D" w:rsidP="0051032A">
      <w:pPr>
        <w:rPr>
          <w:rFonts w:eastAsia="SimSun"/>
        </w:rPr>
      </w:pPr>
      <w:r w:rsidRPr="0051032A">
        <w:rPr>
          <w:rFonts w:eastAsia="SimSun"/>
        </w:rPr>
        <w:t xml:space="preserve">  # Annual prevalence (end of the year)</w:t>
      </w:r>
    </w:p>
    <w:p w14:paraId="6A22C234"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Prevalence_total</w:t>
      </w:r>
      <w:proofErr w:type="spellEnd"/>
      <w:r w:rsidRPr="0051032A">
        <w:rPr>
          <w:rFonts w:eastAsia="SimSun"/>
        </w:rPr>
        <w:t>[t,1,] &lt;- (</w:t>
      </w:r>
      <w:proofErr w:type="spellStart"/>
      <w:r w:rsidRPr="0051032A">
        <w:rPr>
          <w:rFonts w:eastAsia="SimSun"/>
        </w:rPr>
        <w:t>Z_total</w:t>
      </w:r>
      <w:proofErr w:type="spellEnd"/>
      <w:r w:rsidRPr="0051032A">
        <w:rPr>
          <w:rFonts w:eastAsia="SimSun"/>
        </w:rPr>
        <w:t>[t,1</w:t>
      </w:r>
      <w:proofErr w:type="gramStart"/>
      <w:r w:rsidRPr="0051032A">
        <w:rPr>
          <w:rFonts w:eastAsia="SimSun"/>
        </w:rPr>
        <w:t>,]+</w:t>
      </w:r>
      <w:proofErr w:type="spellStart"/>
      <w:proofErr w:type="gramEnd"/>
      <w:r w:rsidRPr="0051032A">
        <w:rPr>
          <w:rFonts w:eastAsia="SimSun"/>
        </w:rPr>
        <w:t>V_total</w:t>
      </w:r>
      <w:proofErr w:type="spellEnd"/>
      <w:r w:rsidRPr="0051032A">
        <w:rPr>
          <w:rFonts w:eastAsia="SimSun"/>
        </w:rPr>
        <w:t>[t,1,])/(</w:t>
      </w:r>
      <w:proofErr w:type="spellStart"/>
      <w:r w:rsidRPr="0051032A">
        <w:rPr>
          <w:rFonts w:eastAsia="SimSun"/>
        </w:rPr>
        <w:t>N_total</w:t>
      </w:r>
      <w:proofErr w:type="spellEnd"/>
      <w:r w:rsidRPr="0051032A">
        <w:rPr>
          <w:rFonts w:eastAsia="SimSun"/>
        </w:rPr>
        <w:t>[t,1,]+</w:t>
      </w:r>
      <w:proofErr w:type="spellStart"/>
      <w:r w:rsidRPr="0051032A">
        <w:rPr>
          <w:rFonts w:eastAsia="SimSun"/>
        </w:rPr>
        <w:t>S_total</w:t>
      </w:r>
      <w:proofErr w:type="spellEnd"/>
      <w:r w:rsidRPr="0051032A">
        <w:rPr>
          <w:rFonts w:eastAsia="SimSun"/>
        </w:rPr>
        <w:t>[t,1,])</w:t>
      </w:r>
    </w:p>
    <w:p w14:paraId="52813821"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Prevalence_total_y</w:t>
      </w:r>
      <w:proofErr w:type="spellEnd"/>
      <w:r w:rsidRPr="0051032A">
        <w:rPr>
          <w:rFonts w:eastAsia="SimSun"/>
        </w:rPr>
        <w:t>[t,] &lt;- Prevalence_total[t,1</w:t>
      </w:r>
      <w:proofErr w:type="gramStart"/>
      <w:r w:rsidRPr="0051032A">
        <w:rPr>
          <w:rFonts w:eastAsia="SimSun"/>
        </w:rPr>
        <w:t>,][</w:t>
      </w:r>
      <w:proofErr w:type="gramEnd"/>
      <w:r w:rsidRPr="0051032A">
        <w:rPr>
          <w:rFonts w:eastAsia="SimSun"/>
        </w:rPr>
        <w:t>seq(12,length(Prevalence_total[t,1,]),12)]</w:t>
      </w:r>
    </w:p>
    <w:p w14:paraId="425331C4" w14:textId="77777777" w:rsidR="00260B6D" w:rsidRPr="0051032A" w:rsidRDefault="00260B6D" w:rsidP="0051032A">
      <w:pPr>
        <w:rPr>
          <w:rFonts w:eastAsia="SimSun"/>
        </w:rPr>
      </w:pPr>
      <w:r w:rsidRPr="0051032A">
        <w:rPr>
          <w:rFonts w:eastAsia="SimSun"/>
        </w:rPr>
        <w:t xml:space="preserve">  </w:t>
      </w:r>
    </w:p>
    <w:p w14:paraId="0CA8F5A3" w14:textId="77777777" w:rsidR="00260B6D" w:rsidRPr="0051032A" w:rsidRDefault="00260B6D" w:rsidP="0051032A">
      <w:pPr>
        <w:rPr>
          <w:rFonts w:eastAsia="SimSun"/>
        </w:rPr>
      </w:pPr>
      <w:r w:rsidRPr="0051032A">
        <w:rPr>
          <w:rFonts w:eastAsia="SimSun"/>
        </w:rPr>
        <w:t xml:space="preserve">  # Annual incidence (end of the year)</w:t>
      </w:r>
    </w:p>
    <w:p w14:paraId="48E421FD"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New_Diagnosed_total_y</w:t>
      </w:r>
      <w:proofErr w:type="spellEnd"/>
      <w:r w:rsidRPr="0051032A">
        <w:rPr>
          <w:rFonts w:eastAsia="SimSun"/>
        </w:rPr>
        <w:t xml:space="preserve">[t,] &lt;- </w:t>
      </w:r>
      <w:proofErr w:type="spellStart"/>
      <w:proofErr w:type="gramStart"/>
      <w:r w:rsidRPr="0051032A">
        <w:rPr>
          <w:rFonts w:eastAsia="SimSun"/>
        </w:rPr>
        <w:t>rollapply</w:t>
      </w:r>
      <w:proofErr w:type="spellEnd"/>
      <w:r w:rsidRPr="0051032A">
        <w:rPr>
          <w:rFonts w:eastAsia="SimSun"/>
        </w:rPr>
        <w:t>(</w:t>
      </w:r>
      <w:proofErr w:type="spellStart"/>
      <w:proofErr w:type="gramEnd"/>
      <w:r w:rsidRPr="0051032A">
        <w:rPr>
          <w:rFonts w:eastAsia="SimSun"/>
        </w:rPr>
        <w:t>New_Diagnosed_total</w:t>
      </w:r>
      <w:proofErr w:type="spellEnd"/>
      <w:r w:rsidRPr="0051032A">
        <w:rPr>
          <w:rFonts w:eastAsia="SimSun"/>
        </w:rPr>
        <w:t>[t,1,],12,sum,by=12)</w:t>
      </w:r>
    </w:p>
    <w:p w14:paraId="72F8D474"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S_total_y</w:t>
      </w:r>
      <w:proofErr w:type="spellEnd"/>
      <w:r w:rsidRPr="0051032A">
        <w:rPr>
          <w:rFonts w:eastAsia="SimSun"/>
        </w:rPr>
        <w:t xml:space="preserve">[t,] &lt;- </w:t>
      </w:r>
      <w:proofErr w:type="spellStart"/>
      <w:r w:rsidRPr="0051032A">
        <w:rPr>
          <w:rFonts w:eastAsia="SimSun"/>
        </w:rPr>
        <w:t>S_total</w:t>
      </w:r>
      <w:proofErr w:type="spellEnd"/>
      <w:r w:rsidRPr="0051032A">
        <w:rPr>
          <w:rFonts w:eastAsia="SimSun"/>
        </w:rPr>
        <w:t>[t,1</w:t>
      </w:r>
      <w:proofErr w:type="gramStart"/>
      <w:r w:rsidRPr="0051032A">
        <w:rPr>
          <w:rFonts w:eastAsia="SimSun"/>
        </w:rPr>
        <w:t>,][</w:t>
      </w:r>
      <w:proofErr w:type="gramEnd"/>
      <w:r w:rsidRPr="0051032A">
        <w:rPr>
          <w:rFonts w:eastAsia="SimSun"/>
        </w:rPr>
        <w:t>seq(12, length(</w:t>
      </w:r>
      <w:proofErr w:type="spellStart"/>
      <w:r w:rsidRPr="0051032A">
        <w:rPr>
          <w:rFonts w:eastAsia="SimSun"/>
        </w:rPr>
        <w:t>S_total</w:t>
      </w:r>
      <w:proofErr w:type="spellEnd"/>
      <w:r w:rsidRPr="0051032A">
        <w:rPr>
          <w:rFonts w:eastAsia="SimSun"/>
        </w:rPr>
        <w:t>[t,1,]), 12)]</w:t>
      </w:r>
    </w:p>
    <w:p w14:paraId="4EFB5569"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Incidence_total_y</w:t>
      </w:r>
      <w:proofErr w:type="spellEnd"/>
      <w:r w:rsidRPr="0051032A">
        <w:rPr>
          <w:rFonts w:eastAsia="SimSun"/>
        </w:rPr>
        <w:t xml:space="preserve">[t,] &lt;- </w:t>
      </w:r>
      <w:proofErr w:type="spellStart"/>
      <w:r w:rsidRPr="0051032A">
        <w:rPr>
          <w:rFonts w:eastAsia="SimSun"/>
        </w:rPr>
        <w:t>New_Diagnosed_total_y</w:t>
      </w:r>
      <w:proofErr w:type="spellEnd"/>
      <w:r w:rsidRPr="0051032A">
        <w:rPr>
          <w:rFonts w:eastAsia="SimSun"/>
        </w:rPr>
        <w:t>[t,]/</w:t>
      </w:r>
      <w:proofErr w:type="spellStart"/>
      <w:r w:rsidRPr="0051032A">
        <w:rPr>
          <w:rFonts w:eastAsia="SimSun"/>
        </w:rPr>
        <w:t>S_total_y</w:t>
      </w:r>
      <w:proofErr w:type="spellEnd"/>
      <w:r w:rsidRPr="0051032A">
        <w:rPr>
          <w:rFonts w:eastAsia="SimSun"/>
        </w:rPr>
        <w:t>[t,]</w:t>
      </w:r>
    </w:p>
    <w:p w14:paraId="1B086CF2" w14:textId="77777777" w:rsidR="00260B6D" w:rsidRPr="0051032A" w:rsidRDefault="00260B6D" w:rsidP="0051032A">
      <w:pPr>
        <w:rPr>
          <w:rFonts w:eastAsia="SimSun"/>
        </w:rPr>
      </w:pPr>
      <w:r w:rsidRPr="0051032A">
        <w:rPr>
          <w:rFonts w:eastAsia="SimSun"/>
        </w:rPr>
        <w:t xml:space="preserve">  </w:t>
      </w:r>
    </w:p>
    <w:p w14:paraId="2D48448D" w14:textId="77777777" w:rsidR="00260B6D" w:rsidRPr="0051032A" w:rsidRDefault="00260B6D" w:rsidP="0051032A">
      <w:pPr>
        <w:rPr>
          <w:rFonts w:eastAsia="SimSun"/>
        </w:rPr>
      </w:pPr>
      <w:r w:rsidRPr="0051032A">
        <w:rPr>
          <w:rFonts w:eastAsia="SimSun"/>
        </w:rPr>
        <w:t xml:space="preserve">  # Annual number of people on ART</w:t>
      </w:r>
    </w:p>
    <w:p w14:paraId="487A9762"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On_ART_total_ny</w:t>
      </w:r>
      <w:proofErr w:type="spellEnd"/>
      <w:r w:rsidRPr="0051032A">
        <w:rPr>
          <w:rFonts w:eastAsia="SimSun"/>
        </w:rPr>
        <w:t>[t,] &lt;- (</w:t>
      </w:r>
      <w:proofErr w:type="spellStart"/>
      <w:r w:rsidRPr="0051032A">
        <w:rPr>
          <w:rFonts w:eastAsia="SimSun"/>
        </w:rPr>
        <w:t>On_ART_total</w:t>
      </w:r>
      <w:proofErr w:type="spellEnd"/>
      <w:r w:rsidRPr="0051032A">
        <w:rPr>
          <w:rFonts w:eastAsia="SimSun"/>
        </w:rPr>
        <w:t>[t,1,</w:t>
      </w:r>
      <w:proofErr w:type="gramStart"/>
      <w:r w:rsidRPr="0051032A">
        <w:rPr>
          <w:rFonts w:eastAsia="SimSun"/>
        </w:rPr>
        <w:t>])[</w:t>
      </w:r>
      <w:proofErr w:type="gramEnd"/>
      <w:r w:rsidRPr="0051032A">
        <w:rPr>
          <w:rFonts w:eastAsia="SimSun"/>
        </w:rPr>
        <w:t>seq(12,length(</w:t>
      </w:r>
      <w:proofErr w:type="spellStart"/>
      <w:r w:rsidRPr="0051032A">
        <w:rPr>
          <w:rFonts w:eastAsia="SimSun"/>
        </w:rPr>
        <w:t>On_ART_total</w:t>
      </w:r>
      <w:proofErr w:type="spellEnd"/>
      <w:r w:rsidRPr="0051032A">
        <w:rPr>
          <w:rFonts w:eastAsia="SimSun"/>
        </w:rPr>
        <w:t>[t,1,]),12)]</w:t>
      </w:r>
    </w:p>
    <w:p w14:paraId="220E735A" w14:textId="77777777" w:rsidR="00260B6D" w:rsidRPr="0051032A" w:rsidRDefault="00260B6D" w:rsidP="0051032A">
      <w:pPr>
        <w:rPr>
          <w:rFonts w:eastAsia="SimSun"/>
        </w:rPr>
      </w:pPr>
      <w:r w:rsidRPr="0051032A">
        <w:rPr>
          <w:rFonts w:eastAsia="SimSun"/>
        </w:rPr>
        <w:t xml:space="preserve">  </w:t>
      </w:r>
    </w:p>
    <w:p w14:paraId="1F6C1AFD" w14:textId="77777777" w:rsidR="00260B6D" w:rsidRPr="0051032A" w:rsidRDefault="00260B6D" w:rsidP="0051032A">
      <w:pPr>
        <w:rPr>
          <w:rFonts w:eastAsia="SimSun"/>
        </w:rPr>
      </w:pPr>
      <w:r w:rsidRPr="0051032A">
        <w:rPr>
          <w:rFonts w:eastAsia="SimSun"/>
        </w:rPr>
        <w:t xml:space="preserve">  # Annual proportion on ART</w:t>
      </w:r>
    </w:p>
    <w:p w14:paraId="115426D7"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On_ART_total_y</w:t>
      </w:r>
      <w:proofErr w:type="spellEnd"/>
      <w:r w:rsidRPr="0051032A">
        <w:rPr>
          <w:rFonts w:eastAsia="SimSun"/>
        </w:rPr>
        <w:t>[t,] &lt;- (On_ART_total[t,1,]/Diagnosed_total[t,1,</w:t>
      </w:r>
      <w:proofErr w:type="gramStart"/>
      <w:r w:rsidRPr="0051032A">
        <w:rPr>
          <w:rFonts w:eastAsia="SimSun"/>
        </w:rPr>
        <w:t>])[</w:t>
      </w:r>
      <w:proofErr w:type="gramEnd"/>
      <w:r w:rsidRPr="0051032A">
        <w:rPr>
          <w:rFonts w:eastAsia="SimSun"/>
        </w:rPr>
        <w:t>seq(12,length(On_ART_total[t,1,]),12)]</w:t>
      </w:r>
    </w:p>
    <w:p w14:paraId="6462D228" w14:textId="77777777" w:rsidR="00260B6D" w:rsidRPr="0051032A" w:rsidRDefault="00260B6D" w:rsidP="0051032A">
      <w:pPr>
        <w:rPr>
          <w:rFonts w:eastAsia="SimSun"/>
        </w:rPr>
      </w:pPr>
      <w:r w:rsidRPr="0051032A">
        <w:rPr>
          <w:rFonts w:eastAsia="SimSun"/>
        </w:rPr>
        <w:t xml:space="preserve">  </w:t>
      </w:r>
    </w:p>
    <w:p w14:paraId="3E253062" w14:textId="77777777" w:rsidR="00260B6D" w:rsidRPr="0051032A" w:rsidRDefault="00260B6D" w:rsidP="0051032A">
      <w:pPr>
        <w:rPr>
          <w:rFonts w:eastAsia="SimSun"/>
        </w:rPr>
      </w:pPr>
      <w:r w:rsidRPr="0051032A">
        <w:rPr>
          <w:rFonts w:eastAsia="SimSun"/>
        </w:rPr>
        <w:t xml:space="preserve">  # Annual proportion viral suppressed </w:t>
      </w:r>
    </w:p>
    <w:p w14:paraId="33BDF000"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Suppressed_total_y</w:t>
      </w:r>
      <w:proofErr w:type="spellEnd"/>
      <w:r w:rsidRPr="0051032A">
        <w:rPr>
          <w:rFonts w:eastAsia="SimSun"/>
        </w:rPr>
        <w:t>[t,] &lt;- (Suppressed_total[t,1,]/N_total[t,1,</w:t>
      </w:r>
      <w:proofErr w:type="gramStart"/>
      <w:r w:rsidRPr="0051032A">
        <w:rPr>
          <w:rFonts w:eastAsia="SimSun"/>
        </w:rPr>
        <w:t>])[</w:t>
      </w:r>
      <w:proofErr w:type="gramEnd"/>
      <w:r w:rsidRPr="0051032A">
        <w:rPr>
          <w:rFonts w:eastAsia="SimSun"/>
        </w:rPr>
        <w:t>seq(12,length(Suppressed_total[t,1,]),12)]</w:t>
      </w:r>
    </w:p>
    <w:p w14:paraId="18AD0605" w14:textId="77777777" w:rsidR="00260B6D" w:rsidRPr="0051032A" w:rsidRDefault="00260B6D" w:rsidP="0051032A">
      <w:pPr>
        <w:rPr>
          <w:rFonts w:eastAsia="SimSun"/>
        </w:rPr>
      </w:pPr>
      <w:r w:rsidRPr="0051032A">
        <w:rPr>
          <w:rFonts w:eastAsia="SimSun"/>
        </w:rPr>
        <w:t xml:space="preserve">  </w:t>
      </w:r>
    </w:p>
    <w:p w14:paraId="40CCB560" w14:textId="77777777" w:rsidR="00260B6D" w:rsidRPr="0051032A" w:rsidRDefault="00260B6D" w:rsidP="0051032A">
      <w:pPr>
        <w:rPr>
          <w:rFonts w:eastAsia="SimSun"/>
        </w:rPr>
      </w:pPr>
      <w:r w:rsidRPr="0051032A">
        <w:rPr>
          <w:rFonts w:eastAsia="SimSun"/>
        </w:rPr>
        <w:t xml:space="preserve">  # Annual proportion viral suppressed when on ART</w:t>
      </w:r>
    </w:p>
    <w:p w14:paraId="0856E943"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Suppressed_onART_total_y</w:t>
      </w:r>
      <w:proofErr w:type="spellEnd"/>
      <w:r w:rsidRPr="0051032A">
        <w:rPr>
          <w:rFonts w:eastAsia="SimSun"/>
        </w:rPr>
        <w:t>[t,] &lt;- (Suppressed_total[t,1,]/On_ART_total[t,1,</w:t>
      </w:r>
      <w:proofErr w:type="gramStart"/>
      <w:r w:rsidRPr="0051032A">
        <w:rPr>
          <w:rFonts w:eastAsia="SimSun"/>
        </w:rPr>
        <w:t>])[</w:t>
      </w:r>
      <w:proofErr w:type="gramEnd"/>
      <w:r w:rsidRPr="0051032A">
        <w:rPr>
          <w:rFonts w:eastAsia="SimSun"/>
        </w:rPr>
        <w:t>seq(12,length(Suppressed_total[t,1,]),12)]</w:t>
      </w:r>
    </w:p>
    <w:p w14:paraId="093F6A76" w14:textId="77777777" w:rsidR="00260B6D" w:rsidRPr="0051032A" w:rsidRDefault="00260B6D" w:rsidP="0051032A">
      <w:pPr>
        <w:rPr>
          <w:rFonts w:eastAsia="SimSun"/>
        </w:rPr>
      </w:pPr>
      <w:r w:rsidRPr="0051032A">
        <w:rPr>
          <w:rFonts w:eastAsia="SimSun"/>
        </w:rPr>
        <w:t>}</w:t>
      </w:r>
    </w:p>
    <w:p w14:paraId="60E3F068" w14:textId="77777777" w:rsidR="00260B6D" w:rsidRPr="0051032A" w:rsidRDefault="00260B6D" w:rsidP="0051032A">
      <w:pPr>
        <w:rPr>
          <w:rFonts w:eastAsia="SimSun"/>
        </w:rPr>
      </w:pPr>
    </w:p>
    <w:p w14:paraId="238AA0D2" w14:textId="77777777" w:rsidR="00260B6D" w:rsidRPr="0051032A" w:rsidRDefault="00260B6D" w:rsidP="0051032A">
      <w:pPr>
        <w:rPr>
          <w:rFonts w:eastAsia="SimSun"/>
        </w:rPr>
      </w:pPr>
    </w:p>
    <w:p w14:paraId="1848665E" w14:textId="77777777" w:rsidR="00260B6D" w:rsidRPr="0051032A" w:rsidRDefault="00260B6D" w:rsidP="0051032A">
      <w:pPr>
        <w:rPr>
          <w:rFonts w:eastAsia="SimSun"/>
        </w:rPr>
      </w:pPr>
      <w:r w:rsidRPr="0051032A">
        <w:rPr>
          <w:rFonts w:eastAsia="SimSun"/>
        </w:rPr>
        <w:t>for (t in (</w:t>
      </w:r>
      <w:proofErr w:type="gramStart"/>
      <w:r w:rsidRPr="0051032A">
        <w:rPr>
          <w:rFonts w:eastAsia="SimSun"/>
        </w:rPr>
        <w:t>1:trials</w:t>
      </w:r>
      <w:proofErr w:type="gramEnd"/>
      <w:r w:rsidRPr="0051032A">
        <w:rPr>
          <w:rFonts w:eastAsia="SimSun"/>
        </w:rPr>
        <w:t>)) {</w:t>
      </w:r>
    </w:p>
    <w:p w14:paraId="2C8BE1F7" w14:textId="77777777" w:rsidR="00260B6D" w:rsidRPr="0051032A" w:rsidRDefault="00260B6D" w:rsidP="0051032A">
      <w:pPr>
        <w:rPr>
          <w:rFonts w:eastAsia="SimSun"/>
        </w:rPr>
      </w:pPr>
      <w:r w:rsidRPr="0051032A">
        <w:rPr>
          <w:rFonts w:eastAsia="SimSun"/>
        </w:rPr>
        <w:t xml:space="preserve">  # Initialize calibration storage parameters</w:t>
      </w:r>
    </w:p>
    <w:p w14:paraId="0D6894F4"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sls_prev_total</w:t>
      </w:r>
      <w:proofErr w:type="spellEnd"/>
      <w:r w:rsidRPr="0051032A">
        <w:rPr>
          <w:rFonts w:eastAsia="SimSun"/>
        </w:rPr>
        <w:t>[t] &lt;- 0</w:t>
      </w:r>
    </w:p>
    <w:p w14:paraId="00270E6A"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sls_incidence_total</w:t>
      </w:r>
      <w:proofErr w:type="spellEnd"/>
      <w:r w:rsidRPr="0051032A">
        <w:rPr>
          <w:rFonts w:eastAsia="SimSun"/>
        </w:rPr>
        <w:t>[t] &lt;- 0</w:t>
      </w:r>
    </w:p>
    <w:p w14:paraId="7560ADB4"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sls_onARTN_total</w:t>
      </w:r>
      <w:proofErr w:type="spellEnd"/>
      <w:r w:rsidRPr="0051032A">
        <w:rPr>
          <w:rFonts w:eastAsia="SimSun"/>
        </w:rPr>
        <w:t>[t] &lt;- 0</w:t>
      </w:r>
    </w:p>
    <w:p w14:paraId="18F4D140"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sls_onARTP_total</w:t>
      </w:r>
      <w:proofErr w:type="spellEnd"/>
      <w:r w:rsidRPr="0051032A">
        <w:rPr>
          <w:rFonts w:eastAsia="SimSun"/>
        </w:rPr>
        <w:t>[t] &lt;- 0</w:t>
      </w:r>
    </w:p>
    <w:p w14:paraId="030C33AF"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sls_vs_total</w:t>
      </w:r>
      <w:proofErr w:type="spellEnd"/>
      <w:r w:rsidRPr="0051032A">
        <w:rPr>
          <w:rFonts w:eastAsia="SimSun"/>
        </w:rPr>
        <w:t>[t] &lt;- 0</w:t>
      </w:r>
    </w:p>
    <w:p w14:paraId="0627733B"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sls_vsonART_total</w:t>
      </w:r>
      <w:proofErr w:type="spellEnd"/>
      <w:r w:rsidRPr="0051032A">
        <w:rPr>
          <w:rFonts w:eastAsia="SimSun"/>
        </w:rPr>
        <w:t>[t] &lt;- 0</w:t>
      </w:r>
    </w:p>
    <w:p w14:paraId="327C49D2"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sls_total</w:t>
      </w:r>
      <w:proofErr w:type="spellEnd"/>
      <w:r w:rsidRPr="0051032A">
        <w:rPr>
          <w:rFonts w:eastAsia="SimSun"/>
        </w:rPr>
        <w:t>[t] &lt;- 0</w:t>
      </w:r>
    </w:p>
    <w:p w14:paraId="6528CE46"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pd_prev_total</w:t>
      </w:r>
      <w:proofErr w:type="spellEnd"/>
      <w:r w:rsidRPr="0051032A">
        <w:rPr>
          <w:rFonts w:eastAsia="SimSun"/>
        </w:rPr>
        <w:t>[t] &lt;- 0</w:t>
      </w:r>
    </w:p>
    <w:p w14:paraId="697E51F2" w14:textId="77777777" w:rsidR="00260B6D" w:rsidRPr="0051032A" w:rsidRDefault="00260B6D" w:rsidP="0051032A">
      <w:pPr>
        <w:rPr>
          <w:rFonts w:eastAsia="SimSun"/>
        </w:rPr>
      </w:pPr>
      <w:r w:rsidRPr="0051032A">
        <w:rPr>
          <w:rFonts w:eastAsia="SimSun"/>
        </w:rPr>
        <w:lastRenderedPageBreak/>
        <w:t xml:space="preserve">  </w:t>
      </w:r>
      <w:proofErr w:type="spellStart"/>
      <w:r w:rsidRPr="0051032A">
        <w:rPr>
          <w:rFonts w:eastAsia="SimSun"/>
        </w:rPr>
        <w:t>pd_incidence_total</w:t>
      </w:r>
      <w:proofErr w:type="spellEnd"/>
      <w:r w:rsidRPr="0051032A">
        <w:rPr>
          <w:rFonts w:eastAsia="SimSun"/>
        </w:rPr>
        <w:t>[t] &lt;- 0</w:t>
      </w:r>
    </w:p>
    <w:p w14:paraId="2E1A9279"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pd_onARTN_total</w:t>
      </w:r>
      <w:proofErr w:type="spellEnd"/>
      <w:r w:rsidRPr="0051032A">
        <w:rPr>
          <w:rFonts w:eastAsia="SimSun"/>
        </w:rPr>
        <w:t>[t] &lt;- 0</w:t>
      </w:r>
    </w:p>
    <w:p w14:paraId="4C71F277"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pd_onARTP_total</w:t>
      </w:r>
      <w:proofErr w:type="spellEnd"/>
      <w:r w:rsidRPr="0051032A">
        <w:rPr>
          <w:rFonts w:eastAsia="SimSun"/>
        </w:rPr>
        <w:t>[t] &lt;- 0</w:t>
      </w:r>
    </w:p>
    <w:p w14:paraId="4A6F9626"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pd_vs_total</w:t>
      </w:r>
      <w:proofErr w:type="spellEnd"/>
      <w:r w:rsidRPr="0051032A">
        <w:rPr>
          <w:rFonts w:eastAsia="SimSun"/>
        </w:rPr>
        <w:t>[t] &lt;- 0</w:t>
      </w:r>
    </w:p>
    <w:p w14:paraId="35DFFE41"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pd_vsonART_total</w:t>
      </w:r>
      <w:proofErr w:type="spellEnd"/>
      <w:r w:rsidRPr="0051032A">
        <w:rPr>
          <w:rFonts w:eastAsia="SimSun"/>
        </w:rPr>
        <w:t>[t] &lt;- 0</w:t>
      </w:r>
    </w:p>
    <w:p w14:paraId="6D29E445"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pd_total</w:t>
      </w:r>
      <w:proofErr w:type="spellEnd"/>
      <w:r w:rsidRPr="0051032A">
        <w:rPr>
          <w:rFonts w:eastAsia="SimSun"/>
        </w:rPr>
        <w:t>[t] &lt;- 0</w:t>
      </w:r>
    </w:p>
    <w:p w14:paraId="7B27110A" w14:textId="77777777" w:rsidR="00260B6D" w:rsidRPr="0051032A" w:rsidRDefault="00260B6D" w:rsidP="0051032A">
      <w:pPr>
        <w:rPr>
          <w:rFonts w:eastAsia="SimSun"/>
        </w:rPr>
      </w:pPr>
      <w:r w:rsidRPr="0051032A">
        <w:rPr>
          <w:rFonts w:eastAsia="SimSun"/>
        </w:rPr>
        <w:t xml:space="preserve">  </w:t>
      </w:r>
    </w:p>
    <w:p w14:paraId="24C5B514" w14:textId="77777777" w:rsidR="00260B6D" w:rsidRPr="0051032A" w:rsidRDefault="00260B6D" w:rsidP="0051032A">
      <w:pPr>
        <w:rPr>
          <w:rFonts w:eastAsia="SimSun"/>
        </w:rPr>
      </w:pPr>
      <w:r w:rsidRPr="0051032A">
        <w:rPr>
          <w:rFonts w:eastAsia="SimSun"/>
        </w:rPr>
        <w:t xml:space="preserve">  # Calculate sum of least squares for each trial</w:t>
      </w:r>
    </w:p>
    <w:p w14:paraId="4FC09143" w14:textId="77777777" w:rsidR="00260B6D" w:rsidRPr="0051032A" w:rsidRDefault="00260B6D" w:rsidP="0051032A">
      <w:pPr>
        <w:rPr>
          <w:rFonts w:eastAsia="SimSun"/>
        </w:rPr>
      </w:pPr>
      <w:r w:rsidRPr="0051032A">
        <w:rPr>
          <w:rFonts w:eastAsia="SimSun"/>
        </w:rPr>
        <w:t xml:space="preserve">  for (y in (</w:t>
      </w:r>
      <w:proofErr w:type="gramStart"/>
      <w:r w:rsidRPr="0051032A">
        <w:rPr>
          <w:rFonts w:eastAsia="SimSun"/>
        </w:rPr>
        <w:t>1:length</w:t>
      </w:r>
      <w:proofErr w:type="gramEnd"/>
      <w:r w:rsidRPr="0051032A">
        <w:rPr>
          <w:rFonts w:eastAsia="SimSun"/>
        </w:rPr>
        <w:t>(</w:t>
      </w:r>
      <w:proofErr w:type="spellStart"/>
      <w:r w:rsidRPr="0051032A">
        <w:rPr>
          <w:rFonts w:eastAsia="SimSun"/>
        </w:rPr>
        <w:t>Prevalence_total_y</w:t>
      </w:r>
      <w:proofErr w:type="spellEnd"/>
      <w:r w:rsidRPr="0051032A">
        <w:rPr>
          <w:rFonts w:eastAsia="SimSun"/>
        </w:rPr>
        <w:t>[t,]))) {</w:t>
      </w:r>
    </w:p>
    <w:p w14:paraId="29919EBE" w14:textId="77777777" w:rsidR="00260B6D" w:rsidRPr="0051032A" w:rsidRDefault="00260B6D" w:rsidP="0051032A">
      <w:pPr>
        <w:rPr>
          <w:rFonts w:eastAsia="SimSun"/>
        </w:rPr>
      </w:pPr>
      <w:r w:rsidRPr="0051032A">
        <w:rPr>
          <w:rFonts w:eastAsia="SimSun"/>
        </w:rPr>
        <w:t xml:space="preserve">  # Prevalence</w:t>
      </w:r>
    </w:p>
    <w:p w14:paraId="5283ABF9"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Target_prev</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xml:space="preserve">]&lt;- </w:t>
      </w:r>
      <w:proofErr w:type="spellStart"/>
      <w:r w:rsidRPr="0051032A">
        <w:rPr>
          <w:rFonts w:eastAsia="SimSun"/>
        </w:rPr>
        <w:t>Target_all</w:t>
      </w:r>
      <w:proofErr w:type="spellEnd"/>
      <w:r w:rsidRPr="0051032A">
        <w:rPr>
          <w:rFonts w:eastAsia="SimSun"/>
        </w:rPr>
        <w:t>[</w:t>
      </w:r>
      <w:proofErr w:type="spellStart"/>
      <w:r w:rsidRPr="0051032A">
        <w:rPr>
          <w:rFonts w:eastAsia="SimSun"/>
        </w:rPr>
        <w:t>y,"Prevalence</w:t>
      </w:r>
      <w:proofErr w:type="spellEnd"/>
      <w:r w:rsidRPr="0051032A">
        <w:rPr>
          <w:rFonts w:eastAsia="SimSun"/>
        </w:rPr>
        <w:t>"]</w:t>
      </w:r>
    </w:p>
    <w:p w14:paraId="20695E34" w14:textId="77777777" w:rsidR="00260B6D" w:rsidRPr="0051032A" w:rsidRDefault="00260B6D" w:rsidP="0051032A">
      <w:pPr>
        <w:rPr>
          <w:rFonts w:eastAsia="SimSun"/>
        </w:rPr>
      </w:pPr>
      <w:r w:rsidRPr="0051032A">
        <w:rPr>
          <w:rFonts w:eastAsia="SimSun"/>
        </w:rPr>
        <w:t xml:space="preserve">  if (</w:t>
      </w:r>
      <w:proofErr w:type="gramStart"/>
      <w:r w:rsidRPr="0051032A">
        <w:rPr>
          <w:rFonts w:eastAsia="SimSun"/>
        </w:rPr>
        <w:t>is.na(</w:t>
      </w:r>
      <w:proofErr w:type="spellStart"/>
      <w:proofErr w:type="gramEnd"/>
      <w:r w:rsidRPr="0051032A">
        <w:rPr>
          <w:rFonts w:eastAsia="SimSun"/>
        </w:rPr>
        <w:t>Target_prev</w:t>
      </w:r>
      <w:proofErr w:type="spellEnd"/>
      <w:r w:rsidRPr="0051032A">
        <w:rPr>
          <w:rFonts w:eastAsia="SimSun"/>
        </w:rPr>
        <w:t>[</w:t>
      </w:r>
      <w:proofErr w:type="spellStart"/>
      <w:r w:rsidRPr="0051032A">
        <w:rPr>
          <w:rFonts w:eastAsia="SimSun"/>
        </w:rPr>
        <w:t>t,y</w:t>
      </w:r>
      <w:proofErr w:type="spellEnd"/>
      <w:r w:rsidRPr="0051032A">
        <w:rPr>
          <w:rFonts w:eastAsia="SimSun"/>
        </w:rPr>
        <w:t>]))</w:t>
      </w:r>
    </w:p>
    <w:p w14:paraId="054FB634" w14:textId="77777777" w:rsidR="00260B6D" w:rsidRPr="0051032A" w:rsidRDefault="00260B6D" w:rsidP="0051032A">
      <w:pPr>
        <w:rPr>
          <w:rFonts w:eastAsia="SimSun"/>
        </w:rPr>
      </w:pPr>
      <w:r w:rsidRPr="0051032A">
        <w:rPr>
          <w:rFonts w:eastAsia="SimSun"/>
        </w:rPr>
        <w:t xml:space="preserve">    {</w:t>
      </w:r>
    </w:p>
    <w:p w14:paraId="5E0D9D0A"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sls_prev</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NA</w:t>
      </w:r>
    </w:p>
    <w:p w14:paraId="4B4E72A8"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sls_prev_total</w:t>
      </w:r>
      <w:proofErr w:type="spellEnd"/>
      <w:r w:rsidRPr="0051032A">
        <w:rPr>
          <w:rFonts w:eastAsia="SimSun"/>
        </w:rPr>
        <w:t xml:space="preserve">[t] &lt;- </w:t>
      </w:r>
      <w:proofErr w:type="spellStart"/>
      <w:r w:rsidRPr="0051032A">
        <w:rPr>
          <w:rFonts w:eastAsia="SimSun"/>
        </w:rPr>
        <w:t>sls_prev_total</w:t>
      </w:r>
      <w:proofErr w:type="spellEnd"/>
      <w:r w:rsidRPr="0051032A">
        <w:rPr>
          <w:rFonts w:eastAsia="SimSun"/>
        </w:rPr>
        <w:t>[t]</w:t>
      </w:r>
    </w:p>
    <w:p w14:paraId="1B9171B2"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pd_prev</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NA</w:t>
      </w:r>
    </w:p>
    <w:p w14:paraId="35C38B43"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pd_prev_total</w:t>
      </w:r>
      <w:proofErr w:type="spellEnd"/>
      <w:r w:rsidRPr="0051032A">
        <w:rPr>
          <w:rFonts w:eastAsia="SimSun"/>
        </w:rPr>
        <w:t xml:space="preserve">[t] &lt;- </w:t>
      </w:r>
      <w:proofErr w:type="spellStart"/>
      <w:r w:rsidRPr="0051032A">
        <w:rPr>
          <w:rFonts w:eastAsia="SimSun"/>
        </w:rPr>
        <w:t>pd_prev_total</w:t>
      </w:r>
      <w:proofErr w:type="spellEnd"/>
      <w:r w:rsidRPr="0051032A">
        <w:rPr>
          <w:rFonts w:eastAsia="SimSun"/>
        </w:rPr>
        <w:t>[t]</w:t>
      </w:r>
    </w:p>
    <w:p w14:paraId="29C25BC3" w14:textId="77777777" w:rsidR="00260B6D" w:rsidRPr="0051032A" w:rsidRDefault="00260B6D" w:rsidP="0051032A">
      <w:pPr>
        <w:rPr>
          <w:rFonts w:eastAsia="SimSun"/>
        </w:rPr>
      </w:pPr>
      <w:r w:rsidRPr="0051032A">
        <w:rPr>
          <w:rFonts w:eastAsia="SimSun"/>
        </w:rPr>
        <w:t xml:space="preserve">    } else {    </w:t>
      </w:r>
    </w:p>
    <w:p w14:paraId="20471A30"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sls_prev_total</w:t>
      </w:r>
      <w:proofErr w:type="spellEnd"/>
      <w:r w:rsidRPr="0051032A">
        <w:rPr>
          <w:rFonts w:eastAsia="SimSun"/>
        </w:rPr>
        <w:t>[t] &lt;- sls_prev_total[t]+(Prevalence_total_y[</w:t>
      </w:r>
      <w:proofErr w:type="gramStart"/>
      <w:r w:rsidRPr="0051032A">
        <w:rPr>
          <w:rFonts w:eastAsia="SimSun"/>
        </w:rPr>
        <w:t>t,y</w:t>
      </w:r>
      <w:proofErr w:type="gramEnd"/>
      <w:r w:rsidRPr="0051032A">
        <w:rPr>
          <w:rFonts w:eastAsia="SimSun"/>
        </w:rPr>
        <w:t xml:space="preserve">]-Target_prev[t,y]/100)^2 </w:t>
      </w:r>
    </w:p>
    <w:p w14:paraId="62C46ED0"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sls_prev</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w:t>
      </w:r>
      <w:proofErr w:type="spellStart"/>
      <w:r w:rsidRPr="0051032A">
        <w:rPr>
          <w:rFonts w:eastAsia="SimSun"/>
        </w:rPr>
        <w:t>Prevalence_total_y</w:t>
      </w:r>
      <w:proofErr w:type="spellEnd"/>
      <w:r w:rsidRPr="0051032A">
        <w:rPr>
          <w:rFonts w:eastAsia="SimSun"/>
        </w:rPr>
        <w:t>[</w:t>
      </w:r>
      <w:proofErr w:type="spellStart"/>
      <w:r w:rsidRPr="0051032A">
        <w:rPr>
          <w:rFonts w:eastAsia="SimSun"/>
        </w:rPr>
        <w:t>t,y</w:t>
      </w:r>
      <w:proofErr w:type="spellEnd"/>
      <w:r w:rsidRPr="0051032A">
        <w:rPr>
          <w:rFonts w:eastAsia="SimSun"/>
        </w:rPr>
        <w:t>]-</w:t>
      </w:r>
      <w:proofErr w:type="spellStart"/>
      <w:r w:rsidRPr="0051032A">
        <w:rPr>
          <w:rFonts w:eastAsia="SimSun"/>
        </w:rPr>
        <w:t>Target_prev</w:t>
      </w:r>
      <w:proofErr w:type="spellEnd"/>
      <w:r w:rsidRPr="0051032A">
        <w:rPr>
          <w:rFonts w:eastAsia="SimSun"/>
        </w:rPr>
        <w:t>[</w:t>
      </w:r>
      <w:proofErr w:type="spellStart"/>
      <w:r w:rsidRPr="0051032A">
        <w:rPr>
          <w:rFonts w:eastAsia="SimSun"/>
        </w:rPr>
        <w:t>t,y</w:t>
      </w:r>
      <w:proofErr w:type="spellEnd"/>
      <w:r w:rsidRPr="0051032A">
        <w:rPr>
          <w:rFonts w:eastAsia="SimSun"/>
        </w:rPr>
        <w:t xml:space="preserve">]/100)^2 </w:t>
      </w:r>
    </w:p>
    <w:p w14:paraId="24DC176D"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pd_prev_total</w:t>
      </w:r>
      <w:proofErr w:type="spellEnd"/>
      <w:r w:rsidRPr="0051032A">
        <w:rPr>
          <w:rFonts w:eastAsia="SimSun"/>
        </w:rPr>
        <w:t>[t] &lt;- pd_prev_total[t]+</w:t>
      </w:r>
      <w:proofErr w:type="gramStart"/>
      <w:r w:rsidRPr="0051032A">
        <w:rPr>
          <w:rFonts w:eastAsia="SimSun"/>
        </w:rPr>
        <w:t>abs(</w:t>
      </w:r>
      <w:proofErr w:type="gramEnd"/>
      <w:r w:rsidRPr="0051032A">
        <w:rPr>
          <w:rFonts w:eastAsia="SimSun"/>
        </w:rPr>
        <w:t xml:space="preserve">Prevalence_total_y[t,y]-Target_prev[t,y]/100)/(Target_prev[t,y]/100) </w:t>
      </w:r>
    </w:p>
    <w:p w14:paraId="2A7B7FB9"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pd_prev</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abs(Prevalence_total_y[t,y]-Target_prev[t,y]/100)/(Target_prev[t,y]/100)</w:t>
      </w:r>
    </w:p>
    <w:p w14:paraId="5EDFAEDA" w14:textId="77777777" w:rsidR="00260B6D" w:rsidRPr="0051032A" w:rsidRDefault="00260B6D" w:rsidP="0051032A">
      <w:pPr>
        <w:rPr>
          <w:rFonts w:eastAsia="SimSun"/>
        </w:rPr>
      </w:pPr>
      <w:r w:rsidRPr="0051032A">
        <w:rPr>
          <w:rFonts w:eastAsia="SimSun"/>
        </w:rPr>
        <w:t xml:space="preserve">    }</w:t>
      </w:r>
    </w:p>
    <w:p w14:paraId="4643C872" w14:textId="77777777" w:rsidR="00260B6D" w:rsidRPr="0051032A" w:rsidRDefault="00260B6D" w:rsidP="0051032A">
      <w:pPr>
        <w:rPr>
          <w:rFonts w:eastAsia="SimSun"/>
        </w:rPr>
      </w:pPr>
      <w:r w:rsidRPr="0051032A">
        <w:rPr>
          <w:rFonts w:eastAsia="SimSun"/>
        </w:rPr>
        <w:t xml:space="preserve">  } </w:t>
      </w:r>
    </w:p>
    <w:p w14:paraId="316DA2CB" w14:textId="77777777" w:rsidR="00260B6D" w:rsidRPr="0051032A" w:rsidRDefault="00260B6D" w:rsidP="0051032A">
      <w:pPr>
        <w:rPr>
          <w:rFonts w:eastAsia="SimSun"/>
        </w:rPr>
      </w:pPr>
      <w:r w:rsidRPr="0051032A">
        <w:rPr>
          <w:rFonts w:eastAsia="SimSun"/>
        </w:rPr>
        <w:t xml:space="preserve">  </w:t>
      </w:r>
    </w:p>
    <w:p w14:paraId="560B165E" w14:textId="77777777" w:rsidR="00260B6D" w:rsidRPr="0051032A" w:rsidRDefault="00260B6D" w:rsidP="0051032A">
      <w:pPr>
        <w:rPr>
          <w:rFonts w:eastAsia="SimSun"/>
        </w:rPr>
      </w:pPr>
      <w:r w:rsidRPr="0051032A">
        <w:rPr>
          <w:rFonts w:eastAsia="SimSun"/>
        </w:rPr>
        <w:t xml:space="preserve">  for (y in (</w:t>
      </w:r>
      <w:proofErr w:type="gramStart"/>
      <w:r w:rsidRPr="0051032A">
        <w:rPr>
          <w:rFonts w:eastAsia="SimSun"/>
        </w:rPr>
        <w:t>1:length</w:t>
      </w:r>
      <w:proofErr w:type="gramEnd"/>
      <w:r w:rsidRPr="0051032A">
        <w:rPr>
          <w:rFonts w:eastAsia="SimSun"/>
        </w:rPr>
        <w:t>(</w:t>
      </w:r>
      <w:proofErr w:type="spellStart"/>
      <w:r w:rsidRPr="0051032A">
        <w:rPr>
          <w:rFonts w:eastAsia="SimSun"/>
        </w:rPr>
        <w:t>Incidence_total_y</w:t>
      </w:r>
      <w:proofErr w:type="spellEnd"/>
      <w:r w:rsidRPr="0051032A">
        <w:rPr>
          <w:rFonts w:eastAsia="SimSun"/>
        </w:rPr>
        <w:t>[t,]))) {</w:t>
      </w:r>
    </w:p>
    <w:p w14:paraId="0265FF13" w14:textId="77777777" w:rsidR="00260B6D" w:rsidRPr="0051032A" w:rsidRDefault="00260B6D" w:rsidP="0051032A">
      <w:pPr>
        <w:rPr>
          <w:rFonts w:eastAsia="SimSun"/>
        </w:rPr>
      </w:pPr>
      <w:r w:rsidRPr="0051032A">
        <w:rPr>
          <w:rFonts w:eastAsia="SimSun"/>
        </w:rPr>
        <w:t xml:space="preserve">  #Incidence</w:t>
      </w:r>
    </w:p>
    <w:p w14:paraId="1DF73719"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Target_incidence</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xml:space="preserve">]&lt;- </w:t>
      </w:r>
      <w:proofErr w:type="spellStart"/>
      <w:r w:rsidRPr="0051032A">
        <w:rPr>
          <w:rFonts w:eastAsia="SimSun"/>
        </w:rPr>
        <w:t>Target_all</w:t>
      </w:r>
      <w:proofErr w:type="spellEnd"/>
      <w:r w:rsidRPr="0051032A">
        <w:rPr>
          <w:rFonts w:eastAsia="SimSun"/>
        </w:rPr>
        <w:t>[</w:t>
      </w:r>
      <w:proofErr w:type="spellStart"/>
      <w:r w:rsidRPr="0051032A">
        <w:rPr>
          <w:rFonts w:eastAsia="SimSun"/>
        </w:rPr>
        <w:t>y,"Incidence</w:t>
      </w:r>
      <w:proofErr w:type="spellEnd"/>
      <w:r w:rsidRPr="0051032A">
        <w:rPr>
          <w:rFonts w:eastAsia="SimSun"/>
        </w:rPr>
        <w:t>"]</w:t>
      </w:r>
    </w:p>
    <w:p w14:paraId="30098098" w14:textId="77777777" w:rsidR="00260B6D" w:rsidRPr="0051032A" w:rsidRDefault="00260B6D" w:rsidP="0051032A">
      <w:pPr>
        <w:rPr>
          <w:rFonts w:eastAsia="SimSun"/>
        </w:rPr>
      </w:pPr>
      <w:r w:rsidRPr="0051032A">
        <w:rPr>
          <w:rFonts w:eastAsia="SimSun"/>
        </w:rPr>
        <w:t xml:space="preserve">  if (</w:t>
      </w:r>
      <w:proofErr w:type="gramStart"/>
      <w:r w:rsidRPr="0051032A">
        <w:rPr>
          <w:rFonts w:eastAsia="SimSun"/>
        </w:rPr>
        <w:t>is.na(</w:t>
      </w:r>
      <w:proofErr w:type="spellStart"/>
      <w:proofErr w:type="gramEnd"/>
      <w:r w:rsidRPr="0051032A">
        <w:rPr>
          <w:rFonts w:eastAsia="SimSun"/>
        </w:rPr>
        <w:t>Target_incidence</w:t>
      </w:r>
      <w:proofErr w:type="spellEnd"/>
      <w:r w:rsidRPr="0051032A">
        <w:rPr>
          <w:rFonts w:eastAsia="SimSun"/>
        </w:rPr>
        <w:t>[</w:t>
      </w:r>
      <w:proofErr w:type="spellStart"/>
      <w:r w:rsidRPr="0051032A">
        <w:rPr>
          <w:rFonts w:eastAsia="SimSun"/>
        </w:rPr>
        <w:t>t,y</w:t>
      </w:r>
      <w:proofErr w:type="spellEnd"/>
      <w:r w:rsidRPr="0051032A">
        <w:rPr>
          <w:rFonts w:eastAsia="SimSun"/>
        </w:rPr>
        <w:t>]))</w:t>
      </w:r>
    </w:p>
    <w:p w14:paraId="77970EC6" w14:textId="77777777" w:rsidR="00260B6D" w:rsidRPr="0051032A" w:rsidRDefault="00260B6D" w:rsidP="0051032A">
      <w:pPr>
        <w:rPr>
          <w:rFonts w:eastAsia="SimSun"/>
        </w:rPr>
      </w:pPr>
      <w:r w:rsidRPr="0051032A">
        <w:rPr>
          <w:rFonts w:eastAsia="SimSun"/>
        </w:rPr>
        <w:t xml:space="preserve">  {</w:t>
      </w:r>
    </w:p>
    <w:p w14:paraId="791EADAC"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sls_incidence</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NA</w:t>
      </w:r>
    </w:p>
    <w:p w14:paraId="28F9A77B"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sls_incidence</w:t>
      </w:r>
      <w:proofErr w:type="spellEnd"/>
      <w:r w:rsidRPr="0051032A">
        <w:rPr>
          <w:rFonts w:eastAsia="SimSun"/>
        </w:rPr>
        <w:t xml:space="preserve">[t] &lt;- </w:t>
      </w:r>
      <w:proofErr w:type="spellStart"/>
      <w:r w:rsidRPr="0051032A">
        <w:rPr>
          <w:rFonts w:eastAsia="SimSun"/>
        </w:rPr>
        <w:t>sls_incidence</w:t>
      </w:r>
      <w:proofErr w:type="spellEnd"/>
      <w:r w:rsidRPr="0051032A">
        <w:rPr>
          <w:rFonts w:eastAsia="SimSun"/>
        </w:rPr>
        <w:t>[t]</w:t>
      </w:r>
    </w:p>
    <w:p w14:paraId="0C9AE73D"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pd_incidence</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NA</w:t>
      </w:r>
    </w:p>
    <w:p w14:paraId="2DA5C290"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pd_incidence</w:t>
      </w:r>
      <w:proofErr w:type="spellEnd"/>
      <w:r w:rsidRPr="0051032A">
        <w:rPr>
          <w:rFonts w:eastAsia="SimSun"/>
        </w:rPr>
        <w:t xml:space="preserve">[t] &lt;- </w:t>
      </w:r>
      <w:proofErr w:type="spellStart"/>
      <w:r w:rsidRPr="0051032A">
        <w:rPr>
          <w:rFonts w:eastAsia="SimSun"/>
        </w:rPr>
        <w:t>pd_incidence</w:t>
      </w:r>
      <w:proofErr w:type="spellEnd"/>
      <w:r w:rsidRPr="0051032A">
        <w:rPr>
          <w:rFonts w:eastAsia="SimSun"/>
        </w:rPr>
        <w:t>[t]</w:t>
      </w:r>
    </w:p>
    <w:p w14:paraId="4B25D904" w14:textId="77777777" w:rsidR="00260B6D" w:rsidRPr="0051032A" w:rsidRDefault="00260B6D" w:rsidP="0051032A">
      <w:pPr>
        <w:rPr>
          <w:rFonts w:eastAsia="SimSun"/>
        </w:rPr>
      </w:pPr>
      <w:r w:rsidRPr="0051032A">
        <w:rPr>
          <w:rFonts w:eastAsia="SimSun"/>
        </w:rPr>
        <w:t xml:space="preserve">  } else {    </w:t>
      </w:r>
    </w:p>
    <w:p w14:paraId="06034BF8"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sls_incidence_total</w:t>
      </w:r>
      <w:proofErr w:type="spellEnd"/>
      <w:r w:rsidRPr="0051032A">
        <w:rPr>
          <w:rFonts w:eastAsia="SimSun"/>
        </w:rPr>
        <w:t>[t] &lt;- sls_incidence_total[t]+(Incidence_total_y[</w:t>
      </w:r>
      <w:proofErr w:type="gramStart"/>
      <w:r w:rsidRPr="0051032A">
        <w:rPr>
          <w:rFonts w:eastAsia="SimSun"/>
        </w:rPr>
        <w:t>t,y</w:t>
      </w:r>
      <w:proofErr w:type="gramEnd"/>
      <w:r w:rsidRPr="0051032A">
        <w:rPr>
          <w:rFonts w:eastAsia="SimSun"/>
        </w:rPr>
        <w:t xml:space="preserve">]-Target_incidence[t,y]/100)^2 </w:t>
      </w:r>
    </w:p>
    <w:p w14:paraId="47861095"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sls_incidence</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w:t>
      </w:r>
      <w:proofErr w:type="spellStart"/>
      <w:r w:rsidRPr="0051032A">
        <w:rPr>
          <w:rFonts w:eastAsia="SimSun"/>
        </w:rPr>
        <w:t>Incidence_total_y</w:t>
      </w:r>
      <w:proofErr w:type="spellEnd"/>
      <w:r w:rsidRPr="0051032A">
        <w:rPr>
          <w:rFonts w:eastAsia="SimSun"/>
        </w:rPr>
        <w:t>[</w:t>
      </w:r>
      <w:proofErr w:type="spellStart"/>
      <w:r w:rsidRPr="0051032A">
        <w:rPr>
          <w:rFonts w:eastAsia="SimSun"/>
        </w:rPr>
        <w:t>t,y</w:t>
      </w:r>
      <w:proofErr w:type="spellEnd"/>
      <w:r w:rsidRPr="0051032A">
        <w:rPr>
          <w:rFonts w:eastAsia="SimSun"/>
        </w:rPr>
        <w:t>]-</w:t>
      </w:r>
      <w:proofErr w:type="spellStart"/>
      <w:r w:rsidRPr="0051032A">
        <w:rPr>
          <w:rFonts w:eastAsia="SimSun"/>
        </w:rPr>
        <w:t>Target_incidence</w:t>
      </w:r>
      <w:proofErr w:type="spellEnd"/>
      <w:r w:rsidRPr="0051032A">
        <w:rPr>
          <w:rFonts w:eastAsia="SimSun"/>
        </w:rPr>
        <w:t>[</w:t>
      </w:r>
      <w:proofErr w:type="spellStart"/>
      <w:r w:rsidRPr="0051032A">
        <w:rPr>
          <w:rFonts w:eastAsia="SimSun"/>
        </w:rPr>
        <w:t>t,y</w:t>
      </w:r>
      <w:proofErr w:type="spellEnd"/>
      <w:r w:rsidRPr="0051032A">
        <w:rPr>
          <w:rFonts w:eastAsia="SimSun"/>
        </w:rPr>
        <w:t xml:space="preserve">]/100)^2 </w:t>
      </w:r>
    </w:p>
    <w:p w14:paraId="7D36F366"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pd_incidence_total</w:t>
      </w:r>
      <w:proofErr w:type="spellEnd"/>
      <w:r w:rsidRPr="0051032A">
        <w:rPr>
          <w:rFonts w:eastAsia="SimSun"/>
        </w:rPr>
        <w:t>[t] &lt;- pd_incidence_total[t]+</w:t>
      </w:r>
      <w:proofErr w:type="gramStart"/>
      <w:r w:rsidRPr="0051032A">
        <w:rPr>
          <w:rFonts w:eastAsia="SimSun"/>
        </w:rPr>
        <w:t>abs(</w:t>
      </w:r>
      <w:proofErr w:type="gramEnd"/>
      <w:r w:rsidRPr="0051032A">
        <w:rPr>
          <w:rFonts w:eastAsia="SimSun"/>
        </w:rPr>
        <w:t>Incidence_total_y[t,y]-Target_incidence[t,y]/100)/ (</w:t>
      </w:r>
      <w:proofErr w:type="spellStart"/>
      <w:r w:rsidRPr="0051032A">
        <w:rPr>
          <w:rFonts w:eastAsia="SimSun"/>
        </w:rPr>
        <w:t>Target_incidence</w:t>
      </w:r>
      <w:proofErr w:type="spellEnd"/>
      <w:r w:rsidRPr="0051032A">
        <w:rPr>
          <w:rFonts w:eastAsia="SimSun"/>
        </w:rPr>
        <w:t>[</w:t>
      </w:r>
      <w:proofErr w:type="spellStart"/>
      <w:r w:rsidRPr="0051032A">
        <w:rPr>
          <w:rFonts w:eastAsia="SimSun"/>
        </w:rPr>
        <w:t>t,y</w:t>
      </w:r>
      <w:proofErr w:type="spellEnd"/>
      <w:r w:rsidRPr="0051032A">
        <w:rPr>
          <w:rFonts w:eastAsia="SimSun"/>
        </w:rPr>
        <w:t xml:space="preserve">]/100) </w:t>
      </w:r>
    </w:p>
    <w:p w14:paraId="40249700"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pd_incidence</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abs(</w:t>
      </w:r>
      <w:proofErr w:type="spellStart"/>
      <w:r w:rsidRPr="0051032A">
        <w:rPr>
          <w:rFonts w:eastAsia="SimSun"/>
        </w:rPr>
        <w:t>Incidence_total_y</w:t>
      </w:r>
      <w:proofErr w:type="spellEnd"/>
      <w:r w:rsidRPr="0051032A">
        <w:rPr>
          <w:rFonts w:eastAsia="SimSun"/>
        </w:rPr>
        <w:t>[</w:t>
      </w:r>
      <w:proofErr w:type="spellStart"/>
      <w:r w:rsidRPr="0051032A">
        <w:rPr>
          <w:rFonts w:eastAsia="SimSun"/>
        </w:rPr>
        <w:t>t,y</w:t>
      </w:r>
      <w:proofErr w:type="spellEnd"/>
      <w:r w:rsidRPr="0051032A">
        <w:rPr>
          <w:rFonts w:eastAsia="SimSun"/>
        </w:rPr>
        <w:t>]-</w:t>
      </w:r>
      <w:proofErr w:type="spellStart"/>
      <w:r w:rsidRPr="0051032A">
        <w:rPr>
          <w:rFonts w:eastAsia="SimSun"/>
        </w:rPr>
        <w:t>Target_incidence</w:t>
      </w:r>
      <w:proofErr w:type="spellEnd"/>
      <w:r w:rsidRPr="0051032A">
        <w:rPr>
          <w:rFonts w:eastAsia="SimSun"/>
        </w:rPr>
        <w:t>[</w:t>
      </w:r>
      <w:proofErr w:type="spellStart"/>
      <w:r w:rsidRPr="0051032A">
        <w:rPr>
          <w:rFonts w:eastAsia="SimSun"/>
        </w:rPr>
        <w:t>t,y</w:t>
      </w:r>
      <w:proofErr w:type="spellEnd"/>
      <w:r w:rsidRPr="0051032A">
        <w:rPr>
          <w:rFonts w:eastAsia="SimSun"/>
        </w:rPr>
        <w:t>]/100)/ (</w:t>
      </w:r>
      <w:proofErr w:type="spellStart"/>
      <w:r w:rsidRPr="0051032A">
        <w:rPr>
          <w:rFonts w:eastAsia="SimSun"/>
        </w:rPr>
        <w:t>Target_incidence</w:t>
      </w:r>
      <w:proofErr w:type="spellEnd"/>
      <w:r w:rsidRPr="0051032A">
        <w:rPr>
          <w:rFonts w:eastAsia="SimSun"/>
        </w:rPr>
        <w:t>[</w:t>
      </w:r>
      <w:proofErr w:type="spellStart"/>
      <w:r w:rsidRPr="0051032A">
        <w:rPr>
          <w:rFonts w:eastAsia="SimSun"/>
        </w:rPr>
        <w:t>t,y</w:t>
      </w:r>
      <w:proofErr w:type="spellEnd"/>
      <w:r w:rsidRPr="0051032A">
        <w:rPr>
          <w:rFonts w:eastAsia="SimSun"/>
        </w:rPr>
        <w:t>]/100)</w:t>
      </w:r>
    </w:p>
    <w:p w14:paraId="56C1BA15" w14:textId="77777777" w:rsidR="00260B6D" w:rsidRPr="0051032A" w:rsidRDefault="00260B6D" w:rsidP="0051032A">
      <w:pPr>
        <w:rPr>
          <w:rFonts w:eastAsia="SimSun"/>
        </w:rPr>
      </w:pPr>
      <w:r w:rsidRPr="0051032A">
        <w:rPr>
          <w:rFonts w:eastAsia="SimSun"/>
        </w:rPr>
        <w:t xml:space="preserve">    }</w:t>
      </w:r>
    </w:p>
    <w:p w14:paraId="610CA4B9" w14:textId="77777777" w:rsidR="00260B6D" w:rsidRPr="0051032A" w:rsidRDefault="00260B6D" w:rsidP="0051032A">
      <w:pPr>
        <w:rPr>
          <w:rFonts w:eastAsia="SimSun"/>
        </w:rPr>
      </w:pPr>
      <w:r w:rsidRPr="0051032A">
        <w:rPr>
          <w:rFonts w:eastAsia="SimSun"/>
        </w:rPr>
        <w:t xml:space="preserve">  }</w:t>
      </w:r>
    </w:p>
    <w:p w14:paraId="3D183908" w14:textId="77777777" w:rsidR="00260B6D" w:rsidRPr="0051032A" w:rsidRDefault="00260B6D" w:rsidP="0051032A">
      <w:pPr>
        <w:rPr>
          <w:rFonts w:eastAsia="SimSun"/>
        </w:rPr>
      </w:pPr>
      <w:r w:rsidRPr="0051032A">
        <w:rPr>
          <w:rFonts w:eastAsia="SimSun"/>
        </w:rPr>
        <w:t xml:space="preserve">  </w:t>
      </w:r>
    </w:p>
    <w:p w14:paraId="6550A9FE" w14:textId="77777777" w:rsidR="00260B6D" w:rsidRPr="0051032A" w:rsidRDefault="00260B6D" w:rsidP="0051032A">
      <w:pPr>
        <w:rPr>
          <w:rFonts w:eastAsia="SimSun"/>
        </w:rPr>
      </w:pPr>
      <w:r w:rsidRPr="0051032A">
        <w:rPr>
          <w:rFonts w:eastAsia="SimSun"/>
        </w:rPr>
        <w:lastRenderedPageBreak/>
        <w:t xml:space="preserve">  for (y in (</w:t>
      </w:r>
      <w:proofErr w:type="gramStart"/>
      <w:r w:rsidRPr="0051032A">
        <w:rPr>
          <w:rFonts w:eastAsia="SimSun"/>
        </w:rPr>
        <w:t>1:length</w:t>
      </w:r>
      <w:proofErr w:type="gramEnd"/>
      <w:r w:rsidRPr="0051032A">
        <w:rPr>
          <w:rFonts w:eastAsia="SimSun"/>
        </w:rPr>
        <w:t>(</w:t>
      </w:r>
      <w:proofErr w:type="spellStart"/>
      <w:r w:rsidRPr="0051032A">
        <w:rPr>
          <w:rFonts w:eastAsia="SimSun"/>
        </w:rPr>
        <w:t>On_ART_total_ny</w:t>
      </w:r>
      <w:proofErr w:type="spellEnd"/>
      <w:r w:rsidRPr="0051032A">
        <w:rPr>
          <w:rFonts w:eastAsia="SimSun"/>
        </w:rPr>
        <w:t>[t,]))) {</w:t>
      </w:r>
    </w:p>
    <w:p w14:paraId="6296570E" w14:textId="77777777" w:rsidR="00260B6D" w:rsidRPr="0051032A" w:rsidRDefault="00260B6D" w:rsidP="0051032A">
      <w:pPr>
        <w:rPr>
          <w:rFonts w:eastAsia="SimSun"/>
        </w:rPr>
      </w:pPr>
      <w:r w:rsidRPr="0051032A">
        <w:rPr>
          <w:rFonts w:eastAsia="SimSun"/>
        </w:rPr>
        <w:t xml:space="preserve">  # Annual number of people on ART</w:t>
      </w:r>
    </w:p>
    <w:p w14:paraId="3C968F80"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Target_onART_N</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xml:space="preserve">]&lt;- </w:t>
      </w:r>
      <w:proofErr w:type="spellStart"/>
      <w:r w:rsidRPr="0051032A">
        <w:rPr>
          <w:rFonts w:eastAsia="SimSun"/>
        </w:rPr>
        <w:t>Target_all</w:t>
      </w:r>
      <w:proofErr w:type="spellEnd"/>
      <w:r w:rsidRPr="0051032A">
        <w:rPr>
          <w:rFonts w:eastAsia="SimSun"/>
        </w:rPr>
        <w:t>[y,"</w:t>
      </w:r>
      <w:proofErr w:type="spellStart"/>
      <w:r w:rsidRPr="0051032A">
        <w:rPr>
          <w:rFonts w:eastAsia="SimSun"/>
        </w:rPr>
        <w:t>N_onART</w:t>
      </w:r>
      <w:proofErr w:type="spellEnd"/>
      <w:r w:rsidRPr="0051032A">
        <w:rPr>
          <w:rFonts w:eastAsia="SimSun"/>
        </w:rPr>
        <w:t>"]</w:t>
      </w:r>
    </w:p>
    <w:p w14:paraId="770BEC0D" w14:textId="77777777" w:rsidR="00260B6D" w:rsidRPr="0051032A" w:rsidRDefault="00260B6D" w:rsidP="0051032A">
      <w:pPr>
        <w:rPr>
          <w:rFonts w:eastAsia="SimSun"/>
        </w:rPr>
      </w:pPr>
      <w:r w:rsidRPr="0051032A">
        <w:rPr>
          <w:rFonts w:eastAsia="SimSun"/>
        </w:rPr>
        <w:t xml:space="preserve">  if (</w:t>
      </w:r>
      <w:proofErr w:type="gramStart"/>
      <w:r w:rsidRPr="0051032A">
        <w:rPr>
          <w:rFonts w:eastAsia="SimSun"/>
        </w:rPr>
        <w:t>is.na(</w:t>
      </w:r>
      <w:proofErr w:type="spellStart"/>
      <w:proofErr w:type="gramEnd"/>
      <w:r w:rsidRPr="0051032A">
        <w:rPr>
          <w:rFonts w:eastAsia="SimSun"/>
        </w:rPr>
        <w:t>Target_onART_N</w:t>
      </w:r>
      <w:proofErr w:type="spellEnd"/>
      <w:r w:rsidRPr="0051032A">
        <w:rPr>
          <w:rFonts w:eastAsia="SimSun"/>
        </w:rPr>
        <w:t>[</w:t>
      </w:r>
      <w:proofErr w:type="spellStart"/>
      <w:r w:rsidRPr="0051032A">
        <w:rPr>
          <w:rFonts w:eastAsia="SimSun"/>
        </w:rPr>
        <w:t>t,y</w:t>
      </w:r>
      <w:proofErr w:type="spellEnd"/>
      <w:r w:rsidRPr="0051032A">
        <w:rPr>
          <w:rFonts w:eastAsia="SimSun"/>
        </w:rPr>
        <w:t>]))</w:t>
      </w:r>
    </w:p>
    <w:p w14:paraId="1F6BA4AA" w14:textId="77777777" w:rsidR="00260B6D" w:rsidRPr="0051032A" w:rsidRDefault="00260B6D" w:rsidP="0051032A">
      <w:pPr>
        <w:rPr>
          <w:rFonts w:eastAsia="SimSun"/>
        </w:rPr>
      </w:pPr>
      <w:r w:rsidRPr="0051032A">
        <w:rPr>
          <w:rFonts w:eastAsia="SimSun"/>
        </w:rPr>
        <w:t xml:space="preserve">  {</w:t>
      </w:r>
    </w:p>
    <w:p w14:paraId="7F98BDA2"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sls_onARTN</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NA</w:t>
      </w:r>
    </w:p>
    <w:p w14:paraId="21AFF2AE"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sls_onARTN_total</w:t>
      </w:r>
      <w:proofErr w:type="spellEnd"/>
      <w:r w:rsidRPr="0051032A">
        <w:rPr>
          <w:rFonts w:eastAsia="SimSun"/>
        </w:rPr>
        <w:t xml:space="preserve">[t] &lt;- </w:t>
      </w:r>
      <w:proofErr w:type="spellStart"/>
      <w:r w:rsidRPr="0051032A">
        <w:rPr>
          <w:rFonts w:eastAsia="SimSun"/>
        </w:rPr>
        <w:t>sls_onARTN_total</w:t>
      </w:r>
      <w:proofErr w:type="spellEnd"/>
      <w:r w:rsidRPr="0051032A">
        <w:rPr>
          <w:rFonts w:eastAsia="SimSun"/>
        </w:rPr>
        <w:t>[t]</w:t>
      </w:r>
    </w:p>
    <w:p w14:paraId="75FDB661"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pd_onARTN</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NA</w:t>
      </w:r>
    </w:p>
    <w:p w14:paraId="214A97C8"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pd_onARTN_total</w:t>
      </w:r>
      <w:proofErr w:type="spellEnd"/>
      <w:r w:rsidRPr="0051032A">
        <w:rPr>
          <w:rFonts w:eastAsia="SimSun"/>
        </w:rPr>
        <w:t xml:space="preserve">[t] &lt;- </w:t>
      </w:r>
      <w:proofErr w:type="spellStart"/>
      <w:r w:rsidRPr="0051032A">
        <w:rPr>
          <w:rFonts w:eastAsia="SimSun"/>
        </w:rPr>
        <w:t>pd_onARTN_total</w:t>
      </w:r>
      <w:proofErr w:type="spellEnd"/>
      <w:r w:rsidRPr="0051032A">
        <w:rPr>
          <w:rFonts w:eastAsia="SimSun"/>
        </w:rPr>
        <w:t>[t]</w:t>
      </w:r>
    </w:p>
    <w:p w14:paraId="45ADA6E7" w14:textId="77777777" w:rsidR="00260B6D" w:rsidRPr="0051032A" w:rsidRDefault="00260B6D" w:rsidP="0051032A">
      <w:pPr>
        <w:rPr>
          <w:rFonts w:eastAsia="SimSun"/>
        </w:rPr>
      </w:pPr>
      <w:r w:rsidRPr="0051032A">
        <w:rPr>
          <w:rFonts w:eastAsia="SimSun"/>
        </w:rPr>
        <w:t xml:space="preserve">  } else {    </w:t>
      </w:r>
    </w:p>
    <w:p w14:paraId="31E8BE31"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sls_onARTN_total</w:t>
      </w:r>
      <w:proofErr w:type="spellEnd"/>
      <w:r w:rsidRPr="0051032A">
        <w:rPr>
          <w:rFonts w:eastAsia="SimSun"/>
        </w:rPr>
        <w:t xml:space="preserve">[t] &lt;- </w:t>
      </w:r>
      <w:proofErr w:type="spellStart"/>
      <w:r w:rsidRPr="0051032A">
        <w:rPr>
          <w:rFonts w:eastAsia="SimSun"/>
        </w:rPr>
        <w:t>sls_onARTN_total</w:t>
      </w:r>
      <w:proofErr w:type="spellEnd"/>
      <w:r w:rsidRPr="0051032A">
        <w:rPr>
          <w:rFonts w:eastAsia="SimSun"/>
        </w:rPr>
        <w:t>[t]+(</w:t>
      </w:r>
      <w:proofErr w:type="spellStart"/>
      <w:r w:rsidRPr="0051032A">
        <w:rPr>
          <w:rFonts w:eastAsia="SimSun"/>
        </w:rPr>
        <w:t>On_ART_total_ny</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w:t>
      </w:r>
      <w:proofErr w:type="spellStart"/>
      <w:r w:rsidRPr="0051032A">
        <w:rPr>
          <w:rFonts w:eastAsia="SimSun"/>
        </w:rPr>
        <w:t>Target_onART_N</w:t>
      </w:r>
      <w:proofErr w:type="spellEnd"/>
      <w:r w:rsidRPr="0051032A">
        <w:rPr>
          <w:rFonts w:eastAsia="SimSun"/>
        </w:rPr>
        <w:t>[</w:t>
      </w:r>
      <w:proofErr w:type="spellStart"/>
      <w:r w:rsidRPr="0051032A">
        <w:rPr>
          <w:rFonts w:eastAsia="SimSun"/>
        </w:rPr>
        <w:t>t,y</w:t>
      </w:r>
      <w:proofErr w:type="spellEnd"/>
      <w:r w:rsidRPr="0051032A">
        <w:rPr>
          <w:rFonts w:eastAsia="SimSun"/>
        </w:rPr>
        <w:t xml:space="preserve">])^2 </w:t>
      </w:r>
    </w:p>
    <w:p w14:paraId="48D52236"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sls_onARTN</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w:t>
      </w:r>
      <w:proofErr w:type="spellStart"/>
      <w:r w:rsidRPr="0051032A">
        <w:rPr>
          <w:rFonts w:eastAsia="SimSun"/>
        </w:rPr>
        <w:t>On_ART_total_ny</w:t>
      </w:r>
      <w:proofErr w:type="spellEnd"/>
      <w:r w:rsidRPr="0051032A">
        <w:rPr>
          <w:rFonts w:eastAsia="SimSun"/>
        </w:rPr>
        <w:t>[</w:t>
      </w:r>
      <w:proofErr w:type="spellStart"/>
      <w:r w:rsidRPr="0051032A">
        <w:rPr>
          <w:rFonts w:eastAsia="SimSun"/>
        </w:rPr>
        <w:t>t,y</w:t>
      </w:r>
      <w:proofErr w:type="spellEnd"/>
      <w:r w:rsidRPr="0051032A">
        <w:rPr>
          <w:rFonts w:eastAsia="SimSun"/>
        </w:rPr>
        <w:t>]-</w:t>
      </w:r>
      <w:proofErr w:type="spellStart"/>
      <w:r w:rsidRPr="0051032A">
        <w:rPr>
          <w:rFonts w:eastAsia="SimSun"/>
        </w:rPr>
        <w:t>Target_onART_N</w:t>
      </w:r>
      <w:proofErr w:type="spellEnd"/>
      <w:r w:rsidRPr="0051032A">
        <w:rPr>
          <w:rFonts w:eastAsia="SimSun"/>
        </w:rPr>
        <w:t>[</w:t>
      </w:r>
      <w:proofErr w:type="spellStart"/>
      <w:r w:rsidRPr="0051032A">
        <w:rPr>
          <w:rFonts w:eastAsia="SimSun"/>
        </w:rPr>
        <w:t>t,y</w:t>
      </w:r>
      <w:proofErr w:type="spellEnd"/>
      <w:r w:rsidRPr="0051032A">
        <w:rPr>
          <w:rFonts w:eastAsia="SimSun"/>
        </w:rPr>
        <w:t xml:space="preserve">])^2 </w:t>
      </w:r>
    </w:p>
    <w:p w14:paraId="338E453D"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pd_onARTN_total</w:t>
      </w:r>
      <w:proofErr w:type="spellEnd"/>
      <w:r w:rsidRPr="0051032A">
        <w:rPr>
          <w:rFonts w:eastAsia="SimSun"/>
        </w:rPr>
        <w:t>[t] &lt;- pd_onARTN_total[t]+</w:t>
      </w:r>
      <w:proofErr w:type="gramStart"/>
      <w:r w:rsidRPr="0051032A">
        <w:rPr>
          <w:rFonts w:eastAsia="SimSun"/>
        </w:rPr>
        <w:t>abs(</w:t>
      </w:r>
      <w:proofErr w:type="gramEnd"/>
      <w:r w:rsidRPr="0051032A">
        <w:rPr>
          <w:rFonts w:eastAsia="SimSun"/>
        </w:rPr>
        <w:t>On_ART_total_ny[t,y]-Target_onART_N[t,y])/Target_onART_N[t,y]</w:t>
      </w:r>
    </w:p>
    <w:p w14:paraId="740303E8"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pd_onARTN</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abs(On_ART_total_ny[t,y]-Target_onART_N[t,y])/Target_onART_N[t,y]</w:t>
      </w:r>
    </w:p>
    <w:p w14:paraId="32B9D7D0" w14:textId="77777777" w:rsidR="00260B6D" w:rsidRPr="0051032A" w:rsidRDefault="00260B6D" w:rsidP="0051032A">
      <w:pPr>
        <w:rPr>
          <w:rFonts w:eastAsia="SimSun"/>
        </w:rPr>
      </w:pPr>
      <w:r w:rsidRPr="0051032A">
        <w:rPr>
          <w:rFonts w:eastAsia="SimSun"/>
        </w:rPr>
        <w:t xml:space="preserve">    }</w:t>
      </w:r>
    </w:p>
    <w:p w14:paraId="1E991C35" w14:textId="77777777" w:rsidR="00260B6D" w:rsidRPr="0051032A" w:rsidRDefault="00260B6D" w:rsidP="0051032A">
      <w:pPr>
        <w:rPr>
          <w:rFonts w:eastAsia="SimSun"/>
        </w:rPr>
      </w:pPr>
      <w:r w:rsidRPr="0051032A">
        <w:rPr>
          <w:rFonts w:eastAsia="SimSun"/>
        </w:rPr>
        <w:t xml:space="preserve">  }</w:t>
      </w:r>
    </w:p>
    <w:p w14:paraId="72DBE854" w14:textId="77777777" w:rsidR="00260B6D" w:rsidRPr="0051032A" w:rsidRDefault="00260B6D" w:rsidP="0051032A">
      <w:pPr>
        <w:rPr>
          <w:rFonts w:eastAsia="SimSun"/>
        </w:rPr>
      </w:pPr>
      <w:r w:rsidRPr="0051032A">
        <w:rPr>
          <w:rFonts w:eastAsia="SimSun"/>
        </w:rPr>
        <w:t xml:space="preserve">  </w:t>
      </w:r>
    </w:p>
    <w:p w14:paraId="796CDEDD" w14:textId="77777777" w:rsidR="00260B6D" w:rsidRPr="0051032A" w:rsidRDefault="00260B6D" w:rsidP="0051032A">
      <w:pPr>
        <w:rPr>
          <w:rFonts w:eastAsia="SimSun"/>
        </w:rPr>
      </w:pPr>
      <w:r w:rsidRPr="0051032A">
        <w:rPr>
          <w:rFonts w:eastAsia="SimSun"/>
        </w:rPr>
        <w:t xml:space="preserve">  for (y in (</w:t>
      </w:r>
      <w:proofErr w:type="gramStart"/>
      <w:r w:rsidRPr="0051032A">
        <w:rPr>
          <w:rFonts w:eastAsia="SimSun"/>
        </w:rPr>
        <w:t>1:length</w:t>
      </w:r>
      <w:proofErr w:type="gramEnd"/>
      <w:r w:rsidRPr="0051032A">
        <w:rPr>
          <w:rFonts w:eastAsia="SimSun"/>
        </w:rPr>
        <w:t>(</w:t>
      </w:r>
      <w:proofErr w:type="spellStart"/>
      <w:r w:rsidRPr="0051032A">
        <w:rPr>
          <w:rFonts w:eastAsia="SimSun"/>
        </w:rPr>
        <w:t>On_ART_total_y</w:t>
      </w:r>
      <w:proofErr w:type="spellEnd"/>
      <w:r w:rsidRPr="0051032A">
        <w:rPr>
          <w:rFonts w:eastAsia="SimSun"/>
        </w:rPr>
        <w:t>[t,]))) {</w:t>
      </w:r>
    </w:p>
    <w:p w14:paraId="60AECA55" w14:textId="77777777" w:rsidR="00260B6D" w:rsidRPr="0051032A" w:rsidRDefault="00260B6D" w:rsidP="0051032A">
      <w:pPr>
        <w:rPr>
          <w:rFonts w:eastAsia="SimSun"/>
        </w:rPr>
      </w:pPr>
      <w:r w:rsidRPr="0051032A">
        <w:rPr>
          <w:rFonts w:eastAsia="SimSun"/>
        </w:rPr>
        <w:t xml:space="preserve">  # Annual proportion on ART</w:t>
      </w:r>
    </w:p>
    <w:p w14:paraId="2C94F712"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Target_onART_P</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xml:space="preserve">]&lt;- </w:t>
      </w:r>
      <w:proofErr w:type="spellStart"/>
      <w:r w:rsidRPr="0051032A">
        <w:rPr>
          <w:rFonts w:eastAsia="SimSun"/>
        </w:rPr>
        <w:t>Target_all</w:t>
      </w:r>
      <w:proofErr w:type="spellEnd"/>
      <w:r w:rsidRPr="0051032A">
        <w:rPr>
          <w:rFonts w:eastAsia="SimSun"/>
        </w:rPr>
        <w:t>[y,"</w:t>
      </w:r>
      <w:proofErr w:type="spellStart"/>
      <w:r w:rsidRPr="0051032A">
        <w:rPr>
          <w:rFonts w:eastAsia="SimSun"/>
        </w:rPr>
        <w:t>OnART</w:t>
      </w:r>
      <w:proofErr w:type="spellEnd"/>
      <w:r w:rsidRPr="0051032A">
        <w:rPr>
          <w:rFonts w:eastAsia="SimSun"/>
        </w:rPr>
        <w:t>"]</w:t>
      </w:r>
    </w:p>
    <w:p w14:paraId="69D73F5C" w14:textId="77777777" w:rsidR="00260B6D" w:rsidRPr="0051032A" w:rsidRDefault="00260B6D" w:rsidP="0051032A">
      <w:pPr>
        <w:rPr>
          <w:rFonts w:eastAsia="SimSun"/>
        </w:rPr>
      </w:pPr>
      <w:r w:rsidRPr="0051032A">
        <w:rPr>
          <w:rFonts w:eastAsia="SimSun"/>
        </w:rPr>
        <w:t xml:space="preserve">  if (</w:t>
      </w:r>
      <w:proofErr w:type="gramStart"/>
      <w:r w:rsidRPr="0051032A">
        <w:rPr>
          <w:rFonts w:eastAsia="SimSun"/>
        </w:rPr>
        <w:t>is.na(</w:t>
      </w:r>
      <w:proofErr w:type="spellStart"/>
      <w:proofErr w:type="gramEnd"/>
      <w:r w:rsidRPr="0051032A">
        <w:rPr>
          <w:rFonts w:eastAsia="SimSun"/>
        </w:rPr>
        <w:t>Target_onART_P</w:t>
      </w:r>
      <w:proofErr w:type="spellEnd"/>
      <w:r w:rsidRPr="0051032A">
        <w:rPr>
          <w:rFonts w:eastAsia="SimSun"/>
        </w:rPr>
        <w:t>[</w:t>
      </w:r>
      <w:proofErr w:type="spellStart"/>
      <w:r w:rsidRPr="0051032A">
        <w:rPr>
          <w:rFonts w:eastAsia="SimSun"/>
        </w:rPr>
        <w:t>t,y</w:t>
      </w:r>
      <w:proofErr w:type="spellEnd"/>
      <w:r w:rsidRPr="0051032A">
        <w:rPr>
          <w:rFonts w:eastAsia="SimSun"/>
        </w:rPr>
        <w:t>]))</w:t>
      </w:r>
    </w:p>
    <w:p w14:paraId="01A693C1" w14:textId="77777777" w:rsidR="00260B6D" w:rsidRPr="0051032A" w:rsidRDefault="00260B6D" w:rsidP="0051032A">
      <w:pPr>
        <w:rPr>
          <w:rFonts w:eastAsia="SimSun"/>
        </w:rPr>
      </w:pPr>
      <w:r w:rsidRPr="0051032A">
        <w:rPr>
          <w:rFonts w:eastAsia="SimSun"/>
        </w:rPr>
        <w:t xml:space="preserve">  {</w:t>
      </w:r>
    </w:p>
    <w:p w14:paraId="6E7EF2BB"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sls_onARTP</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NA</w:t>
      </w:r>
    </w:p>
    <w:p w14:paraId="1732E2CD"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sls_onARTP_total</w:t>
      </w:r>
      <w:proofErr w:type="spellEnd"/>
      <w:r w:rsidRPr="0051032A">
        <w:rPr>
          <w:rFonts w:eastAsia="SimSun"/>
        </w:rPr>
        <w:t xml:space="preserve">[t] &lt;- </w:t>
      </w:r>
      <w:proofErr w:type="spellStart"/>
      <w:r w:rsidRPr="0051032A">
        <w:rPr>
          <w:rFonts w:eastAsia="SimSun"/>
        </w:rPr>
        <w:t>sls_onARTP_total</w:t>
      </w:r>
      <w:proofErr w:type="spellEnd"/>
      <w:r w:rsidRPr="0051032A">
        <w:rPr>
          <w:rFonts w:eastAsia="SimSun"/>
        </w:rPr>
        <w:t>[t]</w:t>
      </w:r>
    </w:p>
    <w:p w14:paraId="1633A306"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pd_onARTP</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NA</w:t>
      </w:r>
    </w:p>
    <w:p w14:paraId="5601DAC5"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pd_onARTP_total</w:t>
      </w:r>
      <w:proofErr w:type="spellEnd"/>
      <w:r w:rsidRPr="0051032A">
        <w:rPr>
          <w:rFonts w:eastAsia="SimSun"/>
        </w:rPr>
        <w:t xml:space="preserve">[t] &lt;- </w:t>
      </w:r>
      <w:proofErr w:type="spellStart"/>
      <w:r w:rsidRPr="0051032A">
        <w:rPr>
          <w:rFonts w:eastAsia="SimSun"/>
        </w:rPr>
        <w:t>pd_onARTP_total</w:t>
      </w:r>
      <w:proofErr w:type="spellEnd"/>
      <w:r w:rsidRPr="0051032A">
        <w:rPr>
          <w:rFonts w:eastAsia="SimSun"/>
        </w:rPr>
        <w:t>[t]</w:t>
      </w:r>
    </w:p>
    <w:p w14:paraId="20329D3F" w14:textId="77777777" w:rsidR="00260B6D" w:rsidRPr="0051032A" w:rsidRDefault="00260B6D" w:rsidP="0051032A">
      <w:pPr>
        <w:rPr>
          <w:rFonts w:eastAsia="SimSun"/>
        </w:rPr>
      </w:pPr>
      <w:r w:rsidRPr="0051032A">
        <w:rPr>
          <w:rFonts w:eastAsia="SimSun"/>
        </w:rPr>
        <w:t xml:space="preserve">  } else {    </w:t>
      </w:r>
    </w:p>
    <w:p w14:paraId="50C74005"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sls_onARTP_total</w:t>
      </w:r>
      <w:proofErr w:type="spellEnd"/>
      <w:r w:rsidRPr="0051032A">
        <w:rPr>
          <w:rFonts w:eastAsia="SimSun"/>
        </w:rPr>
        <w:t>[t] &lt;- sls_onARTP_total[t]+(On_ART_total_y[</w:t>
      </w:r>
      <w:proofErr w:type="gramStart"/>
      <w:r w:rsidRPr="0051032A">
        <w:rPr>
          <w:rFonts w:eastAsia="SimSun"/>
        </w:rPr>
        <w:t>t,y</w:t>
      </w:r>
      <w:proofErr w:type="gramEnd"/>
      <w:r w:rsidRPr="0051032A">
        <w:rPr>
          <w:rFonts w:eastAsia="SimSun"/>
        </w:rPr>
        <w:t xml:space="preserve">]-Target_onART_P[t,y]/100)^2 </w:t>
      </w:r>
    </w:p>
    <w:p w14:paraId="06EFDA42"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sls_onARTP</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w:t>
      </w:r>
      <w:proofErr w:type="spellStart"/>
      <w:r w:rsidRPr="0051032A">
        <w:rPr>
          <w:rFonts w:eastAsia="SimSun"/>
        </w:rPr>
        <w:t>On_ART_total_y</w:t>
      </w:r>
      <w:proofErr w:type="spellEnd"/>
      <w:r w:rsidRPr="0051032A">
        <w:rPr>
          <w:rFonts w:eastAsia="SimSun"/>
        </w:rPr>
        <w:t>[</w:t>
      </w:r>
      <w:proofErr w:type="spellStart"/>
      <w:r w:rsidRPr="0051032A">
        <w:rPr>
          <w:rFonts w:eastAsia="SimSun"/>
        </w:rPr>
        <w:t>t,y</w:t>
      </w:r>
      <w:proofErr w:type="spellEnd"/>
      <w:r w:rsidRPr="0051032A">
        <w:rPr>
          <w:rFonts w:eastAsia="SimSun"/>
        </w:rPr>
        <w:t>]-</w:t>
      </w:r>
      <w:proofErr w:type="spellStart"/>
      <w:r w:rsidRPr="0051032A">
        <w:rPr>
          <w:rFonts w:eastAsia="SimSun"/>
        </w:rPr>
        <w:t>Target_onART_P</w:t>
      </w:r>
      <w:proofErr w:type="spellEnd"/>
      <w:r w:rsidRPr="0051032A">
        <w:rPr>
          <w:rFonts w:eastAsia="SimSun"/>
        </w:rPr>
        <w:t>[</w:t>
      </w:r>
      <w:proofErr w:type="spellStart"/>
      <w:r w:rsidRPr="0051032A">
        <w:rPr>
          <w:rFonts w:eastAsia="SimSun"/>
        </w:rPr>
        <w:t>t,y</w:t>
      </w:r>
      <w:proofErr w:type="spellEnd"/>
      <w:r w:rsidRPr="0051032A">
        <w:rPr>
          <w:rFonts w:eastAsia="SimSun"/>
        </w:rPr>
        <w:t xml:space="preserve">]/100)^2 </w:t>
      </w:r>
    </w:p>
    <w:p w14:paraId="3A94D2AB"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pd_onARTP_total</w:t>
      </w:r>
      <w:proofErr w:type="spellEnd"/>
      <w:r w:rsidRPr="0051032A">
        <w:rPr>
          <w:rFonts w:eastAsia="SimSun"/>
        </w:rPr>
        <w:t>[t] &lt;- pd_onARTP_total[t]+</w:t>
      </w:r>
      <w:proofErr w:type="gramStart"/>
      <w:r w:rsidRPr="0051032A">
        <w:rPr>
          <w:rFonts w:eastAsia="SimSun"/>
        </w:rPr>
        <w:t>abs(</w:t>
      </w:r>
      <w:proofErr w:type="gramEnd"/>
      <w:r w:rsidRPr="0051032A">
        <w:rPr>
          <w:rFonts w:eastAsia="SimSun"/>
        </w:rPr>
        <w:t>On_ART_total_y[t,y]-Target_onART_P[t,y]/100)/(Target_onART_P[t,y]/100)</w:t>
      </w:r>
    </w:p>
    <w:p w14:paraId="7A62C8E7"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pd_onARTP</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abs(On_ART_total_y[t,y]-Target_onART_P[t,y]/100)/(Target_onART_P[t,y]/100)</w:t>
      </w:r>
    </w:p>
    <w:p w14:paraId="3AC23D81" w14:textId="77777777" w:rsidR="00260B6D" w:rsidRPr="0051032A" w:rsidRDefault="00260B6D" w:rsidP="0051032A">
      <w:pPr>
        <w:rPr>
          <w:rFonts w:eastAsia="SimSun"/>
        </w:rPr>
      </w:pPr>
      <w:r w:rsidRPr="0051032A">
        <w:rPr>
          <w:rFonts w:eastAsia="SimSun"/>
        </w:rPr>
        <w:t xml:space="preserve">    }</w:t>
      </w:r>
    </w:p>
    <w:p w14:paraId="48BE53CE" w14:textId="77777777" w:rsidR="00260B6D" w:rsidRPr="0051032A" w:rsidRDefault="00260B6D" w:rsidP="0051032A">
      <w:pPr>
        <w:rPr>
          <w:rFonts w:eastAsia="SimSun"/>
        </w:rPr>
      </w:pPr>
      <w:r w:rsidRPr="0051032A">
        <w:rPr>
          <w:rFonts w:eastAsia="SimSun"/>
        </w:rPr>
        <w:t xml:space="preserve">  }</w:t>
      </w:r>
    </w:p>
    <w:p w14:paraId="48A1ECCA" w14:textId="77777777" w:rsidR="00260B6D" w:rsidRPr="0051032A" w:rsidRDefault="00260B6D" w:rsidP="0051032A">
      <w:pPr>
        <w:rPr>
          <w:rFonts w:eastAsia="SimSun"/>
        </w:rPr>
      </w:pPr>
      <w:r w:rsidRPr="0051032A">
        <w:rPr>
          <w:rFonts w:eastAsia="SimSun"/>
        </w:rPr>
        <w:t xml:space="preserve">  </w:t>
      </w:r>
    </w:p>
    <w:p w14:paraId="0705CAE4" w14:textId="77777777" w:rsidR="00260B6D" w:rsidRPr="0051032A" w:rsidRDefault="00260B6D" w:rsidP="0051032A">
      <w:pPr>
        <w:rPr>
          <w:rFonts w:eastAsia="SimSun"/>
        </w:rPr>
      </w:pPr>
      <w:r w:rsidRPr="0051032A">
        <w:rPr>
          <w:rFonts w:eastAsia="SimSun"/>
        </w:rPr>
        <w:t xml:space="preserve">  for (y in (</w:t>
      </w:r>
      <w:proofErr w:type="gramStart"/>
      <w:r w:rsidRPr="0051032A">
        <w:rPr>
          <w:rFonts w:eastAsia="SimSun"/>
        </w:rPr>
        <w:t>1:length</w:t>
      </w:r>
      <w:proofErr w:type="gramEnd"/>
      <w:r w:rsidRPr="0051032A">
        <w:rPr>
          <w:rFonts w:eastAsia="SimSun"/>
        </w:rPr>
        <w:t>(</w:t>
      </w:r>
      <w:proofErr w:type="spellStart"/>
      <w:r w:rsidRPr="0051032A">
        <w:rPr>
          <w:rFonts w:eastAsia="SimSun"/>
        </w:rPr>
        <w:t>Suppressed_total_y</w:t>
      </w:r>
      <w:proofErr w:type="spellEnd"/>
      <w:r w:rsidRPr="0051032A">
        <w:rPr>
          <w:rFonts w:eastAsia="SimSun"/>
        </w:rPr>
        <w:t>[t,]))) {</w:t>
      </w:r>
    </w:p>
    <w:p w14:paraId="04454793" w14:textId="77777777" w:rsidR="00260B6D" w:rsidRPr="0051032A" w:rsidRDefault="00260B6D" w:rsidP="0051032A">
      <w:pPr>
        <w:rPr>
          <w:rFonts w:eastAsia="SimSun"/>
        </w:rPr>
      </w:pPr>
      <w:r w:rsidRPr="0051032A">
        <w:rPr>
          <w:rFonts w:eastAsia="SimSun"/>
        </w:rPr>
        <w:t xml:space="preserve">  # Annual proportion viral suppressed </w:t>
      </w:r>
    </w:p>
    <w:p w14:paraId="70D79576"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Target_VS</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xml:space="preserve">]&lt;- </w:t>
      </w:r>
      <w:proofErr w:type="spellStart"/>
      <w:r w:rsidRPr="0051032A">
        <w:rPr>
          <w:rFonts w:eastAsia="SimSun"/>
        </w:rPr>
        <w:t>Target_all</w:t>
      </w:r>
      <w:proofErr w:type="spellEnd"/>
      <w:r w:rsidRPr="0051032A">
        <w:rPr>
          <w:rFonts w:eastAsia="SimSun"/>
        </w:rPr>
        <w:t>[</w:t>
      </w:r>
      <w:proofErr w:type="spellStart"/>
      <w:r w:rsidRPr="0051032A">
        <w:rPr>
          <w:rFonts w:eastAsia="SimSun"/>
        </w:rPr>
        <w:t>y,"Suppressed</w:t>
      </w:r>
      <w:proofErr w:type="spellEnd"/>
      <w:r w:rsidRPr="0051032A">
        <w:rPr>
          <w:rFonts w:eastAsia="SimSun"/>
        </w:rPr>
        <w:t>"]</w:t>
      </w:r>
    </w:p>
    <w:p w14:paraId="198DBF83" w14:textId="77777777" w:rsidR="00260B6D" w:rsidRPr="0051032A" w:rsidRDefault="00260B6D" w:rsidP="0051032A">
      <w:pPr>
        <w:rPr>
          <w:rFonts w:eastAsia="SimSun"/>
        </w:rPr>
      </w:pPr>
      <w:r w:rsidRPr="0051032A">
        <w:rPr>
          <w:rFonts w:eastAsia="SimSun"/>
        </w:rPr>
        <w:t xml:space="preserve">  if (</w:t>
      </w:r>
      <w:proofErr w:type="gramStart"/>
      <w:r w:rsidRPr="0051032A">
        <w:rPr>
          <w:rFonts w:eastAsia="SimSun"/>
        </w:rPr>
        <w:t>is.na(</w:t>
      </w:r>
      <w:proofErr w:type="spellStart"/>
      <w:proofErr w:type="gramEnd"/>
      <w:r w:rsidRPr="0051032A">
        <w:rPr>
          <w:rFonts w:eastAsia="SimSun"/>
        </w:rPr>
        <w:t>Target_VS</w:t>
      </w:r>
      <w:proofErr w:type="spellEnd"/>
      <w:r w:rsidRPr="0051032A">
        <w:rPr>
          <w:rFonts w:eastAsia="SimSun"/>
        </w:rPr>
        <w:t>[</w:t>
      </w:r>
      <w:proofErr w:type="spellStart"/>
      <w:r w:rsidRPr="0051032A">
        <w:rPr>
          <w:rFonts w:eastAsia="SimSun"/>
        </w:rPr>
        <w:t>t,y</w:t>
      </w:r>
      <w:proofErr w:type="spellEnd"/>
      <w:r w:rsidRPr="0051032A">
        <w:rPr>
          <w:rFonts w:eastAsia="SimSun"/>
        </w:rPr>
        <w:t>]))</w:t>
      </w:r>
    </w:p>
    <w:p w14:paraId="6DF8D0F0" w14:textId="77777777" w:rsidR="00260B6D" w:rsidRPr="0051032A" w:rsidRDefault="00260B6D" w:rsidP="0051032A">
      <w:pPr>
        <w:rPr>
          <w:rFonts w:eastAsia="SimSun"/>
        </w:rPr>
      </w:pPr>
      <w:r w:rsidRPr="0051032A">
        <w:rPr>
          <w:rFonts w:eastAsia="SimSun"/>
        </w:rPr>
        <w:t xml:space="preserve">  {</w:t>
      </w:r>
    </w:p>
    <w:p w14:paraId="7D748AE8"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sls_vs</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NA</w:t>
      </w:r>
    </w:p>
    <w:p w14:paraId="7B01F311" w14:textId="77777777" w:rsidR="00260B6D" w:rsidRPr="0051032A" w:rsidRDefault="00260B6D" w:rsidP="0051032A">
      <w:pPr>
        <w:rPr>
          <w:rFonts w:eastAsia="SimSun"/>
        </w:rPr>
      </w:pPr>
      <w:r w:rsidRPr="0051032A">
        <w:rPr>
          <w:rFonts w:eastAsia="SimSun"/>
        </w:rPr>
        <w:lastRenderedPageBreak/>
        <w:t xml:space="preserve">    </w:t>
      </w:r>
      <w:proofErr w:type="spellStart"/>
      <w:r w:rsidRPr="0051032A">
        <w:rPr>
          <w:rFonts w:eastAsia="SimSun"/>
        </w:rPr>
        <w:t>sls_vs_total</w:t>
      </w:r>
      <w:proofErr w:type="spellEnd"/>
      <w:r w:rsidRPr="0051032A">
        <w:rPr>
          <w:rFonts w:eastAsia="SimSun"/>
        </w:rPr>
        <w:t xml:space="preserve">[t] &lt;- </w:t>
      </w:r>
      <w:proofErr w:type="spellStart"/>
      <w:r w:rsidRPr="0051032A">
        <w:rPr>
          <w:rFonts w:eastAsia="SimSun"/>
        </w:rPr>
        <w:t>sls_vs_total</w:t>
      </w:r>
      <w:proofErr w:type="spellEnd"/>
      <w:r w:rsidRPr="0051032A">
        <w:rPr>
          <w:rFonts w:eastAsia="SimSun"/>
        </w:rPr>
        <w:t>[t]</w:t>
      </w:r>
    </w:p>
    <w:p w14:paraId="14D6DF12"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pd_vs</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NA</w:t>
      </w:r>
    </w:p>
    <w:p w14:paraId="12386DD0"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pd_vs_total</w:t>
      </w:r>
      <w:proofErr w:type="spellEnd"/>
      <w:r w:rsidRPr="0051032A">
        <w:rPr>
          <w:rFonts w:eastAsia="SimSun"/>
        </w:rPr>
        <w:t xml:space="preserve">[t] &lt;- </w:t>
      </w:r>
      <w:proofErr w:type="spellStart"/>
      <w:r w:rsidRPr="0051032A">
        <w:rPr>
          <w:rFonts w:eastAsia="SimSun"/>
        </w:rPr>
        <w:t>pd_vs_total</w:t>
      </w:r>
      <w:proofErr w:type="spellEnd"/>
      <w:r w:rsidRPr="0051032A">
        <w:rPr>
          <w:rFonts w:eastAsia="SimSun"/>
        </w:rPr>
        <w:t>[t]</w:t>
      </w:r>
    </w:p>
    <w:p w14:paraId="19D987DA" w14:textId="77777777" w:rsidR="00260B6D" w:rsidRPr="0051032A" w:rsidRDefault="00260B6D" w:rsidP="0051032A">
      <w:pPr>
        <w:rPr>
          <w:rFonts w:eastAsia="SimSun"/>
        </w:rPr>
      </w:pPr>
      <w:r w:rsidRPr="0051032A">
        <w:rPr>
          <w:rFonts w:eastAsia="SimSun"/>
        </w:rPr>
        <w:t xml:space="preserve">  } else {    </w:t>
      </w:r>
    </w:p>
    <w:p w14:paraId="493D6E04"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sls_vs_total</w:t>
      </w:r>
      <w:proofErr w:type="spellEnd"/>
      <w:r w:rsidRPr="0051032A">
        <w:rPr>
          <w:rFonts w:eastAsia="SimSun"/>
        </w:rPr>
        <w:t xml:space="preserve">[t] &lt;- </w:t>
      </w:r>
      <w:proofErr w:type="spellStart"/>
      <w:r w:rsidRPr="0051032A">
        <w:rPr>
          <w:rFonts w:eastAsia="SimSun"/>
        </w:rPr>
        <w:t>sls_vs_total</w:t>
      </w:r>
      <w:proofErr w:type="spellEnd"/>
      <w:r w:rsidRPr="0051032A">
        <w:rPr>
          <w:rFonts w:eastAsia="SimSun"/>
        </w:rPr>
        <w:t>[t]+(</w:t>
      </w:r>
      <w:proofErr w:type="spellStart"/>
      <w:r w:rsidRPr="0051032A">
        <w:rPr>
          <w:rFonts w:eastAsia="SimSun"/>
        </w:rPr>
        <w:t>Suppressed_total_y</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w:t>
      </w:r>
      <w:proofErr w:type="spellStart"/>
      <w:r w:rsidRPr="0051032A">
        <w:rPr>
          <w:rFonts w:eastAsia="SimSun"/>
        </w:rPr>
        <w:t>Target_VS</w:t>
      </w:r>
      <w:proofErr w:type="spellEnd"/>
      <w:r w:rsidRPr="0051032A">
        <w:rPr>
          <w:rFonts w:eastAsia="SimSun"/>
        </w:rPr>
        <w:t>[</w:t>
      </w:r>
      <w:proofErr w:type="spellStart"/>
      <w:r w:rsidRPr="0051032A">
        <w:rPr>
          <w:rFonts w:eastAsia="SimSun"/>
        </w:rPr>
        <w:t>t,y</w:t>
      </w:r>
      <w:proofErr w:type="spellEnd"/>
      <w:r w:rsidRPr="0051032A">
        <w:rPr>
          <w:rFonts w:eastAsia="SimSun"/>
        </w:rPr>
        <w:t>]/100)^2</w:t>
      </w:r>
    </w:p>
    <w:p w14:paraId="54B275A8"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sls_vs</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w:t>
      </w:r>
      <w:proofErr w:type="spellStart"/>
      <w:r w:rsidRPr="0051032A">
        <w:rPr>
          <w:rFonts w:eastAsia="SimSun"/>
        </w:rPr>
        <w:t>Suppressed_total_y</w:t>
      </w:r>
      <w:proofErr w:type="spellEnd"/>
      <w:r w:rsidRPr="0051032A">
        <w:rPr>
          <w:rFonts w:eastAsia="SimSun"/>
        </w:rPr>
        <w:t>[</w:t>
      </w:r>
      <w:proofErr w:type="spellStart"/>
      <w:r w:rsidRPr="0051032A">
        <w:rPr>
          <w:rFonts w:eastAsia="SimSun"/>
        </w:rPr>
        <w:t>t,y</w:t>
      </w:r>
      <w:proofErr w:type="spellEnd"/>
      <w:r w:rsidRPr="0051032A">
        <w:rPr>
          <w:rFonts w:eastAsia="SimSun"/>
        </w:rPr>
        <w:t>]-</w:t>
      </w:r>
      <w:proofErr w:type="spellStart"/>
      <w:r w:rsidRPr="0051032A">
        <w:rPr>
          <w:rFonts w:eastAsia="SimSun"/>
        </w:rPr>
        <w:t>Target_VS</w:t>
      </w:r>
      <w:proofErr w:type="spellEnd"/>
      <w:r w:rsidRPr="0051032A">
        <w:rPr>
          <w:rFonts w:eastAsia="SimSun"/>
        </w:rPr>
        <w:t>[</w:t>
      </w:r>
      <w:proofErr w:type="spellStart"/>
      <w:r w:rsidRPr="0051032A">
        <w:rPr>
          <w:rFonts w:eastAsia="SimSun"/>
        </w:rPr>
        <w:t>t,y</w:t>
      </w:r>
      <w:proofErr w:type="spellEnd"/>
      <w:r w:rsidRPr="0051032A">
        <w:rPr>
          <w:rFonts w:eastAsia="SimSun"/>
        </w:rPr>
        <w:t>]/100)^2</w:t>
      </w:r>
    </w:p>
    <w:p w14:paraId="5D587E94"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pd_vs_total</w:t>
      </w:r>
      <w:proofErr w:type="spellEnd"/>
      <w:r w:rsidRPr="0051032A">
        <w:rPr>
          <w:rFonts w:eastAsia="SimSun"/>
        </w:rPr>
        <w:t>[t] &lt;- pd_vs_total[t]+</w:t>
      </w:r>
      <w:proofErr w:type="gramStart"/>
      <w:r w:rsidRPr="0051032A">
        <w:rPr>
          <w:rFonts w:eastAsia="SimSun"/>
        </w:rPr>
        <w:t>abs(</w:t>
      </w:r>
      <w:proofErr w:type="gramEnd"/>
      <w:r w:rsidRPr="0051032A">
        <w:rPr>
          <w:rFonts w:eastAsia="SimSun"/>
        </w:rPr>
        <w:t>Suppressed_total_y[t,y]-Target_VS[t,y]/100)/(Target_VS[t,y]/100)</w:t>
      </w:r>
    </w:p>
    <w:p w14:paraId="26FCD7B9"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pd_vs</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abs(Suppressed_total_y[t,y]-Target_VS[t,y]/100)/(Target_VS[t,y]/100)</w:t>
      </w:r>
    </w:p>
    <w:p w14:paraId="4CEC9385" w14:textId="77777777" w:rsidR="00260B6D" w:rsidRPr="0051032A" w:rsidRDefault="00260B6D" w:rsidP="0051032A">
      <w:pPr>
        <w:rPr>
          <w:rFonts w:eastAsia="SimSun"/>
        </w:rPr>
      </w:pPr>
      <w:r w:rsidRPr="0051032A">
        <w:rPr>
          <w:rFonts w:eastAsia="SimSun"/>
        </w:rPr>
        <w:t xml:space="preserve">    }</w:t>
      </w:r>
    </w:p>
    <w:p w14:paraId="2AE441D0" w14:textId="77777777" w:rsidR="00260B6D" w:rsidRPr="0051032A" w:rsidRDefault="00260B6D" w:rsidP="0051032A">
      <w:pPr>
        <w:rPr>
          <w:rFonts w:eastAsia="SimSun"/>
        </w:rPr>
      </w:pPr>
      <w:r w:rsidRPr="0051032A">
        <w:rPr>
          <w:rFonts w:eastAsia="SimSun"/>
        </w:rPr>
        <w:t xml:space="preserve">  }</w:t>
      </w:r>
    </w:p>
    <w:p w14:paraId="11BDA301" w14:textId="77777777" w:rsidR="00260B6D" w:rsidRPr="0051032A" w:rsidRDefault="00260B6D" w:rsidP="0051032A">
      <w:pPr>
        <w:rPr>
          <w:rFonts w:eastAsia="SimSun"/>
        </w:rPr>
      </w:pPr>
      <w:r w:rsidRPr="0051032A">
        <w:rPr>
          <w:rFonts w:eastAsia="SimSun"/>
        </w:rPr>
        <w:t xml:space="preserve">  </w:t>
      </w:r>
    </w:p>
    <w:p w14:paraId="33231A0E" w14:textId="77777777" w:rsidR="00260B6D" w:rsidRPr="0051032A" w:rsidRDefault="00260B6D" w:rsidP="0051032A">
      <w:pPr>
        <w:rPr>
          <w:rFonts w:eastAsia="SimSun"/>
        </w:rPr>
      </w:pPr>
      <w:r w:rsidRPr="0051032A">
        <w:rPr>
          <w:rFonts w:eastAsia="SimSun"/>
        </w:rPr>
        <w:t xml:space="preserve">  for (y in (</w:t>
      </w:r>
      <w:proofErr w:type="gramStart"/>
      <w:r w:rsidRPr="0051032A">
        <w:rPr>
          <w:rFonts w:eastAsia="SimSun"/>
        </w:rPr>
        <w:t>1:length</w:t>
      </w:r>
      <w:proofErr w:type="gramEnd"/>
      <w:r w:rsidRPr="0051032A">
        <w:rPr>
          <w:rFonts w:eastAsia="SimSun"/>
        </w:rPr>
        <w:t>(</w:t>
      </w:r>
      <w:proofErr w:type="spellStart"/>
      <w:r w:rsidRPr="0051032A">
        <w:rPr>
          <w:rFonts w:eastAsia="SimSun"/>
        </w:rPr>
        <w:t>Suppressed_onART_total_y</w:t>
      </w:r>
      <w:proofErr w:type="spellEnd"/>
      <w:r w:rsidRPr="0051032A">
        <w:rPr>
          <w:rFonts w:eastAsia="SimSun"/>
        </w:rPr>
        <w:t>[t,]))) {</w:t>
      </w:r>
    </w:p>
    <w:p w14:paraId="64AB69DE" w14:textId="77777777" w:rsidR="00260B6D" w:rsidRPr="0051032A" w:rsidRDefault="00260B6D" w:rsidP="0051032A">
      <w:pPr>
        <w:rPr>
          <w:rFonts w:eastAsia="SimSun"/>
        </w:rPr>
      </w:pPr>
      <w:r w:rsidRPr="0051032A">
        <w:rPr>
          <w:rFonts w:eastAsia="SimSun"/>
        </w:rPr>
        <w:t xml:space="preserve">  # Annual proportion viral suppressed when on ART</w:t>
      </w:r>
    </w:p>
    <w:p w14:paraId="1F09613C"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Target_VSonART</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xml:space="preserve">]&lt;- </w:t>
      </w:r>
      <w:proofErr w:type="spellStart"/>
      <w:r w:rsidRPr="0051032A">
        <w:rPr>
          <w:rFonts w:eastAsia="SimSun"/>
        </w:rPr>
        <w:t>Target_all</w:t>
      </w:r>
      <w:proofErr w:type="spellEnd"/>
      <w:r w:rsidRPr="0051032A">
        <w:rPr>
          <w:rFonts w:eastAsia="SimSun"/>
        </w:rPr>
        <w:t>[y,"</w:t>
      </w:r>
      <w:proofErr w:type="spellStart"/>
      <w:r w:rsidRPr="0051032A">
        <w:rPr>
          <w:rFonts w:eastAsia="SimSun"/>
        </w:rPr>
        <w:t>Suppresed_onART</w:t>
      </w:r>
      <w:proofErr w:type="spellEnd"/>
      <w:r w:rsidRPr="0051032A">
        <w:rPr>
          <w:rFonts w:eastAsia="SimSun"/>
        </w:rPr>
        <w:t>"]</w:t>
      </w:r>
    </w:p>
    <w:p w14:paraId="45E410BD" w14:textId="77777777" w:rsidR="00260B6D" w:rsidRPr="0051032A" w:rsidRDefault="00260B6D" w:rsidP="0051032A">
      <w:pPr>
        <w:rPr>
          <w:rFonts w:eastAsia="SimSun"/>
        </w:rPr>
      </w:pPr>
      <w:r w:rsidRPr="0051032A">
        <w:rPr>
          <w:rFonts w:eastAsia="SimSun"/>
        </w:rPr>
        <w:t xml:space="preserve">  if (</w:t>
      </w:r>
      <w:proofErr w:type="gramStart"/>
      <w:r w:rsidRPr="0051032A">
        <w:rPr>
          <w:rFonts w:eastAsia="SimSun"/>
        </w:rPr>
        <w:t>is.na(</w:t>
      </w:r>
      <w:proofErr w:type="spellStart"/>
      <w:proofErr w:type="gramEnd"/>
      <w:r w:rsidRPr="0051032A">
        <w:rPr>
          <w:rFonts w:eastAsia="SimSun"/>
        </w:rPr>
        <w:t>Target_VSonART</w:t>
      </w:r>
      <w:proofErr w:type="spellEnd"/>
      <w:r w:rsidRPr="0051032A">
        <w:rPr>
          <w:rFonts w:eastAsia="SimSun"/>
        </w:rPr>
        <w:t>[</w:t>
      </w:r>
      <w:proofErr w:type="spellStart"/>
      <w:r w:rsidRPr="0051032A">
        <w:rPr>
          <w:rFonts w:eastAsia="SimSun"/>
        </w:rPr>
        <w:t>t,y</w:t>
      </w:r>
      <w:proofErr w:type="spellEnd"/>
      <w:r w:rsidRPr="0051032A">
        <w:rPr>
          <w:rFonts w:eastAsia="SimSun"/>
        </w:rPr>
        <w:t>]))</w:t>
      </w:r>
    </w:p>
    <w:p w14:paraId="5963099C" w14:textId="77777777" w:rsidR="00260B6D" w:rsidRPr="0051032A" w:rsidRDefault="00260B6D" w:rsidP="0051032A">
      <w:pPr>
        <w:rPr>
          <w:rFonts w:eastAsia="SimSun"/>
        </w:rPr>
      </w:pPr>
      <w:r w:rsidRPr="0051032A">
        <w:rPr>
          <w:rFonts w:eastAsia="SimSun"/>
        </w:rPr>
        <w:t xml:space="preserve">  {</w:t>
      </w:r>
    </w:p>
    <w:p w14:paraId="4774958A"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sls_vsonART</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NA</w:t>
      </w:r>
    </w:p>
    <w:p w14:paraId="5E99B03D"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sls_vsonART_total</w:t>
      </w:r>
      <w:proofErr w:type="spellEnd"/>
      <w:r w:rsidRPr="0051032A">
        <w:rPr>
          <w:rFonts w:eastAsia="SimSun"/>
        </w:rPr>
        <w:t xml:space="preserve">[t] &lt;- </w:t>
      </w:r>
      <w:proofErr w:type="spellStart"/>
      <w:r w:rsidRPr="0051032A">
        <w:rPr>
          <w:rFonts w:eastAsia="SimSun"/>
        </w:rPr>
        <w:t>sls_vsonART_total</w:t>
      </w:r>
      <w:proofErr w:type="spellEnd"/>
      <w:r w:rsidRPr="0051032A">
        <w:rPr>
          <w:rFonts w:eastAsia="SimSun"/>
        </w:rPr>
        <w:t>[t]</w:t>
      </w:r>
    </w:p>
    <w:p w14:paraId="490AFD96"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pd_vsonART</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NA</w:t>
      </w:r>
    </w:p>
    <w:p w14:paraId="45AF2CC6"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pd_vsonART_total</w:t>
      </w:r>
      <w:proofErr w:type="spellEnd"/>
      <w:r w:rsidRPr="0051032A">
        <w:rPr>
          <w:rFonts w:eastAsia="SimSun"/>
        </w:rPr>
        <w:t xml:space="preserve">[t] &lt;- </w:t>
      </w:r>
      <w:proofErr w:type="spellStart"/>
      <w:r w:rsidRPr="0051032A">
        <w:rPr>
          <w:rFonts w:eastAsia="SimSun"/>
        </w:rPr>
        <w:t>pd_vsonART_total</w:t>
      </w:r>
      <w:proofErr w:type="spellEnd"/>
      <w:r w:rsidRPr="0051032A">
        <w:rPr>
          <w:rFonts w:eastAsia="SimSun"/>
        </w:rPr>
        <w:t>[t]</w:t>
      </w:r>
    </w:p>
    <w:p w14:paraId="6C557421" w14:textId="77777777" w:rsidR="00260B6D" w:rsidRPr="0051032A" w:rsidRDefault="00260B6D" w:rsidP="0051032A">
      <w:pPr>
        <w:rPr>
          <w:rFonts w:eastAsia="SimSun"/>
        </w:rPr>
      </w:pPr>
      <w:r w:rsidRPr="0051032A">
        <w:rPr>
          <w:rFonts w:eastAsia="SimSun"/>
        </w:rPr>
        <w:t xml:space="preserve">  } else {    </w:t>
      </w:r>
    </w:p>
    <w:p w14:paraId="25550BC7"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sls_vsonART_total</w:t>
      </w:r>
      <w:proofErr w:type="spellEnd"/>
      <w:r w:rsidRPr="0051032A">
        <w:rPr>
          <w:rFonts w:eastAsia="SimSun"/>
        </w:rPr>
        <w:t>[t] &lt;- sls_vsonART_total[t]+(Suppressed_onART_total_y[</w:t>
      </w:r>
      <w:proofErr w:type="gramStart"/>
      <w:r w:rsidRPr="0051032A">
        <w:rPr>
          <w:rFonts w:eastAsia="SimSun"/>
        </w:rPr>
        <w:t>t,y</w:t>
      </w:r>
      <w:proofErr w:type="gramEnd"/>
      <w:r w:rsidRPr="0051032A">
        <w:rPr>
          <w:rFonts w:eastAsia="SimSun"/>
        </w:rPr>
        <w:t xml:space="preserve">]-Target_VSonART[t,y]/100)^2 </w:t>
      </w:r>
    </w:p>
    <w:p w14:paraId="4AB19973"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sls_vsonART</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w:t>
      </w:r>
      <w:proofErr w:type="spellStart"/>
      <w:r w:rsidRPr="0051032A">
        <w:rPr>
          <w:rFonts w:eastAsia="SimSun"/>
        </w:rPr>
        <w:t>Suppressed_onART_total_y</w:t>
      </w:r>
      <w:proofErr w:type="spellEnd"/>
      <w:r w:rsidRPr="0051032A">
        <w:rPr>
          <w:rFonts w:eastAsia="SimSun"/>
        </w:rPr>
        <w:t>[</w:t>
      </w:r>
      <w:proofErr w:type="spellStart"/>
      <w:r w:rsidRPr="0051032A">
        <w:rPr>
          <w:rFonts w:eastAsia="SimSun"/>
        </w:rPr>
        <w:t>t,y</w:t>
      </w:r>
      <w:proofErr w:type="spellEnd"/>
      <w:r w:rsidRPr="0051032A">
        <w:rPr>
          <w:rFonts w:eastAsia="SimSun"/>
        </w:rPr>
        <w:t>]-</w:t>
      </w:r>
      <w:proofErr w:type="spellStart"/>
      <w:r w:rsidRPr="0051032A">
        <w:rPr>
          <w:rFonts w:eastAsia="SimSun"/>
        </w:rPr>
        <w:t>Target_VSonART</w:t>
      </w:r>
      <w:proofErr w:type="spellEnd"/>
      <w:r w:rsidRPr="0051032A">
        <w:rPr>
          <w:rFonts w:eastAsia="SimSun"/>
        </w:rPr>
        <w:t>[</w:t>
      </w:r>
      <w:proofErr w:type="spellStart"/>
      <w:r w:rsidRPr="0051032A">
        <w:rPr>
          <w:rFonts w:eastAsia="SimSun"/>
        </w:rPr>
        <w:t>t,y</w:t>
      </w:r>
      <w:proofErr w:type="spellEnd"/>
      <w:r w:rsidRPr="0051032A">
        <w:rPr>
          <w:rFonts w:eastAsia="SimSun"/>
        </w:rPr>
        <w:t xml:space="preserve">]/100)^2 </w:t>
      </w:r>
    </w:p>
    <w:p w14:paraId="1A58A78C"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pd_vsonART_total</w:t>
      </w:r>
      <w:proofErr w:type="spellEnd"/>
      <w:r w:rsidRPr="0051032A">
        <w:rPr>
          <w:rFonts w:eastAsia="SimSun"/>
        </w:rPr>
        <w:t>[t] &lt;- pd_vsonART_total[t]+</w:t>
      </w:r>
      <w:proofErr w:type="gramStart"/>
      <w:r w:rsidRPr="0051032A">
        <w:rPr>
          <w:rFonts w:eastAsia="SimSun"/>
        </w:rPr>
        <w:t>abs(</w:t>
      </w:r>
      <w:proofErr w:type="gramEnd"/>
      <w:r w:rsidRPr="0051032A">
        <w:rPr>
          <w:rFonts w:eastAsia="SimSun"/>
        </w:rPr>
        <w:t xml:space="preserve">Suppressed_onART_total_y[t,y]-Target_VSonART[t,y]/100)/(Target_VSonART[t,y]/100) </w:t>
      </w:r>
    </w:p>
    <w:p w14:paraId="5620665F"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pd_vsonART</w:t>
      </w:r>
      <w:proofErr w:type="spellEnd"/>
      <w:r w:rsidRPr="0051032A">
        <w:rPr>
          <w:rFonts w:eastAsia="SimSun"/>
        </w:rPr>
        <w:t>[</w:t>
      </w:r>
      <w:proofErr w:type="spellStart"/>
      <w:proofErr w:type="gramStart"/>
      <w:r w:rsidRPr="0051032A">
        <w:rPr>
          <w:rFonts w:eastAsia="SimSun"/>
        </w:rPr>
        <w:t>t,y</w:t>
      </w:r>
      <w:proofErr w:type="spellEnd"/>
      <w:proofErr w:type="gramEnd"/>
      <w:r w:rsidRPr="0051032A">
        <w:rPr>
          <w:rFonts w:eastAsia="SimSun"/>
        </w:rPr>
        <w:t>] &lt;- abs(Suppressed_onART_total_y[t,y]-Target_VSonART[t,y]/100)/(Target_VSonART[t,y]/100)</w:t>
      </w:r>
    </w:p>
    <w:p w14:paraId="3404336A" w14:textId="77777777" w:rsidR="00260B6D" w:rsidRPr="0051032A" w:rsidRDefault="00260B6D" w:rsidP="0051032A">
      <w:pPr>
        <w:rPr>
          <w:rFonts w:eastAsia="SimSun"/>
        </w:rPr>
      </w:pPr>
      <w:r w:rsidRPr="0051032A">
        <w:rPr>
          <w:rFonts w:eastAsia="SimSun"/>
        </w:rPr>
        <w:t xml:space="preserve">    }</w:t>
      </w:r>
    </w:p>
    <w:p w14:paraId="20352860" w14:textId="77777777" w:rsidR="00260B6D" w:rsidRPr="0051032A" w:rsidRDefault="00260B6D" w:rsidP="0051032A">
      <w:pPr>
        <w:rPr>
          <w:rFonts w:eastAsia="SimSun"/>
        </w:rPr>
      </w:pPr>
      <w:r w:rsidRPr="0051032A">
        <w:rPr>
          <w:rFonts w:eastAsia="SimSun"/>
        </w:rPr>
        <w:t xml:space="preserve">  }</w:t>
      </w:r>
    </w:p>
    <w:p w14:paraId="325AAD90" w14:textId="77777777" w:rsidR="00260B6D" w:rsidRPr="0051032A" w:rsidRDefault="00260B6D" w:rsidP="0051032A">
      <w:pPr>
        <w:rPr>
          <w:rFonts w:eastAsia="SimSun"/>
        </w:rPr>
      </w:pPr>
      <w:r w:rsidRPr="0051032A">
        <w:rPr>
          <w:rFonts w:eastAsia="SimSun"/>
        </w:rPr>
        <w:t xml:space="preserve">  </w:t>
      </w:r>
    </w:p>
    <w:p w14:paraId="5BC13A1D"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sls_total</w:t>
      </w:r>
      <w:proofErr w:type="spellEnd"/>
      <w:r w:rsidRPr="0051032A">
        <w:rPr>
          <w:rFonts w:eastAsia="SimSun"/>
        </w:rPr>
        <w:t>[t]=</w:t>
      </w:r>
      <w:proofErr w:type="spellStart"/>
      <w:r w:rsidRPr="0051032A">
        <w:rPr>
          <w:rFonts w:eastAsia="SimSun"/>
        </w:rPr>
        <w:t>sls_prev_total</w:t>
      </w:r>
      <w:proofErr w:type="spellEnd"/>
      <w:r w:rsidRPr="0051032A">
        <w:rPr>
          <w:rFonts w:eastAsia="SimSun"/>
        </w:rPr>
        <w:t xml:space="preserve">[t] + </w:t>
      </w:r>
      <w:proofErr w:type="spellStart"/>
      <w:r w:rsidRPr="0051032A">
        <w:rPr>
          <w:rFonts w:eastAsia="SimSun"/>
        </w:rPr>
        <w:t>sls_incidence_total</w:t>
      </w:r>
      <w:proofErr w:type="spellEnd"/>
      <w:r w:rsidRPr="0051032A">
        <w:rPr>
          <w:rFonts w:eastAsia="SimSun"/>
        </w:rPr>
        <w:t xml:space="preserve">[t] + </w:t>
      </w:r>
      <w:proofErr w:type="spellStart"/>
      <w:r w:rsidRPr="0051032A">
        <w:rPr>
          <w:rFonts w:eastAsia="SimSun"/>
        </w:rPr>
        <w:t>sls_onARTN_total</w:t>
      </w:r>
      <w:proofErr w:type="spellEnd"/>
      <w:r w:rsidRPr="0051032A">
        <w:rPr>
          <w:rFonts w:eastAsia="SimSun"/>
        </w:rPr>
        <w:t xml:space="preserve">[t] + </w:t>
      </w:r>
      <w:proofErr w:type="spellStart"/>
      <w:r w:rsidRPr="0051032A">
        <w:rPr>
          <w:rFonts w:eastAsia="SimSun"/>
        </w:rPr>
        <w:t>sls_onARTP_total</w:t>
      </w:r>
      <w:proofErr w:type="spellEnd"/>
      <w:r w:rsidRPr="0051032A">
        <w:rPr>
          <w:rFonts w:eastAsia="SimSun"/>
        </w:rPr>
        <w:t>[t]+</w:t>
      </w:r>
      <w:proofErr w:type="spellStart"/>
      <w:r w:rsidRPr="0051032A">
        <w:rPr>
          <w:rFonts w:eastAsia="SimSun"/>
        </w:rPr>
        <w:t>sls_vs_total</w:t>
      </w:r>
      <w:proofErr w:type="spellEnd"/>
      <w:r w:rsidRPr="0051032A">
        <w:rPr>
          <w:rFonts w:eastAsia="SimSun"/>
        </w:rPr>
        <w:t>[t]+</w:t>
      </w:r>
      <w:proofErr w:type="spellStart"/>
      <w:r w:rsidRPr="0051032A">
        <w:rPr>
          <w:rFonts w:eastAsia="SimSun"/>
        </w:rPr>
        <w:t>sls_vsonART_total</w:t>
      </w:r>
      <w:proofErr w:type="spellEnd"/>
      <w:r w:rsidRPr="0051032A">
        <w:rPr>
          <w:rFonts w:eastAsia="SimSun"/>
        </w:rPr>
        <w:t>[t]</w:t>
      </w:r>
    </w:p>
    <w:p w14:paraId="1EDF4B58" w14:textId="77777777" w:rsidR="00260B6D" w:rsidRPr="0051032A" w:rsidRDefault="00260B6D" w:rsidP="0051032A">
      <w:pPr>
        <w:rPr>
          <w:rFonts w:eastAsia="SimSun"/>
        </w:rPr>
      </w:pPr>
      <w:r w:rsidRPr="0051032A">
        <w:rPr>
          <w:rFonts w:eastAsia="SimSun"/>
        </w:rPr>
        <w:t xml:space="preserve">  </w:t>
      </w:r>
      <w:proofErr w:type="spellStart"/>
      <w:r w:rsidRPr="0051032A">
        <w:rPr>
          <w:rFonts w:eastAsia="SimSun"/>
        </w:rPr>
        <w:t>pd_total</w:t>
      </w:r>
      <w:proofErr w:type="spellEnd"/>
      <w:r w:rsidRPr="0051032A">
        <w:rPr>
          <w:rFonts w:eastAsia="SimSun"/>
        </w:rPr>
        <w:t>[t]=</w:t>
      </w:r>
      <w:proofErr w:type="spellStart"/>
      <w:r w:rsidRPr="0051032A">
        <w:rPr>
          <w:rFonts w:eastAsia="SimSun"/>
        </w:rPr>
        <w:t>pd_prev_total</w:t>
      </w:r>
      <w:proofErr w:type="spellEnd"/>
      <w:r w:rsidRPr="0051032A">
        <w:rPr>
          <w:rFonts w:eastAsia="SimSun"/>
        </w:rPr>
        <w:t xml:space="preserve">[t] + </w:t>
      </w:r>
      <w:proofErr w:type="spellStart"/>
      <w:r w:rsidRPr="0051032A">
        <w:rPr>
          <w:rFonts w:eastAsia="SimSun"/>
        </w:rPr>
        <w:t>pd_incidence_total</w:t>
      </w:r>
      <w:proofErr w:type="spellEnd"/>
      <w:r w:rsidRPr="0051032A">
        <w:rPr>
          <w:rFonts w:eastAsia="SimSun"/>
        </w:rPr>
        <w:t xml:space="preserve">[t] + </w:t>
      </w:r>
      <w:proofErr w:type="spellStart"/>
      <w:r w:rsidRPr="0051032A">
        <w:rPr>
          <w:rFonts w:eastAsia="SimSun"/>
        </w:rPr>
        <w:t>pd_onARTN_total</w:t>
      </w:r>
      <w:proofErr w:type="spellEnd"/>
      <w:r w:rsidRPr="0051032A">
        <w:rPr>
          <w:rFonts w:eastAsia="SimSun"/>
        </w:rPr>
        <w:t xml:space="preserve">[t] + </w:t>
      </w:r>
      <w:proofErr w:type="spellStart"/>
      <w:r w:rsidRPr="0051032A">
        <w:rPr>
          <w:rFonts w:eastAsia="SimSun"/>
        </w:rPr>
        <w:t>pd_onARTP_total</w:t>
      </w:r>
      <w:proofErr w:type="spellEnd"/>
      <w:r w:rsidRPr="0051032A">
        <w:rPr>
          <w:rFonts w:eastAsia="SimSun"/>
        </w:rPr>
        <w:t>[t]+</w:t>
      </w:r>
      <w:proofErr w:type="spellStart"/>
      <w:r w:rsidRPr="0051032A">
        <w:rPr>
          <w:rFonts w:eastAsia="SimSun"/>
        </w:rPr>
        <w:t>pd_vs_total</w:t>
      </w:r>
      <w:proofErr w:type="spellEnd"/>
      <w:r w:rsidRPr="0051032A">
        <w:rPr>
          <w:rFonts w:eastAsia="SimSun"/>
        </w:rPr>
        <w:t>[t]+</w:t>
      </w:r>
      <w:proofErr w:type="spellStart"/>
      <w:r w:rsidRPr="0051032A">
        <w:rPr>
          <w:rFonts w:eastAsia="SimSun"/>
        </w:rPr>
        <w:t>pd_vsonART_total</w:t>
      </w:r>
      <w:proofErr w:type="spellEnd"/>
      <w:r w:rsidRPr="0051032A">
        <w:rPr>
          <w:rFonts w:eastAsia="SimSun"/>
        </w:rPr>
        <w:t>[t]</w:t>
      </w:r>
    </w:p>
    <w:p w14:paraId="775A3C84" w14:textId="77777777" w:rsidR="00260B6D" w:rsidRPr="0051032A" w:rsidRDefault="00260B6D" w:rsidP="0051032A">
      <w:pPr>
        <w:rPr>
          <w:rFonts w:eastAsia="SimSun"/>
        </w:rPr>
      </w:pPr>
      <w:r w:rsidRPr="0051032A">
        <w:rPr>
          <w:rFonts w:eastAsia="SimSun"/>
        </w:rPr>
        <w:t xml:space="preserve">  </w:t>
      </w:r>
    </w:p>
    <w:p w14:paraId="5BD09414" w14:textId="77777777" w:rsidR="00260B6D" w:rsidRPr="0051032A" w:rsidRDefault="00260B6D" w:rsidP="0051032A">
      <w:pPr>
        <w:rPr>
          <w:rFonts w:eastAsia="SimSun"/>
        </w:rPr>
      </w:pPr>
      <w:r w:rsidRPr="0051032A">
        <w:rPr>
          <w:rFonts w:eastAsia="SimSun"/>
        </w:rPr>
        <w:t>}</w:t>
      </w:r>
    </w:p>
    <w:p w14:paraId="6BCDB47B" w14:textId="77777777" w:rsidR="00260B6D" w:rsidRPr="0051032A" w:rsidRDefault="00260B6D" w:rsidP="0051032A">
      <w:pPr>
        <w:rPr>
          <w:rFonts w:eastAsia="SimSun"/>
        </w:rPr>
      </w:pPr>
    </w:p>
    <w:p w14:paraId="4D91BE21" w14:textId="77777777" w:rsidR="00260B6D" w:rsidRPr="0051032A" w:rsidRDefault="00260B6D" w:rsidP="0051032A">
      <w:pPr>
        <w:rPr>
          <w:rFonts w:eastAsia="SimSun"/>
        </w:rPr>
      </w:pPr>
    </w:p>
    <w:p w14:paraId="6B37E41C" w14:textId="77777777" w:rsidR="00260B6D" w:rsidRPr="0051032A" w:rsidRDefault="00260B6D" w:rsidP="0051032A">
      <w:pPr>
        <w:rPr>
          <w:rFonts w:eastAsia="SimSun"/>
        </w:rPr>
      </w:pPr>
      <w:proofErr w:type="spellStart"/>
      <w:r w:rsidRPr="0051032A">
        <w:rPr>
          <w:rFonts w:eastAsia="SimSun"/>
        </w:rPr>
        <w:t>df_total</w:t>
      </w:r>
      <w:proofErr w:type="spellEnd"/>
      <w:r w:rsidRPr="0051032A">
        <w:rPr>
          <w:rFonts w:eastAsia="SimSun"/>
        </w:rPr>
        <w:t xml:space="preserve"> &lt;- </w:t>
      </w:r>
      <w:proofErr w:type="spellStart"/>
      <w:r w:rsidRPr="0051032A">
        <w:rPr>
          <w:rFonts w:eastAsia="SimSun"/>
        </w:rPr>
        <w:t>data.frame</w:t>
      </w:r>
      <w:proofErr w:type="spellEnd"/>
      <w:r w:rsidRPr="0051032A">
        <w:rPr>
          <w:rFonts w:eastAsia="SimSun"/>
        </w:rPr>
        <w:t>(Trial=seq(from=1,to=</w:t>
      </w:r>
      <w:proofErr w:type="spellStart"/>
      <w:r w:rsidRPr="0051032A">
        <w:rPr>
          <w:rFonts w:eastAsia="SimSun"/>
        </w:rPr>
        <w:t>trials,by</w:t>
      </w:r>
      <w:proofErr w:type="spellEnd"/>
      <w:r w:rsidRPr="0051032A">
        <w:rPr>
          <w:rFonts w:eastAsia="SimSun"/>
        </w:rPr>
        <w:t xml:space="preserve">=1), </w:t>
      </w:r>
      <w:proofErr w:type="spellStart"/>
      <w:r w:rsidRPr="0051032A">
        <w:rPr>
          <w:rFonts w:eastAsia="SimSun"/>
        </w:rPr>
        <w:t>SLS_prev_total</w:t>
      </w:r>
      <w:proofErr w:type="spellEnd"/>
      <w:r w:rsidRPr="0051032A">
        <w:rPr>
          <w:rFonts w:eastAsia="SimSun"/>
        </w:rPr>
        <w:t>=</w:t>
      </w:r>
      <w:proofErr w:type="spellStart"/>
      <w:r w:rsidRPr="0051032A">
        <w:rPr>
          <w:rFonts w:eastAsia="SimSun"/>
        </w:rPr>
        <w:t>sls_prev_total</w:t>
      </w:r>
      <w:proofErr w:type="spellEnd"/>
      <w:r w:rsidRPr="0051032A">
        <w:rPr>
          <w:rFonts w:eastAsia="SimSun"/>
        </w:rPr>
        <w:t xml:space="preserve">, SLS_incidence_total=sls_incidence_total,SLS_N_onART_total=sls_onARTN_total, </w:t>
      </w:r>
      <w:proofErr w:type="spellStart"/>
      <w:r w:rsidRPr="0051032A">
        <w:rPr>
          <w:rFonts w:eastAsia="SimSun"/>
        </w:rPr>
        <w:t>SLS_P_onART_total</w:t>
      </w:r>
      <w:proofErr w:type="spellEnd"/>
      <w:r w:rsidRPr="0051032A">
        <w:rPr>
          <w:rFonts w:eastAsia="SimSun"/>
        </w:rPr>
        <w:t>=</w:t>
      </w:r>
      <w:proofErr w:type="spellStart"/>
      <w:r w:rsidRPr="0051032A">
        <w:rPr>
          <w:rFonts w:eastAsia="SimSun"/>
        </w:rPr>
        <w:t>sls_onARTP_total</w:t>
      </w:r>
      <w:proofErr w:type="spellEnd"/>
      <w:r w:rsidRPr="0051032A">
        <w:rPr>
          <w:rFonts w:eastAsia="SimSun"/>
        </w:rPr>
        <w:t xml:space="preserve">, </w:t>
      </w:r>
      <w:proofErr w:type="spellStart"/>
      <w:r w:rsidRPr="0051032A">
        <w:rPr>
          <w:rFonts w:eastAsia="SimSun"/>
        </w:rPr>
        <w:t>SLS_P_VS_total</w:t>
      </w:r>
      <w:proofErr w:type="spellEnd"/>
      <w:r w:rsidRPr="0051032A">
        <w:rPr>
          <w:rFonts w:eastAsia="SimSun"/>
        </w:rPr>
        <w:t>=</w:t>
      </w:r>
      <w:proofErr w:type="spellStart"/>
      <w:r w:rsidRPr="0051032A">
        <w:rPr>
          <w:rFonts w:eastAsia="SimSun"/>
        </w:rPr>
        <w:t>sls_vs_total</w:t>
      </w:r>
      <w:proofErr w:type="spellEnd"/>
      <w:r w:rsidRPr="0051032A">
        <w:rPr>
          <w:rFonts w:eastAsia="SimSun"/>
        </w:rPr>
        <w:t xml:space="preserve">, </w:t>
      </w:r>
      <w:proofErr w:type="spellStart"/>
      <w:r w:rsidRPr="0051032A">
        <w:rPr>
          <w:rFonts w:eastAsia="SimSun"/>
        </w:rPr>
        <w:t>SLS_P_VSonART_total</w:t>
      </w:r>
      <w:proofErr w:type="spellEnd"/>
      <w:r w:rsidRPr="0051032A">
        <w:rPr>
          <w:rFonts w:eastAsia="SimSun"/>
        </w:rPr>
        <w:t>=</w:t>
      </w:r>
      <w:proofErr w:type="spellStart"/>
      <w:r w:rsidRPr="0051032A">
        <w:rPr>
          <w:rFonts w:eastAsia="SimSun"/>
        </w:rPr>
        <w:t>sls_vsonART_total</w:t>
      </w:r>
      <w:proofErr w:type="spellEnd"/>
      <w:r w:rsidRPr="0051032A">
        <w:rPr>
          <w:rFonts w:eastAsia="SimSun"/>
        </w:rPr>
        <w:t xml:space="preserve">, </w:t>
      </w:r>
      <w:proofErr w:type="spellStart"/>
      <w:r w:rsidRPr="0051032A">
        <w:rPr>
          <w:rFonts w:eastAsia="SimSun"/>
        </w:rPr>
        <w:t>SLS_total</w:t>
      </w:r>
      <w:proofErr w:type="spellEnd"/>
      <w:r w:rsidRPr="0051032A">
        <w:rPr>
          <w:rFonts w:eastAsia="SimSun"/>
        </w:rPr>
        <w:t>=</w:t>
      </w:r>
      <w:proofErr w:type="spellStart"/>
      <w:r w:rsidRPr="0051032A">
        <w:rPr>
          <w:rFonts w:eastAsia="SimSun"/>
        </w:rPr>
        <w:t>sls_total</w:t>
      </w:r>
      <w:proofErr w:type="spellEnd"/>
      <w:r w:rsidRPr="0051032A">
        <w:rPr>
          <w:rFonts w:eastAsia="SimSun"/>
        </w:rPr>
        <w:t>)</w:t>
      </w:r>
    </w:p>
    <w:p w14:paraId="5A36E421" w14:textId="77777777" w:rsidR="00260B6D" w:rsidRPr="0051032A" w:rsidRDefault="00260B6D" w:rsidP="0051032A">
      <w:pPr>
        <w:rPr>
          <w:rFonts w:eastAsia="SimSun"/>
        </w:rPr>
      </w:pPr>
      <w:proofErr w:type="gramStart"/>
      <w:r w:rsidRPr="0051032A">
        <w:rPr>
          <w:rFonts w:eastAsia="SimSun"/>
        </w:rPr>
        <w:t>write.csv(</w:t>
      </w:r>
      <w:proofErr w:type="spellStart"/>
      <w:proofErr w:type="gramEnd"/>
      <w:r w:rsidRPr="0051032A">
        <w:rPr>
          <w:rFonts w:eastAsia="SimSun"/>
        </w:rPr>
        <w:t>df_total</w:t>
      </w:r>
      <w:proofErr w:type="spellEnd"/>
      <w:r w:rsidRPr="0051032A">
        <w:rPr>
          <w:rFonts w:eastAsia="SimSun"/>
        </w:rPr>
        <w:t>,"~/Dropbox/</w:t>
      </w:r>
      <w:proofErr w:type="spellStart"/>
      <w:r w:rsidRPr="0051032A">
        <w:rPr>
          <w:rFonts w:eastAsia="SimSun"/>
        </w:rPr>
        <w:t>VCU_PhD_Year</w:t>
      </w:r>
      <w:proofErr w:type="spellEnd"/>
      <w:r w:rsidRPr="0051032A">
        <w:rPr>
          <w:rFonts w:eastAsia="SimSun"/>
        </w:rPr>
        <w:t xml:space="preserve"> 3&amp;4/GRA/Rwanda-Model/Full model/calibration outcomes_Total.csv")</w:t>
      </w:r>
    </w:p>
    <w:p w14:paraId="06DABDCD" w14:textId="77777777" w:rsidR="00260B6D" w:rsidRPr="0051032A" w:rsidRDefault="00260B6D" w:rsidP="0051032A">
      <w:pPr>
        <w:rPr>
          <w:rFonts w:eastAsia="SimSun"/>
        </w:rPr>
      </w:pPr>
      <w:proofErr w:type="gramStart"/>
      <w:r w:rsidRPr="0051032A">
        <w:rPr>
          <w:rFonts w:eastAsia="SimSun"/>
        </w:rPr>
        <w:lastRenderedPageBreak/>
        <w:t>write.csv(</w:t>
      </w:r>
      <w:proofErr w:type="spellStart"/>
      <w:proofErr w:type="gramEnd"/>
      <w:r w:rsidRPr="0051032A">
        <w:rPr>
          <w:rFonts w:eastAsia="SimSun"/>
        </w:rPr>
        <w:t>sls_prev</w:t>
      </w:r>
      <w:proofErr w:type="spellEnd"/>
      <w:r w:rsidRPr="0051032A">
        <w:rPr>
          <w:rFonts w:eastAsia="SimSun"/>
        </w:rPr>
        <w:t>,"~/Dropbox/</w:t>
      </w:r>
      <w:proofErr w:type="spellStart"/>
      <w:r w:rsidRPr="0051032A">
        <w:rPr>
          <w:rFonts w:eastAsia="SimSun"/>
        </w:rPr>
        <w:t>VCU_PhD_Year</w:t>
      </w:r>
      <w:proofErr w:type="spellEnd"/>
      <w:r w:rsidRPr="0051032A">
        <w:rPr>
          <w:rFonts w:eastAsia="SimSun"/>
        </w:rPr>
        <w:t xml:space="preserve"> 3&amp;4/GRA/Rwanda-Model/Full model/calibration outcomes_Prev.csv")</w:t>
      </w:r>
    </w:p>
    <w:p w14:paraId="10B025F6" w14:textId="77777777" w:rsidR="00260B6D" w:rsidRPr="0051032A" w:rsidRDefault="00260B6D" w:rsidP="0051032A">
      <w:pPr>
        <w:rPr>
          <w:rFonts w:eastAsia="SimSun"/>
        </w:rPr>
      </w:pPr>
      <w:proofErr w:type="gramStart"/>
      <w:r w:rsidRPr="0051032A">
        <w:rPr>
          <w:rFonts w:eastAsia="SimSun"/>
        </w:rPr>
        <w:t>write.csv(</w:t>
      </w:r>
      <w:proofErr w:type="spellStart"/>
      <w:proofErr w:type="gramEnd"/>
      <w:r w:rsidRPr="0051032A">
        <w:rPr>
          <w:rFonts w:eastAsia="SimSun"/>
        </w:rPr>
        <w:t>sls_incidence</w:t>
      </w:r>
      <w:proofErr w:type="spellEnd"/>
      <w:r w:rsidRPr="0051032A">
        <w:rPr>
          <w:rFonts w:eastAsia="SimSun"/>
        </w:rPr>
        <w:t>,"~/Dropbox/</w:t>
      </w:r>
      <w:proofErr w:type="spellStart"/>
      <w:r w:rsidRPr="0051032A">
        <w:rPr>
          <w:rFonts w:eastAsia="SimSun"/>
        </w:rPr>
        <w:t>VCU_PhD_Year</w:t>
      </w:r>
      <w:proofErr w:type="spellEnd"/>
      <w:r w:rsidRPr="0051032A">
        <w:rPr>
          <w:rFonts w:eastAsia="SimSun"/>
        </w:rPr>
        <w:t xml:space="preserve"> 3&amp;4/GRA/Rwanda-Model/Full model/calibration outcomes_incidence.csv")</w:t>
      </w:r>
    </w:p>
    <w:p w14:paraId="50AD0297" w14:textId="77777777" w:rsidR="00260B6D" w:rsidRPr="0051032A" w:rsidRDefault="00260B6D" w:rsidP="0051032A">
      <w:pPr>
        <w:rPr>
          <w:rFonts w:eastAsia="SimSun"/>
        </w:rPr>
      </w:pPr>
      <w:proofErr w:type="gramStart"/>
      <w:r w:rsidRPr="0051032A">
        <w:rPr>
          <w:rFonts w:eastAsia="SimSun"/>
        </w:rPr>
        <w:t>write.csv(</w:t>
      </w:r>
      <w:proofErr w:type="spellStart"/>
      <w:proofErr w:type="gramEnd"/>
      <w:r w:rsidRPr="0051032A">
        <w:rPr>
          <w:rFonts w:eastAsia="SimSun"/>
        </w:rPr>
        <w:t>sls_onARTN</w:t>
      </w:r>
      <w:proofErr w:type="spellEnd"/>
      <w:r w:rsidRPr="0051032A">
        <w:rPr>
          <w:rFonts w:eastAsia="SimSun"/>
        </w:rPr>
        <w:t>,"~/Dropbox/</w:t>
      </w:r>
      <w:proofErr w:type="spellStart"/>
      <w:r w:rsidRPr="0051032A">
        <w:rPr>
          <w:rFonts w:eastAsia="SimSun"/>
        </w:rPr>
        <w:t>VCU_PhD_Year</w:t>
      </w:r>
      <w:proofErr w:type="spellEnd"/>
      <w:r w:rsidRPr="0051032A">
        <w:rPr>
          <w:rFonts w:eastAsia="SimSun"/>
        </w:rPr>
        <w:t xml:space="preserve"> 3&amp;4/GRA/Rwanda-Model/Full model/calibration outcomes_N_ART.csv")</w:t>
      </w:r>
    </w:p>
    <w:p w14:paraId="18494BDA" w14:textId="77777777" w:rsidR="00260B6D" w:rsidRPr="0051032A" w:rsidRDefault="00260B6D" w:rsidP="0051032A">
      <w:pPr>
        <w:rPr>
          <w:rFonts w:eastAsia="SimSun"/>
        </w:rPr>
      </w:pPr>
      <w:proofErr w:type="gramStart"/>
      <w:r w:rsidRPr="0051032A">
        <w:rPr>
          <w:rFonts w:eastAsia="SimSun"/>
        </w:rPr>
        <w:t>write.csv(</w:t>
      </w:r>
      <w:proofErr w:type="spellStart"/>
      <w:proofErr w:type="gramEnd"/>
      <w:r w:rsidRPr="0051032A">
        <w:rPr>
          <w:rFonts w:eastAsia="SimSun"/>
        </w:rPr>
        <w:t>sls_onARTP</w:t>
      </w:r>
      <w:proofErr w:type="spellEnd"/>
      <w:r w:rsidRPr="0051032A">
        <w:rPr>
          <w:rFonts w:eastAsia="SimSun"/>
        </w:rPr>
        <w:t>,"~/Dropbox/</w:t>
      </w:r>
      <w:proofErr w:type="spellStart"/>
      <w:r w:rsidRPr="0051032A">
        <w:rPr>
          <w:rFonts w:eastAsia="SimSun"/>
        </w:rPr>
        <w:t>VCU_PhD_Year</w:t>
      </w:r>
      <w:proofErr w:type="spellEnd"/>
      <w:r w:rsidRPr="0051032A">
        <w:rPr>
          <w:rFonts w:eastAsia="SimSun"/>
        </w:rPr>
        <w:t xml:space="preserve"> 3&amp;4/GRA/Rwanda-Model/Full model/calibration outcomes_P_ART.csv")</w:t>
      </w:r>
    </w:p>
    <w:p w14:paraId="4EEF9A60" w14:textId="77777777" w:rsidR="00260B6D" w:rsidRPr="0051032A" w:rsidRDefault="00260B6D" w:rsidP="0051032A">
      <w:pPr>
        <w:rPr>
          <w:rFonts w:eastAsia="SimSun"/>
        </w:rPr>
      </w:pPr>
      <w:proofErr w:type="gramStart"/>
      <w:r w:rsidRPr="0051032A">
        <w:rPr>
          <w:rFonts w:eastAsia="SimSun"/>
        </w:rPr>
        <w:t>write.csv(</w:t>
      </w:r>
      <w:proofErr w:type="spellStart"/>
      <w:proofErr w:type="gramEnd"/>
      <w:r w:rsidRPr="0051032A">
        <w:rPr>
          <w:rFonts w:eastAsia="SimSun"/>
        </w:rPr>
        <w:t>sls_vs</w:t>
      </w:r>
      <w:proofErr w:type="spellEnd"/>
      <w:r w:rsidRPr="0051032A">
        <w:rPr>
          <w:rFonts w:eastAsia="SimSun"/>
        </w:rPr>
        <w:t>,"~/Dropbox/</w:t>
      </w:r>
      <w:proofErr w:type="spellStart"/>
      <w:r w:rsidRPr="0051032A">
        <w:rPr>
          <w:rFonts w:eastAsia="SimSun"/>
        </w:rPr>
        <w:t>VCU_PhD_Year</w:t>
      </w:r>
      <w:proofErr w:type="spellEnd"/>
      <w:r w:rsidRPr="0051032A">
        <w:rPr>
          <w:rFonts w:eastAsia="SimSun"/>
        </w:rPr>
        <w:t xml:space="preserve"> 3&amp;4/GRA/Rwanda-Model/Full model/calibration outcomes_VS.csv")</w:t>
      </w:r>
    </w:p>
    <w:p w14:paraId="590226D8" w14:textId="77777777" w:rsidR="00260B6D" w:rsidRPr="0051032A" w:rsidRDefault="00260B6D" w:rsidP="0051032A">
      <w:pPr>
        <w:rPr>
          <w:rFonts w:eastAsia="SimSun"/>
        </w:rPr>
      </w:pPr>
      <w:proofErr w:type="gramStart"/>
      <w:r w:rsidRPr="0051032A">
        <w:rPr>
          <w:rFonts w:eastAsia="SimSun"/>
        </w:rPr>
        <w:t>write.csv(</w:t>
      </w:r>
      <w:proofErr w:type="spellStart"/>
      <w:proofErr w:type="gramEnd"/>
      <w:r w:rsidRPr="0051032A">
        <w:rPr>
          <w:rFonts w:eastAsia="SimSun"/>
        </w:rPr>
        <w:t>sls_vsonART</w:t>
      </w:r>
      <w:proofErr w:type="spellEnd"/>
      <w:r w:rsidRPr="0051032A">
        <w:rPr>
          <w:rFonts w:eastAsia="SimSun"/>
        </w:rPr>
        <w:t>,"~/Dropbox/</w:t>
      </w:r>
      <w:proofErr w:type="spellStart"/>
      <w:r w:rsidRPr="0051032A">
        <w:rPr>
          <w:rFonts w:eastAsia="SimSun"/>
        </w:rPr>
        <w:t>VCU_PhD_Year</w:t>
      </w:r>
      <w:proofErr w:type="spellEnd"/>
      <w:r w:rsidRPr="0051032A">
        <w:rPr>
          <w:rFonts w:eastAsia="SimSun"/>
        </w:rPr>
        <w:t xml:space="preserve"> 3&amp;4/GRA/Rwanda-Model/Full model/calibration outcomes_VSonART.csv")</w:t>
      </w:r>
    </w:p>
    <w:p w14:paraId="429921BB" w14:textId="77777777" w:rsidR="00260B6D" w:rsidRPr="0051032A" w:rsidRDefault="00260B6D" w:rsidP="0051032A">
      <w:pPr>
        <w:rPr>
          <w:rFonts w:eastAsia="SimSun"/>
        </w:rPr>
      </w:pPr>
    </w:p>
    <w:p w14:paraId="07AFE70B" w14:textId="77777777" w:rsidR="00260B6D" w:rsidRPr="0051032A" w:rsidRDefault="00260B6D" w:rsidP="0051032A">
      <w:pPr>
        <w:rPr>
          <w:rFonts w:eastAsia="SimSun"/>
        </w:rPr>
      </w:pPr>
      <w:proofErr w:type="spellStart"/>
      <w:r w:rsidRPr="0051032A">
        <w:rPr>
          <w:rFonts w:eastAsia="SimSun"/>
        </w:rPr>
        <w:t>df_total</w:t>
      </w:r>
      <w:proofErr w:type="spellEnd"/>
      <w:r w:rsidRPr="0051032A">
        <w:rPr>
          <w:rFonts w:eastAsia="SimSun"/>
        </w:rPr>
        <w:t xml:space="preserve"> &lt;- </w:t>
      </w:r>
      <w:proofErr w:type="spellStart"/>
      <w:r w:rsidRPr="0051032A">
        <w:rPr>
          <w:rFonts w:eastAsia="SimSun"/>
        </w:rPr>
        <w:t>data.frame</w:t>
      </w:r>
      <w:proofErr w:type="spellEnd"/>
      <w:r w:rsidRPr="0051032A">
        <w:rPr>
          <w:rFonts w:eastAsia="SimSun"/>
        </w:rPr>
        <w:t>(Trial=seq(from=1,to=</w:t>
      </w:r>
      <w:proofErr w:type="spellStart"/>
      <w:r w:rsidRPr="0051032A">
        <w:rPr>
          <w:rFonts w:eastAsia="SimSun"/>
        </w:rPr>
        <w:t>trials,by</w:t>
      </w:r>
      <w:proofErr w:type="spellEnd"/>
      <w:r w:rsidRPr="0051032A">
        <w:rPr>
          <w:rFonts w:eastAsia="SimSun"/>
        </w:rPr>
        <w:t xml:space="preserve">=1), </w:t>
      </w:r>
      <w:proofErr w:type="spellStart"/>
      <w:r w:rsidRPr="0051032A">
        <w:rPr>
          <w:rFonts w:eastAsia="SimSun"/>
        </w:rPr>
        <w:t>pd_prev_total</w:t>
      </w:r>
      <w:proofErr w:type="spellEnd"/>
      <w:r w:rsidRPr="0051032A">
        <w:rPr>
          <w:rFonts w:eastAsia="SimSun"/>
        </w:rPr>
        <w:t>=</w:t>
      </w:r>
      <w:proofErr w:type="spellStart"/>
      <w:r w:rsidRPr="0051032A">
        <w:rPr>
          <w:rFonts w:eastAsia="SimSun"/>
        </w:rPr>
        <w:t>pd_prev_total</w:t>
      </w:r>
      <w:proofErr w:type="spellEnd"/>
      <w:r w:rsidRPr="0051032A">
        <w:rPr>
          <w:rFonts w:eastAsia="SimSun"/>
        </w:rPr>
        <w:t xml:space="preserve">, pd_incidence_total=pd_incidence_total,pd_N_onART_total=pd_onARTN_total, </w:t>
      </w:r>
      <w:proofErr w:type="spellStart"/>
      <w:r w:rsidRPr="0051032A">
        <w:rPr>
          <w:rFonts w:eastAsia="SimSun"/>
        </w:rPr>
        <w:t>pd_P_onART_total</w:t>
      </w:r>
      <w:proofErr w:type="spellEnd"/>
      <w:r w:rsidRPr="0051032A">
        <w:rPr>
          <w:rFonts w:eastAsia="SimSun"/>
        </w:rPr>
        <w:t>=</w:t>
      </w:r>
      <w:proofErr w:type="spellStart"/>
      <w:r w:rsidRPr="0051032A">
        <w:rPr>
          <w:rFonts w:eastAsia="SimSun"/>
        </w:rPr>
        <w:t>pd_onARTP_total</w:t>
      </w:r>
      <w:proofErr w:type="spellEnd"/>
      <w:r w:rsidRPr="0051032A">
        <w:rPr>
          <w:rFonts w:eastAsia="SimSun"/>
        </w:rPr>
        <w:t xml:space="preserve">, </w:t>
      </w:r>
      <w:proofErr w:type="spellStart"/>
      <w:r w:rsidRPr="0051032A">
        <w:rPr>
          <w:rFonts w:eastAsia="SimSun"/>
        </w:rPr>
        <w:t>pd_P_VS_total</w:t>
      </w:r>
      <w:proofErr w:type="spellEnd"/>
      <w:r w:rsidRPr="0051032A">
        <w:rPr>
          <w:rFonts w:eastAsia="SimSun"/>
        </w:rPr>
        <w:t>=</w:t>
      </w:r>
      <w:proofErr w:type="spellStart"/>
      <w:r w:rsidRPr="0051032A">
        <w:rPr>
          <w:rFonts w:eastAsia="SimSun"/>
        </w:rPr>
        <w:t>pd_vs_total</w:t>
      </w:r>
      <w:proofErr w:type="spellEnd"/>
      <w:r w:rsidRPr="0051032A">
        <w:rPr>
          <w:rFonts w:eastAsia="SimSun"/>
        </w:rPr>
        <w:t xml:space="preserve">, </w:t>
      </w:r>
      <w:proofErr w:type="spellStart"/>
      <w:r w:rsidRPr="0051032A">
        <w:rPr>
          <w:rFonts w:eastAsia="SimSun"/>
        </w:rPr>
        <w:t>pd_P_VSonART_total</w:t>
      </w:r>
      <w:proofErr w:type="spellEnd"/>
      <w:r w:rsidRPr="0051032A">
        <w:rPr>
          <w:rFonts w:eastAsia="SimSun"/>
        </w:rPr>
        <w:t>=</w:t>
      </w:r>
      <w:proofErr w:type="spellStart"/>
      <w:r w:rsidRPr="0051032A">
        <w:rPr>
          <w:rFonts w:eastAsia="SimSun"/>
        </w:rPr>
        <w:t>pd_vsonART_total</w:t>
      </w:r>
      <w:proofErr w:type="spellEnd"/>
      <w:r w:rsidRPr="0051032A">
        <w:rPr>
          <w:rFonts w:eastAsia="SimSun"/>
        </w:rPr>
        <w:t xml:space="preserve">, </w:t>
      </w:r>
      <w:proofErr w:type="spellStart"/>
      <w:r w:rsidRPr="0051032A">
        <w:rPr>
          <w:rFonts w:eastAsia="SimSun"/>
        </w:rPr>
        <w:t>pd_total</w:t>
      </w:r>
      <w:proofErr w:type="spellEnd"/>
      <w:r w:rsidRPr="0051032A">
        <w:rPr>
          <w:rFonts w:eastAsia="SimSun"/>
        </w:rPr>
        <w:t>=</w:t>
      </w:r>
      <w:proofErr w:type="spellStart"/>
      <w:r w:rsidRPr="0051032A">
        <w:rPr>
          <w:rFonts w:eastAsia="SimSun"/>
        </w:rPr>
        <w:t>pd_total</w:t>
      </w:r>
      <w:proofErr w:type="spellEnd"/>
      <w:r w:rsidRPr="0051032A">
        <w:rPr>
          <w:rFonts w:eastAsia="SimSun"/>
        </w:rPr>
        <w:t>)</w:t>
      </w:r>
    </w:p>
    <w:p w14:paraId="023F37E3" w14:textId="77777777" w:rsidR="00260B6D" w:rsidRPr="0051032A" w:rsidRDefault="00260B6D" w:rsidP="0051032A">
      <w:pPr>
        <w:rPr>
          <w:rFonts w:eastAsia="SimSun"/>
        </w:rPr>
      </w:pPr>
      <w:proofErr w:type="gramStart"/>
      <w:r w:rsidRPr="0051032A">
        <w:rPr>
          <w:rFonts w:eastAsia="SimSun"/>
        </w:rPr>
        <w:t>write.csv(</w:t>
      </w:r>
      <w:proofErr w:type="spellStart"/>
      <w:proofErr w:type="gramEnd"/>
      <w:r w:rsidRPr="0051032A">
        <w:rPr>
          <w:rFonts w:eastAsia="SimSun"/>
        </w:rPr>
        <w:t>df_total</w:t>
      </w:r>
      <w:proofErr w:type="spellEnd"/>
      <w:r w:rsidRPr="0051032A">
        <w:rPr>
          <w:rFonts w:eastAsia="SimSun"/>
        </w:rPr>
        <w:t>,"~/Dropbox/</w:t>
      </w:r>
      <w:proofErr w:type="spellStart"/>
      <w:r w:rsidRPr="0051032A">
        <w:rPr>
          <w:rFonts w:eastAsia="SimSun"/>
        </w:rPr>
        <w:t>VCU_PhD_Year</w:t>
      </w:r>
      <w:proofErr w:type="spellEnd"/>
      <w:r w:rsidRPr="0051032A">
        <w:rPr>
          <w:rFonts w:eastAsia="SimSun"/>
        </w:rPr>
        <w:t xml:space="preserve"> 3&amp;4/GRA/Rwanda-Model/Full model/calibration outcomes_Total_PD.csv")</w:t>
      </w:r>
    </w:p>
    <w:p w14:paraId="4E4FBD5B" w14:textId="77777777" w:rsidR="00260B6D" w:rsidRPr="0051032A" w:rsidRDefault="00260B6D" w:rsidP="0051032A">
      <w:pPr>
        <w:rPr>
          <w:rFonts w:eastAsia="SimSun"/>
        </w:rPr>
      </w:pPr>
      <w:proofErr w:type="gramStart"/>
      <w:r w:rsidRPr="0051032A">
        <w:rPr>
          <w:rFonts w:eastAsia="SimSun"/>
        </w:rPr>
        <w:t>write.csv(</w:t>
      </w:r>
      <w:proofErr w:type="spellStart"/>
      <w:proofErr w:type="gramEnd"/>
      <w:r w:rsidRPr="0051032A">
        <w:rPr>
          <w:rFonts w:eastAsia="SimSun"/>
        </w:rPr>
        <w:t>pd_prev</w:t>
      </w:r>
      <w:proofErr w:type="spellEnd"/>
      <w:r w:rsidRPr="0051032A">
        <w:rPr>
          <w:rFonts w:eastAsia="SimSun"/>
        </w:rPr>
        <w:t>,"~/Dropbox/</w:t>
      </w:r>
      <w:proofErr w:type="spellStart"/>
      <w:r w:rsidRPr="0051032A">
        <w:rPr>
          <w:rFonts w:eastAsia="SimSun"/>
        </w:rPr>
        <w:t>VCU_PhD_Year</w:t>
      </w:r>
      <w:proofErr w:type="spellEnd"/>
      <w:r w:rsidRPr="0051032A">
        <w:rPr>
          <w:rFonts w:eastAsia="SimSun"/>
        </w:rPr>
        <w:t xml:space="preserve"> 3&amp;4/GRA/Rwanda-Model/Full model/calibration outcomes_Prev_PD.csv")</w:t>
      </w:r>
    </w:p>
    <w:p w14:paraId="6420273F" w14:textId="77777777" w:rsidR="00260B6D" w:rsidRPr="0051032A" w:rsidRDefault="00260B6D" w:rsidP="0051032A">
      <w:pPr>
        <w:rPr>
          <w:rFonts w:eastAsia="SimSun"/>
        </w:rPr>
      </w:pPr>
      <w:proofErr w:type="gramStart"/>
      <w:r w:rsidRPr="0051032A">
        <w:rPr>
          <w:rFonts w:eastAsia="SimSun"/>
        </w:rPr>
        <w:t>write.csv(</w:t>
      </w:r>
      <w:proofErr w:type="spellStart"/>
      <w:proofErr w:type="gramEnd"/>
      <w:r w:rsidRPr="0051032A">
        <w:rPr>
          <w:rFonts w:eastAsia="SimSun"/>
        </w:rPr>
        <w:t>pd_incidence</w:t>
      </w:r>
      <w:proofErr w:type="spellEnd"/>
      <w:r w:rsidRPr="0051032A">
        <w:rPr>
          <w:rFonts w:eastAsia="SimSun"/>
        </w:rPr>
        <w:t>,"~/Dropbox/</w:t>
      </w:r>
      <w:proofErr w:type="spellStart"/>
      <w:r w:rsidRPr="0051032A">
        <w:rPr>
          <w:rFonts w:eastAsia="SimSun"/>
        </w:rPr>
        <w:t>VCU_PhD_Year</w:t>
      </w:r>
      <w:proofErr w:type="spellEnd"/>
      <w:r w:rsidRPr="0051032A">
        <w:rPr>
          <w:rFonts w:eastAsia="SimSun"/>
        </w:rPr>
        <w:t xml:space="preserve"> 3&amp;4/GRA/Rwanda-Model/Full model/calibration outcomes_incidence_PD.csv")</w:t>
      </w:r>
    </w:p>
    <w:p w14:paraId="408E8EE7" w14:textId="77777777" w:rsidR="00260B6D" w:rsidRPr="0051032A" w:rsidRDefault="00260B6D" w:rsidP="0051032A">
      <w:pPr>
        <w:rPr>
          <w:rFonts w:eastAsia="SimSun"/>
        </w:rPr>
      </w:pPr>
      <w:proofErr w:type="gramStart"/>
      <w:r w:rsidRPr="0051032A">
        <w:rPr>
          <w:rFonts w:eastAsia="SimSun"/>
        </w:rPr>
        <w:t>write.csv(</w:t>
      </w:r>
      <w:proofErr w:type="spellStart"/>
      <w:proofErr w:type="gramEnd"/>
      <w:r w:rsidRPr="0051032A">
        <w:rPr>
          <w:rFonts w:eastAsia="SimSun"/>
        </w:rPr>
        <w:t>pd_onARTN</w:t>
      </w:r>
      <w:proofErr w:type="spellEnd"/>
      <w:r w:rsidRPr="0051032A">
        <w:rPr>
          <w:rFonts w:eastAsia="SimSun"/>
        </w:rPr>
        <w:t>,"~/Dropbox/</w:t>
      </w:r>
      <w:proofErr w:type="spellStart"/>
      <w:r w:rsidRPr="0051032A">
        <w:rPr>
          <w:rFonts w:eastAsia="SimSun"/>
        </w:rPr>
        <w:t>VCU_PhD_Year</w:t>
      </w:r>
      <w:proofErr w:type="spellEnd"/>
      <w:r w:rsidRPr="0051032A">
        <w:rPr>
          <w:rFonts w:eastAsia="SimSun"/>
        </w:rPr>
        <w:t xml:space="preserve"> 3&amp;4/GRA/Rwanda-Model/Full model/calibration outcomes_N_ART_PD.csv")</w:t>
      </w:r>
    </w:p>
    <w:p w14:paraId="380D06CA" w14:textId="77777777" w:rsidR="00260B6D" w:rsidRPr="0051032A" w:rsidRDefault="00260B6D" w:rsidP="0051032A">
      <w:pPr>
        <w:rPr>
          <w:rFonts w:eastAsia="SimSun"/>
        </w:rPr>
      </w:pPr>
      <w:proofErr w:type="gramStart"/>
      <w:r w:rsidRPr="0051032A">
        <w:rPr>
          <w:rFonts w:eastAsia="SimSun"/>
        </w:rPr>
        <w:t>write.csv(</w:t>
      </w:r>
      <w:proofErr w:type="spellStart"/>
      <w:proofErr w:type="gramEnd"/>
      <w:r w:rsidRPr="0051032A">
        <w:rPr>
          <w:rFonts w:eastAsia="SimSun"/>
        </w:rPr>
        <w:t>pd_onARTP</w:t>
      </w:r>
      <w:proofErr w:type="spellEnd"/>
      <w:r w:rsidRPr="0051032A">
        <w:rPr>
          <w:rFonts w:eastAsia="SimSun"/>
        </w:rPr>
        <w:t>,"~/Dropbox/</w:t>
      </w:r>
      <w:proofErr w:type="spellStart"/>
      <w:r w:rsidRPr="0051032A">
        <w:rPr>
          <w:rFonts w:eastAsia="SimSun"/>
        </w:rPr>
        <w:t>VCU_PhD_Year</w:t>
      </w:r>
      <w:proofErr w:type="spellEnd"/>
      <w:r w:rsidRPr="0051032A">
        <w:rPr>
          <w:rFonts w:eastAsia="SimSun"/>
        </w:rPr>
        <w:t xml:space="preserve"> 3&amp;4/GRA/Rwanda-Model/Full model/calibration outcomes_P_ART_PD.csv")</w:t>
      </w:r>
    </w:p>
    <w:p w14:paraId="66CA492C" w14:textId="77777777" w:rsidR="00260B6D" w:rsidRPr="0051032A" w:rsidRDefault="00260B6D" w:rsidP="0051032A">
      <w:pPr>
        <w:rPr>
          <w:rFonts w:eastAsia="SimSun"/>
        </w:rPr>
      </w:pPr>
      <w:proofErr w:type="gramStart"/>
      <w:r w:rsidRPr="0051032A">
        <w:rPr>
          <w:rFonts w:eastAsia="SimSun"/>
        </w:rPr>
        <w:t>write.csv(</w:t>
      </w:r>
      <w:proofErr w:type="spellStart"/>
      <w:proofErr w:type="gramEnd"/>
      <w:r w:rsidRPr="0051032A">
        <w:rPr>
          <w:rFonts w:eastAsia="SimSun"/>
        </w:rPr>
        <w:t>pd_vs</w:t>
      </w:r>
      <w:proofErr w:type="spellEnd"/>
      <w:r w:rsidRPr="0051032A">
        <w:rPr>
          <w:rFonts w:eastAsia="SimSun"/>
        </w:rPr>
        <w:t>,"~/Dropbox/</w:t>
      </w:r>
      <w:proofErr w:type="spellStart"/>
      <w:r w:rsidRPr="0051032A">
        <w:rPr>
          <w:rFonts w:eastAsia="SimSun"/>
        </w:rPr>
        <w:t>VCU_PhD_Year</w:t>
      </w:r>
      <w:proofErr w:type="spellEnd"/>
      <w:r w:rsidRPr="0051032A">
        <w:rPr>
          <w:rFonts w:eastAsia="SimSun"/>
        </w:rPr>
        <w:t xml:space="preserve"> 3&amp;4/GRA/Rwanda-Model/Full model/calibration outcomes_VS_PD.csv")</w:t>
      </w:r>
    </w:p>
    <w:p w14:paraId="79661C5C" w14:textId="77777777" w:rsidR="00260B6D" w:rsidRPr="0051032A" w:rsidRDefault="00260B6D" w:rsidP="0051032A">
      <w:pPr>
        <w:rPr>
          <w:rFonts w:eastAsia="SimSun"/>
        </w:rPr>
      </w:pPr>
      <w:proofErr w:type="gramStart"/>
      <w:r w:rsidRPr="0051032A">
        <w:rPr>
          <w:rFonts w:eastAsia="SimSun"/>
        </w:rPr>
        <w:t>write.csv(</w:t>
      </w:r>
      <w:proofErr w:type="spellStart"/>
      <w:proofErr w:type="gramEnd"/>
      <w:r w:rsidRPr="0051032A">
        <w:rPr>
          <w:rFonts w:eastAsia="SimSun"/>
        </w:rPr>
        <w:t>pd_vsonART</w:t>
      </w:r>
      <w:proofErr w:type="spellEnd"/>
      <w:r w:rsidRPr="0051032A">
        <w:rPr>
          <w:rFonts w:eastAsia="SimSun"/>
        </w:rPr>
        <w:t>,"~/Dropbox/</w:t>
      </w:r>
      <w:proofErr w:type="spellStart"/>
      <w:r w:rsidRPr="0051032A">
        <w:rPr>
          <w:rFonts w:eastAsia="SimSun"/>
        </w:rPr>
        <w:t>VCU_PhD_Year</w:t>
      </w:r>
      <w:proofErr w:type="spellEnd"/>
      <w:r w:rsidRPr="0051032A">
        <w:rPr>
          <w:rFonts w:eastAsia="SimSun"/>
        </w:rPr>
        <w:t xml:space="preserve"> 3&amp;4/GRA/Rwanda-Model/Full model/calibration outcomes_VSonART_PD.csv")</w:t>
      </w:r>
    </w:p>
    <w:p w14:paraId="5D5AED88" w14:textId="77777777" w:rsidR="00260B6D" w:rsidRPr="0051032A" w:rsidRDefault="00260B6D" w:rsidP="0051032A">
      <w:pPr>
        <w:rPr>
          <w:rFonts w:eastAsia="SimSun"/>
        </w:rPr>
      </w:pPr>
    </w:p>
    <w:p w14:paraId="04575AD8" w14:textId="77777777" w:rsidR="00260B6D" w:rsidRPr="0051032A" w:rsidRDefault="00260B6D" w:rsidP="0051032A">
      <w:pPr>
        <w:rPr>
          <w:rFonts w:eastAsia="SimSun"/>
        </w:rPr>
      </w:pPr>
    </w:p>
    <w:p w14:paraId="2644BB2E" w14:textId="77777777" w:rsidR="00260B6D" w:rsidRPr="0051032A" w:rsidRDefault="00260B6D" w:rsidP="0051032A">
      <w:pPr>
        <w:rPr>
          <w:rFonts w:eastAsia="SimSun"/>
        </w:rPr>
      </w:pPr>
      <w:r w:rsidRPr="0051032A">
        <w:rPr>
          <w:rFonts w:eastAsia="SimSun"/>
        </w:rPr>
        <w:t>#Plot calibration figures</w:t>
      </w:r>
    </w:p>
    <w:p w14:paraId="35CD9BB8" w14:textId="77777777" w:rsidR="00260B6D" w:rsidRPr="0051032A" w:rsidRDefault="00260B6D" w:rsidP="0051032A">
      <w:pPr>
        <w:rPr>
          <w:rFonts w:eastAsia="SimSun"/>
        </w:rPr>
      </w:pPr>
      <w:r w:rsidRPr="0051032A">
        <w:rPr>
          <w:rFonts w:eastAsia="SimSun"/>
        </w:rPr>
        <w:t># library(zoo)</w:t>
      </w:r>
    </w:p>
    <w:p w14:paraId="2BDBAAAD" w14:textId="77777777" w:rsidR="00260B6D" w:rsidRPr="0051032A" w:rsidRDefault="00260B6D" w:rsidP="0051032A">
      <w:pPr>
        <w:rPr>
          <w:rFonts w:eastAsia="SimSun"/>
        </w:rPr>
      </w:pPr>
      <w:r w:rsidRPr="0051032A">
        <w:rPr>
          <w:rFonts w:eastAsia="SimSun"/>
        </w:rPr>
        <w:t xml:space="preserve"># </w:t>
      </w:r>
    </w:p>
    <w:p w14:paraId="252F779B" w14:textId="77777777" w:rsidR="00260B6D" w:rsidRPr="0051032A" w:rsidRDefault="00260B6D" w:rsidP="0051032A">
      <w:pPr>
        <w:rPr>
          <w:rFonts w:eastAsia="SimSun"/>
        </w:rPr>
      </w:pPr>
      <w:r w:rsidRPr="0051032A">
        <w:rPr>
          <w:rFonts w:eastAsia="SimSun"/>
        </w:rPr>
        <w:t># for (t in (</w:t>
      </w:r>
      <w:proofErr w:type="gramStart"/>
      <w:r w:rsidRPr="0051032A">
        <w:rPr>
          <w:rFonts w:eastAsia="SimSun"/>
        </w:rPr>
        <w:t>1:trials</w:t>
      </w:r>
      <w:proofErr w:type="gramEnd"/>
      <w:r w:rsidRPr="0051032A">
        <w:rPr>
          <w:rFonts w:eastAsia="SimSun"/>
        </w:rPr>
        <w:t>)) {</w:t>
      </w:r>
    </w:p>
    <w:p w14:paraId="290C3719" w14:textId="77777777" w:rsidR="00260B6D" w:rsidRPr="0051032A" w:rsidRDefault="00260B6D" w:rsidP="0051032A">
      <w:pPr>
        <w:rPr>
          <w:rFonts w:eastAsia="SimSun"/>
        </w:rPr>
      </w:pPr>
      <w:r w:rsidRPr="0051032A">
        <w:rPr>
          <w:rFonts w:eastAsia="SimSun"/>
        </w:rPr>
        <w:t xml:space="preserve">#   </w:t>
      </w:r>
      <w:proofErr w:type="spellStart"/>
      <w:proofErr w:type="gramStart"/>
      <w:r w:rsidRPr="0051032A">
        <w:rPr>
          <w:rFonts w:eastAsia="SimSun"/>
        </w:rPr>
        <w:t>setEPS</w:t>
      </w:r>
      <w:proofErr w:type="spellEnd"/>
      <w:r w:rsidRPr="0051032A">
        <w:rPr>
          <w:rFonts w:eastAsia="SimSun"/>
        </w:rPr>
        <w:t>(</w:t>
      </w:r>
      <w:proofErr w:type="gramEnd"/>
      <w:r w:rsidRPr="0051032A">
        <w:rPr>
          <w:rFonts w:eastAsia="SimSun"/>
        </w:rPr>
        <w:t>)</w:t>
      </w:r>
    </w:p>
    <w:p w14:paraId="54AA7FFD" w14:textId="77777777" w:rsidR="00260B6D" w:rsidRPr="0051032A" w:rsidRDefault="00260B6D" w:rsidP="0051032A">
      <w:pPr>
        <w:rPr>
          <w:rFonts w:eastAsia="SimSun"/>
        </w:rPr>
      </w:pPr>
      <w:r w:rsidRPr="0051032A">
        <w:rPr>
          <w:rFonts w:eastAsia="SimSun"/>
        </w:rPr>
        <w:t xml:space="preserve"># </w:t>
      </w:r>
    </w:p>
    <w:p w14:paraId="2BFCF8CF" w14:textId="77777777" w:rsidR="00260B6D" w:rsidRPr="0051032A" w:rsidRDefault="00260B6D" w:rsidP="0051032A">
      <w:pPr>
        <w:rPr>
          <w:rFonts w:eastAsia="SimSun"/>
        </w:rPr>
      </w:pPr>
      <w:r w:rsidRPr="0051032A">
        <w:rPr>
          <w:rFonts w:eastAsia="SimSun"/>
        </w:rPr>
        <w:t>#   # # Annual Diagnosed</w:t>
      </w:r>
    </w:p>
    <w:p w14:paraId="22E1E642" w14:textId="77777777" w:rsidR="00260B6D" w:rsidRPr="0051032A" w:rsidRDefault="00260B6D" w:rsidP="0051032A">
      <w:pPr>
        <w:rPr>
          <w:rFonts w:eastAsia="SimSun"/>
        </w:rPr>
      </w:pPr>
      <w:r w:rsidRPr="0051032A">
        <w:rPr>
          <w:rFonts w:eastAsia="SimSun"/>
        </w:rPr>
        <w:t xml:space="preserve">#   # </w:t>
      </w:r>
      <w:proofErr w:type="spellStart"/>
      <w:r w:rsidRPr="0051032A">
        <w:rPr>
          <w:rFonts w:eastAsia="SimSun"/>
        </w:rPr>
        <w:t>Diagnosed_total_y</w:t>
      </w:r>
      <w:proofErr w:type="spellEnd"/>
      <w:r w:rsidRPr="0051032A">
        <w:rPr>
          <w:rFonts w:eastAsia="SimSun"/>
        </w:rPr>
        <w:t xml:space="preserve">[t,] &lt;- </w:t>
      </w:r>
      <w:proofErr w:type="spellStart"/>
      <w:r w:rsidRPr="0051032A">
        <w:rPr>
          <w:rFonts w:eastAsia="SimSun"/>
        </w:rPr>
        <w:t>Diagnosed_total</w:t>
      </w:r>
      <w:proofErr w:type="spellEnd"/>
      <w:r w:rsidRPr="0051032A">
        <w:rPr>
          <w:rFonts w:eastAsia="SimSun"/>
        </w:rPr>
        <w:t>[t,1</w:t>
      </w:r>
      <w:proofErr w:type="gramStart"/>
      <w:r w:rsidRPr="0051032A">
        <w:rPr>
          <w:rFonts w:eastAsia="SimSun"/>
        </w:rPr>
        <w:t>,][</w:t>
      </w:r>
      <w:proofErr w:type="gramEnd"/>
      <w:r w:rsidRPr="0051032A">
        <w:rPr>
          <w:rFonts w:eastAsia="SimSun"/>
        </w:rPr>
        <w:t>seq(1, length(</w:t>
      </w:r>
      <w:proofErr w:type="spellStart"/>
      <w:r w:rsidRPr="0051032A">
        <w:rPr>
          <w:rFonts w:eastAsia="SimSun"/>
        </w:rPr>
        <w:t>Diagnosed_total</w:t>
      </w:r>
      <w:proofErr w:type="spellEnd"/>
      <w:r w:rsidRPr="0051032A">
        <w:rPr>
          <w:rFonts w:eastAsia="SimSun"/>
        </w:rPr>
        <w:t>[t,1,]), 12)]</w:t>
      </w:r>
    </w:p>
    <w:p w14:paraId="4F4B2946" w14:textId="77777777" w:rsidR="00260B6D" w:rsidRPr="0051032A" w:rsidRDefault="00260B6D" w:rsidP="0051032A">
      <w:pPr>
        <w:rPr>
          <w:rFonts w:eastAsia="SimSun"/>
        </w:rPr>
      </w:pPr>
      <w:r w:rsidRPr="0051032A">
        <w:rPr>
          <w:rFonts w:eastAsia="SimSun"/>
        </w:rPr>
        <w:t>#   # plot(</w:t>
      </w:r>
      <w:proofErr w:type="spellStart"/>
      <w:proofErr w:type="gramStart"/>
      <w:r w:rsidRPr="0051032A">
        <w:rPr>
          <w:rFonts w:eastAsia="SimSun"/>
        </w:rPr>
        <w:t>year,Diagnosed</w:t>
      </w:r>
      <w:proofErr w:type="gramEnd"/>
      <w:r w:rsidRPr="0051032A">
        <w:rPr>
          <w:rFonts w:eastAsia="SimSun"/>
        </w:rPr>
        <w:t>_total_y</w:t>
      </w:r>
      <w:proofErr w:type="spellEnd"/>
      <w:r w:rsidRPr="0051032A">
        <w:rPr>
          <w:rFonts w:eastAsia="SimSun"/>
        </w:rPr>
        <w:t>[t,],type="</w:t>
      </w:r>
      <w:proofErr w:type="spellStart"/>
      <w:r w:rsidRPr="0051032A">
        <w:rPr>
          <w:rFonts w:eastAsia="SimSun"/>
        </w:rPr>
        <w:t>l",col</w:t>
      </w:r>
      <w:proofErr w:type="spellEnd"/>
      <w:r w:rsidRPr="0051032A">
        <w:rPr>
          <w:rFonts w:eastAsia="SimSun"/>
        </w:rPr>
        <w:t>="red",</w:t>
      </w:r>
      <w:proofErr w:type="spellStart"/>
      <w:r w:rsidRPr="0051032A">
        <w:rPr>
          <w:rFonts w:eastAsia="SimSun"/>
        </w:rPr>
        <w:t>xlab</w:t>
      </w:r>
      <w:proofErr w:type="spellEnd"/>
      <w:r w:rsidRPr="0051032A">
        <w:rPr>
          <w:rFonts w:eastAsia="SimSun"/>
        </w:rPr>
        <w:t xml:space="preserve">="Year", </w:t>
      </w:r>
      <w:proofErr w:type="spellStart"/>
      <w:r w:rsidRPr="0051032A">
        <w:rPr>
          <w:rFonts w:eastAsia="SimSun"/>
        </w:rPr>
        <w:t>ylab</w:t>
      </w:r>
      <w:proofErr w:type="spellEnd"/>
      <w:r w:rsidRPr="0051032A">
        <w:rPr>
          <w:rFonts w:eastAsia="SimSun"/>
        </w:rPr>
        <w:t xml:space="preserve">="Number Diagnosed", main="Annual number of </w:t>
      </w:r>
      <w:proofErr w:type="spellStart"/>
      <w:r w:rsidRPr="0051032A">
        <w:rPr>
          <w:rFonts w:eastAsia="SimSun"/>
        </w:rPr>
        <w:t>diagosed</w:t>
      </w:r>
      <w:proofErr w:type="spellEnd"/>
      <w:r w:rsidRPr="0051032A">
        <w:rPr>
          <w:rFonts w:eastAsia="SimSun"/>
        </w:rPr>
        <w:t xml:space="preserve"> PLWH", </w:t>
      </w:r>
      <w:proofErr w:type="spellStart"/>
      <w:r w:rsidRPr="0051032A">
        <w:rPr>
          <w:rFonts w:eastAsia="SimSun"/>
        </w:rPr>
        <w:t>ylim</w:t>
      </w:r>
      <w:proofErr w:type="spellEnd"/>
      <w:r w:rsidRPr="0051032A">
        <w:rPr>
          <w:rFonts w:eastAsia="SimSun"/>
        </w:rPr>
        <w:t>=c(0,max(Diagnosed_total_y,na.rm=TRUE)))</w:t>
      </w:r>
    </w:p>
    <w:p w14:paraId="117B3E38" w14:textId="77777777" w:rsidR="00260B6D" w:rsidRPr="0051032A" w:rsidRDefault="00260B6D" w:rsidP="0051032A">
      <w:pPr>
        <w:rPr>
          <w:rFonts w:eastAsia="SimSun"/>
        </w:rPr>
      </w:pPr>
      <w:r w:rsidRPr="0051032A">
        <w:rPr>
          <w:rFonts w:eastAsia="SimSun"/>
        </w:rPr>
        <w:t xml:space="preserve">#   # </w:t>
      </w:r>
    </w:p>
    <w:p w14:paraId="400EB160" w14:textId="77777777" w:rsidR="00260B6D" w:rsidRPr="0051032A" w:rsidRDefault="00260B6D" w:rsidP="0051032A">
      <w:pPr>
        <w:rPr>
          <w:rFonts w:eastAsia="SimSun"/>
        </w:rPr>
      </w:pPr>
      <w:r w:rsidRPr="0051032A">
        <w:rPr>
          <w:rFonts w:eastAsia="SimSun"/>
        </w:rPr>
        <w:t>#   # # Annual percent diagnosed</w:t>
      </w:r>
    </w:p>
    <w:p w14:paraId="0EB79136" w14:textId="77777777" w:rsidR="00260B6D" w:rsidRPr="0051032A" w:rsidRDefault="00260B6D" w:rsidP="0051032A">
      <w:pPr>
        <w:rPr>
          <w:rFonts w:eastAsia="SimSun"/>
        </w:rPr>
      </w:pPr>
      <w:r w:rsidRPr="0051032A">
        <w:rPr>
          <w:rFonts w:eastAsia="SimSun"/>
        </w:rPr>
        <w:lastRenderedPageBreak/>
        <w:t xml:space="preserve">#   # </w:t>
      </w:r>
      <w:proofErr w:type="spellStart"/>
      <w:r w:rsidRPr="0051032A">
        <w:rPr>
          <w:rFonts w:eastAsia="SimSun"/>
        </w:rPr>
        <w:t>Diagnosed_total_py</w:t>
      </w:r>
      <w:proofErr w:type="spellEnd"/>
      <w:r w:rsidRPr="0051032A">
        <w:rPr>
          <w:rFonts w:eastAsia="SimSun"/>
        </w:rPr>
        <w:t>[t,] &lt;- (</w:t>
      </w:r>
      <w:proofErr w:type="spellStart"/>
      <w:r w:rsidRPr="0051032A">
        <w:rPr>
          <w:rFonts w:eastAsia="SimSun"/>
        </w:rPr>
        <w:t>Diagnosed_total</w:t>
      </w:r>
      <w:proofErr w:type="spellEnd"/>
      <w:r w:rsidRPr="0051032A">
        <w:rPr>
          <w:rFonts w:eastAsia="SimSun"/>
        </w:rPr>
        <w:t>[t,1,]/</w:t>
      </w:r>
      <w:proofErr w:type="spellStart"/>
      <w:r w:rsidRPr="0051032A">
        <w:rPr>
          <w:rFonts w:eastAsia="SimSun"/>
        </w:rPr>
        <w:t>N_total</w:t>
      </w:r>
      <w:proofErr w:type="spellEnd"/>
      <w:r w:rsidRPr="0051032A">
        <w:rPr>
          <w:rFonts w:eastAsia="SimSun"/>
        </w:rPr>
        <w:t>[t,1,</w:t>
      </w:r>
      <w:proofErr w:type="gramStart"/>
      <w:r w:rsidRPr="0051032A">
        <w:rPr>
          <w:rFonts w:eastAsia="SimSun"/>
        </w:rPr>
        <w:t>])[</w:t>
      </w:r>
      <w:proofErr w:type="gramEnd"/>
      <w:r w:rsidRPr="0051032A">
        <w:rPr>
          <w:rFonts w:eastAsia="SimSun"/>
        </w:rPr>
        <w:t>seq(1, length(</w:t>
      </w:r>
      <w:proofErr w:type="spellStart"/>
      <w:r w:rsidRPr="0051032A">
        <w:rPr>
          <w:rFonts w:eastAsia="SimSun"/>
        </w:rPr>
        <w:t>N_total</w:t>
      </w:r>
      <w:proofErr w:type="spellEnd"/>
      <w:r w:rsidRPr="0051032A">
        <w:rPr>
          <w:rFonts w:eastAsia="SimSun"/>
        </w:rPr>
        <w:t>[t,1,]), 12)]</w:t>
      </w:r>
    </w:p>
    <w:p w14:paraId="334A7639" w14:textId="77777777" w:rsidR="00260B6D" w:rsidRPr="0051032A" w:rsidRDefault="00260B6D" w:rsidP="0051032A">
      <w:pPr>
        <w:rPr>
          <w:rFonts w:eastAsia="SimSun"/>
        </w:rPr>
      </w:pPr>
      <w:r w:rsidRPr="0051032A">
        <w:rPr>
          <w:rFonts w:eastAsia="SimSun"/>
        </w:rPr>
        <w:t>#   # plot(</w:t>
      </w:r>
      <w:proofErr w:type="spellStart"/>
      <w:proofErr w:type="gramStart"/>
      <w:r w:rsidRPr="0051032A">
        <w:rPr>
          <w:rFonts w:eastAsia="SimSun"/>
        </w:rPr>
        <w:t>year,Diagnosed</w:t>
      </w:r>
      <w:proofErr w:type="gramEnd"/>
      <w:r w:rsidRPr="0051032A">
        <w:rPr>
          <w:rFonts w:eastAsia="SimSun"/>
        </w:rPr>
        <w:t>_total_py</w:t>
      </w:r>
      <w:proofErr w:type="spellEnd"/>
      <w:r w:rsidRPr="0051032A">
        <w:rPr>
          <w:rFonts w:eastAsia="SimSun"/>
        </w:rPr>
        <w:t>[t,],type="</w:t>
      </w:r>
      <w:proofErr w:type="spellStart"/>
      <w:r w:rsidRPr="0051032A">
        <w:rPr>
          <w:rFonts w:eastAsia="SimSun"/>
        </w:rPr>
        <w:t>l",col</w:t>
      </w:r>
      <w:proofErr w:type="spellEnd"/>
      <w:r w:rsidRPr="0051032A">
        <w:rPr>
          <w:rFonts w:eastAsia="SimSun"/>
        </w:rPr>
        <w:t>="red",</w:t>
      </w:r>
      <w:proofErr w:type="spellStart"/>
      <w:r w:rsidRPr="0051032A">
        <w:rPr>
          <w:rFonts w:eastAsia="SimSun"/>
        </w:rPr>
        <w:t>xlab</w:t>
      </w:r>
      <w:proofErr w:type="spellEnd"/>
      <w:r w:rsidRPr="0051032A">
        <w:rPr>
          <w:rFonts w:eastAsia="SimSun"/>
        </w:rPr>
        <w:t xml:space="preserve">="Year", </w:t>
      </w:r>
      <w:proofErr w:type="spellStart"/>
      <w:r w:rsidRPr="0051032A">
        <w:rPr>
          <w:rFonts w:eastAsia="SimSun"/>
        </w:rPr>
        <w:t>ylab</w:t>
      </w:r>
      <w:proofErr w:type="spellEnd"/>
      <w:r w:rsidRPr="0051032A">
        <w:rPr>
          <w:rFonts w:eastAsia="SimSun"/>
        </w:rPr>
        <w:t xml:space="preserve">="Percent Diagnosed", main="Annual percent of </w:t>
      </w:r>
      <w:proofErr w:type="spellStart"/>
      <w:r w:rsidRPr="0051032A">
        <w:rPr>
          <w:rFonts w:eastAsia="SimSun"/>
        </w:rPr>
        <w:t>diagosed</w:t>
      </w:r>
      <w:proofErr w:type="spellEnd"/>
      <w:r w:rsidRPr="0051032A">
        <w:rPr>
          <w:rFonts w:eastAsia="SimSun"/>
        </w:rPr>
        <w:t xml:space="preserve"> PLWH", </w:t>
      </w:r>
      <w:proofErr w:type="spellStart"/>
      <w:r w:rsidRPr="0051032A">
        <w:rPr>
          <w:rFonts w:eastAsia="SimSun"/>
        </w:rPr>
        <w:t>ylim</w:t>
      </w:r>
      <w:proofErr w:type="spellEnd"/>
      <w:r w:rsidRPr="0051032A">
        <w:rPr>
          <w:rFonts w:eastAsia="SimSun"/>
        </w:rPr>
        <w:t>=c(0,max(Diagnosed_total_py,na.rm=TRUE)))</w:t>
      </w:r>
    </w:p>
    <w:p w14:paraId="4AA625A0" w14:textId="77777777" w:rsidR="00260B6D" w:rsidRPr="0051032A" w:rsidRDefault="00260B6D" w:rsidP="0051032A">
      <w:pPr>
        <w:rPr>
          <w:rFonts w:eastAsia="SimSun"/>
        </w:rPr>
      </w:pPr>
      <w:r w:rsidRPr="0051032A">
        <w:rPr>
          <w:rFonts w:eastAsia="SimSun"/>
        </w:rPr>
        <w:t xml:space="preserve">#   # </w:t>
      </w:r>
    </w:p>
    <w:p w14:paraId="62FE3873" w14:textId="77777777" w:rsidR="00260B6D" w:rsidRPr="0051032A" w:rsidRDefault="00260B6D" w:rsidP="0051032A">
      <w:pPr>
        <w:rPr>
          <w:rFonts w:eastAsia="SimSun"/>
        </w:rPr>
      </w:pPr>
      <w:r w:rsidRPr="0051032A">
        <w:rPr>
          <w:rFonts w:eastAsia="SimSun"/>
        </w:rPr>
        <w:t>#   # # Annual new infection</w:t>
      </w:r>
    </w:p>
    <w:p w14:paraId="4DC87F00" w14:textId="77777777" w:rsidR="00260B6D" w:rsidRPr="0051032A" w:rsidRDefault="00260B6D" w:rsidP="0051032A">
      <w:pPr>
        <w:rPr>
          <w:rFonts w:eastAsia="SimSun"/>
        </w:rPr>
      </w:pPr>
      <w:r w:rsidRPr="0051032A">
        <w:rPr>
          <w:rFonts w:eastAsia="SimSun"/>
        </w:rPr>
        <w:t xml:space="preserve">#   # </w:t>
      </w:r>
      <w:proofErr w:type="spellStart"/>
      <w:r w:rsidRPr="0051032A">
        <w:rPr>
          <w:rFonts w:eastAsia="SimSun"/>
        </w:rPr>
        <w:t>NI_total_y</w:t>
      </w:r>
      <w:proofErr w:type="spellEnd"/>
      <w:r w:rsidRPr="0051032A">
        <w:rPr>
          <w:rFonts w:eastAsia="SimSun"/>
        </w:rPr>
        <w:t xml:space="preserve">[t,] &lt;- </w:t>
      </w:r>
      <w:proofErr w:type="spellStart"/>
      <w:r w:rsidRPr="0051032A">
        <w:rPr>
          <w:rFonts w:eastAsia="SimSun"/>
        </w:rPr>
        <w:t>rollapply</w:t>
      </w:r>
      <w:proofErr w:type="spellEnd"/>
      <w:r w:rsidRPr="0051032A">
        <w:rPr>
          <w:rFonts w:eastAsia="SimSun"/>
        </w:rPr>
        <w:t>(</w:t>
      </w:r>
      <w:proofErr w:type="spellStart"/>
      <w:proofErr w:type="gramStart"/>
      <w:r w:rsidRPr="0051032A">
        <w:rPr>
          <w:rFonts w:eastAsia="SimSun"/>
        </w:rPr>
        <w:t>unlist</w:t>
      </w:r>
      <w:proofErr w:type="spellEnd"/>
      <w:r w:rsidRPr="0051032A">
        <w:rPr>
          <w:rFonts w:eastAsia="SimSun"/>
        </w:rPr>
        <w:t>(</w:t>
      </w:r>
      <w:proofErr w:type="spellStart"/>
      <w:proofErr w:type="gramEnd"/>
      <w:r w:rsidRPr="0051032A">
        <w:rPr>
          <w:rFonts w:eastAsia="SimSun"/>
        </w:rPr>
        <w:t>NI_total</w:t>
      </w:r>
      <w:proofErr w:type="spellEnd"/>
      <w:r w:rsidRPr="0051032A">
        <w:rPr>
          <w:rFonts w:eastAsia="SimSun"/>
        </w:rPr>
        <w:t>[t,1,]),12,sum,by=12)</w:t>
      </w:r>
    </w:p>
    <w:p w14:paraId="1FBCFA12" w14:textId="77777777" w:rsidR="00260B6D" w:rsidRPr="0051032A" w:rsidRDefault="00260B6D" w:rsidP="0051032A">
      <w:pPr>
        <w:rPr>
          <w:rFonts w:eastAsia="SimSun"/>
        </w:rPr>
      </w:pPr>
      <w:r w:rsidRPr="0051032A">
        <w:rPr>
          <w:rFonts w:eastAsia="SimSun"/>
        </w:rPr>
        <w:t xml:space="preserve">#   # </w:t>
      </w:r>
      <w:proofErr w:type="gramStart"/>
      <w:r w:rsidRPr="0051032A">
        <w:rPr>
          <w:rFonts w:eastAsia="SimSun"/>
        </w:rPr>
        <w:t>plot(</w:t>
      </w:r>
      <w:proofErr w:type="gramEnd"/>
      <w:r w:rsidRPr="0051032A">
        <w:rPr>
          <w:rFonts w:eastAsia="SimSun"/>
        </w:rPr>
        <w:t xml:space="preserve">year, </w:t>
      </w:r>
      <w:proofErr w:type="spellStart"/>
      <w:r w:rsidRPr="0051032A">
        <w:rPr>
          <w:rFonts w:eastAsia="SimSun"/>
        </w:rPr>
        <w:t>NI_total_y</w:t>
      </w:r>
      <w:proofErr w:type="spellEnd"/>
      <w:r w:rsidRPr="0051032A">
        <w:rPr>
          <w:rFonts w:eastAsia="SimSun"/>
        </w:rPr>
        <w:t xml:space="preserve">[t,], type = "l", col="red", </w:t>
      </w:r>
      <w:proofErr w:type="spellStart"/>
      <w:r w:rsidRPr="0051032A">
        <w:rPr>
          <w:rFonts w:eastAsia="SimSun"/>
        </w:rPr>
        <w:t>xlab</w:t>
      </w:r>
      <w:proofErr w:type="spellEnd"/>
      <w:r w:rsidRPr="0051032A">
        <w:rPr>
          <w:rFonts w:eastAsia="SimSun"/>
        </w:rPr>
        <w:t xml:space="preserve"> = "Year", </w:t>
      </w:r>
      <w:proofErr w:type="spellStart"/>
      <w:r w:rsidRPr="0051032A">
        <w:rPr>
          <w:rFonts w:eastAsia="SimSun"/>
        </w:rPr>
        <w:t>ylab</w:t>
      </w:r>
      <w:proofErr w:type="spellEnd"/>
      <w:r w:rsidRPr="0051032A">
        <w:rPr>
          <w:rFonts w:eastAsia="SimSun"/>
        </w:rPr>
        <w:t xml:space="preserve"> = "New HIV Infections", main = "Annual individuals newly infected - Overall", </w:t>
      </w:r>
      <w:proofErr w:type="spellStart"/>
      <w:r w:rsidRPr="0051032A">
        <w:rPr>
          <w:rFonts w:eastAsia="SimSun"/>
        </w:rPr>
        <w:t>ylim</w:t>
      </w:r>
      <w:proofErr w:type="spellEnd"/>
      <w:r w:rsidRPr="0051032A">
        <w:rPr>
          <w:rFonts w:eastAsia="SimSun"/>
        </w:rPr>
        <w:t>=c(0,max(</w:t>
      </w:r>
      <w:proofErr w:type="spellStart"/>
      <w:r w:rsidRPr="0051032A">
        <w:rPr>
          <w:rFonts w:eastAsia="SimSun"/>
        </w:rPr>
        <w:t>NI_total_y</w:t>
      </w:r>
      <w:proofErr w:type="spellEnd"/>
      <w:r w:rsidRPr="0051032A">
        <w:rPr>
          <w:rFonts w:eastAsia="SimSun"/>
        </w:rPr>
        <w:t>[t,],na.rm=TRUE)))</w:t>
      </w:r>
    </w:p>
    <w:p w14:paraId="2FD23A90" w14:textId="77777777" w:rsidR="00260B6D" w:rsidRPr="0051032A" w:rsidRDefault="00260B6D" w:rsidP="0051032A">
      <w:pPr>
        <w:rPr>
          <w:rFonts w:eastAsia="SimSun"/>
        </w:rPr>
      </w:pPr>
      <w:r w:rsidRPr="0051032A">
        <w:rPr>
          <w:rFonts w:eastAsia="SimSun"/>
        </w:rPr>
        <w:t xml:space="preserve">#   # </w:t>
      </w:r>
    </w:p>
    <w:p w14:paraId="2F1D7EBB" w14:textId="77777777" w:rsidR="00260B6D" w:rsidRPr="0051032A" w:rsidRDefault="00260B6D" w:rsidP="0051032A">
      <w:pPr>
        <w:rPr>
          <w:rFonts w:eastAsia="SimSun"/>
        </w:rPr>
      </w:pPr>
      <w:r w:rsidRPr="0051032A">
        <w:rPr>
          <w:rFonts w:eastAsia="SimSun"/>
        </w:rPr>
        <w:t>#   # # People living with HIV</w:t>
      </w:r>
    </w:p>
    <w:p w14:paraId="19938C4D" w14:textId="77777777" w:rsidR="00260B6D" w:rsidRPr="0051032A" w:rsidRDefault="00260B6D" w:rsidP="0051032A">
      <w:pPr>
        <w:rPr>
          <w:rFonts w:eastAsia="SimSun"/>
        </w:rPr>
      </w:pPr>
      <w:r w:rsidRPr="0051032A">
        <w:rPr>
          <w:rFonts w:eastAsia="SimSun"/>
        </w:rPr>
        <w:t xml:space="preserve">#   # </w:t>
      </w:r>
      <w:proofErr w:type="spellStart"/>
      <w:r w:rsidRPr="0051032A">
        <w:rPr>
          <w:rFonts w:eastAsia="SimSun"/>
        </w:rPr>
        <w:t>N_total_y</w:t>
      </w:r>
      <w:proofErr w:type="spellEnd"/>
      <w:r w:rsidRPr="0051032A">
        <w:rPr>
          <w:rFonts w:eastAsia="SimSun"/>
        </w:rPr>
        <w:t xml:space="preserve">[t,] &lt;- </w:t>
      </w:r>
      <w:proofErr w:type="spellStart"/>
      <w:r w:rsidRPr="0051032A">
        <w:rPr>
          <w:rFonts w:eastAsia="SimSun"/>
        </w:rPr>
        <w:t>N_total</w:t>
      </w:r>
      <w:proofErr w:type="spellEnd"/>
      <w:r w:rsidRPr="0051032A">
        <w:rPr>
          <w:rFonts w:eastAsia="SimSun"/>
        </w:rPr>
        <w:t>[t,1</w:t>
      </w:r>
      <w:proofErr w:type="gramStart"/>
      <w:r w:rsidRPr="0051032A">
        <w:rPr>
          <w:rFonts w:eastAsia="SimSun"/>
        </w:rPr>
        <w:t>,][</w:t>
      </w:r>
      <w:proofErr w:type="gramEnd"/>
      <w:r w:rsidRPr="0051032A">
        <w:rPr>
          <w:rFonts w:eastAsia="SimSun"/>
        </w:rPr>
        <w:t>seq(1, length(</w:t>
      </w:r>
      <w:proofErr w:type="spellStart"/>
      <w:r w:rsidRPr="0051032A">
        <w:rPr>
          <w:rFonts w:eastAsia="SimSun"/>
        </w:rPr>
        <w:t>N_total</w:t>
      </w:r>
      <w:proofErr w:type="spellEnd"/>
      <w:r w:rsidRPr="0051032A">
        <w:rPr>
          <w:rFonts w:eastAsia="SimSun"/>
        </w:rPr>
        <w:t>[t,1,]), 12)]</w:t>
      </w:r>
    </w:p>
    <w:p w14:paraId="4C7A1A92" w14:textId="77777777" w:rsidR="00260B6D" w:rsidRPr="0051032A" w:rsidRDefault="00260B6D" w:rsidP="0051032A">
      <w:pPr>
        <w:rPr>
          <w:rFonts w:eastAsia="SimSun"/>
        </w:rPr>
      </w:pPr>
      <w:r w:rsidRPr="0051032A">
        <w:rPr>
          <w:rFonts w:eastAsia="SimSun"/>
        </w:rPr>
        <w:t xml:space="preserve">#   # </w:t>
      </w:r>
      <w:proofErr w:type="gramStart"/>
      <w:r w:rsidRPr="0051032A">
        <w:rPr>
          <w:rFonts w:eastAsia="SimSun"/>
        </w:rPr>
        <w:t>plot(</w:t>
      </w:r>
      <w:proofErr w:type="gramEnd"/>
      <w:r w:rsidRPr="0051032A">
        <w:rPr>
          <w:rFonts w:eastAsia="SimSun"/>
        </w:rPr>
        <w:t xml:space="preserve">year, </w:t>
      </w:r>
      <w:proofErr w:type="spellStart"/>
      <w:r w:rsidRPr="0051032A">
        <w:rPr>
          <w:rFonts w:eastAsia="SimSun"/>
        </w:rPr>
        <w:t>N_total_y</w:t>
      </w:r>
      <w:proofErr w:type="spellEnd"/>
      <w:r w:rsidRPr="0051032A">
        <w:rPr>
          <w:rFonts w:eastAsia="SimSun"/>
        </w:rPr>
        <w:t xml:space="preserve">[t,], type = "l", col="red", </w:t>
      </w:r>
      <w:proofErr w:type="spellStart"/>
      <w:r w:rsidRPr="0051032A">
        <w:rPr>
          <w:rFonts w:eastAsia="SimSun"/>
        </w:rPr>
        <w:t>xlab</w:t>
      </w:r>
      <w:proofErr w:type="spellEnd"/>
      <w:r w:rsidRPr="0051032A">
        <w:rPr>
          <w:rFonts w:eastAsia="SimSun"/>
        </w:rPr>
        <w:t xml:space="preserve"> = "Year", </w:t>
      </w:r>
      <w:proofErr w:type="spellStart"/>
      <w:r w:rsidRPr="0051032A">
        <w:rPr>
          <w:rFonts w:eastAsia="SimSun"/>
        </w:rPr>
        <w:t>ylab</w:t>
      </w:r>
      <w:proofErr w:type="spellEnd"/>
      <w:r w:rsidRPr="0051032A">
        <w:rPr>
          <w:rFonts w:eastAsia="SimSun"/>
        </w:rPr>
        <w:t xml:space="preserve"> = "Individuals living with HIV", main = "Annual individuals living with HIV - Overall", </w:t>
      </w:r>
      <w:proofErr w:type="spellStart"/>
      <w:r w:rsidRPr="0051032A">
        <w:rPr>
          <w:rFonts w:eastAsia="SimSun"/>
        </w:rPr>
        <w:t>ylim</w:t>
      </w:r>
      <w:proofErr w:type="spellEnd"/>
      <w:r w:rsidRPr="0051032A">
        <w:rPr>
          <w:rFonts w:eastAsia="SimSun"/>
        </w:rPr>
        <w:t>=c(0,max(</w:t>
      </w:r>
      <w:proofErr w:type="spellStart"/>
      <w:r w:rsidRPr="0051032A">
        <w:rPr>
          <w:rFonts w:eastAsia="SimSun"/>
        </w:rPr>
        <w:t>N_total_y</w:t>
      </w:r>
      <w:proofErr w:type="spellEnd"/>
      <w:r w:rsidRPr="0051032A">
        <w:rPr>
          <w:rFonts w:eastAsia="SimSun"/>
        </w:rPr>
        <w:t>[t,],na.rm=TRUE)))</w:t>
      </w:r>
    </w:p>
    <w:p w14:paraId="035A4083" w14:textId="77777777" w:rsidR="00260B6D" w:rsidRPr="0051032A" w:rsidRDefault="00260B6D" w:rsidP="0051032A">
      <w:pPr>
        <w:rPr>
          <w:rFonts w:eastAsia="SimSun"/>
        </w:rPr>
      </w:pPr>
      <w:r w:rsidRPr="0051032A">
        <w:rPr>
          <w:rFonts w:eastAsia="SimSun"/>
        </w:rPr>
        <w:t>#   # #</w:t>
      </w:r>
    </w:p>
    <w:p w14:paraId="3869A387" w14:textId="77777777" w:rsidR="00260B6D" w:rsidRPr="0051032A" w:rsidRDefault="00260B6D" w:rsidP="0051032A">
      <w:pPr>
        <w:rPr>
          <w:rFonts w:eastAsia="SimSun"/>
        </w:rPr>
      </w:pPr>
      <w:r w:rsidRPr="0051032A">
        <w:rPr>
          <w:rFonts w:eastAsia="SimSun"/>
        </w:rPr>
        <w:t xml:space="preserve">#   # </w:t>
      </w:r>
    </w:p>
    <w:p w14:paraId="47B345E3" w14:textId="77777777" w:rsidR="00260B6D" w:rsidRPr="0051032A" w:rsidRDefault="00260B6D" w:rsidP="0051032A">
      <w:pPr>
        <w:rPr>
          <w:rFonts w:eastAsia="SimSun"/>
        </w:rPr>
      </w:pPr>
      <w:r w:rsidRPr="0051032A">
        <w:rPr>
          <w:rFonts w:eastAsia="SimSun"/>
        </w:rPr>
        <w:t>#   # HIV prevalence</w:t>
      </w:r>
    </w:p>
    <w:p w14:paraId="438CF91F" w14:textId="77777777" w:rsidR="00260B6D" w:rsidRPr="0051032A" w:rsidRDefault="00260B6D" w:rsidP="0051032A">
      <w:pPr>
        <w:rPr>
          <w:rFonts w:eastAsia="SimSun"/>
        </w:rPr>
      </w:pPr>
      <w:r w:rsidRPr="0051032A">
        <w:rPr>
          <w:rFonts w:eastAsia="SimSun"/>
        </w:rPr>
        <w:t>#   postscript("</w:t>
      </w:r>
      <w:proofErr w:type="spellStart"/>
      <w:r w:rsidRPr="0051032A">
        <w:rPr>
          <w:rFonts w:eastAsia="SimSun"/>
        </w:rPr>
        <w:t>HIV_prevalence.eps</w:t>
      </w:r>
      <w:proofErr w:type="spellEnd"/>
      <w:r w:rsidRPr="0051032A">
        <w:rPr>
          <w:rFonts w:eastAsia="SimSun"/>
        </w:rPr>
        <w:t>")</w:t>
      </w:r>
    </w:p>
    <w:p w14:paraId="123DE412" w14:textId="77777777" w:rsidR="00260B6D" w:rsidRPr="0051032A" w:rsidRDefault="00260B6D" w:rsidP="0051032A">
      <w:pPr>
        <w:rPr>
          <w:rFonts w:eastAsia="SimSun"/>
        </w:rPr>
      </w:pPr>
      <w:r w:rsidRPr="0051032A">
        <w:rPr>
          <w:rFonts w:eastAsia="SimSun"/>
        </w:rPr>
        <w:t xml:space="preserve">#   </w:t>
      </w:r>
      <w:proofErr w:type="gramStart"/>
      <w:r w:rsidRPr="0051032A">
        <w:rPr>
          <w:rFonts w:eastAsia="SimSun"/>
        </w:rPr>
        <w:t>plot(</w:t>
      </w:r>
      <w:proofErr w:type="gramEnd"/>
      <w:r w:rsidRPr="0051032A">
        <w:rPr>
          <w:rFonts w:eastAsia="SimSun"/>
        </w:rPr>
        <w:t>year, 100*</w:t>
      </w:r>
      <w:proofErr w:type="spellStart"/>
      <w:r w:rsidRPr="0051032A">
        <w:rPr>
          <w:rFonts w:eastAsia="SimSun"/>
        </w:rPr>
        <w:t>Prevalence_total_y</w:t>
      </w:r>
      <w:proofErr w:type="spellEnd"/>
      <w:r w:rsidRPr="0051032A">
        <w:rPr>
          <w:rFonts w:eastAsia="SimSun"/>
        </w:rPr>
        <w:t xml:space="preserve">[t,], type = "l", col="red", </w:t>
      </w:r>
      <w:proofErr w:type="spellStart"/>
      <w:r w:rsidRPr="0051032A">
        <w:rPr>
          <w:rFonts w:eastAsia="SimSun"/>
        </w:rPr>
        <w:t>xlab</w:t>
      </w:r>
      <w:proofErr w:type="spellEnd"/>
      <w:r w:rsidRPr="0051032A">
        <w:rPr>
          <w:rFonts w:eastAsia="SimSun"/>
        </w:rPr>
        <w:t xml:space="preserve"> = "Year", </w:t>
      </w:r>
      <w:proofErr w:type="spellStart"/>
      <w:r w:rsidRPr="0051032A">
        <w:rPr>
          <w:rFonts w:eastAsia="SimSun"/>
        </w:rPr>
        <w:t>ylab</w:t>
      </w:r>
      <w:proofErr w:type="spellEnd"/>
      <w:r w:rsidRPr="0051032A">
        <w:rPr>
          <w:rFonts w:eastAsia="SimSun"/>
        </w:rPr>
        <w:t xml:space="preserve"> = "Prevalence (%)", main = "Annual HIV prevalence - Overall", ylim=c(0,max(100*Prevalence_total_y[t,],Target_all$Prevalence_UB,na.rm=TRUE)))</w:t>
      </w:r>
    </w:p>
    <w:p w14:paraId="6B6336CA" w14:textId="77777777" w:rsidR="00260B6D" w:rsidRPr="0051032A" w:rsidRDefault="00260B6D" w:rsidP="0051032A">
      <w:pPr>
        <w:rPr>
          <w:rFonts w:eastAsia="SimSun"/>
        </w:rPr>
      </w:pPr>
      <w:r w:rsidRPr="0051032A">
        <w:rPr>
          <w:rFonts w:eastAsia="SimSun"/>
        </w:rPr>
        <w:t xml:space="preserve">#   </w:t>
      </w:r>
      <w:proofErr w:type="gramStart"/>
      <w:r w:rsidRPr="0051032A">
        <w:rPr>
          <w:rFonts w:eastAsia="SimSun"/>
        </w:rPr>
        <w:t>points(</w:t>
      </w:r>
      <w:proofErr w:type="spellStart"/>
      <w:proofErr w:type="gramEnd"/>
      <w:r w:rsidRPr="0051032A">
        <w:rPr>
          <w:rFonts w:eastAsia="SimSun"/>
        </w:rPr>
        <w:t>Target_all$Year</w:t>
      </w:r>
      <w:proofErr w:type="spellEnd"/>
      <w:r w:rsidRPr="0051032A">
        <w:rPr>
          <w:rFonts w:eastAsia="SimSun"/>
        </w:rPr>
        <w:t xml:space="preserve">, </w:t>
      </w:r>
      <w:proofErr w:type="spellStart"/>
      <w:r w:rsidRPr="0051032A">
        <w:rPr>
          <w:rFonts w:eastAsia="SimSun"/>
        </w:rPr>
        <w:t>Target_all$Prevalence</w:t>
      </w:r>
      <w:proofErr w:type="spellEnd"/>
      <w:r w:rsidRPr="0051032A">
        <w:rPr>
          <w:rFonts w:eastAsia="SimSun"/>
        </w:rPr>
        <w:t>)</w:t>
      </w:r>
    </w:p>
    <w:p w14:paraId="5839E2AF" w14:textId="77777777" w:rsidR="00260B6D" w:rsidRPr="0051032A" w:rsidRDefault="00260B6D" w:rsidP="0051032A">
      <w:pPr>
        <w:rPr>
          <w:rFonts w:eastAsia="SimSun"/>
        </w:rPr>
      </w:pPr>
      <w:r w:rsidRPr="0051032A">
        <w:rPr>
          <w:rFonts w:eastAsia="SimSun"/>
        </w:rPr>
        <w:t>#   arrows (x0=</w:t>
      </w:r>
      <w:proofErr w:type="spellStart"/>
      <w:r w:rsidRPr="0051032A">
        <w:rPr>
          <w:rFonts w:eastAsia="SimSun"/>
        </w:rPr>
        <w:t>Target_all$Year</w:t>
      </w:r>
      <w:proofErr w:type="spellEnd"/>
      <w:r w:rsidRPr="0051032A">
        <w:rPr>
          <w:rFonts w:eastAsia="SimSun"/>
        </w:rPr>
        <w:t>, y0=</w:t>
      </w:r>
      <w:proofErr w:type="spellStart"/>
      <w:r w:rsidRPr="0051032A">
        <w:rPr>
          <w:rFonts w:eastAsia="SimSun"/>
        </w:rPr>
        <w:t>Target_all$Prevalence_LB</w:t>
      </w:r>
      <w:proofErr w:type="spellEnd"/>
      <w:r w:rsidRPr="0051032A">
        <w:rPr>
          <w:rFonts w:eastAsia="SimSun"/>
        </w:rPr>
        <w:t>, x1=</w:t>
      </w:r>
      <w:proofErr w:type="spellStart"/>
      <w:r w:rsidRPr="0051032A">
        <w:rPr>
          <w:rFonts w:eastAsia="SimSun"/>
        </w:rPr>
        <w:t>Target_all$Year</w:t>
      </w:r>
      <w:proofErr w:type="spellEnd"/>
      <w:r w:rsidRPr="0051032A">
        <w:rPr>
          <w:rFonts w:eastAsia="SimSun"/>
        </w:rPr>
        <w:t>, y1=</w:t>
      </w:r>
      <w:proofErr w:type="spellStart"/>
      <w:r w:rsidRPr="0051032A">
        <w:rPr>
          <w:rFonts w:eastAsia="SimSun"/>
        </w:rPr>
        <w:t>Target_all$Prevalence_UB</w:t>
      </w:r>
      <w:proofErr w:type="spellEnd"/>
      <w:r w:rsidRPr="0051032A">
        <w:rPr>
          <w:rFonts w:eastAsia="SimSun"/>
        </w:rPr>
        <w:t>, code=3, angle=90, length=0.15, col="blue")</w:t>
      </w:r>
    </w:p>
    <w:p w14:paraId="3FBA44CB" w14:textId="77777777" w:rsidR="00260B6D" w:rsidRPr="0051032A" w:rsidRDefault="00260B6D" w:rsidP="0051032A">
      <w:pPr>
        <w:rPr>
          <w:rFonts w:eastAsia="SimSun"/>
        </w:rPr>
      </w:pPr>
      <w:r w:rsidRPr="0051032A">
        <w:rPr>
          <w:rFonts w:eastAsia="SimSun"/>
        </w:rPr>
        <w:t xml:space="preserve">#   </w:t>
      </w:r>
      <w:proofErr w:type="spellStart"/>
      <w:proofErr w:type="gramStart"/>
      <w:r w:rsidRPr="0051032A">
        <w:rPr>
          <w:rFonts w:eastAsia="SimSun"/>
        </w:rPr>
        <w:t>dev.off</w:t>
      </w:r>
      <w:proofErr w:type="spellEnd"/>
      <w:r w:rsidRPr="0051032A">
        <w:rPr>
          <w:rFonts w:eastAsia="SimSun"/>
        </w:rPr>
        <w:t>(</w:t>
      </w:r>
      <w:proofErr w:type="gramEnd"/>
      <w:r w:rsidRPr="0051032A">
        <w:rPr>
          <w:rFonts w:eastAsia="SimSun"/>
        </w:rPr>
        <w:t>)</w:t>
      </w:r>
    </w:p>
    <w:p w14:paraId="67EDE4D4" w14:textId="77777777" w:rsidR="00260B6D" w:rsidRPr="0051032A" w:rsidRDefault="00260B6D" w:rsidP="0051032A">
      <w:pPr>
        <w:rPr>
          <w:rFonts w:eastAsia="SimSun"/>
        </w:rPr>
      </w:pPr>
      <w:r w:rsidRPr="0051032A">
        <w:rPr>
          <w:rFonts w:eastAsia="SimSun"/>
        </w:rPr>
        <w:t xml:space="preserve">#   </w:t>
      </w:r>
    </w:p>
    <w:p w14:paraId="2C7084FD" w14:textId="77777777" w:rsidR="00260B6D" w:rsidRPr="0051032A" w:rsidRDefault="00260B6D" w:rsidP="0051032A">
      <w:pPr>
        <w:rPr>
          <w:rFonts w:eastAsia="SimSun"/>
        </w:rPr>
      </w:pPr>
      <w:r w:rsidRPr="0051032A">
        <w:rPr>
          <w:rFonts w:eastAsia="SimSun"/>
        </w:rPr>
        <w:t>#   # HIV incidence</w:t>
      </w:r>
    </w:p>
    <w:p w14:paraId="73AAADEE" w14:textId="77777777" w:rsidR="00260B6D" w:rsidRPr="0051032A" w:rsidRDefault="00260B6D" w:rsidP="0051032A">
      <w:pPr>
        <w:rPr>
          <w:rFonts w:eastAsia="SimSun"/>
        </w:rPr>
      </w:pPr>
      <w:r w:rsidRPr="0051032A">
        <w:rPr>
          <w:rFonts w:eastAsia="SimSun"/>
        </w:rPr>
        <w:t>#   postscript("</w:t>
      </w:r>
      <w:proofErr w:type="spellStart"/>
      <w:r w:rsidRPr="0051032A">
        <w:rPr>
          <w:rFonts w:eastAsia="SimSun"/>
        </w:rPr>
        <w:t>HIV_incidence.eps</w:t>
      </w:r>
      <w:proofErr w:type="spellEnd"/>
      <w:r w:rsidRPr="0051032A">
        <w:rPr>
          <w:rFonts w:eastAsia="SimSun"/>
        </w:rPr>
        <w:t>")</w:t>
      </w:r>
    </w:p>
    <w:p w14:paraId="75DF835C" w14:textId="77777777" w:rsidR="00260B6D" w:rsidRPr="0051032A" w:rsidRDefault="00260B6D" w:rsidP="0051032A">
      <w:pPr>
        <w:rPr>
          <w:rFonts w:eastAsia="SimSun"/>
        </w:rPr>
      </w:pPr>
      <w:r w:rsidRPr="0051032A">
        <w:rPr>
          <w:rFonts w:eastAsia="SimSun"/>
        </w:rPr>
        <w:t>#   plot(year,100*</w:t>
      </w:r>
      <w:proofErr w:type="spellStart"/>
      <w:r w:rsidRPr="0051032A">
        <w:rPr>
          <w:rFonts w:eastAsia="SimSun"/>
        </w:rPr>
        <w:t>Incidence_total_y</w:t>
      </w:r>
      <w:proofErr w:type="spellEnd"/>
      <w:r w:rsidRPr="0051032A">
        <w:rPr>
          <w:rFonts w:eastAsia="SimSun"/>
        </w:rPr>
        <w:t xml:space="preserve">[t,], type = "l", col="red", </w:t>
      </w:r>
      <w:proofErr w:type="spellStart"/>
      <w:r w:rsidRPr="0051032A">
        <w:rPr>
          <w:rFonts w:eastAsia="SimSun"/>
        </w:rPr>
        <w:t>xlab</w:t>
      </w:r>
      <w:proofErr w:type="spellEnd"/>
      <w:r w:rsidRPr="0051032A">
        <w:rPr>
          <w:rFonts w:eastAsia="SimSun"/>
        </w:rPr>
        <w:t xml:space="preserve"> = "Year", </w:t>
      </w:r>
      <w:proofErr w:type="spellStart"/>
      <w:r w:rsidRPr="0051032A">
        <w:rPr>
          <w:rFonts w:eastAsia="SimSun"/>
        </w:rPr>
        <w:t>ylab</w:t>
      </w:r>
      <w:proofErr w:type="spellEnd"/>
      <w:r w:rsidRPr="0051032A">
        <w:rPr>
          <w:rFonts w:eastAsia="SimSun"/>
        </w:rPr>
        <w:t xml:space="preserve"> = "Incidence (%)", main = "Annual HIV incidence - Overall", ylim=c(</w:t>
      </w:r>
      <w:proofErr w:type="gramStart"/>
      <w:r w:rsidRPr="0051032A">
        <w:rPr>
          <w:rFonts w:eastAsia="SimSun"/>
        </w:rPr>
        <w:t>0,max</w:t>
      </w:r>
      <w:proofErr w:type="gramEnd"/>
      <w:r w:rsidRPr="0051032A">
        <w:rPr>
          <w:rFonts w:eastAsia="SimSun"/>
        </w:rPr>
        <w:t>(100*Incidence_total_y[t,],Target_all$Incidence,Target_all$Incidence_UP,na.rm=TRUE)))</w:t>
      </w:r>
    </w:p>
    <w:p w14:paraId="1ABF6306" w14:textId="77777777" w:rsidR="00260B6D" w:rsidRPr="0051032A" w:rsidRDefault="00260B6D" w:rsidP="0051032A">
      <w:pPr>
        <w:rPr>
          <w:rFonts w:eastAsia="SimSun"/>
        </w:rPr>
      </w:pPr>
      <w:r w:rsidRPr="0051032A">
        <w:rPr>
          <w:rFonts w:eastAsia="SimSun"/>
        </w:rPr>
        <w:t xml:space="preserve">#   </w:t>
      </w:r>
      <w:proofErr w:type="gramStart"/>
      <w:r w:rsidRPr="0051032A">
        <w:rPr>
          <w:rFonts w:eastAsia="SimSun"/>
        </w:rPr>
        <w:t>points(</w:t>
      </w:r>
      <w:proofErr w:type="spellStart"/>
      <w:proofErr w:type="gramEnd"/>
      <w:r w:rsidRPr="0051032A">
        <w:rPr>
          <w:rFonts w:eastAsia="SimSun"/>
        </w:rPr>
        <w:t>Target_all$Year</w:t>
      </w:r>
      <w:proofErr w:type="spellEnd"/>
      <w:r w:rsidRPr="0051032A">
        <w:rPr>
          <w:rFonts w:eastAsia="SimSun"/>
        </w:rPr>
        <w:t xml:space="preserve">, </w:t>
      </w:r>
      <w:proofErr w:type="spellStart"/>
      <w:r w:rsidRPr="0051032A">
        <w:rPr>
          <w:rFonts w:eastAsia="SimSun"/>
        </w:rPr>
        <w:t>Target_all$Incidence</w:t>
      </w:r>
      <w:proofErr w:type="spellEnd"/>
      <w:r w:rsidRPr="0051032A">
        <w:rPr>
          <w:rFonts w:eastAsia="SimSun"/>
        </w:rPr>
        <w:t>)</w:t>
      </w:r>
    </w:p>
    <w:p w14:paraId="3B46A7BC" w14:textId="77777777" w:rsidR="00260B6D" w:rsidRPr="0051032A" w:rsidRDefault="00260B6D" w:rsidP="0051032A">
      <w:pPr>
        <w:rPr>
          <w:rFonts w:eastAsia="SimSun"/>
        </w:rPr>
      </w:pPr>
      <w:r w:rsidRPr="0051032A">
        <w:rPr>
          <w:rFonts w:eastAsia="SimSun"/>
        </w:rPr>
        <w:t>#   arrows (x0=</w:t>
      </w:r>
      <w:proofErr w:type="spellStart"/>
      <w:r w:rsidRPr="0051032A">
        <w:rPr>
          <w:rFonts w:eastAsia="SimSun"/>
        </w:rPr>
        <w:t>Target_all$Year</w:t>
      </w:r>
      <w:proofErr w:type="spellEnd"/>
      <w:r w:rsidRPr="0051032A">
        <w:rPr>
          <w:rFonts w:eastAsia="SimSun"/>
        </w:rPr>
        <w:t>, y0=</w:t>
      </w:r>
      <w:proofErr w:type="spellStart"/>
      <w:r w:rsidRPr="0051032A">
        <w:rPr>
          <w:rFonts w:eastAsia="SimSun"/>
        </w:rPr>
        <w:t>Target_all$Incidence_LB</w:t>
      </w:r>
      <w:proofErr w:type="spellEnd"/>
      <w:r w:rsidRPr="0051032A">
        <w:rPr>
          <w:rFonts w:eastAsia="SimSun"/>
        </w:rPr>
        <w:t>, x1=</w:t>
      </w:r>
      <w:proofErr w:type="spellStart"/>
      <w:r w:rsidRPr="0051032A">
        <w:rPr>
          <w:rFonts w:eastAsia="SimSun"/>
        </w:rPr>
        <w:t>Target_all$Year</w:t>
      </w:r>
      <w:proofErr w:type="spellEnd"/>
      <w:r w:rsidRPr="0051032A">
        <w:rPr>
          <w:rFonts w:eastAsia="SimSun"/>
        </w:rPr>
        <w:t>, y1=</w:t>
      </w:r>
      <w:proofErr w:type="spellStart"/>
      <w:r w:rsidRPr="0051032A">
        <w:rPr>
          <w:rFonts w:eastAsia="SimSun"/>
        </w:rPr>
        <w:t>Target_all$Incidence_UP</w:t>
      </w:r>
      <w:proofErr w:type="spellEnd"/>
      <w:r w:rsidRPr="0051032A">
        <w:rPr>
          <w:rFonts w:eastAsia="SimSun"/>
        </w:rPr>
        <w:t>, code=3, angle=90, length=0.15, col="blue")</w:t>
      </w:r>
    </w:p>
    <w:p w14:paraId="209DA6DF" w14:textId="77777777" w:rsidR="00260B6D" w:rsidRPr="0051032A" w:rsidRDefault="00260B6D" w:rsidP="0051032A">
      <w:pPr>
        <w:rPr>
          <w:rFonts w:eastAsia="SimSun"/>
        </w:rPr>
      </w:pPr>
      <w:r w:rsidRPr="0051032A">
        <w:rPr>
          <w:rFonts w:eastAsia="SimSun"/>
        </w:rPr>
        <w:t xml:space="preserve">#   </w:t>
      </w:r>
      <w:proofErr w:type="spellStart"/>
      <w:proofErr w:type="gramStart"/>
      <w:r w:rsidRPr="0051032A">
        <w:rPr>
          <w:rFonts w:eastAsia="SimSun"/>
        </w:rPr>
        <w:t>dev.off</w:t>
      </w:r>
      <w:proofErr w:type="spellEnd"/>
      <w:r w:rsidRPr="0051032A">
        <w:rPr>
          <w:rFonts w:eastAsia="SimSun"/>
        </w:rPr>
        <w:t>(</w:t>
      </w:r>
      <w:proofErr w:type="gramEnd"/>
      <w:r w:rsidRPr="0051032A">
        <w:rPr>
          <w:rFonts w:eastAsia="SimSun"/>
        </w:rPr>
        <w:t>)</w:t>
      </w:r>
    </w:p>
    <w:p w14:paraId="5B178F1A" w14:textId="77777777" w:rsidR="00260B6D" w:rsidRPr="0051032A" w:rsidRDefault="00260B6D" w:rsidP="0051032A">
      <w:pPr>
        <w:rPr>
          <w:rFonts w:eastAsia="SimSun"/>
        </w:rPr>
      </w:pPr>
      <w:r w:rsidRPr="0051032A">
        <w:rPr>
          <w:rFonts w:eastAsia="SimSun"/>
        </w:rPr>
        <w:t xml:space="preserve">#   </w:t>
      </w:r>
    </w:p>
    <w:p w14:paraId="31D9CD56" w14:textId="77777777" w:rsidR="00260B6D" w:rsidRPr="0051032A" w:rsidRDefault="00260B6D" w:rsidP="0051032A">
      <w:pPr>
        <w:rPr>
          <w:rFonts w:eastAsia="SimSun"/>
        </w:rPr>
      </w:pPr>
      <w:r w:rsidRPr="0051032A">
        <w:rPr>
          <w:rFonts w:eastAsia="SimSun"/>
        </w:rPr>
        <w:t>#   # Annual number of individuals on ART</w:t>
      </w:r>
    </w:p>
    <w:p w14:paraId="0BA71D82" w14:textId="77777777" w:rsidR="00260B6D" w:rsidRPr="0051032A" w:rsidRDefault="00260B6D" w:rsidP="0051032A">
      <w:pPr>
        <w:rPr>
          <w:rFonts w:eastAsia="SimSun"/>
        </w:rPr>
      </w:pPr>
      <w:r w:rsidRPr="0051032A">
        <w:rPr>
          <w:rFonts w:eastAsia="SimSun"/>
        </w:rPr>
        <w:t xml:space="preserve">#   </w:t>
      </w:r>
      <w:proofErr w:type="gramStart"/>
      <w:r w:rsidRPr="0051032A">
        <w:rPr>
          <w:rFonts w:eastAsia="SimSun"/>
        </w:rPr>
        <w:t>postscript(</w:t>
      </w:r>
      <w:proofErr w:type="gramEnd"/>
      <w:r w:rsidRPr="0051032A">
        <w:rPr>
          <w:rFonts w:eastAsia="SimSun"/>
        </w:rPr>
        <w:t>"</w:t>
      </w:r>
      <w:proofErr w:type="spellStart"/>
      <w:r w:rsidRPr="0051032A">
        <w:rPr>
          <w:rFonts w:eastAsia="SimSun"/>
        </w:rPr>
        <w:t>HIV_number</w:t>
      </w:r>
      <w:proofErr w:type="spellEnd"/>
      <w:r w:rsidRPr="0051032A">
        <w:rPr>
          <w:rFonts w:eastAsia="SimSun"/>
        </w:rPr>
        <w:t xml:space="preserve"> on </w:t>
      </w:r>
      <w:proofErr w:type="spellStart"/>
      <w:r w:rsidRPr="0051032A">
        <w:rPr>
          <w:rFonts w:eastAsia="SimSun"/>
        </w:rPr>
        <w:t>ART.eps</w:t>
      </w:r>
      <w:proofErr w:type="spellEnd"/>
      <w:r w:rsidRPr="0051032A">
        <w:rPr>
          <w:rFonts w:eastAsia="SimSun"/>
        </w:rPr>
        <w:t>")</w:t>
      </w:r>
    </w:p>
    <w:p w14:paraId="2523BFB9" w14:textId="77777777" w:rsidR="00260B6D" w:rsidRPr="0051032A" w:rsidRDefault="00260B6D" w:rsidP="0051032A">
      <w:pPr>
        <w:rPr>
          <w:rFonts w:eastAsia="SimSun"/>
        </w:rPr>
      </w:pPr>
      <w:r w:rsidRPr="0051032A">
        <w:rPr>
          <w:rFonts w:eastAsia="SimSun"/>
        </w:rPr>
        <w:t>#   plot(</w:t>
      </w:r>
      <w:proofErr w:type="spellStart"/>
      <w:proofErr w:type="gramStart"/>
      <w:r w:rsidRPr="0051032A">
        <w:rPr>
          <w:rFonts w:eastAsia="SimSun"/>
        </w:rPr>
        <w:t>year,On</w:t>
      </w:r>
      <w:proofErr w:type="gramEnd"/>
      <w:r w:rsidRPr="0051032A">
        <w:rPr>
          <w:rFonts w:eastAsia="SimSun"/>
        </w:rPr>
        <w:t>_ART_total_ny</w:t>
      </w:r>
      <w:proofErr w:type="spellEnd"/>
      <w:r w:rsidRPr="0051032A">
        <w:rPr>
          <w:rFonts w:eastAsia="SimSun"/>
        </w:rPr>
        <w:t xml:space="preserve">[t,], type = "l", col="red", </w:t>
      </w:r>
      <w:proofErr w:type="spellStart"/>
      <w:r w:rsidRPr="0051032A">
        <w:rPr>
          <w:rFonts w:eastAsia="SimSun"/>
        </w:rPr>
        <w:t>xlab</w:t>
      </w:r>
      <w:proofErr w:type="spellEnd"/>
      <w:r w:rsidRPr="0051032A">
        <w:rPr>
          <w:rFonts w:eastAsia="SimSun"/>
        </w:rPr>
        <w:t xml:space="preserve"> = "Year", </w:t>
      </w:r>
      <w:proofErr w:type="spellStart"/>
      <w:r w:rsidRPr="0051032A">
        <w:rPr>
          <w:rFonts w:eastAsia="SimSun"/>
        </w:rPr>
        <w:t>ylab</w:t>
      </w:r>
      <w:proofErr w:type="spellEnd"/>
      <w:r w:rsidRPr="0051032A">
        <w:rPr>
          <w:rFonts w:eastAsia="SimSun"/>
        </w:rPr>
        <w:t xml:space="preserve"> = "Number of individuals on ART", main = "Number of people on ART - Overall", ylim=c(0,max(On_ART_total_ny[t,],Target_all$N_onART,na.rm=TRUE)))</w:t>
      </w:r>
    </w:p>
    <w:p w14:paraId="677ED839" w14:textId="77777777" w:rsidR="00260B6D" w:rsidRPr="0051032A" w:rsidRDefault="00260B6D" w:rsidP="0051032A">
      <w:pPr>
        <w:rPr>
          <w:rFonts w:eastAsia="SimSun"/>
        </w:rPr>
      </w:pPr>
      <w:r w:rsidRPr="0051032A">
        <w:rPr>
          <w:rFonts w:eastAsia="SimSun"/>
        </w:rPr>
        <w:t xml:space="preserve">#   </w:t>
      </w:r>
      <w:proofErr w:type="gramStart"/>
      <w:r w:rsidRPr="0051032A">
        <w:rPr>
          <w:rFonts w:eastAsia="SimSun"/>
        </w:rPr>
        <w:t>points(</w:t>
      </w:r>
      <w:proofErr w:type="spellStart"/>
      <w:proofErr w:type="gramEnd"/>
      <w:r w:rsidRPr="0051032A">
        <w:rPr>
          <w:rFonts w:eastAsia="SimSun"/>
        </w:rPr>
        <w:t>Target_all$Year</w:t>
      </w:r>
      <w:proofErr w:type="spellEnd"/>
      <w:r w:rsidRPr="0051032A">
        <w:rPr>
          <w:rFonts w:eastAsia="SimSun"/>
        </w:rPr>
        <w:t xml:space="preserve">, </w:t>
      </w:r>
      <w:proofErr w:type="spellStart"/>
      <w:r w:rsidRPr="0051032A">
        <w:rPr>
          <w:rFonts w:eastAsia="SimSun"/>
        </w:rPr>
        <w:t>Target_all$N_onART</w:t>
      </w:r>
      <w:proofErr w:type="spellEnd"/>
      <w:r w:rsidRPr="0051032A">
        <w:rPr>
          <w:rFonts w:eastAsia="SimSun"/>
        </w:rPr>
        <w:t>)</w:t>
      </w:r>
    </w:p>
    <w:p w14:paraId="0839EF82" w14:textId="77777777" w:rsidR="00260B6D" w:rsidRPr="0051032A" w:rsidRDefault="00260B6D" w:rsidP="0051032A">
      <w:pPr>
        <w:rPr>
          <w:rFonts w:eastAsia="SimSun"/>
        </w:rPr>
      </w:pPr>
      <w:r w:rsidRPr="0051032A">
        <w:rPr>
          <w:rFonts w:eastAsia="SimSun"/>
        </w:rPr>
        <w:lastRenderedPageBreak/>
        <w:t>#   # arrows (x0=</w:t>
      </w:r>
      <w:proofErr w:type="spellStart"/>
      <w:r w:rsidRPr="0051032A">
        <w:rPr>
          <w:rFonts w:eastAsia="SimSun"/>
        </w:rPr>
        <w:t>Target_all$Year</w:t>
      </w:r>
      <w:proofErr w:type="spellEnd"/>
      <w:r w:rsidRPr="0051032A">
        <w:rPr>
          <w:rFonts w:eastAsia="SimSun"/>
        </w:rPr>
        <w:t>, y0=</w:t>
      </w:r>
      <w:proofErr w:type="spellStart"/>
      <w:r w:rsidRPr="0051032A">
        <w:rPr>
          <w:rFonts w:eastAsia="SimSun"/>
        </w:rPr>
        <w:t>Target_all$OnART_LB</w:t>
      </w:r>
      <w:proofErr w:type="spellEnd"/>
      <w:r w:rsidRPr="0051032A">
        <w:rPr>
          <w:rFonts w:eastAsia="SimSun"/>
        </w:rPr>
        <w:t>, x1=</w:t>
      </w:r>
      <w:proofErr w:type="spellStart"/>
      <w:r w:rsidRPr="0051032A">
        <w:rPr>
          <w:rFonts w:eastAsia="SimSun"/>
        </w:rPr>
        <w:t>Target_all$Year</w:t>
      </w:r>
      <w:proofErr w:type="spellEnd"/>
      <w:r w:rsidRPr="0051032A">
        <w:rPr>
          <w:rFonts w:eastAsia="SimSun"/>
        </w:rPr>
        <w:t>, y1=</w:t>
      </w:r>
      <w:proofErr w:type="spellStart"/>
      <w:r w:rsidRPr="0051032A">
        <w:rPr>
          <w:rFonts w:eastAsia="SimSun"/>
        </w:rPr>
        <w:t>Target_all$OnART_UB</w:t>
      </w:r>
      <w:proofErr w:type="spellEnd"/>
      <w:r w:rsidRPr="0051032A">
        <w:rPr>
          <w:rFonts w:eastAsia="SimSun"/>
        </w:rPr>
        <w:t>, code=3, angle=90, length=0.15, col="blue")</w:t>
      </w:r>
    </w:p>
    <w:p w14:paraId="31A5F7D0" w14:textId="77777777" w:rsidR="00260B6D" w:rsidRPr="0051032A" w:rsidRDefault="00260B6D" w:rsidP="0051032A">
      <w:pPr>
        <w:rPr>
          <w:rFonts w:eastAsia="SimSun"/>
        </w:rPr>
      </w:pPr>
      <w:r w:rsidRPr="0051032A">
        <w:rPr>
          <w:rFonts w:eastAsia="SimSun"/>
        </w:rPr>
        <w:t xml:space="preserve">#   </w:t>
      </w:r>
      <w:proofErr w:type="spellStart"/>
      <w:proofErr w:type="gramStart"/>
      <w:r w:rsidRPr="0051032A">
        <w:rPr>
          <w:rFonts w:eastAsia="SimSun"/>
        </w:rPr>
        <w:t>dev.off</w:t>
      </w:r>
      <w:proofErr w:type="spellEnd"/>
      <w:r w:rsidRPr="0051032A">
        <w:rPr>
          <w:rFonts w:eastAsia="SimSun"/>
        </w:rPr>
        <w:t>(</w:t>
      </w:r>
      <w:proofErr w:type="gramEnd"/>
      <w:r w:rsidRPr="0051032A">
        <w:rPr>
          <w:rFonts w:eastAsia="SimSun"/>
        </w:rPr>
        <w:t>)</w:t>
      </w:r>
    </w:p>
    <w:p w14:paraId="4720B922" w14:textId="77777777" w:rsidR="00260B6D" w:rsidRPr="0051032A" w:rsidRDefault="00260B6D" w:rsidP="0051032A">
      <w:pPr>
        <w:rPr>
          <w:rFonts w:eastAsia="SimSun"/>
        </w:rPr>
      </w:pPr>
      <w:r w:rsidRPr="0051032A">
        <w:rPr>
          <w:rFonts w:eastAsia="SimSun"/>
        </w:rPr>
        <w:t xml:space="preserve">#   </w:t>
      </w:r>
    </w:p>
    <w:p w14:paraId="4D6B2DA2" w14:textId="77777777" w:rsidR="00260B6D" w:rsidRPr="0051032A" w:rsidRDefault="00260B6D" w:rsidP="0051032A">
      <w:pPr>
        <w:rPr>
          <w:rFonts w:eastAsia="SimSun"/>
        </w:rPr>
      </w:pPr>
      <w:r w:rsidRPr="0051032A">
        <w:rPr>
          <w:rFonts w:eastAsia="SimSun"/>
        </w:rPr>
        <w:t xml:space="preserve">#   # Annual proportion of individuals on ART </w:t>
      </w:r>
    </w:p>
    <w:p w14:paraId="23C2895A" w14:textId="77777777" w:rsidR="00260B6D" w:rsidRPr="0051032A" w:rsidRDefault="00260B6D" w:rsidP="0051032A">
      <w:pPr>
        <w:rPr>
          <w:rFonts w:eastAsia="SimSun"/>
        </w:rPr>
      </w:pPr>
      <w:r w:rsidRPr="0051032A">
        <w:rPr>
          <w:rFonts w:eastAsia="SimSun"/>
        </w:rPr>
        <w:t xml:space="preserve">#   </w:t>
      </w:r>
      <w:proofErr w:type="gramStart"/>
      <w:r w:rsidRPr="0051032A">
        <w:rPr>
          <w:rFonts w:eastAsia="SimSun"/>
        </w:rPr>
        <w:t>postscript(</w:t>
      </w:r>
      <w:proofErr w:type="gramEnd"/>
      <w:r w:rsidRPr="0051032A">
        <w:rPr>
          <w:rFonts w:eastAsia="SimSun"/>
        </w:rPr>
        <w:t>"</w:t>
      </w:r>
      <w:proofErr w:type="spellStart"/>
      <w:r w:rsidRPr="0051032A">
        <w:rPr>
          <w:rFonts w:eastAsia="SimSun"/>
        </w:rPr>
        <w:t>HIV_percent</w:t>
      </w:r>
      <w:proofErr w:type="spellEnd"/>
      <w:r w:rsidRPr="0051032A">
        <w:rPr>
          <w:rFonts w:eastAsia="SimSun"/>
        </w:rPr>
        <w:t xml:space="preserve"> on </w:t>
      </w:r>
      <w:proofErr w:type="spellStart"/>
      <w:r w:rsidRPr="0051032A">
        <w:rPr>
          <w:rFonts w:eastAsia="SimSun"/>
        </w:rPr>
        <w:t>ART.eps</w:t>
      </w:r>
      <w:proofErr w:type="spellEnd"/>
      <w:r w:rsidRPr="0051032A">
        <w:rPr>
          <w:rFonts w:eastAsia="SimSun"/>
        </w:rPr>
        <w:t>")</w:t>
      </w:r>
    </w:p>
    <w:p w14:paraId="791C11F1" w14:textId="77777777" w:rsidR="00260B6D" w:rsidRPr="0051032A" w:rsidRDefault="00260B6D" w:rsidP="0051032A">
      <w:pPr>
        <w:rPr>
          <w:rFonts w:eastAsia="SimSun"/>
        </w:rPr>
      </w:pPr>
      <w:r w:rsidRPr="0051032A">
        <w:rPr>
          <w:rFonts w:eastAsia="SimSun"/>
        </w:rPr>
        <w:t>#   plot(year,100*</w:t>
      </w:r>
      <w:proofErr w:type="spellStart"/>
      <w:r w:rsidRPr="0051032A">
        <w:rPr>
          <w:rFonts w:eastAsia="SimSun"/>
        </w:rPr>
        <w:t>On_ART_total_y</w:t>
      </w:r>
      <w:proofErr w:type="spellEnd"/>
      <w:r w:rsidRPr="0051032A">
        <w:rPr>
          <w:rFonts w:eastAsia="SimSun"/>
        </w:rPr>
        <w:t xml:space="preserve">[t,], type = "l", col="red", </w:t>
      </w:r>
      <w:proofErr w:type="spellStart"/>
      <w:r w:rsidRPr="0051032A">
        <w:rPr>
          <w:rFonts w:eastAsia="SimSun"/>
        </w:rPr>
        <w:t>xlab</w:t>
      </w:r>
      <w:proofErr w:type="spellEnd"/>
      <w:r w:rsidRPr="0051032A">
        <w:rPr>
          <w:rFonts w:eastAsia="SimSun"/>
        </w:rPr>
        <w:t xml:space="preserve"> = "Year", </w:t>
      </w:r>
      <w:proofErr w:type="spellStart"/>
      <w:r w:rsidRPr="0051032A">
        <w:rPr>
          <w:rFonts w:eastAsia="SimSun"/>
        </w:rPr>
        <w:t>ylab</w:t>
      </w:r>
      <w:proofErr w:type="spellEnd"/>
      <w:r w:rsidRPr="0051032A">
        <w:rPr>
          <w:rFonts w:eastAsia="SimSun"/>
        </w:rPr>
        <w:t xml:space="preserve"> = "Proportion of individuals on ART (%)", main = "Annual percent on ART - Overall", ylim=c(</w:t>
      </w:r>
      <w:proofErr w:type="gramStart"/>
      <w:r w:rsidRPr="0051032A">
        <w:rPr>
          <w:rFonts w:eastAsia="SimSun"/>
        </w:rPr>
        <w:t>0,max</w:t>
      </w:r>
      <w:proofErr w:type="gramEnd"/>
      <w:r w:rsidRPr="0051032A">
        <w:rPr>
          <w:rFonts w:eastAsia="SimSun"/>
        </w:rPr>
        <w:t>(100*On_ART_total_y[t,],Target_all$OnART,Target_all$OnART_UB,na.rm=TRUE)))</w:t>
      </w:r>
    </w:p>
    <w:p w14:paraId="44E938FF" w14:textId="77777777" w:rsidR="00260B6D" w:rsidRPr="0051032A" w:rsidRDefault="00260B6D" w:rsidP="0051032A">
      <w:pPr>
        <w:rPr>
          <w:rFonts w:eastAsia="SimSun"/>
        </w:rPr>
      </w:pPr>
      <w:r w:rsidRPr="0051032A">
        <w:rPr>
          <w:rFonts w:eastAsia="SimSun"/>
        </w:rPr>
        <w:t xml:space="preserve">#   </w:t>
      </w:r>
      <w:proofErr w:type="gramStart"/>
      <w:r w:rsidRPr="0051032A">
        <w:rPr>
          <w:rFonts w:eastAsia="SimSun"/>
        </w:rPr>
        <w:t>points(</w:t>
      </w:r>
      <w:proofErr w:type="spellStart"/>
      <w:proofErr w:type="gramEnd"/>
      <w:r w:rsidRPr="0051032A">
        <w:rPr>
          <w:rFonts w:eastAsia="SimSun"/>
        </w:rPr>
        <w:t>Target_all$Year</w:t>
      </w:r>
      <w:proofErr w:type="spellEnd"/>
      <w:r w:rsidRPr="0051032A">
        <w:rPr>
          <w:rFonts w:eastAsia="SimSun"/>
        </w:rPr>
        <w:t xml:space="preserve">, </w:t>
      </w:r>
      <w:proofErr w:type="spellStart"/>
      <w:r w:rsidRPr="0051032A">
        <w:rPr>
          <w:rFonts w:eastAsia="SimSun"/>
        </w:rPr>
        <w:t>Target_all$OnART</w:t>
      </w:r>
      <w:proofErr w:type="spellEnd"/>
      <w:r w:rsidRPr="0051032A">
        <w:rPr>
          <w:rFonts w:eastAsia="SimSun"/>
        </w:rPr>
        <w:t>)</w:t>
      </w:r>
    </w:p>
    <w:p w14:paraId="423C5E96" w14:textId="77777777" w:rsidR="00260B6D" w:rsidRPr="0051032A" w:rsidRDefault="00260B6D" w:rsidP="0051032A">
      <w:pPr>
        <w:rPr>
          <w:rFonts w:eastAsia="SimSun"/>
        </w:rPr>
      </w:pPr>
      <w:r w:rsidRPr="0051032A">
        <w:rPr>
          <w:rFonts w:eastAsia="SimSun"/>
        </w:rPr>
        <w:t>#   arrows (x0=</w:t>
      </w:r>
      <w:proofErr w:type="spellStart"/>
      <w:r w:rsidRPr="0051032A">
        <w:rPr>
          <w:rFonts w:eastAsia="SimSun"/>
        </w:rPr>
        <w:t>Target_all$Year</w:t>
      </w:r>
      <w:proofErr w:type="spellEnd"/>
      <w:r w:rsidRPr="0051032A">
        <w:rPr>
          <w:rFonts w:eastAsia="SimSun"/>
        </w:rPr>
        <w:t>, y0=</w:t>
      </w:r>
      <w:proofErr w:type="spellStart"/>
      <w:r w:rsidRPr="0051032A">
        <w:rPr>
          <w:rFonts w:eastAsia="SimSun"/>
        </w:rPr>
        <w:t>Target_all$OnART_LB</w:t>
      </w:r>
      <w:proofErr w:type="spellEnd"/>
      <w:r w:rsidRPr="0051032A">
        <w:rPr>
          <w:rFonts w:eastAsia="SimSun"/>
        </w:rPr>
        <w:t>, x1=</w:t>
      </w:r>
      <w:proofErr w:type="spellStart"/>
      <w:r w:rsidRPr="0051032A">
        <w:rPr>
          <w:rFonts w:eastAsia="SimSun"/>
        </w:rPr>
        <w:t>Target_all$Year</w:t>
      </w:r>
      <w:proofErr w:type="spellEnd"/>
      <w:r w:rsidRPr="0051032A">
        <w:rPr>
          <w:rFonts w:eastAsia="SimSun"/>
        </w:rPr>
        <w:t>, y1=</w:t>
      </w:r>
      <w:proofErr w:type="spellStart"/>
      <w:r w:rsidRPr="0051032A">
        <w:rPr>
          <w:rFonts w:eastAsia="SimSun"/>
        </w:rPr>
        <w:t>Target_all$OnART_UB</w:t>
      </w:r>
      <w:proofErr w:type="spellEnd"/>
      <w:r w:rsidRPr="0051032A">
        <w:rPr>
          <w:rFonts w:eastAsia="SimSun"/>
        </w:rPr>
        <w:t>, code=3, angle=90, length=0.15, col="blue")</w:t>
      </w:r>
    </w:p>
    <w:p w14:paraId="21057311" w14:textId="77777777" w:rsidR="00260B6D" w:rsidRPr="0051032A" w:rsidRDefault="00260B6D" w:rsidP="0051032A">
      <w:pPr>
        <w:rPr>
          <w:rFonts w:eastAsia="SimSun"/>
        </w:rPr>
      </w:pPr>
      <w:r w:rsidRPr="0051032A">
        <w:rPr>
          <w:rFonts w:eastAsia="SimSun"/>
        </w:rPr>
        <w:t xml:space="preserve">#   </w:t>
      </w:r>
      <w:proofErr w:type="spellStart"/>
      <w:proofErr w:type="gramStart"/>
      <w:r w:rsidRPr="0051032A">
        <w:rPr>
          <w:rFonts w:eastAsia="SimSun"/>
        </w:rPr>
        <w:t>dev.off</w:t>
      </w:r>
      <w:proofErr w:type="spellEnd"/>
      <w:r w:rsidRPr="0051032A">
        <w:rPr>
          <w:rFonts w:eastAsia="SimSun"/>
        </w:rPr>
        <w:t>(</w:t>
      </w:r>
      <w:proofErr w:type="gramEnd"/>
      <w:r w:rsidRPr="0051032A">
        <w:rPr>
          <w:rFonts w:eastAsia="SimSun"/>
        </w:rPr>
        <w:t>)</w:t>
      </w:r>
    </w:p>
    <w:p w14:paraId="691C0D18" w14:textId="77777777" w:rsidR="00260B6D" w:rsidRPr="0051032A" w:rsidRDefault="00260B6D" w:rsidP="0051032A">
      <w:pPr>
        <w:rPr>
          <w:rFonts w:eastAsia="SimSun"/>
        </w:rPr>
      </w:pPr>
      <w:r w:rsidRPr="0051032A">
        <w:rPr>
          <w:rFonts w:eastAsia="SimSun"/>
        </w:rPr>
        <w:t xml:space="preserve">#   </w:t>
      </w:r>
    </w:p>
    <w:p w14:paraId="742F3B37" w14:textId="77777777" w:rsidR="00260B6D" w:rsidRPr="0051032A" w:rsidRDefault="00260B6D" w:rsidP="0051032A">
      <w:pPr>
        <w:rPr>
          <w:rFonts w:eastAsia="SimSun"/>
        </w:rPr>
      </w:pPr>
      <w:r w:rsidRPr="0051032A">
        <w:rPr>
          <w:rFonts w:eastAsia="SimSun"/>
        </w:rPr>
        <w:t xml:space="preserve">#   # Annual proportion of individuals virally suppressed regardless of known HIV status or on treatment. </w:t>
      </w:r>
    </w:p>
    <w:p w14:paraId="52FFA397" w14:textId="77777777" w:rsidR="00260B6D" w:rsidRPr="0051032A" w:rsidRDefault="00260B6D" w:rsidP="0051032A">
      <w:pPr>
        <w:rPr>
          <w:rFonts w:eastAsia="SimSun"/>
        </w:rPr>
      </w:pPr>
      <w:r w:rsidRPr="0051032A">
        <w:rPr>
          <w:rFonts w:eastAsia="SimSun"/>
        </w:rPr>
        <w:t xml:space="preserve">#   </w:t>
      </w:r>
      <w:proofErr w:type="gramStart"/>
      <w:r w:rsidRPr="0051032A">
        <w:rPr>
          <w:rFonts w:eastAsia="SimSun"/>
        </w:rPr>
        <w:t>postscript(</w:t>
      </w:r>
      <w:proofErr w:type="gramEnd"/>
      <w:r w:rsidRPr="0051032A">
        <w:rPr>
          <w:rFonts w:eastAsia="SimSun"/>
        </w:rPr>
        <w:t>"</w:t>
      </w:r>
      <w:proofErr w:type="spellStart"/>
      <w:r w:rsidRPr="0051032A">
        <w:rPr>
          <w:rFonts w:eastAsia="SimSun"/>
        </w:rPr>
        <w:t>HIV_percent</w:t>
      </w:r>
      <w:proofErr w:type="spellEnd"/>
      <w:r w:rsidRPr="0051032A">
        <w:rPr>
          <w:rFonts w:eastAsia="SimSun"/>
        </w:rPr>
        <w:t xml:space="preserve"> </w:t>
      </w:r>
      <w:proofErr w:type="spellStart"/>
      <w:r w:rsidRPr="0051032A">
        <w:rPr>
          <w:rFonts w:eastAsia="SimSun"/>
        </w:rPr>
        <w:t>suppressed.eps</w:t>
      </w:r>
      <w:proofErr w:type="spellEnd"/>
      <w:r w:rsidRPr="0051032A">
        <w:rPr>
          <w:rFonts w:eastAsia="SimSun"/>
        </w:rPr>
        <w:t>")</w:t>
      </w:r>
    </w:p>
    <w:p w14:paraId="3433C660" w14:textId="77777777" w:rsidR="00260B6D" w:rsidRPr="0051032A" w:rsidRDefault="00260B6D" w:rsidP="0051032A">
      <w:pPr>
        <w:rPr>
          <w:rFonts w:eastAsia="SimSun"/>
        </w:rPr>
      </w:pPr>
      <w:r w:rsidRPr="0051032A">
        <w:rPr>
          <w:rFonts w:eastAsia="SimSun"/>
        </w:rPr>
        <w:t>#   plot(year,100*</w:t>
      </w:r>
      <w:proofErr w:type="spellStart"/>
      <w:r w:rsidRPr="0051032A">
        <w:rPr>
          <w:rFonts w:eastAsia="SimSun"/>
        </w:rPr>
        <w:t>Suppressed_total_y</w:t>
      </w:r>
      <w:proofErr w:type="spellEnd"/>
      <w:r w:rsidRPr="0051032A">
        <w:rPr>
          <w:rFonts w:eastAsia="SimSun"/>
        </w:rPr>
        <w:t xml:space="preserve">[t,], type = "l", col="red", </w:t>
      </w:r>
      <w:proofErr w:type="spellStart"/>
      <w:r w:rsidRPr="0051032A">
        <w:rPr>
          <w:rFonts w:eastAsia="SimSun"/>
        </w:rPr>
        <w:t>xlab</w:t>
      </w:r>
      <w:proofErr w:type="spellEnd"/>
      <w:r w:rsidRPr="0051032A">
        <w:rPr>
          <w:rFonts w:eastAsia="SimSun"/>
        </w:rPr>
        <w:t xml:space="preserve"> = "Year", </w:t>
      </w:r>
      <w:proofErr w:type="spellStart"/>
      <w:r w:rsidRPr="0051032A">
        <w:rPr>
          <w:rFonts w:eastAsia="SimSun"/>
        </w:rPr>
        <w:t>ylab</w:t>
      </w:r>
      <w:proofErr w:type="spellEnd"/>
      <w:r w:rsidRPr="0051032A">
        <w:rPr>
          <w:rFonts w:eastAsia="SimSun"/>
        </w:rPr>
        <w:t xml:space="preserve"> = "Proportion of individuals viral suppressed (%)", main = "Annual percent viral suppressed - Overall", </w:t>
      </w:r>
      <w:proofErr w:type="spellStart"/>
      <w:r w:rsidRPr="0051032A">
        <w:rPr>
          <w:rFonts w:eastAsia="SimSun"/>
        </w:rPr>
        <w:t>ylim</w:t>
      </w:r>
      <w:proofErr w:type="spellEnd"/>
      <w:r w:rsidRPr="0051032A">
        <w:rPr>
          <w:rFonts w:eastAsia="SimSun"/>
        </w:rPr>
        <w:t>=c(</w:t>
      </w:r>
      <w:proofErr w:type="gramStart"/>
      <w:r w:rsidRPr="0051032A">
        <w:rPr>
          <w:rFonts w:eastAsia="SimSun"/>
        </w:rPr>
        <w:t>0,max</w:t>
      </w:r>
      <w:proofErr w:type="gramEnd"/>
      <w:r w:rsidRPr="0051032A">
        <w:rPr>
          <w:rFonts w:eastAsia="SimSun"/>
        </w:rPr>
        <w:t>(100*</w:t>
      </w:r>
      <w:proofErr w:type="spellStart"/>
      <w:r w:rsidRPr="0051032A">
        <w:rPr>
          <w:rFonts w:eastAsia="SimSun"/>
        </w:rPr>
        <w:t>Suppressed_total_y</w:t>
      </w:r>
      <w:proofErr w:type="spellEnd"/>
      <w:r w:rsidRPr="0051032A">
        <w:rPr>
          <w:rFonts w:eastAsia="SimSun"/>
        </w:rPr>
        <w:t>[t,], Target_all$Suppressed_UP,Target_all$Suppressed,na.rm=TRUE)))</w:t>
      </w:r>
    </w:p>
    <w:p w14:paraId="414E27A4" w14:textId="77777777" w:rsidR="00260B6D" w:rsidRPr="0051032A" w:rsidRDefault="00260B6D" w:rsidP="0051032A">
      <w:pPr>
        <w:rPr>
          <w:rFonts w:eastAsia="SimSun"/>
        </w:rPr>
      </w:pPr>
      <w:r w:rsidRPr="0051032A">
        <w:rPr>
          <w:rFonts w:eastAsia="SimSun"/>
        </w:rPr>
        <w:t xml:space="preserve">#   </w:t>
      </w:r>
      <w:proofErr w:type="gramStart"/>
      <w:r w:rsidRPr="0051032A">
        <w:rPr>
          <w:rFonts w:eastAsia="SimSun"/>
        </w:rPr>
        <w:t>points(</w:t>
      </w:r>
      <w:proofErr w:type="spellStart"/>
      <w:proofErr w:type="gramEnd"/>
      <w:r w:rsidRPr="0051032A">
        <w:rPr>
          <w:rFonts w:eastAsia="SimSun"/>
        </w:rPr>
        <w:t>Target_all$Year</w:t>
      </w:r>
      <w:proofErr w:type="spellEnd"/>
      <w:r w:rsidRPr="0051032A">
        <w:rPr>
          <w:rFonts w:eastAsia="SimSun"/>
        </w:rPr>
        <w:t xml:space="preserve">, </w:t>
      </w:r>
      <w:proofErr w:type="spellStart"/>
      <w:r w:rsidRPr="0051032A">
        <w:rPr>
          <w:rFonts w:eastAsia="SimSun"/>
        </w:rPr>
        <w:t>Target_all$Suppressed</w:t>
      </w:r>
      <w:proofErr w:type="spellEnd"/>
      <w:r w:rsidRPr="0051032A">
        <w:rPr>
          <w:rFonts w:eastAsia="SimSun"/>
        </w:rPr>
        <w:t>)</w:t>
      </w:r>
    </w:p>
    <w:p w14:paraId="6E53A574" w14:textId="77777777" w:rsidR="00260B6D" w:rsidRPr="0051032A" w:rsidRDefault="00260B6D" w:rsidP="0051032A">
      <w:pPr>
        <w:rPr>
          <w:rFonts w:eastAsia="SimSun"/>
        </w:rPr>
      </w:pPr>
      <w:r w:rsidRPr="0051032A">
        <w:rPr>
          <w:rFonts w:eastAsia="SimSun"/>
        </w:rPr>
        <w:t>#   arrows (x0=</w:t>
      </w:r>
      <w:proofErr w:type="spellStart"/>
      <w:r w:rsidRPr="0051032A">
        <w:rPr>
          <w:rFonts w:eastAsia="SimSun"/>
        </w:rPr>
        <w:t>Target_all$Year</w:t>
      </w:r>
      <w:proofErr w:type="spellEnd"/>
      <w:r w:rsidRPr="0051032A">
        <w:rPr>
          <w:rFonts w:eastAsia="SimSun"/>
        </w:rPr>
        <w:t>, y0=</w:t>
      </w:r>
      <w:proofErr w:type="spellStart"/>
      <w:r w:rsidRPr="0051032A">
        <w:rPr>
          <w:rFonts w:eastAsia="SimSun"/>
        </w:rPr>
        <w:t>Target_all$Suppressed_LB</w:t>
      </w:r>
      <w:proofErr w:type="spellEnd"/>
      <w:r w:rsidRPr="0051032A">
        <w:rPr>
          <w:rFonts w:eastAsia="SimSun"/>
        </w:rPr>
        <w:t>, x1=</w:t>
      </w:r>
      <w:proofErr w:type="spellStart"/>
      <w:r w:rsidRPr="0051032A">
        <w:rPr>
          <w:rFonts w:eastAsia="SimSun"/>
        </w:rPr>
        <w:t>Target_all$Year</w:t>
      </w:r>
      <w:proofErr w:type="spellEnd"/>
      <w:r w:rsidRPr="0051032A">
        <w:rPr>
          <w:rFonts w:eastAsia="SimSun"/>
        </w:rPr>
        <w:t>, y1=</w:t>
      </w:r>
      <w:proofErr w:type="spellStart"/>
      <w:r w:rsidRPr="0051032A">
        <w:rPr>
          <w:rFonts w:eastAsia="SimSun"/>
        </w:rPr>
        <w:t>Target_all$Suppressed_UP</w:t>
      </w:r>
      <w:proofErr w:type="spellEnd"/>
      <w:r w:rsidRPr="0051032A">
        <w:rPr>
          <w:rFonts w:eastAsia="SimSun"/>
        </w:rPr>
        <w:t>, code=3, angle=90, length=0.15, col="blue")</w:t>
      </w:r>
    </w:p>
    <w:p w14:paraId="19FF3C0B" w14:textId="77777777" w:rsidR="00260B6D" w:rsidRPr="0051032A" w:rsidRDefault="00260B6D" w:rsidP="0051032A">
      <w:pPr>
        <w:rPr>
          <w:rFonts w:eastAsia="SimSun"/>
        </w:rPr>
      </w:pPr>
      <w:r w:rsidRPr="0051032A">
        <w:rPr>
          <w:rFonts w:eastAsia="SimSun"/>
        </w:rPr>
        <w:t xml:space="preserve">#   </w:t>
      </w:r>
      <w:proofErr w:type="spellStart"/>
      <w:proofErr w:type="gramStart"/>
      <w:r w:rsidRPr="0051032A">
        <w:rPr>
          <w:rFonts w:eastAsia="SimSun"/>
        </w:rPr>
        <w:t>dev.off</w:t>
      </w:r>
      <w:proofErr w:type="spellEnd"/>
      <w:r w:rsidRPr="0051032A">
        <w:rPr>
          <w:rFonts w:eastAsia="SimSun"/>
        </w:rPr>
        <w:t>(</w:t>
      </w:r>
      <w:proofErr w:type="gramEnd"/>
      <w:r w:rsidRPr="0051032A">
        <w:rPr>
          <w:rFonts w:eastAsia="SimSun"/>
        </w:rPr>
        <w:t>)</w:t>
      </w:r>
    </w:p>
    <w:p w14:paraId="6FAF30DC" w14:textId="77777777" w:rsidR="00260B6D" w:rsidRPr="0051032A" w:rsidRDefault="00260B6D" w:rsidP="0051032A">
      <w:pPr>
        <w:rPr>
          <w:rFonts w:eastAsia="SimSun"/>
        </w:rPr>
      </w:pPr>
      <w:r w:rsidRPr="0051032A">
        <w:rPr>
          <w:rFonts w:eastAsia="SimSun"/>
        </w:rPr>
        <w:t xml:space="preserve">#   </w:t>
      </w:r>
    </w:p>
    <w:p w14:paraId="2EF250F9" w14:textId="77777777" w:rsidR="00260B6D" w:rsidRPr="0051032A" w:rsidRDefault="00260B6D" w:rsidP="0051032A">
      <w:pPr>
        <w:rPr>
          <w:rFonts w:eastAsia="SimSun"/>
        </w:rPr>
      </w:pPr>
      <w:r w:rsidRPr="0051032A">
        <w:rPr>
          <w:rFonts w:eastAsia="SimSun"/>
        </w:rPr>
        <w:t xml:space="preserve">#   # Annual proportion of individuals virally suppressed conditional on individuals on ART. </w:t>
      </w:r>
    </w:p>
    <w:p w14:paraId="21192D69" w14:textId="77777777" w:rsidR="00260B6D" w:rsidRPr="0051032A" w:rsidRDefault="00260B6D" w:rsidP="0051032A">
      <w:pPr>
        <w:rPr>
          <w:rFonts w:eastAsia="SimSun"/>
        </w:rPr>
      </w:pPr>
      <w:r w:rsidRPr="0051032A">
        <w:rPr>
          <w:rFonts w:eastAsia="SimSun"/>
        </w:rPr>
        <w:t xml:space="preserve">#   </w:t>
      </w:r>
      <w:proofErr w:type="gramStart"/>
      <w:r w:rsidRPr="0051032A">
        <w:rPr>
          <w:rFonts w:eastAsia="SimSun"/>
        </w:rPr>
        <w:t>postscript(</w:t>
      </w:r>
      <w:proofErr w:type="gramEnd"/>
      <w:r w:rsidRPr="0051032A">
        <w:rPr>
          <w:rFonts w:eastAsia="SimSun"/>
        </w:rPr>
        <w:t>"</w:t>
      </w:r>
      <w:proofErr w:type="spellStart"/>
      <w:r w:rsidRPr="0051032A">
        <w:rPr>
          <w:rFonts w:eastAsia="SimSun"/>
        </w:rPr>
        <w:t>HIV_percent</w:t>
      </w:r>
      <w:proofErr w:type="spellEnd"/>
      <w:r w:rsidRPr="0051032A">
        <w:rPr>
          <w:rFonts w:eastAsia="SimSun"/>
        </w:rPr>
        <w:t xml:space="preserve"> </w:t>
      </w:r>
      <w:proofErr w:type="spellStart"/>
      <w:r w:rsidRPr="0051032A">
        <w:rPr>
          <w:rFonts w:eastAsia="SimSun"/>
        </w:rPr>
        <w:t>suppresed</w:t>
      </w:r>
      <w:proofErr w:type="spellEnd"/>
      <w:r w:rsidRPr="0051032A">
        <w:rPr>
          <w:rFonts w:eastAsia="SimSun"/>
        </w:rPr>
        <w:t xml:space="preserve"> when on </w:t>
      </w:r>
      <w:proofErr w:type="spellStart"/>
      <w:r w:rsidRPr="0051032A">
        <w:rPr>
          <w:rFonts w:eastAsia="SimSun"/>
        </w:rPr>
        <w:t>ART.eps</w:t>
      </w:r>
      <w:proofErr w:type="spellEnd"/>
      <w:r w:rsidRPr="0051032A">
        <w:rPr>
          <w:rFonts w:eastAsia="SimSun"/>
        </w:rPr>
        <w:t>")</w:t>
      </w:r>
    </w:p>
    <w:p w14:paraId="5DEFDD86" w14:textId="77777777" w:rsidR="00260B6D" w:rsidRPr="0051032A" w:rsidRDefault="00260B6D" w:rsidP="0051032A">
      <w:pPr>
        <w:rPr>
          <w:rFonts w:eastAsia="SimSun"/>
        </w:rPr>
      </w:pPr>
      <w:r w:rsidRPr="0051032A">
        <w:rPr>
          <w:rFonts w:eastAsia="SimSun"/>
        </w:rPr>
        <w:t>#   plot(year,100*</w:t>
      </w:r>
      <w:proofErr w:type="spellStart"/>
      <w:r w:rsidRPr="0051032A">
        <w:rPr>
          <w:rFonts w:eastAsia="SimSun"/>
        </w:rPr>
        <w:t>Suppressed_onART_total_y</w:t>
      </w:r>
      <w:proofErr w:type="spellEnd"/>
      <w:r w:rsidRPr="0051032A">
        <w:rPr>
          <w:rFonts w:eastAsia="SimSun"/>
        </w:rPr>
        <w:t xml:space="preserve">[t,], type = "l", col="red", </w:t>
      </w:r>
      <w:proofErr w:type="spellStart"/>
      <w:r w:rsidRPr="0051032A">
        <w:rPr>
          <w:rFonts w:eastAsia="SimSun"/>
        </w:rPr>
        <w:t>xlab</w:t>
      </w:r>
      <w:proofErr w:type="spellEnd"/>
      <w:r w:rsidRPr="0051032A">
        <w:rPr>
          <w:rFonts w:eastAsia="SimSun"/>
        </w:rPr>
        <w:t xml:space="preserve"> = "Year", </w:t>
      </w:r>
      <w:proofErr w:type="spellStart"/>
      <w:r w:rsidRPr="0051032A">
        <w:rPr>
          <w:rFonts w:eastAsia="SimSun"/>
        </w:rPr>
        <w:t>ylab</w:t>
      </w:r>
      <w:proofErr w:type="spellEnd"/>
      <w:r w:rsidRPr="0051032A">
        <w:rPr>
          <w:rFonts w:eastAsia="SimSun"/>
        </w:rPr>
        <w:t xml:space="preserve"> = "Proportion of individuals viral suppressed (%)", main = "Annual percent on ART and viral suppressed - Overall", </w:t>
      </w:r>
      <w:proofErr w:type="spellStart"/>
      <w:r w:rsidRPr="0051032A">
        <w:rPr>
          <w:rFonts w:eastAsia="SimSun"/>
        </w:rPr>
        <w:t>ylim</w:t>
      </w:r>
      <w:proofErr w:type="spellEnd"/>
      <w:r w:rsidRPr="0051032A">
        <w:rPr>
          <w:rFonts w:eastAsia="SimSun"/>
        </w:rPr>
        <w:t>=c(0,max(100*</w:t>
      </w:r>
      <w:proofErr w:type="spellStart"/>
      <w:r w:rsidRPr="0051032A">
        <w:rPr>
          <w:rFonts w:eastAsia="SimSun"/>
        </w:rPr>
        <w:t>Suppressed_onART_total_y</w:t>
      </w:r>
      <w:proofErr w:type="spellEnd"/>
      <w:r w:rsidRPr="0051032A">
        <w:rPr>
          <w:rFonts w:eastAsia="SimSun"/>
        </w:rPr>
        <w:t>[t,], Target_all$Suppresed_onART_UB,Target_all$Suppresed_onART,na.rm=TRUE)))</w:t>
      </w:r>
    </w:p>
    <w:p w14:paraId="5612495A" w14:textId="77777777" w:rsidR="00260B6D" w:rsidRPr="0051032A" w:rsidRDefault="00260B6D" w:rsidP="0051032A">
      <w:pPr>
        <w:rPr>
          <w:rFonts w:eastAsia="SimSun"/>
        </w:rPr>
      </w:pPr>
      <w:r w:rsidRPr="0051032A">
        <w:rPr>
          <w:rFonts w:eastAsia="SimSun"/>
        </w:rPr>
        <w:t xml:space="preserve">#   </w:t>
      </w:r>
      <w:proofErr w:type="gramStart"/>
      <w:r w:rsidRPr="0051032A">
        <w:rPr>
          <w:rFonts w:eastAsia="SimSun"/>
        </w:rPr>
        <w:t>points(</w:t>
      </w:r>
      <w:proofErr w:type="spellStart"/>
      <w:proofErr w:type="gramEnd"/>
      <w:r w:rsidRPr="0051032A">
        <w:rPr>
          <w:rFonts w:eastAsia="SimSun"/>
        </w:rPr>
        <w:t>Target_all$Year</w:t>
      </w:r>
      <w:proofErr w:type="spellEnd"/>
      <w:r w:rsidRPr="0051032A">
        <w:rPr>
          <w:rFonts w:eastAsia="SimSun"/>
        </w:rPr>
        <w:t xml:space="preserve">, </w:t>
      </w:r>
      <w:proofErr w:type="spellStart"/>
      <w:r w:rsidRPr="0051032A">
        <w:rPr>
          <w:rFonts w:eastAsia="SimSun"/>
        </w:rPr>
        <w:t>Target_all$Suppresed_onART</w:t>
      </w:r>
      <w:proofErr w:type="spellEnd"/>
      <w:r w:rsidRPr="0051032A">
        <w:rPr>
          <w:rFonts w:eastAsia="SimSun"/>
        </w:rPr>
        <w:t>)</w:t>
      </w:r>
    </w:p>
    <w:p w14:paraId="1694DC36" w14:textId="77777777" w:rsidR="00260B6D" w:rsidRPr="0051032A" w:rsidRDefault="00260B6D" w:rsidP="0051032A">
      <w:pPr>
        <w:rPr>
          <w:rFonts w:eastAsia="SimSun"/>
        </w:rPr>
      </w:pPr>
      <w:r w:rsidRPr="0051032A">
        <w:rPr>
          <w:rFonts w:eastAsia="SimSun"/>
        </w:rPr>
        <w:t>#   arrows (x0=</w:t>
      </w:r>
      <w:proofErr w:type="spellStart"/>
      <w:r w:rsidRPr="0051032A">
        <w:rPr>
          <w:rFonts w:eastAsia="SimSun"/>
        </w:rPr>
        <w:t>Target_all$Year</w:t>
      </w:r>
      <w:proofErr w:type="spellEnd"/>
      <w:r w:rsidRPr="0051032A">
        <w:rPr>
          <w:rFonts w:eastAsia="SimSun"/>
        </w:rPr>
        <w:t>, y0=</w:t>
      </w:r>
      <w:proofErr w:type="spellStart"/>
      <w:r w:rsidRPr="0051032A">
        <w:rPr>
          <w:rFonts w:eastAsia="SimSun"/>
        </w:rPr>
        <w:t>Target_all$Suppresed_onART_LB</w:t>
      </w:r>
      <w:proofErr w:type="spellEnd"/>
      <w:r w:rsidRPr="0051032A">
        <w:rPr>
          <w:rFonts w:eastAsia="SimSun"/>
        </w:rPr>
        <w:t>, x1=</w:t>
      </w:r>
      <w:proofErr w:type="spellStart"/>
      <w:r w:rsidRPr="0051032A">
        <w:rPr>
          <w:rFonts w:eastAsia="SimSun"/>
        </w:rPr>
        <w:t>Target_all$Year</w:t>
      </w:r>
      <w:proofErr w:type="spellEnd"/>
      <w:r w:rsidRPr="0051032A">
        <w:rPr>
          <w:rFonts w:eastAsia="SimSun"/>
        </w:rPr>
        <w:t>, y1=</w:t>
      </w:r>
      <w:proofErr w:type="spellStart"/>
      <w:r w:rsidRPr="0051032A">
        <w:rPr>
          <w:rFonts w:eastAsia="SimSun"/>
        </w:rPr>
        <w:t>Target_all$Suppresed_onART_UB</w:t>
      </w:r>
      <w:proofErr w:type="spellEnd"/>
      <w:r w:rsidRPr="0051032A">
        <w:rPr>
          <w:rFonts w:eastAsia="SimSun"/>
        </w:rPr>
        <w:t>, code=3, angle=90, length=0.15, col="blue")</w:t>
      </w:r>
    </w:p>
    <w:p w14:paraId="67D0C746" w14:textId="77777777" w:rsidR="00260B6D" w:rsidRPr="0051032A" w:rsidRDefault="00260B6D" w:rsidP="0051032A">
      <w:pPr>
        <w:rPr>
          <w:rFonts w:eastAsia="SimSun"/>
        </w:rPr>
      </w:pPr>
      <w:r w:rsidRPr="0051032A">
        <w:rPr>
          <w:rFonts w:eastAsia="SimSun"/>
        </w:rPr>
        <w:t xml:space="preserve">#   </w:t>
      </w:r>
      <w:proofErr w:type="spellStart"/>
      <w:proofErr w:type="gramStart"/>
      <w:r w:rsidRPr="0051032A">
        <w:rPr>
          <w:rFonts w:eastAsia="SimSun"/>
        </w:rPr>
        <w:t>dev.off</w:t>
      </w:r>
      <w:proofErr w:type="spellEnd"/>
      <w:r w:rsidRPr="0051032A">
        <w:rPr>
          <w:rFonts w:eastAsia="SimSun"/>
        </w:rPr>
        <w:t>(</w:t>
      </w:r>
      <w:proofErr w:type="gramEnd"/>
      <w:r w:rsidRPr="0051032A">
        <w:rPr>
          <w:rFonts w:eastAsia="SimSun"/>
        </w:rPr>
        <w:t>)</w:t>
      </w:r>
    </w:p>
    <w:p w14:paraId="4F79C975" w14:textId="77777777" w:rsidR="00260B6D" w:rsidRPr="0051032A" w:rsidRDefault="00260B6D" w:rsidP="0051032A">
      <w:pPr>
        <w:rPr>
          <w:rFonts w:eastAsia="SimSun"/>
        </w:rPr>
      </w:pPr>
      <w:r w:rsidRPr="0051032A">
        <w:rPr>
          <w:rFonts w:eastAsia="SimSun"/>
        </w:rPr>
        <w:t># }</w:t>
      </w:r>
    </w:p>
    <w:p w14:paraId="0E325F1B" w14:textId="77777777" w:rsidR="00260B6D" w:rsidRPr="0051032A" w:rsidRDefault="00260B6D" w:rsidP="0051032A">
      <w:pPr>
        <w:rPr>
          <w:rFonts w:eastAsia="SimSun"/>
        </w:rPr>
      </w:pPr>
    </w:p>
    <w:p w14:paraId="3D773ADE" w14:textId="77777777" w:rsidR="00260B6D" w:rsidRPr="0051032A" w:rsidRDefault="00260B6D" w:rsidP="0051032A">
      <w:pPr>
        <w:rPr>
          <w:rFonts w:eastAsiaTheme="minorEastAsia"/>
        </w:rPr>
      </w:pPr>
    </w:p>
    <w:bookmarkEnd w:id="316"/>
    <w:bookmarkEnd w:id="317"/>
    <w:p w14:paraId="2FF40BE8" w14:textId="11E2B152" w:rsidR="009F0BE8" w:rsidRPr="009F0BE8" w:rsidRDefault="009F0BE8">
      <w:pPr>
        <w:rPr>
          <w:rFonts w:eastAsiaTheme="minorEastAsia"/>
          <w:b/>
          <w:color w:val="000000" w:themeColor="text1"/>
        </w:rPr>
        <w:sectPr w:rsidR="009F0BE8" w:rsidRPr="009F0BE8" w:rsidSect="00D762C5">
          <w:headerReference w:type="even" r:id="rId85"/>
          <w:headerReference w:type="default" r:id="rId86"/>
          <w:footerReference w:type="even" r:id="rId87"/>
          <w:headerReference w:type="first" r:id="rId88"/>
          <w:pgSz w:w="12240" w:h="15840"/>
          <w:pgMar w:top="1440" w:right="1440" w:bottom="1440" w:left="1440" w:header="720" w:footer="720" w:gutter="0"/>
          <w:cols w:space="720"/>
          <w:docGrid w:linePitch="360"/>
        </w:sectPr>
      </w:pPr>
    </w:p>
    <w:p w14:paraId="1AC297E7" w14:textId="1EC0183A" w:rsidR="006448DB" w:rsidRPr="00DC1440" w:rsidRDefault="00726BDF" w:rsidP="003F3D07">
      <w:pPr>
        <w:pStyle w:val="Heading1"/>
        <w:spacing w:before="0"/>
      </w:pPr>
      <w:bookmarkStart w:id="383" w:name="_Toc82592760"/>
      <w:r w:rsidRPr="0033305B">
        <w:lastRenderedPageBreak/>
        <w:t>Reference</w:t>
      </w:r>
      <w:r w:rsidR="00510203" w:rsidRPr="0033305B">
        <w:t>s</w:t>
      </w:r>
      <w:bookmarkEnd w:id="383"/>
    </w:p>
    <w:p w14:paraId="504E6C8E" w14:textId="482B0119" w:rsidR="007527CC" w:rsidRPr="007527CC" w:rsidRDefault="002F4C4F" w:rsidP="007527CC">
      <w:pPr>
        <w:widowControl w:val="0"/>
        <w:autoSpaceDE w:val="0"/>
        <w:autoSpaceDN w:val="0"/>
        <w:adjustRightInd w:val="0"/>
        <w:ind w:left="640" w:hanging="640"/>
        <w:rPr>
          <w:noProof/>
        </w:rPr>
      </w:pPr>
      <w:r w:rsidRPr="00830781">
        <w:rPr>
          <w:b/>
        </w:rPr>
        <w:fldChar w:fldCharType="begin" w:fldLock="1"/>
      </w:r>
      <w:r w:rsidRPr="00830781">
        <w:rPr>
          <w:b/>
        </w:rPr>
        <w:instrText xml:space="preserve">ADDIN Mendeley Bibliography CSL_BIBLIOGRAPHY </w:instrText>
      </w:r>
      <w:r w:rsidRPr="00830781">
        <w:rPr>
          <w:b/>
        </w:rPr>
        <w:fldChar w:fldCharType="separate"/>
      </w:r>
      <w:r w:rsidR="007527CC" w:rsidRPr="007527CC">
        <w:rPr>
          <w:noProof/>
        </w:rPr>
        <w:t xml:space="preserve">1. </w:t>
      </w:r>
      <w:r w:rsidR="007527CC" w:rsidRPr="007527CC">
        <w:rPr>
          <w:noProof/>
        </w:rPr>
        <w:tab/>
        <w:t xml:space="preserve">World Health Organization. </w:t>
      </w:r>
      <w:r w:rsidR="007527CC" w:rsidRPr="007527CC">
        <w:rPr>
          <w:i/>
          <w:iCs/>
          <w:noProof/>
        </w:rPr>
        <w:t>Antiretroviral Therapy for HIV Infection in Adults and Adolescents: Recommendations for a Public Health Approach</w:t>
      </w:r>
      <w:r w:rsidR="007527CC" w:rsidRPr="007527CC">
        <w:rPr>
          <w:noProof/>
        </w:rPr>
        <w:t>.; 2006.</w:t>
      </w:r>
    </w:p>
    <w:p w14:paraId="6BA775C6"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2. </w:t>
      </w:r>
      <w:r w:rsidRPr="007527CC">
        <w:rPr>
          <w:noProof/>
        </w:rPr>
        <w:tab/>
        <w:t xml:space="preserve">World Health Organization. </w:t>
      </w:r>
      <w:r w:rsidRPr="007527CC">
        <w:rPr>
          <w:i/>
          <w:iCs/>
          <w:noProof/>
        </w:rPr>
        <w:t>Antiretroviral Therapy for HIV Infection in Adults and Adolescents: Recommendations for a Public Health Approach</w:t>
      </w:r>
      <w:r w:rsidRPr="007527CC">
        <w:rPr>
          <w:noProof/>
        </w:rPr>
        <w:t>.; 2010.</w:t>
      </w:r>
    </w:p>
    <w:p w14:paraId="125E263E"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3. </w:t>
      </w:r>
      <w:r w:rsidRPr="007527CC">
        <w:rPr>
          <w:noProof/>
        </w:rPr>
        <w:tab/>
        <w:t xml:space="preserve">World Health Organization. </w:t>
      </w:r>
      <w:r w:rsidRPr="007527CC">
        <w:rPr>
          <w:i/>
          <w:iCs/>
          <w:noProof/>
        </w:rPr>
        <w:t>Consolidated Guidelines on the Use of Antiretroviral Drugs for Treating and Preventing HIV Infection: Recommendations for a Public Health Approach</w:t>
      </w:r>
      <w:r w:rsidRPr="007527CC">
        <w:rPr>
          <w:noProof/>
        </w:rPr>
        <w:t>.; 2013. https://apps.who.int/iris/bitstream/handle/10665/85321/9789241505727_eng.pdf?sequence=1</w:t>
      </w:r>
    </w:p>
    <w:p w14:paraId="40EDCEFF"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4. </w:t>
      </w:r>
      <w:r w:rsidRPr="007527CC">
        <w:rPr>
          <w:noProof/>
        </w:rPr>
        <w:tab/>
        <w:t xml:space="preserve">World Health Organization. </w:t>
      </w:r>
      <w:r w:rsidRPr="007527CC">
        <w:rPr>
          <w:i/>
          <w:iCs/>
          <w:noProof/>
        </w:rPr>
        <w:t>Consolidated Guidelines on the Use of Antiretroviral Drugs for Treating and Preventing HIV Infection: Recommendations for a Public Health Approach</w:t>
      </w:r>
      <w:r w:rsidRPr="007527CC">
        <w:rPr>
          <w:noProof/>
        </w:rPr>
        <w:t>.; 2016. doi:10.1016/j.jped.2014.04.007</w:t>
      </w:r>
    </w:p>
    <w:p w14:paraId="7E2AE87F"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5. </w:t>
      </w:r>
      <w:r w:rsidRPr="007527CC">
        <w:rPr>
          <w:noProof/>
        </w:rPr>
        <w:tab/>
        <w:t xml:space="preserve">Nsanzimana S, Kanters S, Remera E, et al. HIV care continuum in Rwanda: A cross-sectional analysis of the national programme. </w:t>
      </w:r>
      <w:r w:rsidRPr="007527CC">
        <w:rPr>
          <w:i/>
          <w:iCs/>
          <w:noProof/>
        </w:rPr>
        <w:t>Lancet HIV</w:t>
      </w:r>
      <w:r w:rsidRPr="007527CC">
        <w:rPr>
          <w:noProof/>
        </w:rPr>
        <w:t>. 2015;2(5):e208-e215. doi:10.1016/S2352-3018(15)00024-7</w:t>
      </w:r>
    </w:p>
    <w:p w14:paraId="4F264480"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6. </w:t>
      </w:r>
      <w:r w:rsidRPr="007527CC">
        <w:rPr>
          <w:noProof/>
        </w:rPr>
        <w:tab/>
        <w:t xml:space="preserve">Nsanzimana S, Remera E, Kanters S, et al. Life expectancy among HIV-positive patients in Rwanda: A retrospective observational cohort study. </w:t>
      </w:r>
      <w:r w:rsidRPr="007527CC">
        <w:rPr>
          <w:i/>
          <w:iCs/>
          <w:noProof/>
        </w:rPr>
        <w:t>Lancet Glob Heal</w:t>
      </w:r>
      <w:r w:rsidRPr="007527CC">
        <w:rPr>
          <w:noProof/>
        </w:rPr>
        <w:t>. 2015;3(3):e169-e177. doi:10.1016/S2214-109X(14)70364-X</w:t>
      </w:r>
    </w:p>
    <w:p w14:paraId="0A1EBFCA"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7. </w:t>
      </w:r>
      <w:r w:rsidRPr="007527CC">
        <w:rPr>
          <w:noProof/>
        </w:rPr>
        <w:tab/>
        <w:t>Ministry of Health (MOH) [Rwanda]. Circular of key changes in HIV prevention and management guidelines.</w:t>
      </w:r>
    </w:p>
    <w:p w14:paraId="58B06154"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8. </w:t>
      </w:r>
      <w:r w:rsidRPr="007527CC">
        <w:rPr>
          <w:noProof/>
        </w:rPr>
        <w:tab/>
        <w:t xml:space="preserve">Suthar AB, Granich RM, Kato M, Nsanzimana S, Montaner JSG, Williams BG. Programmatic implications of acute and early HIV infection. </w:t>
      </w:r>
      <w:r w:rsidRPr="007527CC">
        <w:rPr>
          <w:i/>
          <w:iCs/>
          <w:noProof/>
        </w:rPr>
        <w:t>J Infect Dis</w:t>
      </w:r>
      <w:r w:rsidRPr="007527CC">
        <w:rPr>
          <w:noProof/>
        </w:rPr>
        <w:t>. 2015;212(9):1351-1360. doi:10.1093/infdis/jiv430</w:t>
      </w:r>
    </w:p>
    <w:p w14:paraId="0192AF28"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9. </w:t>
      </w:r>
      <w:r w:rsidRPr="007527CC">
        <w:rPr>
          <w:noProof/>
        </w:rPr>
        <w:tab/>
        <w:t xml:space="preserve">Consortium WTS. Timing of initiation of antiretroviral therapy in AIDS-free HIV-1-infected patients: a collaborative analysis of 18 HIV cohort studies. </w:t>
      </w:r>
      <w:r w:rsidRPr="007527CC">
        <w:rPr>
          <w:i/>
          <w:iCs/>
          <w:noProof/>
        </w:rPr>
        <w:t>Lancet</w:t>
      </w:r>
      <w:r w:rsidRPr="007527CC">
        <w:rPr>
          <w:noProof/>
        </w:rPr>
        <w:t>. 2009;373(9672):1352-1363.</w:t>
      </w:r>
    </w:p>
    <w:p w14:paraId="73564AA0"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10. </w:t>
      </w:r>
      <w:r w:rsidRPr="007527CC">
        <w:rPr>
          <w:noProof/>
        </w:rPr>
        <w:tab/>
        <w:t xml:space="preserve">Ross J, Sinayobye J d’Amour, Yotebieng M, et al. Early outcomes after implementation of </w:t>
      </w:r>
      <w:r w:rsidRPr="007527CC">
        <w:rPr>
          <w:i/>
          <w:iCs/>
          <w:noProof/>
        </w:rPr>
        <w:t>treat all</w:t>
      </w:r>
      <w:r w:rsidRPr="007527CC">
        <w:rPr>
          <w:noProof/>
        </w:rPr>
        <w:t xml:space="preserve"> in Rwanda: an interrupted time series study. </w:t>
      </w:r>
      <w:r w:rsidRPr="007527CC">
        <w:rPr>
          <w:i/>
          <w:iCs/>
          <w:noProof/>
        </w:rPr>
        <w:t>J Int AIDS Soc</w:t>
      </w:r>
      <w:r w:rsidRPr="007527CC">
        <w:rPr>
          <w:noProof/>
        </w:rPr>
        <w:t>. 2019;22(4):e25279. doi:10.1002/jia2.25279</w:t>
      </w:r>
    </w:p>
    <w:p w14:paraId="5079C5B3"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11. </w:t>
      </w:r>
      <w:r w:rsidRPr="007527CC">
        <w:rPr>
          <w:noProof/>
        </w:rPr>
        <w:tab/>
        <w:t xml:space="preserve">Nsanzimana S, Remera E, Kanters S, et al. Effect of baseline cd4 cell count at linkage to hiv care and at initiation of antiretroviral therapy on mortality in hivpositive adult patients in Rwanda: A nationwide cohort study. </w:t>
      </w:r>
      <w:r w:rsidRPr="007527CC">
        <w:rPr>
          <w:i/>
          <w:iCs/>
          <w:noProof/>
        </w:rPr>
        <w:t>Lancet HIV</w:t>
      </w:r>
      <w:r w:rsidRPr="007527CC">
        <w:rPr>
          <w:noProof/>
        </w:rPr>
        <w:t>. 2015;2(9):e376-e384. doi:10.1016/S2352-3018(15)00112-5</w:t>
      </w:r>
    </w:p>
    <w:p w14:paraId="6AA246DB"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12. </w:t>
      </w:r>
      <w:r w:rsidRPr="007527CC">
        <w:rPr>
          <w:noProof/>
        </w:rPr>
        <w:tab/>
        <w:t xml:space="preserve">Sharma M, Ying R, Tarr G, Barnabas R, Division ID, Hutchinson F. A systematic review and meta-analysis of community and facility-based approaches to address gaps in HIV testing and linkage in sub-Saharan Africa. </w:t>
      </w:r>
      <w:r w:rsidRPr="007527CC">
        <w:rPr>
          <w:i/>
          <w:iCs/>
          <w:noProof/>
        </w:rPr>
        <w:t>Nature</w:t>
      </w:r>
      <w:r w:rsidRPr="007527CC">
        <w:rPr>
          <w:noProof/>
        </w:rPr>
        <w:t>. 2015;528(7580):S77-S85. doi:10.1038/nature16044.A</w:t>
      </w:r>
    </w:p>
    <w:p w14:paraId="6E852FCC"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13. </w:t>
      </w:r>
      <w:r w:rsidRPr="007527CC">
        <w:rPr>
          <w:noProof/>
        </w:rPr>
        <w:tab/>
        <w:t>Lancaster KE, Cernigliaro D, Zulliger R, et al. HIV care and treatment experiences among female sex workers living with HIV in sub Saharan Africa: A systematic review. 2017;15(4):377-386. doi:10.2989/16085906.2016.1255652.HIV</w:t>
      </w:r>
    </w:p>
    <w:p w14:paraId="0687A910"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14. </w:t>
      </w:r>
      <w:r w:rsidRPr="007527CC">
        <w:rPr>
          <w:noProof/>
        </w:rPr>
        <w:tab/>
        <w:t xml:space="preserve">Bendavid E, Stauffer D, Remera E, Nsanzimana S, Kanters S, Mills EJ. Mortality along the continuum of HIV care in Rwanda: A model-based analysis. </w:t>
      </w:r>
      <w:r w:rsidRPr="007527CC">
        <w:rPr>
          <w:i/>
          <w:iCs/>
          <w:noProof/>
        </w:rPr>
        <w:t>BMC Infect Dis</w:t>
      </w:r>
      <w:r w:rsidRPr="007527CC">
        <w:rPr>
          <w:noProof/>
        </w:rPr>
        <w:t>. 2016;16(1):1-9. doi:10.1186/s12879-016-2052-7</w:t>
      </w:r>
    </w:p>
    <w:p w14:paraId="1D6D7958"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15. </w:t>
      </w:r>
      <w:r w:rsidRPr="007527CC">
        <w:rPr>
          <w:noProof/>
        </w:rPr>
        <w:tab/>
        <w:t xml:space="preserve">Eisinger RW, Dieffenbach CW, Fauci AS. HIV viral load and transmissibility of HIV infection undetectable equals untransmittable. </w:t>
      </w:r>
      <w:r w:rsidRPr="007527CC">
        <w:rPr>
          <w:i/>
          <w:iCs/>
          <w:noProof/>
        </w:rPr>
        <w:t>JAMA - J Am Med Assoc</w:t>
      </w:r>
      <w:r w:rsidRPr="007527CC">
        <w:rPr>
          <w:noProof/>
        </w:rPr>
        <w:t xml:space="preserve">. Published online </w:t>
      </w:r>
      <w:r w:rsidRPr="007527CC">
        <w:rPr>
          <w:noProof/>
        </w:rPr>
        <w:lastRenderedPageBreak/>
        <w:t>2019. doi:10.1001/jama.2018.21167</w:t>
      </w:r>
    </w:p>
    <w:p w14:paraId="0BD4F718"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16. </w:t>
      </w:r>
      <w:r w:rsidRPr="007527CC">
        <w:rPr>
          <w:noProof/>
        </w:rPr>
        <w:tab/>
        <w:t xml:space="preserve">Kitahata MM, Gange SJ, Abraham AG, et al. Effect of early versus deferred antiretroviral therapy for HIV on survival. </w:t>
      </w:r>
      <w:r w:rsidRPr="007527CC">
        <w:rPr>
          <w:i/>
          <w:iCs/>
          <w:noProof/>
        </w:rPr>
        <w:t>N Engl J Med</w:t>
      </w:r>
      <w:r w:rsidRPr="007527CC">
        <w:rPr>
          <w:noProof/>
        </w:rPr>
        <w:t>. 2009;360(18):1815-1826.</w:t>
      </w:r>
    </w:p>
    <w:p w14:paraId="04180A32"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17. </w:t>
      </w:r>
      <w:r w:rsidRPr="007527CC">
        <w:rPr>
          <w:noProof/>
        </w:rPr>
        <w:tab/>
        <w:t xml:space="preserve">Mutagoma M, Kayitesi C, Gwiza A, et al. Estimation of the size of the female sex worker population in Rwanda using three different methods. </w:t>
      </w:r>
      <w:r w:rsidRPr="007527CC">
        <w:rPr>
          <w:i/>
          <w:iCs/>
          <w:noProof/>
        </w:rPr>
        <w:t>Int J STD AIDS</w:t>
      </w:r>
      <w:r w:rsidRPr="007527CC">
        <w:rPr>
          <w:noProof/>
        </w:rPr>
        <w:t>. 2015;26(11):810-814.</w:t>
      </w:r>
    </w:p>
    <w:p w14:paraId="294BD5AA"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18. </w:t>
      </w:r>
      <w:r w:rsidRPr="007527CC">
        <w:rPr>
          <w:noProof/>
        </w:rPr>
        <w:tab/>
        <w:t xml:space="preserve">National Institute of Statistics of Rwanda (NISR) [Rwanda] Ministry of Health (MOH) [Rwanda] and ICF International. </w:t>
      </w:r>
      <w:r w:rsidRPr="007527CC">
        <w:rPr>
          <w:i/>
          <w:iCs/>
          <w:noProof/>
        </w:rPr>
        <w:t>Rwanda Demographic and Health Survey 2014-15</w:t>
      </w:r>
      <w:r w:rsidRPr="007527CC">
        <w:rPr>
          <w:noProof/>
        </w:rPr>
        <w:t>.; 2015. doi:March, 2016</w:t>
      </w:r>
    </w:p>
    <w:p w14:paraId="5D50A8C2"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19. </w:t>
      </w:r>
      <w:r w:rsidRPr="007527CC">
        <w:rPr>
          <w:noProof/>
        </w:rPr>
        <w:tab/>
        <w:t>Population-based HIV Impact Assessment. Rwanda population-based HIV impact assessment, RPHIA 2018–2019. (February 2020):2-8.</w:t>
      </w:r>
    </w:p>
    <w:p w14:paraId="7A66F7AF"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20. </w:t>
      </w:r>
      <w:r w:rsidRPr="007527CC">
        <w:rPr>
          <w:noProof/>
        </w:rPr>
        <w:tab/>
        <w:t xml:space="preserve">National Institute of Statistics of Rwanda. </w:t>
      </w:r>
      <w:r w:rsidRPr="007527CC">
        <w:rPr>
          <w:i/>
          <w:iCs/>
          <w:noProof/>
        </w:rPr>
        <w:t>Demographic and Health Survey Report 2010</w:t>
      </w:r>
      <w:r w:rsidRPr="007527CC">
        <w:rPr>
          <w:noProof/>
        </w:rPr>
        <w:t>. Vol 2003.; 2010. doi:10.1017/S0266673100000246</w:t>
      </w:r>
    </w:p>
    <w:p w14:paraId="5B38F347"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21. </w:t>
      </w:r>
      <w:r w:rsidRPr="007527CC">
        <w:rPr>
          <w:noProof/>
        </w:rPr>
        <w:tab/>
        <w:t xml:space="preserve">UNAIDS. </w:t>
      </w:r>
      <w:r w:rsidRPr="007527CC">
        <w:rPr>
          <w:i/>
          <w:iCs/>
          <w:noProof/>
        </w:rPr>
        <w:t>Prevention Gap Report 2016</w:t>
      </w:r>
      <w:r w:rsidRPr="007527CC">
        <w:rPr>
          <w:noProof/>
        </w:rPr>
        <w:t>. Vol 83.; 2016. doi:10.1371/journal.pone.0154893.</w:t>
      </w:r>
    </w:p>
    <w:p w14:paraId="32D9CAA1"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22. </w:t>
      </w:r>
      <w:r w:rsidRPr="007527CC">
        <w:rPr>
          <w:noProof/>
        </w:rPr>
        <w:tab/>
        <w:t>National Institute of Statistics of Rwanda (NISR) [Rwanda] Ministry of Health (MOH) [Rwanda] and ICF International. Demographic and Health Survey, 2005. Rwanda Mininstry of Health.</w:t>
      </w:r>
    </w:p>
    <w:p w14:paraId="683F422D"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23. </w:t>
      </w:r>
      <w:r w:rsidRPr="007527CC">
        <w:rPr>
          <w:noProof/>
        </w:rPr>
        <w:tab/>
        <w:t xml:space="preserve">Ross J, Ribakare M, Remera E, et al. High levels of viral load monitoring and viral suppression under Treat All in Rwanda – a cross-sectional study. </w:t>
      </w:r>
      <w:r w:rsidRPr="007527CC">
        <w:rPr>
          <w:i/>
          <w:iCs/>
          <w:noProof/>
        </w:rPr>
        <w:t>J Int AIDS Soc</w:t>
      </w:r>
      <w:r w:rsidRPr="007527CC">
        <w:rPr>
          <w:noProof/>
        </w:rPr>
        <w:t>. Published online 2020. doi:10.1002/jia2.25543</w:t>
      </w:r>
    </w:p>
    <w:p w14:paraId="5DDAA152"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24. </w:t>
      </w:r>
      <w:r w:rsidRPr="007527CC">
        <w:rPr>
          <w:noProof/>
        </w:rPr>
        <w:tab/>
        <w:t xml:space="preserve">Ramjee G, Daniels B, Ramjee G, et al. Women and HIV in Sub-Saharan Africa. </w:t>
      </w:r>
      <w:r w:rsidRPr="007527CC">
        <w:rPr>
          <w:i/>
          <w:iCs/>
          <w:noProof/>
        </w:rPr>
        <w:t>AIDS Res Ther</w:t>
      </w:r>
      <w:r w:rsidRPr="007527CC">
        <w:rPr>
          <w:noProof/>
        </w:rPr>
        <w:t>. 2013;10(1):30. doi:10.1186/1742-6405-10-30</w:t>
      </w:r>
    </w:p>
    <w:p w14:paraId="276BB2FD"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25. </w:t>
      </w:r>
      <w:r w:rsidRPr="007527CC">
        <w:rPr>
          <w:noProof/>
        </w:rPr>
        <w:tab/>
        <w:t xml:space="preserve">Test FS, Mehta SD, Handler A, Mutimura E, Bamukunde AM, Cohen M. Gender inequities in sexual risks among youth with HIV in Kigali, Rwanda. </w:t>
      </w:r>
      <w:r w:rsidRPr="007527CC">
        <w:rPr>
          <w:i/>
          <w:iCs/>
          <w:noProof/>
        </w:rPr>
        <w:t>Int J STD AIDS</w:t>
      </w:r>
      <w:r w:rsidRPr="007527CC">
        <w:rPr>
          <w:noProof/>
        </w:rPr>
        <w:t>. 2012;23(6):394-399.</w:t>
      </w:r>
    </w:p>
    <w:p w14:paraId="69BE5279"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26. </w:t>
      </w:r>
      <w:r w:rsidRPr="007527CC">
        <w:rPr>
          <w:noProof/>
        </w:rPr>
        <w:tab/>
        <w:t xml:space="preserve">Mutagoma M, Samuel MS, Kayitesi C, et al. High HIV prevalence and associated risk factors among female sex workers in Rwanda. </w:t>
      </w:r>
      <w:r w:rsidRPr="007527CC">
        <w:rPr>
          <w:i/>
          <w:iCs/>
          <w:noProof/>
        </w:rPr>
        <w:t>Int J STD AIDS</w:t>
      </w:r>
      <w:r w:rsidRPr="007527CC">
        <w:rPr>
          <w:noProof/>
        </w:rPr>
        <w:t>. 2017;28(11):095646241668813. doi:10.1177/0956462416688137</w:t>
      </w:r>
    </w:p>
    <w:p w14:paraId="456EDF7F"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27. </w:t>
      </w:r>
      <w:r w:rsidRPr="007527CC">
        <w:rPr>
          <w:noProof/>
        </w:rPr>
        <w:tab/>
        <w:t xml:space="preserve">Mutagoma M, Nyirazinyoye L, Riedel DJ, Ntaganira J. Sexual risk behaviors and practices of female sex workers in Rwanda in over a decade , 2006 – 2015. </w:t>
      </w:r>
      <w:r w:rsidRPr="007527CC">
        <w:rPr>
          <w:i/>
          <w:iCs/>
          <w:noProof/>
        </w:rPr>
        <w:t>Int J STD AIDS</w:t>
      </w:r>
      <w:r w:rsidRPr="007527CC">
        <w:rPr>
          <w:noProof/>
        </w:rPr>
        <w:t>. 2018;1(0):1-8. doi:10.1177/0956462418785297</w:t>
      </w:r>
    </w:p>
    <w:p w14:paraId="4980E86C"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28. </w:t>
      </w:r>
      <w:r w:rsidRPr="007527CC">
        <w:rPr>
          <w:noProof/>
        </w:rPr>
        <w:tab/>
        <w:t xml:space="preserve">PEPFAR. </w:t>
      </w:r>
      <w:r w:rsidRPr="007527CC">
        <w:rPr>
          <w:i/>
          <w:iCs/>
          <w:noProof/>
        </w:rPr>
        <w:t>Rwanda Country Operational Plan (COP/ROP) 2018 Strategic Direction Summary</w:t>
      </w:r>
      <w:r w:rsidRPr="007527CC">
        <w:rPr>
          <w:noProof/>
        </w:rPr>
        <w:t>.; 2018.</w:t>
      </w:r>
    </w:p>
    <w:p w14:paraId="7161568A"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29. </w:t>
      </w:r>
      <w:r w:rsidRPr="007527CC">
        <w:rPr>
          <w:noProof/>
        </w:rPr>
        <w:tab/>
        <w:t>National Institute of Statistics of Rwanda (NISR) [Rwanda] Ministry of Health (MOH) [Rwanda] and ICF International. Demographic and Health Survey, 2015. Rwanda Mininstry of Health.</w:t>
      </w:r>
    </w:p>
    <w:p w14:paraId="3E41EE22"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30. </w:t>
      </w:r>
      <w:r w:rsidRPr="007527CC">
        <w:rPr>
          <w:noProof/>
        </w:rPr>
        <w:tab/>
        <w:t xml:space="preserve">Rwanda Biomedical Center. </w:t>
      </w:r>
      <w:r w:rsidRPr="007527CC">
        <w:rPr>
          <w:i/>
          <w:iCs/>
          <w:noProof/>
        </w:rPr>
        <w:t>Republic of Rwanda Ministry of Health NATIONAL HIV / AIDS TARGETS 2018-2020-2030</w:t>
      </w:r>
      <w:r w:rsidRPr="007527CC">
        <w:rPr>
          <w:noProof/>
        </w:rPr>
        <w:t>.; 2015.</w:t>
      </w:r>
    </w:p>
    <w:p w14:paraId="02596DE4"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31. </w:t>
      </w:r>
      <w:r w:rsidRPr="007527CC">
        <w:rPr>
          <w:noProof/>
        </w:rPr>
        <w:tab/>
        <w:t xml:space="preserve">Ingabire R, Parker R, Nyombayire J, et al. Female sex workers in Kigali, Rwanda: a key population at risk of HIV, sexually transmitted infections, and unplanned pregnancy. </w:t>
      </w:r>
      <w:r w:rsidRPr="007527CC">
        <w:rPr>
          <w:i/>
          <w:iCs/>
          <w:noProof/>
        </w:rPr>
        <w:t>Int J STD AIDS</w:t>
      </w:r>
      <w:r w:rsidRPr="007527CC">
        <w:rPr>
          <w:noProof/>
        </w:rPr>
        <w:t>. Published online 2019. doi:10.1177/0956462418817050</w:t>
      </w:r>
    </w:p>
    <w:p w14:paraId="3BD967A5"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32. </w:t>
      </w:r>
      <w:r w:rsidRPr="007527CC">
        <w:rPr>
          <w:noProof/>
        </w:rPr>
        <w:tab/>
        <w:t xml:space="preserve">Mountain E, Pickles M, Mishra S, Vickerman P, Alary M, Boily MC. The HIV care cascade and antiretroviral therapy in female sex workers: Implications for HIV prevention. </w:t>
      </w:r>
      <w:r w:rsidRPr="007527CC">
        <w:rPr>
          <w:i/>
          <w:iCs/>
          <w:noProof/>
        </w:rPr>
        <w:t>Expert Rev Anti Infect Ther</w:t>
      </w:r>
      <w:r w:rsidRPr="007527CC">
        <w:rPr>
          <w:noProof/>
        </w:rPr>
        <w:t>. Published online 2014. doi:10.1586/14787210.2014.948422</w:t>
      </w:r>
    </w:p>
    <w:p w14:paraId="1E69F80B"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33. </w:t>
      </w:r>
      <w:r w:rsidRPr="007527CC">
        <w:rPr>
          <w:noProof/>
        </w:rPr>
        <w:tab/>
        <w:t xml:space="preserve">Nsanzimana S, Remera E, Kanters S, et al. Household survey of HIV incidence in </w:t>
      </w:r>
      <w:r w:rsidRPr="007527CC">
        <w:rPr>
          <w:noProof/>
        </w:rPr>
        <w:lastRenderedPageBreak/>
        <w:t xml:space="preserve">Rwanda: a national observational cohort study. </w:t>
      </w:r>
      <w:r w:rsidRPr="007527CC">
        <w:rPr>
          <w:i/>
          <w:iCs/>
          <w:noProof/>
        </w:rPr>
        <w:t>Lancet HIV</w:t>
      </w:r>
      <w:r w:rsidRPr="007527CC">
        <w:rPr>
          <w:noProof/>
        </w:rPr>
        <w:t>. 2017;4(10):e457-e464.</w:t>
      </w:r>
    </w:p>
    <w:p w14:paraId="625D72F8"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34. </w:t>
      </w:r>
      <w:r w:rsidRPr="007527CC">
        <w:rPr>
          <w:noProof/>
        </w:rPr>
        <w:tab/>
        <w:t xml:space="preserve">Kerr CC, Stuart RM, Gray RT, et al. Optima: a model for HIV epidemic analysis, program prioritization, and resource optimization. </w:t>
      </w:r>
      <w:r w:rsidRPr="007527CC">
        <w:rPr>
          <w:i/>
          <w:iCs/>
          <w:noProof/>
        </w:rPr>
        <w:t>JAIDS J Acquir Immune Defic Syndr</w:t>
      </w:r>
      <w:r w:rsidRPr="007527CC">
        <w:rPr>
          <w:noProof/>
        </w:rPr>
        <w:t>. 2015;69(3):365-376.</w:t>
      </w:r>
    </w:p>
    <w:p w14:paraId="36107E0B"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35. </w:t>
      </w:r>
      <w:r w:rsidRPr="007527CC">
        <w:rPr>
          <w:noProof/>
        </w:rPr>
        <w:tab/>
        <w:t xml:space="preserve">Bernard CL, Brandeau ML, Humphreys K, et al. Cost-effectiveness of HIV preexposure prophylaxis for people who inject drugs in the United States. </w:t>
      </w:r>
      <w:r w:rsidRPr="007527CC">
        <w:rPr>
          <w:i/>
          <w:iCs/>
          <w:noProof/>
        </w:rPr>
        <w:t>Ann Intern Med</w:t>
      </w:r>
      <w:r w:rsidRPr="007527CC">
        <w:rPr>
          <w:noProof/>
        </w:rPr>
        <w:t>. 2016;165(1):10-19. doi:10.7326/M15-2634</w:t>
      </w:r>
    </w:p>
    <w:p w14:paraId="31C03FB1"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36. </w:t>
      </w:r>
      <w:r w:rsidRPr="007527CC">
        <w:rPr>
          <w:noProof/>
        </w:rPr>
        <w:tab/>
        <w:t xml:space="preserve">Rwanda Biomedical Center. </w:t>
      </w:r>
      <w:r w:rsidRPr="007527CC">
        <w:rPr>
          <w:i/>
          <w:iCs/>
          <w:noProof/>
        </w:rPr>
        <w:t>National HIV Annual Report, 2013-2014</w:t>
      </w:r>
      <w:r w:rsidRPr="007527CC">
        <w:rPr>
          <w:noProof/>
        </w:rPr>
        <w:t>.; 2014.</w:t>
      </w:r>
    </w:p>
    <w:p w14:paraId="37583F05"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37. </w:t>
      </w:r>
      <w:r w:rsidRPr="007527CC">
        <w:rPr>
          <w:noProof/>
        </w:rPr>
        <w:tab/>
        <w:t xml:space="preserve">Boily M-C, Baggaley RF, Wang L, et al. Heterosexual risk of HIV-1 infection per sexual act: systematic review and meta-analysis of observational studies. </w:t>
      </w:r>
      <w:r w:rsidRPr="007527CC">
        <w:rPr>
          <w:i/>
          <w:iCs/>
          <w:noProof/>
        </w:rPr>
        <w:t>Lancet Infect Dis</w:t>
      </w:r>
      <w:r w:rsidRPr="007527CC">
        <w:rPr>
          <w:noProof/>
        </w:rPr>
        <w:t>. 2009;9(2):118-129.</w:t>
      </w:r>
    </w:p>
    <w:p w14:paraId="4F7674DD"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38. </w:t>
      </w:r>
      <w:r w:rsidRPr="007527CC">
        <w:rPr>
          <w:noProof/>
        </w:rPr>
        <w:tab/>
        <w:t xml:space="preserve">Powers KA, Poole C, Pettifor AE, Cohen MS. Rethinking the heterosexual infectivity of HIV-1: a systematic review and meta-analysis. </w:t>
      </w:r>
      <w:r w:rsidRPr="007527CC">
        <w:rPr>
          <w:i/>
          <w:iCs/>
          <w:noProof/>
        </w:rPr>
        <w:t>Lancet Infect Dis</w:t>
      </w:r>
      <w:r w:rsidRPr="007527CC">
        <w:rPr>
          <w:noProof/>
        </w:rPr>
        <w:t>. Published online 2008. doi:10.1016/S1473-3099(08)70156-7</w:t>
      </w:r>
    </w:p>
    <w:p w14:paraId="0E6E1828"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39. </w:t>
      </w:r>
      <w:r w:rsidRPr="007527CC">
        <w:rPr>
          <w:noProof/>
        </w:rPr>
        <w:tab/>
        <w:t xml:space="preserve">Weller SC, Davis‐Beaty K. Condom effectiveness in reducing heterosexual HIV transmission. </w:t>
      </w:r>
      <w:r w:rsidRPr="007527CC">
        <w:rPr>
          <w:i/>
          <w:iCs/>
          <w:noProof/>
        </w:rPr>
        <w:t>Cochrane database Syst Rev</w:t>
      </w:r>
      <w:r w:rsidRPr="007527CC">
        <w:rPr>
          <w:noProof/>
        </w:rPr>
        <w:t>. 2002;(1).</w:t>
      </w:r>
    </w:p>
    <w:p w14:paraId="30A17027"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40. </w:t>
      </w:r>
      <w:r w:rsidRPr="007527CC">
        <w:rPr>
          <w:noProof/>
        </w:rPr>
        <w:tab/>
        <w:t xml:space="preserve">Hughes JP, Baeten JM, Lingappa JR, et al. Determinants of per-coital-act HIV-1 infectivity among African HIV-1-serodiscordant couples. </w:t>
      </w:r>
      <w:r w:rsidRPr="007527CC">
        <w:rPr>
          <w:i/>
          <w:iCs/>
          <w:noProof/>
        </w:rPr>
        <w:t>J Infect Dis</w:t>
      </w:r>
      <w:r w:rsidRPr="007527CC">
        <w:rPr>
          <w:noProof/>
        </w:rPr>
        <w:t>. Published online 2012. doi:10.1093/infdis/jir747</w:t>
      </w:r>
    </w:p>
    <w:p w14:paraId="3C5855CB"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41. </w:t>
      </w:r>
      <w:r w:rsidRPr="007527CC">
        <w:rPr>
          <w:noProof/>
        </w:rPr>
        <w:tab/>
        <w:t xml:space="preserve">Alsallaq RA, Buttolph J, Cleland CM, et al. The potential impact and cost of focusing HIV prevention on young women and men: A modeling analysis in western Kenya. </w:t>
      </w:r>
      <w:r w:rsidRPr="007527CC">
        <w:rPr>
          <w:i/>
          <w:iCs/>
          <w:noProof/>
        </w:rPr>
        <w:t>PLoS One</w:t>
      </w:r>
      <w:r w:rsidRPr="007527CC">
        <w:rPr>
          <w:noProof/>
        </w:rPr>
        <w:t>. 2017;12(4):e0175447.</w:t>
      </w:r>
    </w:p>
    <w:p w14:paraId="23E02D7B"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42. </w:t>
      </w:r>
      <w:r w:rsidRPr="007527CC">
        <w:rPr>
          <w:noProof/>
        </w:rPr>
        <w:tab/>
        <w:t xml:space="preserve">Sorensen SW, Sansom SL, Brooks JT, et al. A mathematical model of comprehensive test-and-treat services and HIV incidence among men who have sex with men in the United States. </w:t>
      </w:r>
      <w:r w:rsidRPr="007527CC">
        <w:rPr>
          <w:i/>
          <w:iCs/>
          <w:noProof/>
        </w:rPr>
        <w:t>PLoS One</w:t>
      </w:r>
      <w:r w:rsidRPr="007527CC">
        <w:rPr>
          <w:noProof/>
        </w:rPr>
        <w:t>. 2012;7(2):e29098.</w:t>
      </w:r>
    </w:p>
    <w:p w14:paraId="6A3D8E44"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43. </w:t>
      </w:r>
      <w:r w:rsidRPr="007527CC">
        <w:rPr>
          <w:noProof/>
        </w:rPr>
        <w:tab/>
        <w:t>National Institute of Statistics of Rwanda (NISR) [Rwanda] Ministry of Health (MOH) [Rwanda] and ICF International. Demographic and Health Survey, 2010. Rwanda Mininstry of Health.</w:t>
      </w:r>
    </w:p>
    <w:p w14:paraId="5687A496"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44. </w:t>
      </w:r>
      <w:r w:rsidRPr="007527CC">
        <w:rPr>
          <w:noProof/>
        </w:rPr>
        <w:tab/>
        <w:t xml:space="preserve">Rwanda Ministry of Health. </w:t>
      </w:r>
      <w:r w:rsidRPr="007527CC">
        <w:rPr>
          <w:i/>
          <w:iCs/>
          <w:noProof/>
        </w:rPr>
        <w:t>Behavioral and Biological Surveillance Survey among Female Sex Workers, Rwanda – 2010</w:t>
      </w:r>
      <w:r w:rsidRPr="007527CC">
        <w:rPr>
          <w:noProof/>
        </w:rPr>
        <w:t>.; 2010. doi:10.1016/B978-0-12-420118-7.00008-1.Dopamine</w:t>
      </w:r>
    </w:p>
    <w:p w14:paraId="2CC1FF30"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45. </w:t>
      </w:r>
      <w:r w:rsidRPr="007527CC">
        <w:rPr>
          <w:noProof/>
        </w:rPr>
        <w:tab/>
        <w:t xml:space="preserve">Supervie V, Viard JP, Costagliola D, Breban R. Heterosexual risk of HIV transmission per sexual act under combined antiretroviral therapy: Systematic review and bayesian modeling. </w:t>
      </w:r>
      <w:r w:rsidRPr="007527CC">
        <w:rPr>
          <w:i/>
          <w:iCs/>
          <w:noProof/>
        </w:rPr>
        <w:t>Clin Infect Dis</w:t>
      </w:r>
      <w:r w:rsidRPr="007527CC">
        <w:rPr>
          <w:noProof/>
        </w:rPr>
        <w:t>. Published online 2014. doi:10.1093/cid/ciu223</w:t>
      </w:r>
    </w:p>
    <w:p w14:paraId="29678F1C"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46. </w:t>
      </w:r>
      <w:r w:rsidRPr="007527CC">
        <w:rPr>
          <w:noProof/>
        </w:rPr>
        <w:tab/>
        <w:t xml:space="preserve">Braunstein SL, Ingabire CM, Geubbels E, et al. High burden of prevalent and recently acquired HIV among female sex workers and female HIV voluntary testing center clients in Kigali, Rwanda. </w:t>
      </w:r>
      <w:r w:rsidRPr="007527CC">
        <w:rPr>
          <w:i/>
          <w:iCs/>
          <w:noProof/>
        </w:rPr>
        <w:t>PLoS One</w:t>
      </w:r>
      <w:r w:rsidRPr="007527CC">
        <w:rPr>
          <w:noProof/>
        </w:rPr>
        <w:t>. Published online 2011. doi:10.1371/journal.pone.0024321</w:t>
      </w:r>
    </w:p>
    <w:p w14:paraId="04E9E145"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47. </w:t>
      </w:r>
      <w:r w:rsidRPr="007527CC">
        <w:rPr>
          <w:noProof/>
        </w:rPr>
        <w:tab/>
        <w:t xml:space="preserve">Braunstein SL, Umulisa MM, Veldhuijzen NJ, et al. HIV diagnosis, linkage to HIV Care, and HIV risk behaviors among newly diagnosed HIV-positive female sex workers in Kigali, Rwanda. </w:t>
      </w:r>
      <w:r w:rsidRPr="007527CC">
        <w:rPr>
          <w:i/>
          <w:iCs/>
          <w:noProof/>
        </w:rPr>
        <w:t>J Acquir Immune Defic Syndr</w:t>
      </w:r>
      <w:r w:rsidRPr="007527CC">
        <w:rPr>
          <w:noProof/>
        </w:rPr>
        <w:t>. 2011;57(4):70-76. doi:10.1097/QAI.0b013e3182170fd3</w:t>
      </w:r>
    </w:p>
    <w:p w14:paraId="1B73BB1B"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48. </w:t>
      </w:r>
      <w:r w:rsidRPr="007527CC">
        <w:rPr>
          <w:noProof/>
        </w:rPr>
        <w:tab/>
        <w:t>World Bank. Population Estimates And Projections. Published 2020. Accessed June 8, 2020. https://datacatalog.worldbank.org/dataset/population-estimates-and-projections.</w:t>
      </w:r>
    </w:p>
    <w:p w14:paraId="41DDC6A3"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49. </w:t>
      </w:r>
      <w:r w:rsidRPr="007527CC">
        <w:rPr>
          <w:noProof/>
        </w:rPr>
        <w:tab/>
        <w:t>Joint United Nations Programme on HIV/AIDS. Country factsheets: Rwanda 2019. Published 2021. Accessed May 1, 2021. https://www.unaids.org/en/regionscountries/countries/rwanda</w:t>
      </w:r>
    </w:p>
    <w:p w14:paraId="741A2E28" w14:textId="77777777" w:rsidR="007527CC" w:rsidRPr="007527CC" w:rsidRDefault="007527CC" w:rsidP="007527CC">
      <w:pPr>
        <w:widowControl w:val="0"/>
        <w:autoSpaceDE w:val="0"/>
        <w:autoSpaceDN w:val="0"/>
        <w:adjustRightInd w:val="0"/>
        <w:ind w:left="640" w:hanging="640"/>
        <w:rPr>
          <w:noProof/>
        </w:rPr>
      </w:pPr>
      <w:r w:rsidRPr="007527CC">
        <w:rPr>
          <w:noProof/>
        </w:rPr>
        <w:lastRenderedPageBreak/>
        <w:t xml:space="preserve">50. </w:t>
      </w:r>
      <w:r w:rsidRPr="007527CC">
        <w:rPr>
          <w:noProof/>
        </w:rPr>
        <w:tab/>
        <w:t>Joint United Nations Programme on HIV/AIDS. Sex workers: Population size estimate. Published 2015. http://data.un.org/Data.aspx?d=UNAIDS&amp;f=inID%3A111</w:t>
      </w:r>
    </w:p>
    <w:p w14:paraId="2B69B7A8"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51. </w:t>
      </w:r>
      <w:r w:rsidRPr="007527CC">
        <w:rPr>
          <w:noProof/>
        </w:rPr>
        <w:tab/>
        <w:t>National Institute of Allergy and Infectious Diseases. International Epidemiological Databases to Evaluate AIDS. https://www.iedea.org/</w:t>
      </w:r>
    </w:p>
    <w:p w14:paraId="11B77D14"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52. </w:t>
      </w:r>
      <w:r w:rsidRPr="007527CC">
        <w:rPr>
          <w:noProof/>
        </w:rPr>
        <w:tab/>
        <w:t xml:space="preserve">Institut National de la Statistique du Rwanda (INSR) and ORC Macro. </w:t>
      </w:r>
      <w:r w:rsidRPr="007527CC">
        <w:rPr>
          <w:i/>
          <w:iCs/>
          <w:noProof/>
        </w:rPr>
        <w:t>Rwanda Demographic and Health Survey 2007-2008</w:t>
      </w:r>
      <w:r w:rsidRPr="007527CC">
        <w:rPr>
          <w:noProof/>
        </w:rPr>
        <w:t>.; 2007.</w:t>
      </w:r>
    </w:p>
    <w:p w14:paraId="474621F6"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53. </w:t>
      </w:r>
      <w:r w:rsidRPr="007527CC">
        <w:rPr>
          <w:noProof/>
        </w:rPr>
        <w:tab/>
        <w:t xml:space="preserve">Braunstein SL, Umulisa M-M, Veldhuijzen NJ, et al. HIV Diagnosis, Linkage to HIV Care, and HIV Risk Behaviors Among Newly Diagnosed HIV-Positive Female Sex Workers in Kigali, Rwanda. </w:t>
      </w:r>
      <w:r w:rsidRPr="007527CC">
        <w:rPr>
          <w:i/>
          <w:iCs/>
          <w:noProof/>
        </w:rPr>
        <w:t>JAIDS J Acquir Immune Defic Syndr</w:t>
      </w:r>
      <w:r w:rsidRPr="007527CC">
        <w:rPr>
          <w:noProof/>
        </w:rPr>
        <w:t>. 2011;57(4):e70-e76. doi:10.1097/QAI.0b013e3182170fd3</w:t>
      </w:r>
    </w:p>
    <w:p w14:paraId="6891AEF6"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54. </w:t>
      </w:r>
      <w:r w:rsidRPr="007527CC">
        <w:rPr>
          <w:noProof/>
        </w:rPr>
        <w:tab/>
        <w:t xml:space="preserve">Rachlis B, Ochieng D, Geng E, et al. Evaluating outcomes of patients lost to follow-up in a large comprehensive care treatment program in Western Kenya. </w:t>
      </w:r>
      <w:r w:rsidRPr="007527CC">
        <w:rPr>
          <w:i/>
          <w:iCs/>
          <w:noProof/>
        </w:rPr>
        <w:t>J Acquir Immune Defic Syndr</w:t>
      </w:r>
      <w:r w:rsidRPr="007527CC">
        <w:rPr>
          <w:noProof/>
        </w:rPr>
        <w:t>. 2015;68(4):e46-e55. doi:10.1097/QAI.0000000000000492</w:t>
      </w:r>
    </w:p>
    <w:p w14:paraId="37F1EFFB"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55. </w:t>
      </w:r>
      <w:r w:rsidRPr="007527CC">
        <w:rPr>
          <w:noProof/>
        </w:rPr>
        <w:tab/>
        <w:t xml:space="preserve">Geng EH, Bwana MB, Muyindike W, et al. Failure to initiate antiretroviral therapy, loss to follow-up and mortality among HIV-infected patients during the pre-ART period in Uganda. </w:t>
      </w:r>
      <w:r w:rsidRPr="007527CC">
        <w:rPr>
          <w:i/>
          <w:iCs/>
          <w:noProof/>
        </w:rPr>
        <w:t>J Acquir Immune Defic Syndr</w:t>
      </w:r>
      <w:r w:rsidRPr="007527CC">
        <w:rPr>
          <w:noProof/>
        </w:rPr>
        <w:t>. 2013;63(2):64-71. doi:10.1097/QAI.0b013e31828af5a6</w:t>
      </w:r>
    </w:p>
    <w:p w14:paraId="57903724"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56. </w:t>
      </w:r>
      <w:r w:rsidRPr="007527CC">
        <w:rPr>
          <w:noProof/>
        </w:rPr>
        <w:tab/>
        <w:t xml:space="preserve">Haas AD, Zaniewski E, Anderegg N, et al. Retention and mortality on antiretroviral therapy in sub-Saharan Africa: Collaborative analyses of HIV treatment programmes: Collaborative. </w:t>
      </w:r>
      <w:r w:rsidRPr="007527CC">
        <w:rPr>
          <w:i/>
          <w:iCs/>
          <w:noProof/>
        </w:rPr>
        <w:t>J Int AIDS Soc</w:t>
      </w:r>
      <w:r w:rsidRPr="007527CC">
        <w:rPr>
          <w:noProof/>
        </w:rPr>
        <w:t>. 2018;21(2):1-7. doi:10.1002/jia2.25084</w:t>
      </w:r>
    </w:p>
    <w:p w14:paraId="52A03A71"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57. </w:t>
      </w:r>
      <w:r w:rsidRPr="007527CC">
        <w:rPr>
          <w:noProof/>
        </w:rPr>
        <w:tab/>
        <w:t xml:space="preserve">Okal DO, Oyaro B, Zeh C, et al. Effect of point-of-care CD4 cell count results on linkage to care and antiretroviral initiation during a home-based HIV testing campaign: a non-blinded, cluster-randomised trial. </w:t>
      </w:r>
      <w:r w:rsidRPr="007527CC">
        <w:rPr>
          <w:i/>
          <w:iCs/>
          <w:noProof/>
        </w:rPr>
        <w:t>Lancet HIV</w:t>
      </w:r>
      <w:r w:rsidRPr="007527CC">
        <w:rPr>
          <w:noProof/>
        </w:rPr>
        <w:t>. 2017;4(9):e393-e401. doi:10.1016/s2352-3018(17)30091-7</w:t>
      </w:r>
    </w:p>
    <w:p w14:paraId="67EEDD23"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58. </w:t>
      </w:r>
      <w:r w:rsidRPr="007527CC">
        <w:rPr>
          <w:noProof/>
        </w:rPr>
        <w:tab/>
        <w:t xml:space="preserve">Smith JA, Sharma M, Levin C, et al. Cost-effectiveness of community-based strategies to strengthen the continuum of HIV care in rural South Africa: A health economic modelling analysis. </w:t>
      </w:r>
      <w:r w:rsidRPr="007527CC">
        <w:rPr>
          <w:i/>
          <w:iCs/>
          <w:noProof/>
        </w:rPr>
        <w:t>Lancet HIV</w:t>
      </w:r>
      <w:r w:rsidRPr="007527CC">
        <w:rPr>
          <w:noProof/>
        </w:rPr>
        <w:t>. 2015;2(4):e159-e168. doi:10.1016/S2352-3018(15)00016-8</w:t>
      </w:r>
    </w:p>
    <w:p w14:paraId="51A66A9F"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59. </w:t>
      </w:r>
      <w:r w:rsidRPr="007527CC">
        <w:rPr>
          <w:noProof/>
        </w:rPr>
        <w:tab/>
        <w:t xml:space="preserve">Rwanda Ministry of Health. </w:t>
      </w:r>
      <w:r w:rsidRPr="007527CC">
        <w:rPr>
          <w:i/>
          <w:iCs/>
          <w:noProof/>
        </w:rPr>
        <w:t>Rwanda HIV and AIDS National Strategic Plan 2013–2018: Extension: 2018–2020</w:t>
      </w:r>
      <w:r w:rsidRPr="007527CC">
        <w:rPr>
          <w:noProof/>
        </w:rPr>
        <w:t>.; 2018.</w:t>
      </w:r>
    </w:p>
    <w:p w14:paraId="7855269B"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60. </w:t>
      </w:r>
      <w:r w:rsidRPr="007527CC">
        <w:rPr>
          <w:noProof/>
        </w:rPr>
        <w:tab/>
        <w:t xml:space="preserve">Stalter R, Chen M, Uwizeye G, et al. Association of sexual risk behaviour with previous HIV testing among voluntary HIV  counselling and testing clients in Kigali, Rwanda. </w:t>
      </w:r>
      <w:r w:rsidRPr="007527CC">
        <w:rPr>
          <w:i/>
          <w:iCs/>
          <w:noProof/>
        </w:rPr>
        <w:t>Int J STD AIDS</w:t>
      </w:r>
      <w:r w:rsidRPr="007527CC">
        <w:rPr>
          <w:noProof/>
        </w:rPr>
        <w:t>. 2016;27(14):1317-1325. doi:10.1177/0956462415617590</w:t>
      </w:r>
    </w:p>
    <w:p w14:paraId="75B70822"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61. </w:t>
      </w:r>
      <w:r w:rsidRPr="007527CC">
        <w:rPr>
          <w:noProof/>
        </w:rPr>
        <w:tab/>
        <w:t xml:space="preserve">Nsanzimana S, Mills EJ, Harari O, et al. Prevalence and incidence of HIV among female sex workers and their clients: modelling the potential effects of intervention in Rwanda. </w:t>
      </w:r>
      <w:r w:rsidRPr="007527CC">
        <w:rPr>
          <w:i/>
          <w:iCs/>
          <w:noProof/>
        </w:rPr>
        <w:t>BMJ Glob Heal</w:t>
      </w:r>
      <w:r w:rsidRPr="007527CC">
        <w:rPr>
          <w:noProof/>
        </w:rPr>
        <w:t>. 2020;5(8):e002300.</w:t>
      </w:r>
    </w:p>
    <w:p w14:paraId="09BFFC10"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62. </w:t>
      </w:r>
      <w:r w:rsidRPr="007527CC">
        <w:rPr>
          <w:noProof/>
        </w:rPr>
        <w:tab/>
        <w:t xml:space="preserve">Langford SE, Ananworanich J, Cooper DA. Predictors of disease progression in HIV infection: A review. </w:t>
      </w:r>
      <w:r w:rsidRPr="007527CC">
        <w:rPr>
          <w:i/>
          <w:iCs/>
          <w:noProof/>
        </w:rPr>
        <w:t>AIDS Res Ther</w:t>
      </w:r>
      <w:r w:rsidRPr="007527CC">
        <w:rPr>
          <w:noProof/>
        </w:rPr>
        <w:t>. Published online 2007. doi:10.1186/1742-6405-4-11</w:t>
      </w:r>
    </w:p>
    <w:p w14:paraId="2535A118"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63. </w:t>
      </w:r>
      <w:r w:rsidRPr="007527CC">
        <w:rPr>
          <w:noProof/>
        </w:rPr>
        <w:tab/>
        <w:t xml:space="preserve">Brinkhof MWG, Dabis F, Myer L, et al. Early loss of HIV-infected patients on potent antiretroviral therapy programmes in lower-income countries. </w:t>
      </w:r>
      <w:r w:rsidRPr="007527CC">
        <w:rPr>
          <w:i/>
          <w:iCs/>
          <w:noProof/>
        </w:rPr>
        <w:t>Bull World Health Organ</w:t>
      </w:r>
      <w:r w:rsidRPr="007527CC">
        <w:rPr>
          <w:noProof/>
        </w:rPr>
        <w:t>. 2008;86(7):559-567. doi:10.2471/BLT.07.044248</w:t>
      </w:r>
    </w:p>
    <w:p w14:paraId="1571E0CD"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64. </w:t>
      </w:r>
      <w:r w:rsidRPr="007527CC">
        <w:rPr>
          <w:noProof/>
        </w:rPr>
        <w:tab/>
        <w:t xml:space="preserve">Nuwagaba-Biribonwoha H, Kiragga AN, Yiannoutsos CT, et al. Adolescent pregnancy at antiretroviral therapy (ART) initiation: a critical barrier to retention on ART. </w:t>
      </w:r>
      <w:r w:rsidRPr="007527CC">
        <w:rPr>
          <w:i/>
          <w:iCs/>
          <w:noProof/>
        </w:rPr>
        <w:t>J Int AIDS Soc</w:t>
      </w:r>
      <w:r w:rsidRPr="007527CC">
        <w:rPr>
          <w:noProof/>
        </w:rPr>
        <w:t>. 2018;21(9):1-9. doi:10.1002/jia2.25178</w:t>
      </w:r>
    </w:p>
    <w:p w14:paraId="4CC9CC19"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65. </w:t>
      </w:r>
      <w:r w:rsidRPr="007527CC">
        <w:rPr>
          <w:noProof/>
        </w:rPr>
        <w:tab/>
        <w:t xml:space="preserve">Grimsrud A, Cornell M, Schomaker M, Fox MP. CD4 count at antiretroviral therapy initiation and the risk of loss to follow-up: results from a multicentre cohort study. </w:t>
      </w:r>
      <w:r w:rsidRPr="007527CC">
        <w:rPr>
          <w:i/>
          <w:iCs/>
          <w:noProof/>
        </w:rPr>
        <w:t>J Epidemiol Community Health</w:t>
      </w:r>
      <w:r w:rsidRPr="007527CC">
        <w:rPr>
          <w:noProof/>
        </w:rPr>
        <w:t>. 2016;70(6):549-555. doi:10.1136/jech-2015-206629.CD4</w:t>
      </w:r>
    </w:p>
    <w:p w14:paraId="74A7BAB0" w14:textId="77777777" w:rsidR="007527CC" w:rsidRPr="007527CC" w:rsidRDefault="007527CC" w:rsidP="007527CC">
      <w:pPr>
        <w:widowControl w:val="0"/>
        <w:autoSpaceDE w:val="0"/>
        <w:autoSpaceDN w:val="0"/>
        <w:adjustRightInd w:val="0"/>
        <w:ind w:left="640" w:hanging="640"/>
        <w:rPr>
          <w:noProof/>
        </w:rPr>
      </w:pPr>
      <w:r w:rsidRPr="007527CC">
        <w:rPr>
          <w:noProof/>
        </w:rPr>
        <w:lastRenderedPageBreak/>
        <w:t xml:space="preserve">66. </w:t>
      </w:r>
      <w:r w:rsidRPr="007527CC">
        <w:rPr>
          <w:noProof/>
        </w:rPr>
        <w:tab/>
        <w:t xml:space="preserve">Johnson LF, Anderegg N, Zaniewski E, et al. Global variations in mortality in adults after initiating antiretroviral treatment: An updated analysis of the International epidemiology Databases to Evaluate AIDS cohort collaboration. </w:t>
      </w:r>
      <w:r w:rsidRPr="007527CC">
        <w:rPr>
          <w:i/>
          <w:iCs/>
          <w:noProof/>
        </w:rPr>
        <w:t>Aids</w:t>
      </w:r>
      <w:r w:rsidRPr="007527CC">
        <w:rPr>
          <w:noProof/>
        </w:rPr>
        <w:t>. 2019;33(July):S283-S294. doi:10.1097/QAD.0000000000002358</w:t>
      </w:r>
    </w:p>
    <w:p w14:paraId="61B1E972"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67. </w:t>
      </w:r>
      <w:r w:rsidRPr="007527CC">
        <w:rPr>
          <w:noProof/>
        </w:rPr>
        <w:tab/>
        <w:t xml:space="preserve">Rwanda Ministry of Health. </w:t>
      </w:r>
      <w:r w:rsidRPr="007527CC">
        <w:rPr>
          <w:i/>
          <w:iCs/>
          <w:noProof/>
        </w:rPr>
        <w:t>National Guidelines for Prevention and Management of HIV and STIs. Edition 201 6</w:t>
      </w:r>
      <w:r w:rsidRPr="007527CC">
        <w:rPr>
          <w:noProof/>
        </w:rPr>
        <w:t>.; 2016.</w:t>
      </w:r>
    </w:p>
    <w:p w14:paraId="0155AFD5"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68. </w:t>
      </w:r>
      <w:r w:rsidRPr="007527CC">
        <w:rPr>
          <w:noProof/>
        </w:rPr>
        <w:tab/>
        <w:t xml:space="preserve">Rwanda Ministry of Health. </w:t>
      </w:r>
      <w:r w:rsidRPr="007527CC">
        <w:rPr>
          <w:i/>
          <w:iCs/>
          <w:noProof/>
        </w:rPr>
        <w:t>National Guidelines for Prevention and Managment of HIV - Edition 2018</w:t>
      </w:r>
      <w:r w:rsidRPr="007527CC">
        <w:rPr>
          <w:noProof/>
        </w:rPr>
        <w:t>.; 2018.</w:t>
      </w:r>
    </w:p>
    <w:p w14:paraId="4F4723B1"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69. </w:t>
      </w:r>
      <w:r w:rsidRPr="007527CC">
        <w:rPr>
          <w:noProof/>
        </w:rPr>
        <w:tab/>
        <w:t xml:space="preserve">Drummond MF, O’Brien B, Stoddart GL, Torrance GW. Methods for the Economic Evaluation of Health Care Programmes, Second Edition. </w:t>
      </w:r>
      <w:r w:rsidRPr="007527CC">
        <w:rPr>
          <w:i/>
          <w:iCs/>
          <w:noProof/>
        </w:rPr>
        <w:t>Am J Prev Med</w:t>
      </w:r>
      <w:r w:rsidRPr="007527CC">
        <w:rPr>
          <w:noProof/>
        </w:rPr>
        <w:t>. Published online 1998. doi:10.1016/S0749-3797(97)00069-X</w:t>
      </w:r>
    </w:p>
    <w:p w14:paraId="773128AC"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70. </w:t>
      </w:r>
      <w:r w:rsidRPr="007527CC">
        <w:rPr>
          <w:noProof/>
        </w:rPr>
        <w:tab/>
        <w:t xml:space="preserve">Rwanda Biomedical Center. </w:t>
      </w:r>
      <w:r w:rsidRPr="007527CC">
        <w:rPr>
          <w:i/>
          <w:iCs/>
          <w:noProof/>
        </w:rPr>
        <w:t>National HIV Annual Report 2014-2015</w:t>
      </w:r>
      <w:r w:rsidRPr="007527CC">
        <w:rPr>
          <w:noProof/>
        </w:rPr>
        <w:t>.; 2015.</w:t>
      </w:r>
    </w:p>
    <w:p w14:paraId="33F23EF4"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71. </w:t>
      </w:r>
      <w:r w:rsidRPr="007527CC">
        <w:rPr>
          <w:noProof/>
        </w:rPr>
        <w:tab/>
        <w:t>Ministry of Health (MOH) [Rwanda]. National HIV Annual Report 2013-2014. Published online 2014.</w:t>
      </w:r>
    </w:p>
    <w:p w14:paraId="6F65E2D7"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72. </w:t>
      </w:r>
      <w:r w:rsidRPr="007527CC">
        <w:rPr>
          <w:noProof/>
        </w:rPr>
        <w:tab/>
        <w:t xml:space="preserve">Kong CY, McMahon PM, Gazelle GS. Calibration of disease simulation model using an engineering approach. </w:t>
      </w:r>
      <w:r w:rsidRPr="007527CC">
        <w:rPr>
          <w:i/>
          <w:iCs/>
          <w:noProof/>
        </w:rPr>
        <w:t>Value Heal</w:t>
      </w:r>
      <w:r w:rsidRPr="007527CC">
        <w:rPr>
          <w:noProof/>
        </w:rPr>
        <w:t>. Published online 2009. doi:10.1111/j.1524-4733.2008.00484.x</w:t>
      </w:r>
    </w:p>
    <w:p w14:paraId="32BC47E5" w14:textId="77777777" w:rsidR="007527CC" w:rsidRPr="007527CC" w:rsidRDefault="007527CC" w:rsidP="007527CC">
      <w:pPr>
        <w:widowControl w:val="0"/>
        <w:autoSpaceDE w:val="0"/>
        <w:autoSpaceDN w:val="0"/>
        <w:adjustRightInd w:val="0"/>
        <w:ind w:left="640" w:hanging="640"/>
        <w:rPr>
          <w:noProof/>
        </w:rPr>
      </w:pPr>
      <w:r w:rsidRPr="007527CC">
        <w:rPr>
          <w:noProof/>
        </w:rPr>
        <w:t xml:space="preserve">73. </w:t>
      </w:r>
      <w:r w:rsidRPr="007527CC">
        <w:rPr>
          <w:noProof/>
        </w:rPr>
        <w:tab/>
        <w:t xml:space="preserve">Enns EA, Cipriano LE, Simons CT, Kong CY. Identifying best-fitting inputs in health-economic model calibration: A pareto frontier approach. </w:t>
      </w:r>
      <w:r w:rsidRPr="007527CC">
        <w:rPr>
          <w:i/>
          <w:iCs/>
          <w:noProof/>
        </w:rPr>
        <w:t>Med Decis Mak</w:t>
      </w:r>
      <w:r w:rsidRPr="007527CC">
        <w:rPr>
          <w:noProof/>
        </w:rPr>
        <w:t>. Published online 2015. doi:10.1177/0272989X14528382</w:t>
      </w:r>
    </w:p>
    <w:p w14:paraId="5F17934D" w14:textId="7C1EE458" w:rsidR="009353AE" w:rsidRDefault="002F4C4F" w:rsidP="007527CC">
      <w:pPr>
        <w:widowControl w:val="0"/>
        <w:autoSpaceDE w:val="0"/>
        <w:autoSpaceDN w:val="0"/>
        <w:adjustRightInd w:val="0"/>
        <w:ind w:left="640" w:hanging="640"/>
        <w:rPr>
          <w:b/>
        </w:rPr>
      </w:pPr>
      <w:r w:rsidRPr="00830781">
        <w:rPr>
          <w:b/>
        </w:rPr>
        <w:fldChar w:fldCharType="end"/>
      </w:r>
    </w:p>
    <w:p w14:paraId="05841287" w14:textId="05105849" w:rsidR="00DC1440" w:rsidRDefault="00DC1440" w:rsidP="00036C3E">
      <w:pPr>
        <w:widowControl w:val="0"/>
        <w:autoSpaceDE w:val="0"/>
        <w:autoSpaceDN w:val="0"/>
        <w:adjustRightInd w:val="0"/>
        <w:ind w:left="640" w:hanging="640"/>
        <w:rPr>
          <w:b/>
        </w:rPr>
        <w:sectPr w:rsidR="00DC1440" w:rsidSect="00550A15">
          <w:headerReference w:type="even" r:id="rId89"/>
          <w:headerReference w:type="default" r:id="rId90"/>
          <w:headerReference w:type="first" r:id="rId91"/>
          <w:pgSz w:w="12240" w:h="15840"/>
          <w:pgMar w:top="1440" w:right="1440" w:bottom="1440" w:left="1440" w:header="720" w:footer="720" w:gutter="0"/>
          <w:cols w:space="720"/>
          <w:docGrid w:linePitch="360"/>
        </w:sectPr>
      </w:pPr>
    </w:p>
    <w:p w14:paraId="1D98E2C6" w14:textId="06DD90E9" w:rsidR="00267D51" w:rsidRPr="00AA45B9" w:rsidRDefault="003F3D07" w:rsidP="00580BE8">
      <w:pPr>
        <w:pStyle w:val="Heading1"/>
        <w:spacing w:before="0"/>
      </w:pPr>
      <w:bookmarkStart w:id="384" w:name="_Toc82592761"/>
      <w:r>
        <w:lastRenderedPageBreak/>
        <w:t>Appendix A</w:t>
      </w:r>
      <w:bookmarkEnd w:id="384"/>
    </w:p>
    <w:p w14:paraId="5042A42B" w14:textId="27959C82" w:rsidR="00252310" w:rsidRDefault="00252310" w:rsidP="00DC1440">
      <w:pPr>
        <w:pStyle w:val="Heading2"/>
      </w:pPr>
      <w:bookmarkStart w:id="385" w:name="_Ref82420007"/>
      <w:bookmarkStart w:id="386" w:name="_Toc82592762"/>
      <w:r>
        <w:t>D</w:t>
      </w:r>
      <w:r w:rsidR="00DB6FD3">
        <w:t>atasets</w:t>
      </w:r>
      <w:bookmarkEnd w:id="385"/>
      <w:bookmarkEnd w:id="386"/>
    </w:p>
    <w:p w14:paraId="27A0E156" w14:textId="77777777" w:rsidR="00252310" w:rsidRDefault="00252310">
      <w:pPr>
        <w:rPr>
          <w:b/>
        </w:rPr>
      </w:pPr>
    </w:p>
    <w:p w14:paraId="09B94295" w14:textId="099B145F" w:rsidR="00252310" w:rsidRPr="00122CDD" w:rsidRDefault="00252310">
      <w:r w:rsidRPr="00122CDD">
        <w:t xml:space="preserve">1. The population estimation and projections data (1960-2050). Downloaded on Feb 15, 2019. Accessible at: </w:t>
      </w:r>
      <w:hyperlink r:id="rId92" w:history="1">
        <w:r w:rsidRPr="00CD341C">
          <w:rPr>
            <w:rStyle w:val="FootnoteReference"/>
            <w:b w:val="0"/>
            <w:bCs w:val="0"/>
            <w:sz w:val="24"/>
            <w:szCs w:val="24"/>
            <w:vertAlign w:val="baseline"/>
          </w:rPr>
          <w:t>https://datacatalog.worldbank.org/dataset/population-estimates-and-projections</w:t>
        </w:r>
      </w:hyperlink>
      <w:r w:rsidRPr="00122CDD">
        <w:t xml:space="preserve"> </w:t>
      </w:r>
    </w:p>
    <w:p w14:paraId="6C361B61" w14:textId="2FD4E27C" w:rsidR="00252310" w:rsidRPr="00122CDD" w:rsidRDefault="00252310"/>
    <w:p w14:paraId="150168D2" w14:textId="1D69326B" w:rsidR="00252310" w:rsidRPr="00122CDD" w:rsidRDefault="00252310">
      <w:r w:rsidRPr="00A4646C">
        <w:t>2. Demographic and Health Survey data (</w:t>
      </w:r>
      <w:r w:rsidR="008008EE" w:rsidRPr="001D10D4">
        <w:t>2005</w:t>
      </w:r>
      <w:r w:rsidRPr="00527179">
        <w:t>). Downloaded on Nov 26</w:t>
      </w:r>
      <w:r w:rsidR="008008EE" w:rsidRPr="00527179">
        <w:t>, 2019</w:t>
      </w:r>
      <w:r w:rsidRPr="00527179">
        <w:t xml:space="preserve">. Accessible at: </w:t>
      </w:r>
      <w:hyperlink r:id="rId93" w:history="1">
        <w:r w:rsidR="008008EE" w:rsidRPr="00CD341C">
          <w:rPr>
            <w:rStyle w:val="FootnoteReference"/>
            <w:b w:val="0"/>
            <w:bCs w:val="0"/>
            <w:sz w:val="24"/>
            <w:szCs w:val="24"/>
            <w:vertAlign w:val="baseline"/>
          </w:rPr>
          <w:t>https://dhsprogram.com/what-we-do/survey/survey-display-252.cfm</w:t>
        </w:r>
      </w:hyperlink>
      <w:r w:rsidR="008008EE" w:rsidRPr="00122CDD">
        <w:t xml:space="preserve"> </w:t>
      </w:r>
    </w:p>
    <w:p w14:paraId="796866E1" w14:textId="76732CE0" w:rsidR="008008EE" w:rsidRPr="00122CDD" w:rsidRDefault="008008EE"/>
    <w:p w14:paraId="3C4243C6" w14:textId="67BFE54C" w:rsidR="008008EE" w:rsidRPr="00122CDD" w:rsidRDefault="008008EE">
      <w:r w:rsidRPr="00A4646C">
        <w:t xml:space="preserve">3. Demographic and Health Survey data (2010). Downloaded on Dec 02, 2019. Accessible at: </w:t>
      </w:r>
      <w:hyperlink r:id="rId94" w:history="1">
        <w:r w:rsidRPr="00CD341C">
          <w:rPr>
            <w:rStyle w:val="FootnoteReference"/>
            <w:b w:val="0"/>
            <w:bCs w:val="0"/>
            <w:sz w:val="24"/>
            <w:szCs w:val="24"/>
            <w:vertAlign w:val="baseline"/>
          </w:rPr>
          <w:t>https://dhsprogram.com/what-we-do/survey/survey-display-364.cfm</w:t>
        </w:r>
      </w:hyperlink>
      <w:r w:rsidRPr="00122CDD">
        <w:t xml:space="preserve"> </w:t>
      </w:r>
    </w:p>
    <w:p w14:paraId="3B8D972B" w14:textId="14535CC0" w:rsidR="008008EE" w:rsidRPr="00122CDD" w:rsidRDefault="008008EE"/>
    <w:p w14:paraId="774398E4" w14:textId="426B9418" w:rsidR="009938AF" w:rsidRDefault="008008EE">
      <w:r w:rsidRPr="00A4646C">
        <w:t xml:space="preserve">4. Demographic and Health Survey data (2015). Downloaded on Dec 02, 2019. Accessible at: </w:t>
      </w:r>
      <w:hyperlink r:id="rId95" w:history="1">
        <w:r w:rsidRPr="00CD341C">
          <w:rPr>
            <w:rStyle w:val="FootnoteReference"/>
            <w:b w:val="0"/>
            <w:bCs w:val="0"/>
            <w:sz w:val="24"/>
            <w:szCs w:val="24"/>
            <w:vertAlign w:val="baseline"/>
          </w:rPr>
          <w:t>https://dhsprogram.com/what-we-do/survey/survey-display-468.cfm</w:t>
        </w:r>
      </w:hyperlink>
    </w:p>
    <w:p w14:paraId="10A218FB" w14:textId="1B066EC9" w:rsidR="00A83055" w:rsidRPr="00AA45B9" w:rsidRDefault="00A83055" w:rsidP="00DC1440">
      <w:pPr>
        <w:pStyle w:val="Heading2"/>
      </w:pPr>
      <w:bookmarkStart w:id="387" w:name="_Toc82592763"/>
      <w:commentRangeStart w:id="388"/>
      <w:r w:rsidRPr="00DC1440">
        <w:rPr>
          <w:highlight w:val="yellow"/>
        </w:rPr>
        <w:t>Codes</w:t>
      </w:r>
      <w:r w:rsidR="00392AA9">
        <w:rPr>
          <w:highlight w:val="yellow"/>
        </w:rPr>
        <w:t xml:space="preserve"> and documents</w:t>
      </w:r>
      <w:r w:rsidRPr="00DC1440">
        <w:rPr>
          <w:highlight w:val="yellow"/>
        </w:rPr>
        <w:t xml:space="preserve"> to derive parameter inputs</w:t>
      </w:r>
      <w:commentRangeEnd w:id="388"/>
      <w:r w:rsidR="00C860B1">
        <w:rPr>
          <w:rStyle w:val="CommentReference"/>
          <w:rFonts w:eastAsia="Times New Roman" w:cs="Times New Roman"/>
          <w:b w:val="0"/>
          <w:bCs w:val="0"/>
          <w:color w:val="auto"/>
          <w:lang w:eastAsia="zh-CN"/>
        </w:rPr>
        <w:commentReference w:id="388"/>
      </w:r>
      <w:bookmarkEnd w:id="387"/>
    </w:p>
    <w:p w14:paraId="4DC4B789" w14:textId="0000F40A" w:rsidR="00A83055" w:rsidRDefault="00A83055" w:rsidP="00AA45B9"/>
    <w:p w14:paraId="718D7DF8" w14:textId="4B27A7F5" w:rsidR="00392AA9" w:rsidRDefault="00392AA9" w:rsidP="00AA45B9">
      <w:pPr>
        <w:pStyle w:val="ListParagraph"/>
        <w:numPr>
          <w:ilvl w:val="0"/>
          <w:numId w:val="54"/>
        </w:numPr>
      </w:pPr>
      <w:r>
        <w:t>The code to derive probability of consistent condom use. Accessible at:</w:t>
      </w:r>
      <w:r w:rsidRPr="00392AA9">
        <w:t xml:space="preserve"> </w:t>
      </w:r>
      <w:r>
        <w:t>T:\</w:t>
      </w:r>
      <w:r w:rsidRPr="00280B0C">
        <w:t>Health Behavior and Policy</w:t>
      </w:r>
      <w:r>
        <w:t>\</w:t>
      </w:r>
      <w:r w:rsidRPr="00280B0C">
        <w:t>Faculty</w:t>
      </w:r>
      <w:r>
        <w:t>\</w:t>
      </w:r>
      <w:r w:rsidRPr="00280B0C">
        <w:t>Kimmel</w:t>
      </w:r>
      <w:r>
        <w:t>\</w:t>
      </w:r>
      <w:r w:rsidRPr="00280B0C">
        <w:t>Common</w:t>
      </w:r>
      <w:r>
        <w:t>\</w:t>
      </w:r>
      <w:r w:rsidRPr="00280B0C">
        <w:t>Personnel work</w:t>
      </w:r>
      <w:r>
        <w:t>\</w:t>
      </w:r>
      <w:r w:rsidRPr="00280B0C">
        <w:t>Deo</w:t>
      </w:r>
      <w:r>
        <w:t>\</w:t>
      </w:r>
      <w:proofErr w:type="spellStart"/>
      <w:r w:rsidRPr="00280B0C">
        <w:t>IeDEA</w:t>
      </w:r>
      <w:proofErr w:type="spellEnd"/>
      <w:r>
        <w:t>\</w:t>
      </w:r>
      <w:r w:rsidRPr="00280B0C">
        <w:t>HIV Transmission Model-Rwanda</w:t>
      </w:r>
      <w:r>
        <w:t>\</w:t>
      </w:r>
      <w:r w:rsidRPr="00280B0C">
        <w:t>Parameter Inputs</w:t>
      </w:r>
      <w:r>
        <w:t>\Consistent condom use\</w:t>
      </w:r>
      <w:r w:rsidRPr="00392AA9">
        <w:t xml:space="preserve">consistent condom </w:t>
      </w:r>
      <w:proofErr w:type="spellStart"/>
      <w:r w:rsidRPr="00392AA9">
        <w:t>use</w:t>
      </w:r>
      <w:r>
        <w:t>.dta</w:t>
      </w:r>
      <w:proofErr w:type="spellEnd"/>
    </w:p>
    <w:p w14:paraId="32F05E49" w14:textId="3EF7239E" w:rsidR="00392AA9" w:rsidRDefault="00392AA9" w:rsidP="00AA45B9">
      <w:pPr>
        <w:pStyle w:val="ListParagraph"/>
        <w:numPr>
          <w:ilvl w:val="0"/>
          <w:numId w:val="54"/>
        </w:numPr>
      </w:pPr>
      <w:r>
        <w:t>The excel to estimate the sub-population growth rate. Accessible at: T:\</w:t>
      </w:r>
      <w:r w:rsidRPr="00280B0C">
        <w:t>Health Behavior and Policy</w:t>
      </w:r>
      <w:r>
        <w:t>\</w:t>
      </w:r>
      <w:r w:rsidRPr="00280B0C">
        <w:t>Faculty</w:t>
      </w:r>
      <w:r>
        <w:t>\</w:t>
      </w:r>
      <w:r w:rsidRPr="00280B0C">
        <w:t>Kimmel</w:t>
      </w:r>
      <w:r>
        <w:t>\</w:t>
      </w:r>
      <w:r w:rsidRPr="00280B0C">
        <w:t>Common</w:t>
      </w:r>
      <w:r>
        <w:t>\</w:t>
      </w:r>
      <w:r w:rsidRPr="00280B0C">
        <w:t>Personnel work</w:t>
      </w:r>
      <w:r>
        <w:t>\</w:t>
      </w:r>
      <w:r w:rsidRPr="00280B0C">
        <w:t>Deo</w:t>
      </w:r>
      <w:r>
        <w:t>\</w:t>
      </w:r>
      <w:proofErr w:type="spellStart"/>
      <w:r w:rsidRPr="00280B0C">
        <w:t>IeDEA</w:t>
      </w:r>
      <w:proofErr w:type="spellEnd"/>
      <w:r>
        <w:t>\</w:t>
      </w:r>
      <w:r w:rsidRPr="00280B0C">
        <w:t>HIV Transmission Model-Rwanda</w:t>
      </w:r>
      <w:r>
        <w:t>\</w:t>
      </w:r>
      <w:r w:rsidR="008A3C77" w:rsidRPr="008A3C77">
        <w:t>Susceptible Population</w:t>
      </w:r>
      <w:r w:rsidR="008A3C77">
        <w:t>\</w:t>
      </w:r>
      <w:proofErr w:type="spellStart"/>
      <w:r w:rsidR="008A3C77" w:rsidRPr="008A3C77">
        <w:t>Popn</w:t>
      </w:r>
      <w:proofErr w:type="spellEnd"/>
      <w:r w:rsidR="008A3C77" w:rsidRPr="008A3C77">
        <w:t xml:space="preserve"> Projection Method</w:t>
      </w:r>
      <w:r w:rsidR="008A3C77">
        <w:t>\</w:t>
      </w:r>
      <w:r w:rsidR="008A3C77" w:rsidRPr="008A3C77">
        <w:t>Growth rate sub-group, 2003-2045.xlsx</w:t>
      </w:r>
    </w:p>
    <w:p w14:paraId="3F9ECCFF" w14:textId="4BAFD0F7" w:rsidR="00AA45B9" w:rsidRDefault="00AA45B9" w:rsidP="00AA45B9">
      <w:pPr>
        <w:pStyle w:val="ListParagraph"/>
        <w:numPr>
          <w:ilvl w:val="0"/>
          <w:numId w:val="54"/>
        </w:numPr>
      </w:pPr>
      <w:r>
        <w:t xml:space="preserve">The code to derive probability of HIV diagnosis. Accessible at: </w:t>
      </w:r>
      <w:r w:rsidR="00280B0C">
        <w:t>T:\</w:t>
      </w:r>
      <w:r w:rsidR="00280B0C" w:rsidRPr="00280B0C">
        <w:t>Health Behavior and Policy</w:t>
      </w:r>
      <w:r w:rsidR="00280B0C">
        <w:t>\</w:t>
      </w:r>
      <w:r w:rsidR="00280B0C" w:rsidRPr="00280B0C">
        <w:t>Faculty</w:t>
      </w:r>
      <w:r w:rsidR="00280B0C">
        <w:t>\</w:t>
      </w:r>
      <w:r w:rsidR="00280B0C" w:rsidRPr="00280B0C">
        <w:t>Kimmel</w:t>
      </w:r>
      <w:r w:rsidR="00280B0C">
        <w:t>\</w:t>
      </w:r>
      <w:r w:rsidR="00280B0C" w:rsidRPr="00280B0C">
        <w:t>Common</w:t>
      </w:r>
      <w:r w:rsidR="00280B0C">
        <w:t>\</w:t>
      </w:r>
      <w:r w:rsidR="00280B0C" w:rsidRPr="00280B0C">
        <w:t>Personnel work</w:t>
      </w:r>
      <w:r w:rsidR="00280B0C">
        <w:t>\</w:t>
      </w:r>
      <w:r w:rsidR="00280B0C" w:rsidRPr="00280B0C">
        <w:t>Deo</w:t>
      </w:r>
      <w:r w:rsidR="00280B0C">
        <w:t>\</w:t>
      </w:r>
      <w:proofErr w:type="spellStart"/>
      <w:r w:rsidR="00280B0C" w:rsidRPr="00280B0C">
        <w:t>IeDEA</w:t>
      </w:r>
      <w:proofErr w:type="spellEnd"/>
      <w:r w:rsidR="00280B0C">
        <w:t>\</w:t>
      </w:r>
      <w:r w:rsidR="00280B0C" w:rsidRPr="00280B0C">
        <w:t>HIV Transmission Model-Rwanda</w:t>
      </w:r>
      <w:r w:rsidR="00280B0C">
        <w:t>\</w:t>
      </w:r>
      <w:r w:rsidR="00280B0C" w:rsidRPr="00280B0C">
        <w:t>Parameter Inputs</w:t>
      </w:r>
      <w:r w:rsidR="00280B0C">
        <w:t>\</w:t>
      </w:r>
      <w:r w:rsidR="00280B0C" w:rsidRPr="00280B0C">
        <w:t>Probability of diagnosis</w:t>
      </w:r>
      <w:r w:rsidR="00280B0C">
        <w:t>\</w:t>
      </w:r>
      <w:r w:rsidR="00280B0C" w:rsidRPr="00280B0C">
        <w:t>Data</w:t>
      </w:r>
      <w:r w:rsidR="00280B0C">
        <w:t>\</w:t>
      </w:r>
      <w:r w:rsidR="00280B0C" w:rsidRPr="00280B0C">
        <w:t>RW_DHS05_14.dta</w:t>
      </w:r>
    </w:p>
    <w:p w14:paraId="047FD23A" w14:textId="6D165D1E" w:rsidR="00C860B1" w:rsidRDefault="008A3C77" w:rsidP="008A3C77">
      <w:pPr>
        <w:pStyle w:val="ListParagraph"/>
        <w:numPr>
          <w:ilvl w:val="0"/>
          <w:numId w:val="54"/>
        </w:numPr>
      </w:pPr>
      <w:r>
        <w:t xml:space="preserve">The code to derive HIV prevalence as calibration targets. Accessible at: </w:t>
      </w:r>
      <w:commentRangeStart w:id="389"/>
      <w:r w:rsidRPr="00580BE8">
        <w:rPr>
          <w:highlight w:val="yellow"/>
        </w:rPr>
        <w:t>Pending</w:t>
      </w:r>
      <w:commentRangeEnd w:id="389"/>
      <w:r>
        <w:rPr>
          <w:rStyle w:val="CommentReference"/>
        </w:rPr>
        <w:commentReference w:id="389"/>
      </w:r>
    </w:p>
    <w:p w14:paraId="36C0F9D5" w14:textId="7B85353B" w:rsidR="004802AE" w:rsidRDefault="00BC788D" w:rsidP="00AA45B9">
      <w:pPr>
        <w:pStyle w:val="ListParagraph"/>
        <w:numPr>
          <w:ilvl w:val="0"/>
          <w:numId w:val="54"/>
        </w:numPr>
      </w:pPr>
      <w:r>
        <w:t xml:space="preserve">The codes using </w:t>
      </w:r>
      <w:proofErr w:type="spellStart"/>
      <w:r>
        <w:t>IeDEA</w:t>
      </w:r>
      <w:proofErr w:type="spellEnd"/>
      <w:r>
        <w:t xml:space="preserve"> data: </w:t>
      </w:r>
      <w:r w:rsidR="001A05DB">
        <w:t>P</w:t>
      </w:r>
      <w:r>
        <w:t xml:space="preserve">ending. </w:t>
      </w:r>
    </w:p>
    <w:p w14:paraId="7C1DB34F" w14:textId="25CCC16C" w:rsidR="00AA45B9" w:rsidRDefault="00AA45B9" w:rsidP="001A05DB">
      <w:pPr>
        <w:pStyle w:val="ListParagraph"/>
        <w:ind w:left="360"/>
      </w:pPr>
    </w:p>
    <w:p w14:paraId="7B9CF30F" w14:textId="40149A03" w:rsidR="009938AF" w:rsidRDefault="009938AF" w:rsidP="00DC1440">
      <w:pPr>
        <w:pStyle w:val="Heading2"/>
      </w:pPr>
      <w:bookmarkStart w:id="390" w:name="_Ref81781120"/>
      <w:bookmarkStart w:id="391" w:name="_Ref81781132"/>
      <w:bookmarkStart w:id="392" w:name="_Toc82592764"/>
      <w:r>
        <w:t>System of Differen</w:t>
      </w:r>
      <w:r w:rsidR="00D77AB6">
        <w:t>tial</w:t>
      </w:r>
      <w:r>
        <w:t xml:space="preserve"> Equations</w:t>
      </w:r>
      <w:bookmarkEnd w:id="390"/>
      <w:bookmarkEnd w:id="391"/>
      <w:bookmarkEnd w:id="392"/>
    </w:p>
    <w:p w14:paraId="6180F0DE" w14:textId="77777777" w:rsidR="00D77AB6" w:rsidRPr="00CC65CD" w:rsidRDefault="00D77AB6">
      <w:pPr>
        <w:jc w:val="both"/>
        <w:rPr>
          <w:b/>
          <w:bCs/>
          <w:i/>
          <w:color w:val="000000" w:themeColor="text1"/>
        </w:rPr>
      </w:pPr>
    </w:p>
    <w:p w14:paraId="27BCC597" w14:textId="77777777" w:rsidR="00D77AB6" w:rsidRPr="00CC65CD" w:rsidRDefault="00D77AB6">
      <w:pPr>
        <w:jc w:val="both"/>
        <w:rPr>
          <w:i/>
          <w:color w:val="000000" w:themeColor="text1"/>
        </w:rPr>
      </w:pPr>
      <w:r w:rsidRPr="00CC65CD">
        <w:rPr>
          <w:i/>
          <w:color w:val="000000" w:themeColor="text1"/>
        </w:rPr>
        <w:t xml:space="preserve">Susceptible Population  </w:t>
      </w:r>
    </w:p>
    <w:p w14:paraId="0FF4E722" w14:textId="77777777" w:rsidR="00D77AB6" w:rsidRPr="00C14A5A" w:rsidRDefault="00000000">
      <w:pPr>
        <w:jc w:val="both"/>
        <w:rPr>
          <w:b/>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dS</m:t>
              </m:r>
            </m:num>
            <m:den>
              <m:r>
                <m:rPr>
                  <m:sty m:val="p"/>
                </m:rPr>
                <w:rPr>
                  <w:rFonts w:ascii="Cambria Math" w:hAnsi="Cambria Math"/>
                  <w:color w:val="000000" w:themeColor="text1"/>
                </w:rPr>
                <m:t>dt</m:t>
              </m:r>
            </m:den>
          </m:f>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ρ</m:t>
              </m:r>
            </m:e>
            <m:sub>
              <m:r>
                <m:rPr>
                  <m:sty m:val="p"/>
                </m:rPr>
                <w:rPr>
                  <w:rFonts w:ascii="Cambria Math" w:hAnsi="Cambria Math"/>
                  <w:color w:val="000000" w:themeColor="text1"/>
                </w:rPr>
                <m:t>t</m:t>
              </m:r>
            </m:sub>
          </m:sSub>
          <m:r>
            <m:rPr>
              <m:sty m:val="p"/>
            </m:rPr>
            <w:rPr>
              <w:rFonts w:ascii="Cambria Math" w:hAnsi="Cambria Math"/>
              <w:color w:val="000000" w:themeColor="text1"/>
            </w:rPr>
            <m:t>S-</m:t>
          </m:r>
          <m:sSub>
            <m:sSubPr>
              <m:ctrlPr>
                <w:rPr>
                  <w:rFonts w:ascii="Cambria Math" w:hAnsi="Cambria Math"/>
                  <w:iCs/>
                  <w:color w:val="000000" w:themeColor="text1"/>
                </w:rPr>
              </m:ctrlPr>
            </m:sSubPr>
            <m:e>
              <m:r>
                <m:rPr>
                  <m:sty m:val="p"/>
                </m:rPr>
                <w:rPr>
                  <w:rFonts w:ascii="Cambria Math" w:hAnsi="Cambria Math"/>
                  <w:color w:val="000000" w:themeColor="text1"/>
                </w:rPr>
                <m:t>λ</m:t>
              </m:r>
            </m:e>
            <m:sub>
              <m:r>
                <m:rPr>
                  <m:sty m:val="p"/>
                </m:rPr>
                <w:rPr>
                  <w:rFonts w:ascii="Cambria Math" w:hAnsi="Cambria Math"/>
                  <w:color w:val="000000" w:themeColor="text1"/>
                </w:rPr>
                <m:t>tr</m:t>
              </m:r>
            </m:sub>
          </m:sSub>
          <m:r>
            <m:rPr>
              <m:sty m:val="p"/>
            </m:rPr>
            <w:rPr>
              <w:rFonts w:ascii="Cambria Math" w:hAnsi="Cambria Math"/>
              <w:color w:val="000000" w:themeColor="text1"/>
            </w:rPr>
            <m:t xml:space="preserve">S  </m:t>
          </m:r>
        </m:oMath>
      </m:oMathPara>
    </w:p>
    <w:p w14:paraId="4153BC72" w14:textId="77777777" w:rsidR="00D77AB6" w:rsidRPr="00830781" w:rsidRDefault="00D77AB6">
      <w:pPr>
        <w:jc w:val="both"/>
        <w:rPr>
          <w:b/>
          <w:color w:val="000000" w:themeColor="text1"/>
        </w:rPr>
      </w:pPr>
    </w:p>
    <w:p w14:paraId="44714AFD" w14:textId="77777777" w:rsidR="00D77AB6" w:rsidRPr="00CC65CD" w:rsidRDefault="00D77AB6">
      <w:pPr>
        <w:jc w:val="both"/>
        <w:rPr>
          <w:i/>
          <w:color w:val="000000" w:themeColor="text1"/>
        </w:rPr>
      </w:pPr>
      <w:r w:rsidRPr="00CC65CD">
        <w:rPr>
          <w:i/>
          <w:color w:val="000000" w:themeColor="text1"/>
        </w:rPr>
        <w:t>Infected</w:t>
      </w:r>
      <w:r>
        <w:rPr>
          <w:i/>
          <w:color w:val="000000" w:themeColor="text1"/>
        </w:rPr>
        <w:t>, Undiagnosed</w:t>
      </w:r>
    </w:p>
    <w:p w14:paraId="4956A320"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λ</m:t>
              </m:r>
            </m:e>
            <m:sub>
              <m:r>
                <m:rPr>
                  <m:sty m:val="p"/>
                </m:rPr>
                <w:rPr>
                  <w:rFonts w:ascii="Cambria Math" w:hAnsi="Cambria Math"/>
                  <w:color w:val="000000" w:themeColor="text1"/>
                </w:rPr>
                <m:t>tr</m:t>
              </m:r>
            </m:sub>
          </m:sSub>
          <m:r>
            <m:rPr>
              <m:sty m:val="p"/>
            </m:rPr>
            <w:rPr>
              <w:rFonts w:ascii="Cambria Math" w:hAnsi="Cambria Math"/>
              <w:color w:val="000000" w:themeColor="text1"/>
            </w:rPr>
            <m:t>S-</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α</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m:t>
              </m:r>
            </m:sub>
          </m:sSub>
        </m:oMath>
      </m:oMathPara>
    </w:p>
    <w:p w14:paraId="1BBCECF3" w14:textId="77777777" w:rsidR="00D77AB6" w:rsidRPr="00C14A5A" w:rsidRDefault="00000000">
      <w:pPr>
        <w:jc w:val="both"/>
        <w:rPr>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α</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m:t>
              </m:r>
            </m:sub>
          </m:sSub>
        </m:oMath>
      </m:oMathPara>
    </w:p>
    <w:p w14:paraId="39DAF674" w14:textId="77777777" w:rsidR="00D77AB6" w:rsidRPr="00C14A5A" w:rsidRDefault="00000000">
      <w:pPr>
        <w:jc w:val="both"/>
        <w:rPr>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3</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3</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α</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3</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3</m:t>
              </m:r>
            </m:sub>
          </m:sSub>
        </m:oMath>
      </m:oMathPara>
    </w:p>
    <w:p w14:paraId="202D8141" w14:textId="77777777" w:rsidR="00D77AB6" w:rsidRPr="00C14A5A" w:rsidRDefault="00000000">
      <w:pPr>
        <w:jc w:val="both"/>
        <w:rPr>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4</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3</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α</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4</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4</m:t>
              </m:r>
            </m:sub>
          </m:sSub>
        </m:oMath>
      </m:oMathPara>
    </w:p>
    <w:p w14:paraId="0CC46E89" w14:textId="77777777" w:rsidR="00D77AB6" w:rsidRPr="00830781" w:rsidRDefault="00D77AB6">
      <w:pPr>
        <w:jc w:val="both"/>
        <w:rPr>
          <w:b/>
          <w:color w:val="000000" w:themeColor="text1"/>
        </w:rPr>
      </w:pPr>
    </w:p>
    <w:p w14:paraId="66D14207" w14:textId="77777777" w:rsidR="00D77AB6" w:rsidRPr="00CC65CD" w:rsidRDefault="00D77AB6">
      <w:pPr>
        <w:jc w:val="both"/>
        <w:rPr>
          <w:i/>
          <w:color w:val="000000" w:themeColor="text1"/>
        </w:rPr>
      </w:pPr>
      <w:r w:rsidRPr="00CC65CD">
        <w:rPr>
          <w:i/>
          <w:color w:val="000000" w:themeColor="text1"/>
        </w:rPr>
        <w:t>Infected</w:t>
      </w:r>
      <w:r>
        <w:rPr>
          <w:i/>
          <w:color w:val="000000" w:themeColor="text1"/>
        </w:rPr>
        <w:t xml:space="preserve">, </w:t>
      </w:r>
      <w:r w:rsidRPr="00CC65CD">
        <w:rPr>
          <w:i/>
          <w:color w:val="000000" w:themeColor="text1"/>
        </w:rPr>
        <w:t xml:space="preserve">Diagnosed </w:t>
      </w:r>
    </w:p>
    <w:p w14:paraId="04DEF298"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5</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α</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5</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5</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5</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m:t>
              </m:r>
            </m:sub>
          </m:sSub>
        </m:oMath>
      </m:oMathPara>
    </w:p>
    <w:p w14:paraId="780D61D8"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6</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α</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5</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6</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6</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6</m:t>
              </m:r>
            </m:sub>
          </m:sSub>
        </m:oMath>
      </m:oMathPara>
    </w:p>
    <w:p w14:paraId="346F9740"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7</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α</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3</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6</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7</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7</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7</m:t>
              </m:r>
            </m:sub>
          </m:sSub>
        </m:oMath>
      </m:oMathPara>
    </w:p>
    <w:p w14:paraId="380A4ECA"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8</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α</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4</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7</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8</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8</m:t>
              </m:r>
            </m:sub>
          </m:sSub>
        </m:oMath>
      </m:oMathPara>
    </w:p>
    <w:p w14:paraId="7E7D5B5E" w14:textId="77777777" w:rsidR="00D77AB6" w:rsidRPr="00830781" w:rsidRDefault="00D77AB6">
      <w:pPr>
        <w:jc w:val="both"/>
        <w:rPr>
          <w:b/>
          <w:color w:val="000000" w:themeColor="text1"/>
        </w:rPr>
      </w:pPr>
    </w:p>
    <w:p w14:paraId="2A2729FF" w14:textId="77777777" w:rsidR="00D77AB6" w:rsidRPr="00CC65CD" w:rsidRDefault="00D77AB6">
      <w:pPr>
        <w:jc w:val="both"/>
        <w:rPr>
          <w:i/>
          <w:color w:val="000000" w:themeColor="text1"/>
        </w:rPr>
      </w:pPr>
      <w:r w:rsidRPr="00CC65CD">
        <w:rPr>
          <w:i/>
          <w:color w:val="000000" w:themeColor="text1"/>
        </w:rPr>
        <w:t>Infected, Diagnosed and Linked to care</w:t>
      </w:r>
    </w:p>
    <w:p w14:paraId="3B82F76D"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5</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w:hAnsi="Cambria" w:cs="Cambria"/>
                  <w:color w:val="000000" w:themeColor="text1"/>
                </w:rPr>
                <m:t>ϴ</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5</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m:t>
              </m:r>
            </m:sub>
          </m:sSub>
        </m:oMath>
      </m:oMathPara>
    </w:p>
    <w:p w14:paraId="2A5AD7A2"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6</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5</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w:hAnsi="Cambria" w:cs="Cambria"/>
                  <w:color w:val="000000" w:themeColor="text1"/>
                </w:rPr>
                <m:t>ϴ</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6</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m:t>
              </m:r>
            </m:sub>
          </m:sSub>
        </m:oMath>
      </m:oMathPara>
    </w:p>
    <w:p w14:paraId="7A0F1CD1"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7</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5</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6</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w:hAnsi="Cambria" w:cs="Cambria"/>
                  <w:color w:val="000000" w:themeColor="text1"/>
                </w:rPr>
                <m:t>ϴ</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7</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m:t>
              </m:r>
            </m:sub>
          </m:sSub>
        </m:oMath>
      </m:oMathPara>
    </w:p>
    <w:p w14:paraId="30D17C42"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12</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8</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6</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w:hAnsi="Cambria" w:cs="Cambria"/>
                  <w:color w:val="000000" w:themeColor="text1"/>
                </w:rPr>
                <m:t>ϴ</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12</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12</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8</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12</m:t>
              </m:r>
            </m:sub>
          </m:sSub>
        </m:oMath>
      </m:oMathPara>
    </w:p>
    <w:p w14:paraId="6F98AD0A" w14:textId="77777777" w:rsidR="00D77AB6" w:rsidRPr="00830781" w:rsidRDefault="00D77AB6">
      <w:pPr>
        <w:jc w:val="both"/>
        <w:rPr>
          <w:b/>
          <w:color w:val="000000" w:themeColor="text1"/>
        </w:rPr>
      </w:pPr>
    </w:p>
    <w:p w14:paraId="4F335A42" w14:textId="77777777" w:rsidR="00D77AB6" w:rsidRPr="00CC65CD" w:rsidRDefault="00D77AB6">
      <w:pPr>
        <w:jc w:val="both"/>
        <w:rPr>
          <w:i/>
          <w:color w:val="000000" w:themeColor="text1"/>
        </w:rPr>
      </w:pPr>
      <w:r w:rsidRPr="00CC65CD">
        <w:rPr>
          <w:i/>
          <w:color w:val="000000" w:themeColor="text1"/>
        </w:rPr>
        <w:t>Infected, Lost from Care</w:t>
      </w:r>
    </w:p>
    <w:p w14:paraId="001A791C"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13</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5</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17</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9</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13</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13</m:t>
              </m:r>
            </m:sub>
          </m:sSub>
        </m:oMath>
      </m:oMathPara>
    </w:p>
    <w:p w14:paraId="12A4E690"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14</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6</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18</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10</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22</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13</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14</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14</m:t>
              </m:r>
            </m:sub>
          </m:sSub>
        </m:oMath>
      </m:oMathPara>
    </w:p>
    <w:p w14:paraId="5B2DEF6A"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15</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7</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19</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11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23</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14</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15</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15</m:t>
              </m:r>
            </m:sub>
          </m:sSub>
        </m:oMath>
      </m:oMathPara>
    </w:p>
    <w:p w14:paraId="0C469A32"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16</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12</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8</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20</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12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24</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15</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τ</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16</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16</m:t>
              </m:r>
            </m:sub>
          </m:sSub>
        </m:oMath>
      </m:oMathPara>
    </w:p>
    <w:p w14:paraId="0B96304E" w14:textId="77777777" w:rsidR="00D77AB6" w:rsidRPr="00830781" w:rsidRDefault="00D77AB6">
      <w:pPr>
        <w:jc w:val="both"/>
        <w:rPr>
          <w:b/>
          <w:color w:val="000000" w:themeColor="text1"/>
        </w:rPr>
      </w:pPr>
    </w:p>
    <w:p w14:paraId="1BC7E665" w14:textId="77777777" w:rsidR="00D77AB6" w:rsidRPr="00CC65CD" w:rsidRDefault="00D77AB6">
      <w:pPr>
        <w:jc w:val="both"/>
        <w:rPr>
          <w:i/>
          <w:color w:val="000000" w:themeColor="text1"/>
        </w:rPr>
      </w:pPr>
      <w:r w:rsidRPr="00CC65CD">
        <w:rPr>
          <w:i/>
          <w:color w:val="000000" w:themeColor="text1"/>
        </w:rPr>
        <w:t xml:space="preserve">Infected, </w:t>
      </w:r>
      <w:r>
        <w:rPr>
          <w:i/>
          <w:color w:val="000000" w:themeColor="text1"/>
        </w:rPr>
        <w:t xml:space="preserve">On </w:t>
      </w:r>
      <w:r w:rsidRPr="00CC65CD">
        <w:rPr>
          <w:i/>
          <w:color w:val="000000" w:themeColor="text1"/>
        </w:rPr>
        <w:t xml:space="preserve">ART and </w:t>
      </w:r>
      <w:r>
        <w:rPr>
          <w:i/>
          <w:color w:val="000000" w:themeColor="text1"/>
        </w:rPr>
        <w:t xml:space="preserve">Virally </w:t>
      </w:r>
      <w:r w:rsidRPr="00CC65CD">
        <w:rPr>
          <w:i/>
          <w:color w:val="000000" w:themeColor="text1"/>
        </w:rPr>
        <w:t xml:space="preserve">Suppressed </w:t>
      </w:r>
    </w:p>
    <w:p w14:paraId="5EDE8429"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17</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w:hAnsi="Cambria" w:cs="Cambria"/>
                  <w:color w:val="000000" w:themeColor="text1"/>
                </w:rPr>
                <m:t>ϴ</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5</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17</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Ψ</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17</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9</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17</m:t>
              </m:r>
            </m:sub>
          </m:sSub>
        </m:oMath>
      </m:oMathPara>
    </w:p>
    <w:p w14:paraId="19810013"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18</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w:hAnsi="Cambria" w:cs="Cambria"/>
                  <w:color w:val="000000" w:themeColor="text1"/>
                </w:rPr>
                <m:t>ϴ</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6</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18</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Ψ</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18</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10</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18</m:t>
              </m:r>
            </m:sub>
          </m:sSub>
        </m:oMath>
      </m:oMathPara>
    </w:p>
    <w:p w14:paraId="04EC90F4"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19</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w:hAnsi="Cambria" w:cs="Cambria"/>
                  <w:color w:val="000000" w:themeColor="text1"/>
                </w:rPr>
                <m:t>ϴ</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7</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19</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Ψ</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19</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19</m:t>
              </m:r>
            </m:sub>
          </m:sSub>
        </m:oMath>
      </m:oMathPara>
    </w:p>
    <w:p w14:paraId="02818F06"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20</m:t>
                  </m:r>
                </m:sub>
              </m:sSub>
            </m:num>
            <m:den>
              <m:r>
                <m:rPr>
                  <m:sty m:val="p"/>
                </m:rPr>
                <w:rPr>
                  <w:rFonts w:ascii="Cambria Math" w:hAnsi="Cambria Math"/>
                  <w:color w:val="000000" w:themeColor="text1"/>
                </w:rPr>
                <m:t>dt</m:t>
              </m:r>
            </m:den>
          </m:f>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w:hAnsi="Cambria" w:cs="Cambria"/>
                  <w:color w:val="000000" w:themeColor="text1"/>
                </w:rPr>
                <m:t>ϴ</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12</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τ</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16</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8</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20</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Ψ</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20</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20</m:t>
              </m:r>
            </m:sub>
          </m:sSub>
        </m:oMath>
      </m:oMathPara>
    </w:p>
    <w:p w14:paraId="3F589D5D" w14:textId="77777777" w:rsidR="00D77AB6" w:rsidRPr="00830781" w:rsidRDefault="00D77AB6">
      <w:pPr>
        <w:jc w:val="both"/>
        <w:rPr>
          <w:b/>
          <w:color w:val="000000" w:themeColor="text1"/>
        </w:rPr>
      </w:pPr>
    </w:p>
    <w:p w14:paraId="4599DDDE" w14:textId="77777777" w:rsidR="00D77AB6" w:rsidRPr="00CC65CD" w:rsidRDefault="00D77AB6">
      <w:pPr>
        <w:jc w:val="both"/>
        <w:rPr>
          <w:i/>
          <w:color w:val="000000" w:themeColor="text1"/>
        </w:rPr>
      </w:pPr>
      <w:r w:rsidRPr="00CC65CD">
        <w:rPr>
          <w:i/>
          <w:color w:val="000000" w:themeColor="text1"/>
        </w:rPr>
        <w:t xml:space="preserve">Infected, </w:t>
      </w:r>
      <w:r>
        <w:rPr>
          <w:i/>
          <w:color w:val="000000" w:themeColor="text1"/>
        </w:rPr>
        <w:t xml:space="preserve">On </w:t>
      </w:r>
      <w:r w:rsidRPr="00CC65CD">
        <w:rPr>
          <w:i/>
          <w:color w:val="000000" w:themeColor="text1"/>
        </w:rPr>
        <w:t xml:space="preserve">ART and Not </w:t>
      </w:r>
      <w:r>
        <w:rPr>
          <w:i/>
          <w:color w:val="000000" w:themeColor="text1"/>
        </w:rPr>
        <w:t xml:space="preserve">Virally </w:t>
      </w:r>
      <w:r w:rsidRPr="00CC65CD">
        <w:rPr>
          <w:i/>
          <w:color w:val="000000" w:themeColor="text1"/>
        </w:rPr>
        <w:t xml:space="preserve">Suppressed </w:t>
      </w:r>
    </w:p>
    <w:p w14:paraId="3AE15967"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21</m:t>
                  </m:r>
                </m:sub>
              </m:sSub>
            </m:num>
            <m:den>
              <m:r>
                <m:rPr>
                  <m:sty m:val="p"/>
                </m:rPr>
                <w:rPr>
                  <w:rFonts w:ascii="Cambria Math" w:hAnsi="Cambria Math"/>
                  <w:color w:val="000000" w:themeColor="text1"/>
                </w:rPr>
                <m:t>dt</m:t>
              </m:r>
            </m:den>
          </m:f>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Ψ</m:t>
              </m:r>
            </m:e>
            <m:sub>
              <m:r>
                <m:rPr>
                  <m:sty m:val="p"/>
                </m:rPr>
                <w:rPr>
                  <w:rFonts w:ascii="Cambria Math" w:hAnsi="Cambria Math"/>
                  <w:color w:val="000000" w:themeColor="text1"/>
                </w:rPr>
                <m:t>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17</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9</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21</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21</m:t>
              </m:r>
            </m:sub>
          </m:sSub>
        </m:oMath>
      </m:oMathPara>
    </w:p>
    <w:p w14:paraId="722F9064"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22</m:t>
                  </m:r>
                </m:sub>
              </m:sSub>
            </m:num>
            <m:den>
              <m:r>
                <m:rPr>
                  <m:sty m:val="p"/>
                </m:rPr>
                <w:rPr>
                  <w:rFonts w:ascii="Cambria Math" w:hAnsi="Cambria Math"/>
                  <w:color w:val="000000" w:themeColor="text1"/>
                </w:rPr>
                <m:t>dt</m:t>
              </m:r>
            </m:den>
          </m:f>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Ψ</m:t>
              </m:r>
            </m:e>
            <m:sub>
              <m:r>
                <m:rPr>
                  <m:sty m:val="p"/>
                </m:rPr>
                <w:rPr>
                  <w:rFonts w:ascii="Cambria Math" w:hAnsi="Cambria Math"/>
                  <w:color w:val="000000" w:themeColor="text1"/>
                </w:rPr>
                <m:t>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18</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10</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22</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22</m:t>
              </m:r>
            </m:sub>
          </m:sSub>
        </m:oMath>
      </m:oMathPara>
    </w:p>
    <w:p w14:paraId="25C35393"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23</m:t>
                  </m:r>
                </m:sub>
              </m:sSub>
            </m:num>
            <m:den>
              <m:r>
                <m:rPr>
                  <m:sty m:val="p"/>
                </m:rPr>
                <w:rPr>
                  <w:rFonts w:ascii="Cambria Math" w:hAnsi="Cambria Math"/>
                  <w:color w:val="000000" w:themeColor="text1"/>
                </w:rPr>
                <m:t>dt</m:t>
              </m:r>
            </m:den>
          </m:f>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Ψ</m:t>
              </m:r>
            </m:e>
            <m:sub>
              <m:r>
                <m:rPr>
                  <m:sty m:val="p"/>
                </m:rPr>
                <w:rPr>
                  <w:rFonts w:ascii="Cambria Math" w:hAnsi="Cambria Math"/>
                  <w:color w:val="000000" w:themeColor="text1"/>
                </w:rPr>
                <m:t>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19</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11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23</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15</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23</m:t>
              </m:r>
            </m:sub>
          </m:sSub>
        </m:oMath>
      </m:oMathPara>
    </w:p>
    <w:p w14:paraId="516A02FF" w14:textId="77777777" w:rsidR="00D77AB6" w:rsidRPr="00C14A5A" w:rsidRDefault="00000000">
      <w:pPr>
        <w:jc w:val="both"/>
        <w:rPr>
          <w:b/>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24</m:t>
                  </m:r>
                </m:sub>
              </m:sSub>
            </m:num>
            <m:den>
              <m:r>
                <m:rPr>
                  <m:sty m:val="p"/>
                </m:rPr>
                <w:rPr>
                  <w:rFonts w:ascii="Cambria Math" w:hAnsi="Cambria Math"/>
                  <w:color w:val="000000" w:themeColor="text1"/>
                </w:rPr>
                <m:t>dt</m:t>
              </m:r>
            </m:den>
          </m:f>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Ψ</m:t>
              </m:r>
            </m:e>
            <m:sub>
              <m:r>
                <m:rPr>
                  <m:sty m:val="p"/>
                </m:rPr>
                <w:rPr>
                  <w:rFonts w:ascii="Cambria Math" w:hAnsi="Cambria Math"/>
                  <w:color w:val="000000" w:themeColor="text1"/>
                </w:rPr>
                <m:t>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20</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γ</m:t>
              </m:r>
            </m:e>
            <m:sub>
              <m:r>
                <m:rPr>
                  <m:sty m:val="p"/>
                </m:rPr>
                <w:rPr>
                  <w:rFonts w:ascii="Cambria Math" w:hAnsi="Cambria Math"/>
                  <w:color w:val="000000" w:themeColor="text1"/>
                </w:rPr>
                <m:t>12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24</m:t>
              </m:r>
            </m:sub>
          </m:sSub>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16</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24</m:t>
              </m:r>
            </m:sub>
          </m:sSub>
        </m:oMath>
      </m:oMathPara>
    </w:p>
    <w:p w14:paraId="6B01CD3F" w14:textId="77777777" w:rsidR="00D77AB6" w:rsidRPr="00830781" w:rsidRDefault="00D77AB6">
      <w:pPr>
        <w:jc w:val="both"/>
        <w:rPr>
          <w:b/>
          <w:bCs/>
          <w:color w:val="000000" w:themeColor="text1"/>
        </w:rPr>
      </w:pPr>
    </w:p>
    <w:p w14:paraId="3F2BD735" w14:textId="77777777" w:rsidR="00D77AB6" w:rsidRPr="00CC65CD" w:rsidRDefault="00D77AB6">
      <w:pPr>
        <w:jc w:val="both"/>
        <w:rPr>
          <w:bCs/>
          <w:i/>
          <w:color w:val="000000" w:themeColor="text1"/>
        </w:rPr>
      </w:pPr>
      <w:r w:rsidRPr="00CC65CD">
        <w:rPr>
          <w:bCs/>
          <w:i/>
          <w:color w:val="000000" w:themeColor="text1"/>
        </w:rPr>
        <w:t>Dead</w:t>
      </w:r>
    </w:p>
    <w:p w14:paraId="0FEBE6B2" w14:textId="77777777" w:rsidR="00D77AB6" w:rsidRPr="00C14A5A" w:rsidRDefault="00000000">
      <w:pPr>
        <w:jc w:val="both"/>
        <w:rPr>
          <w:rFonts w:eastAsiaTheme="minorEastAsia"/>
          <w:iCs/>
          <w:color w:val="000000" w:themeColor="text1"/>
        </w:rPr>
      </w:pPr>
      <m:oMathPara>
        <m:oMathParaPr>
          <m:jc m:val="left"/>
        </m:oMathParaPr>
        <m:oMath>
          <m:f>
            <m:fPr>
              <m:ctrlPr>
                <w:rPr>
                  <w:rFonts w:ascii="Cambria Math" w:hAnsi="Cambria Math"/>
                  <w:iCs/>
                  <w:color w:val="000000" w:themeColor="text1"/>
                </w:rPr>
              </m:ctrlPr>
            </m:fPr>
            <m:num>
              <m:r>
                <m:rPr>
                  <m:sty m:val="p"/>
                </m:rPr>
                <w:rPr>
                  <w:rFonts w:ascii="Cambria Math" w:hAnsi="Cambria Math"/>
                  <w:color w:val="000000" w:themeColor="text1"/>
                </w:rPr>
                <m:t>dD</m:t>
              </m:r>
            </m:num>
            <m:den>
              <m:r>
                <m:rPr>
                  <m:sty m:val="p"/>
                </m:rPr>
                <w:rPr>
                  <w:rFonts w:ascii="Cambria Math" w:hAnsi="Cambria Math"/>
                  <w:color w:val="000000" w:themeColor="text1"/>
                </w:rPr>
                <m:t>dt</m:t>
              </m:r>
            </m:den>
          </m:f>
          <m:r>
            <m:rPr>
              <m:sty m:val="p"/>
            </m:rPr>
            <w:rPr>
              <w:rFonts w:ascii="Cambria Math" w:hAnsi="Cambria Math"/>
              <w:color w:val="000000" w:themeColor="text1"/>
            </w:rPr>
            <m:t xml:space="preserve">= </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5</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13</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6</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14</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3</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3</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7</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15</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4</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4</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8</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16</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5</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9</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6</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10</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7</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8</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12</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9</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17</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10</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18</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11</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19</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12</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20</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13</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21</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14</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22</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15</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23</m:t>
              </m:r>
            </m:sub>
          </m:sSub>
          <m:r>
            <m:rPr>
              <m:sty m:val="p"/>
            </m:rPr>
            <w:rPr>
              <w:rFonts w:ascii="Cambria Math" w:hAnsi="Cambria Math"/>
              <w:color w:val="000000" w:themeColor="text1"/>
            </w:rPr>
            <m:t>+</m:t>
          </m:r>
          <m:sSub>
            <m:sSubPr>
              <m:ctrlPr>
                <w:rPr>
                  <w:rFonts w:ascii="Cambria Math" w:hAnsi="Cambria Math"/>
                  <w:iCs/>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16</m:t>
              </m:r>
            </m:sub>
          </m:sSub>
          <m:sSub>
            <m:sSubPr>
              <m:ctrlPr>
                <w:rPr>
                  <w:rFonts w:ascii="Cambria Math" w:hAnsi="Cambria Math"/>
                  <w:iCs/>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24</m:t>
              </m:r>
            </m:sub>
          </m:sSub>
        </m:oMath>
      </m:oMathPara>
    </w:p>
    <w:p w14:paraId="67FDF75B" w14:textId="77777777" w:rsidR="00D77AB6" w:rsidRPr="00830781" w:rsidRDefault="00D77AB6">
      <w:pPr>
        <w:jc w:val="both"/>
        <w:rPr>
          <w:rFonts w:eastAsiaTheme="minorEastAsia"/>
          <w:color w:val="000000" w:themeColor="text1"/>
        </w:rPr>
      </w:pPr>
    </w:p>
    <w:p w14:paraId="31BB8A6E" w14:textId="5DD0A062" w:rsidR="00135C42" w:rsidRDefault="00135C42" w:rsidP="00DC1440">
      <w:pPr>
        <w:pStyle w:val="Heading2"/>
      </w:pPr>
      <w:bookmarkStart w:id="393" w:name="_Ref82421792"/>
      <w:bookmarkStart w:id="394" w:name="_Ref82431958"/>
      <w:bookmarkStart w:id="395" w:name="_Ref82431964"/>
      <w:bookmarkStart w:id="396" w:name="_Ref82432113"/>
      <w:bookmarkStart w:id="397" w:name="_Ref82432125"/>
      <w:bookmarkStart w:id="398" w:name="_Ref82432234"/>
      <w:bookmarkStart w:id="399" w:name="_Toc82592765"/>
      <w:r>
        <w:t>Methods to estimate CD4 strata and time-at-risk patient living with HIV</w:t>
      </w:r>
      <w:bookmarkEnd w:id="393"/>
      <w:bookmarkEnd w:id="394"/>
      <w:bookmarkEnd w:id="395"/>
      <w:bookmarkEnd w:id="396"/>
      <w:bookmarkEnd w:id="397"/>
      <w:bookmarkEnd w:id="398"/>
      <w:bookmarkEnd w:id="399"/>
    </w:p>
    <w:p w14:paraId="02BA5DE1" w14:textId="6E4FF3F2" w:rsidR="00135C42" w:rsidRPr="005C44B5" w:rsidRDefault="00135C42">
      <w:pPr>
        <w:jc w:val="both"/>
        <w:rPr>
          <w:b/>
          <w:bCs/>
        </w:rPr>
      </w:pPr>
      <w:r w:rsidRPr="005C44B5">
        <w:t>Estimation of stratum-specific residence time</w:t>
      </w:r>
      <w:r w:rsidR="008142CB">
        <w:t xml:space="preserve"> will be used to inform a variety of analysis including estimated for natural history, LTFU, On ART and viral suppressed, On ART and not viral suppressed, and death.</w:t>
      </w:r>
      <w:r w:rsidRPr="005C44B5">
        <w:t xml:space="preserve"> </w:t>
      </w:r>
      <w:r w:rsidR="008142CB">
        <w:t>It will</w:t>
      </w:r>
      <w:r w:rsidRPr="005C44B5">
        <w:t xml:space="preserve"> be performed </w:t>
      </w:r>
      <w:r w:rsidR="00CD341C">
        <w:t>sequentially in the steps below</w:t>
      </w:r>
      <w:r w:rsidRPr="005C44B5">
        <w:t>:</w:t>
      </w:r>
    </w:p>
    <w:p w14:paraId="328AD88B" w14:textId="4ED1026D" w:rsidR="00135C42" w:rsidRDefault="004E4B9E" w:rsidP="002E50FA">
      <w:pPr>
        <w:pStyle w:val="ListParagraph"/>
        <w:numPr>
          <w:ilvl w:val="0"/>
          <w:numId w:val="17"/>
        </w:numPr>
        <w:jc w:val="both"/>
      </w:pPr>
      <w:r w:rsidRPr="00050905">
        <w:rPr>
          <w:u w:val="single"/>
        </w:rPr>
        <w:t>Estimat</w:t>
      </w:r>
      <w:r>
        <w:rPr>
          <w:u w:val="single"/>
        </w:rPr>
        <w:t>e</w:t>
      </w:r>
      <w:r w:rsidRPr="00050905">
        <w:rPr>
          <w:u w:val="single"/>
        </w:rPr>
        <w:t xml:space="preserve"> </w:t>
      </w:r>
      <w:r w:rsidR="00135C42" w:rsidRPr="00050905">
        <w:rPr>
          <w:u w:val="single"/>
        </w:rPr>
        <w:t>a trendline for CD4 cell count</w:t>
      </w:r>
      <w:r w:rsidR="00135C42" w:rsidRPr="00050905">
        <w:t xml:space="preserve">. A </w:t>
      </w:r>
      <w:commentRangeStart w:id="400"/>
      <w:r w:rsidR="00135C42" w:rsidRPr="00050905">
        <w:t xml:space="preserve">linear trendline </w:t>
      </w:r>
      <w:commentRangeEnd w:id="400"/>
      <w:r w:rsidR="00CD341C">
        <w:rPr>
          <w:rStyle w:val="CommentReference"/>
        </w:rPr>
        <w:commentReference w:id="400"/>
      </w:r>
      <w:r w:rsidR="00135C42" w:rsidRPr="00050905">
        <w:t xml:space="preserve">will be estimated based on a patient’s Pre-ART CD4 cell count measurements starting from time of enrollment in care (i.e., first clinic date recorded) until the censor date of ART initiation or, given no ART initiation, the date of death, transfer, or database closure. </w:t>
      </w:r>
    </w:p>
    <w:p w14:paraId="42E52BE7" w14:textId="77777777" w:rsidR="008142CB" w:rsidRPr="00050905" w:rsidRDefault="008142CB" w:rsidP="008142CB">
      <w:pPr>
        <w:pStyle w:val="ListParagraph"/>
        <w:jc w:val="both"/>
      </w:pPr>
    </w:p>
    <w:p w14:paraId="7F010DFD" w14:textId="65319E91" w:rsidR="008142CB" w:rsidRPr="008142CB" w:rsidRDefault="004E4B9E" w:rsidP="002E50FA">
      <w:pPr>
        <w:pStyle w:val="ListParagraph"/>
        <w:numPr>
          <w:ilvl w:val="0"/>
          <w:numId w:val="17"/>
        </w:numPr>
        <w:jc w:val="both"/>
        <w:rPr>
          <w:u w:val="single"/>
        </w:rPr>
      </w:pPr>
      <w:r w:rsidRPr="00050905">
        <w:rPr>
          <w:u w:val="single"/>
        </w:rPr>
        <w:t>Estimat</w:t>
      </w:r>
      <w:r>
        <w:rPr>
          <w:u w:val="single"/>
        </w:rPr>
        <w:t>e</w:t>
      </w:r>
      <w:r w:rsidRPr="00050905">
        <w:rPr>
          <w:u w:val="single"/>
        </w:rPr>
        <w:t xml:space="preserve"> </w:t>
      </w:r>
      <w:r w:rsidR="00135C42" w:rsidRPr="00050905">
        <w:rPr>
          <w:u w:val="single"/>
        </w:rPr>
        <w:t xml:space="preserve">the CD4 </w:t>
      </w:r>
      <w:r>
        <w:rPr>
          <w:u w:val="single"/>
        </w:rPr>
        <w:t xml:space="preserve">cell count </w:t>
      </w:r>
      <w:r w:rsidR="00135C42" w:rsidRPr="00050905">
        <w:rPr>
          <w:u w:val="single"/>
        </w:rPr>
        <w:t xml:space="preserve">at </w:t>
      </w:r>
      <w:r w:rsidR="008142CB">
        <w:rPr>
          <w:u w:val="single"/>
        </w:rPr>
        <w:t>the date when event or competing risks happens</w:t>
      </w:r>
      <w:r w:rsidR="00135C42" w:rsidRPr="00050905">
        <w:rPr>
          <w:u w:val="single"/>
        </w:rPr>
        <w:t xml:space="preserve">. </w:t>
      </w:r>
      <w:r w:rsidR="00135C42" w:rsidRPr="00050905">
        <w:t xml:space="preserve">We will use the simple linear regression expression to estimate the CD4 </w:t>
      </w:r>
      <w:r w:rsidR="008142CB">
        <w:t>when the</w:t>
      </w:r>
      <w:r w:rsidR="00135C42" w:rsidRPr="00050905">
        <w:t xml:space="preserve"> </w:t>
      </w:r>
      <w:r w:rsidR="008142CB">
        <w:t>e</w:t>
      </w:r>
      <w:r w:rsidR="00135C42" w:rsidRPr="00050905">
        <w:t>vent</w:t>
      </w:r>
      <w:r w:rsidR="008142CB">
        <w:t xml:space="preserve"> or competing risk happens</w:t>
      </w:r>
      <w:r w:rsidR="00135C42" w:rsidRPr="00050905">
        <w:t xml:space="preserve"> based on the time interval (</w:t>
      </w:r>
      <m:oMath>
        <m:sSub>
          <m:sSubPr>
            <m:ctrlPr>
              <w:rPr>
                <w:rFonts w:ascii="Cambria Math" w:hAnsi="Cambria Math"/>
                <w:i/>
              </w:rPr>
            </m:ctrlPr>
          </m:sSubPr>
          <m:e>
            <m:r>
              <w:rPr>
                <w:rFonts w:ascii="Cambria Math" w:hAnsi="Cambria Math"/>
              </w:rPr>
              <m:t>time</m:t>
            </m:r>
          </m:e>
          <m:sub>
            <m:r>
              <w:rPr>
                <w:rFonts w:ascii="Cambria Math" w:hAnsi="Cambria Math"/>
              </w:rPr>
              <m:t>i</m:t>
            </m:r>
          </m:sub>
        </m:sSub>
        <m:r>
          <w:rPr>
            <w:rFonts w:ascii="Cambria Math" w:hAnsi="Cambria Math"/>
          </w:rPr>
          <m:t>)</m:t>
        </m:r>
      </m:oMath>
      <w:r w:rsidR="00135C42" w:rsidRPr="00050905">
        <w:t xml:space="preserve"> between enrollment date a</w:t>
      </w:r>
      <w:r w:rsidR="008142CB">
        <w:t>nd date of event or competing risks</w:t>
      </w:r>
      <w:r>
        <w:t>.</w:t>
      </w:r>
      <w:r w:rsidR="00135C42" w:rsidRPr="00050905">
        <w:t xml:space="preserve"> </w:t>
      </w:r>
      <w:r w:rsidR="008142CB">
        <w:t xml:space="preserve">The event and competing risks are defined depending on the analysis it informs: </w:t>
      </w:r>
    </w:p>
    <w:p w14:paraId="55C8A615" w14:textId="7FC67680" w:rsidR="008142CB" w:rsidRDefault="008142CB" w:rsidP="002E50FA">
      <w:pPr>
        <w:pStyle w:val="ListParagraph"/>
        <w:numPr>
          <w:ilvl w:val="1"/>
          <w:numId w:val="17"/>
        </w:numPr>
        <w:jc w:val="both"/>
      </w:pPr>
      <w:r>
        <w:t xml:space="preserve">For disease progression process: </w:t>
      </w:r>
    </w:p>
    <w:p w14:paraId="198391F2" w14:textId="0F905CA3" w:rsidR="008142CB" w:rsidRDefault="008142CB" w:rsidP="002E50FA">
      <w:pPr>
        <w:pStyle w:val="ListParagraph"/>
        <w:numPr>
          <w:ilvl w:val="2"/>
          <w:numId w:val="17"/>
        </w:numPr>
        <w:jc w:val="both"/>
      </w:pPr>
      <w:r>
        <w:t>Censor: Database closer, transfer, LTFU</w:t>
      </w:r>
    </w:p>
    <w:p w14:paraId="28706B4B" w14:textId="7DC8C03B" w:rsidR="008142CB" w:rsidRDefault="008142CB" w:rsidP="002E50FA">
      <w:pPr>
        <w:pStyle w:val="ListParagraph"/>
        <w:numPr>
          <w:ilvl w:val="2"/>
          <w:numId w:val="17"/>
        </w:numPr>
        <w:jc w:val="both"/>
      </w:pPr>
      <w:r>
        <w:t>Event: Disease progression</w:t>
      </w:r>
    </w:p>
    <w:p w14:paraId="7BD0EF30" w14:textId="77777777" w:rsidR="008142CB" w:rsidRDefault="008142CB" w:rsidP="002E50FA">
      <w:pPr>
        <w:pStyle w:val="ListParagraph"/>
        <w:numPr>
          <w:ilvl w:val="2"/>
          <w:numId w:val="17"/>
        </w:numPr>
        <w:jc w:val="both"/>
      </w:pPr>
      <w:r>
        <w:t>Competing risk: Death, ART initiation</w:t>
      </w:r>
    </w:p>
    <w:p w14:paraId="19750791" w14:textId="77777777" w:rsidR="008142CB" w:rsidRDefault="008142CB" w:rsidP="002E50FA">
      <w:pPr>
        <w:pStyle w:val="ListParagraph"/>
        <w:numPr>
          <w:ilvl w:val="1"/>
          <w:numId w:val="17"/>
        </w:numPr>
        <w:jc w:val="both"/>
      </w:pPr>
      <w:r>
        <w:t>For LTFU:</w:t>
      </w:r>
    </w:p>
    <w:p w14:paraId="3DE0DF5A" w14:textId="7F596D30" w:rsidR="008142CB" w:rsidRDefault="008142CB" w:rsidP="002E50FA">
      <w:pPr>
        <w:pStyle w:val="ListParagraph"/>
        <w:numPr>
          <w:ilvl w:val="2"/>
          <w:numId w:val="17"/>
        </w:numPr>
        <w:jc w:val="both"/>
      </w:pPr>
      <w:r>
        <w:t>Censor: Database closer, transfer, ART initiation for pre-ART</w:t>
      </w:r>
    </w:p>
    <w:p w14:paraId="2E3E271E" w14:textId="6C741F47" w:rsidR="008142CB" w:rsidRDefault="008142CB" w:rsidP="002E50FA">
      <w:pPr>
        <w:pStyle w:val="ListParagraph"/>
        <w:numPr>
          <w:ilvl w:val="2"/>
          <w:numId w:val="17"/>
        </w:numPr>
        <w:jc w:val="both"/>
      </w:pPr>
      <w:r>
        <w:t>Event: LTFU</w:t>
      </w:r>
    </w:p>
    <w:p w14:paraId="216F7E7F" w14:textId="77777777" w:rsidR="008142CB" w:rsidRDefault="008142CB" w:rsidP="002E50FA">
      <w:pPr>
        <w:pStyle w:val="ListParagraph"/>
        <w:numPr>
          <w:ilvl w:val="2"/>
          <w:numId w:val="17"/>
        </w:numPr>
        <w:jc w:val="both"/>
      </w:pPr>
      <w:r>
        <w:t>Competing risk: Death</w:t>
      </w:r>
    </w:p>
    <w:p w14:paraId="4D548462" w14:textId="77777777" w:rsidR="008142CB" w:rsidRDefault="008142CB" w:rsidP="002E50FA">
      <w:pPr>
        <w:pStyle w:val="ListParagraph"/>
        <w:numPr>
          <w:ilvl w:val="1"/>
          <w:numId w:val="17"/>
        </w:numPr>
        <w:jc w:val="both"/>
      </w:pPr>
      <w:r>
        <w:t>For ART and viral suppressed:</w:t>
      </w:r>
    </w:p>
    <w:p w14:paraId="36146BCA" w14:textId="0CDDA51E" w:rsidR="008142CB" w:rsidRDefault="008142CB" w:rsidP="002E50FA">
      <w:pPr>
        <w:pStyle w:val="ListParagraph"/>
        <w:numPr>
          <w:ilvl w:val="2"/>
          <w:numId w:val="17"/>
        </w:numPr>
        <w:jc w:val="both"/>
      </w:pPr>
      <w:r>
        <w:t>Censor: Database closer, transfer, ART initiation</w:t>
      </w:r>
    </w:p>
    <w:p w14:paraId="262F881A" w14:textId="5929DD1C" w:rsidR="008142CB" w:rsidRDefault="008142CB" w:rsidP="002E50FA">
      <w:pPr>
        <w:pStyle w:val="ListParagraph"/>
        <w:numPr>
          <w:ilvl w:val="2"/>
          <w:numId w:val="17"/>
        </w:numPr>
        <w:jc w:val="both"/>
      </w:pPr>
      <w:r>
        <w:t>Event: Viral suppression</w:t>
      </w:r>
    </w:p>
    <w:p w14:paraId="0885032C" w14:textId="7BBD0894" w:rsidR="008142CB" w:rsidRDefault="008142CB" w:rsidP="002E50FA">
      <w:pPr>
        <w:pStyle w:val="ListParagraph"/>
        <w:numPr>
          <w:ilvl w:val="2"/>
          <w:numId w:val="17"/>
        </w:numPr>
        <w:jc w:val="both"/>
      </w:pPr>
      <w:r>
        <w:t>Competing risk: Death, LTFU</w:t>
      </w:r>
    </w:p>
    <w:p w14:paraId="1DFF0E2E" w14:textId="1B7DBFE8" w:rsidR="008142CB" w:rsidRDefault="008142CB" w:rsidP="002E50FA">
      <w:pPr>
        <w:pStyle w:val="ListParagraph"/>
        <w:numPr>
          <w:ilvl w:val="1"/>
          <w:numId w:val="17"/>
        </w:numPr>
        <w:jc w:val="both"/>
      </w:pPr>
      <w:r>
        <w:t>For ART and not viral suppressed</w:t>
      </w:r>
    </w:p>
    <w:p w14:paraId="58724AF5" w14:textId="33B26FB2" w:rsidR="008142CB" w:rsidRDefault="008142CB" w:rsidP="002E50FA">
      <w:pPr>
        <w:pStyle w:val="ListParagraph"/>
        <w:numPr>
          <w:ilvl w:val="2"/>
          <w:numId w:val="17"/>
        </w:numPr>
        <w:jc w:val="both"/>
      </w:pPr>
      <w:r>
        <w:t>Censor: Database closer, transfer</w:t>
      </w:r>
    </w:p>
    <w:p w14:paraId="65E83D73" w14:textId="2E143642" w:rsidR="008142CB" w:rsidRDefault="008142CB" w:rsidP="002E50FA">
      <w:pPr>
        <w:pStyle w:val="ListParagraph"/>
        <w:numPr>
          <w:ilvl w:val="2"/>
          <w:numId w:val="17"/>
        </w:numPr>
        <w:jc w:val="both"/>
      </w:pPr>
      <w:r>
        <w:t>Event: Virological failure</w:t>
      </w:r>
    </w:p>
    <w:p w14:paraId="6A8F9B54" w14:textId="5C9AE6C1" w:rsidR="008142CB" w:rsidRDefault="008142CB" w:rsidP="002E50FA">
      <w:pPr>
        <w:pStyle w:val="ListParagraph"/>
        <w:numPr>
          <w:ilvl w:val="2"/>
          <w:numId w:val="17"/>
        </w:numPr>
        <w:jc w:val="both"/>
      </w:pPr>
      <w:r>
        <w:t>Competing risk: Death, LTFU</w:t>
      </w:r>
    </w:p>
    <w:p w14:paraId="71D76B86" w14:textId="5F73DF92" w:rsidR="008142CB" w:rsidRDefault="008142CB" w:rsidP="002E50FA">
      <w:pPr>
        <w:pStyle w:val="ListParagraph"/>
        <w:numPr>
          <w:ilvl w:val="1"/>
          <w:numId w:val="17"/>
        </w:numPr>
        <w:jc w:val="both"/>
      </w:pPr>
      <w:r>
        <w:t>For Death:</w:t>
      </w:r>
    </w:p>
    <w:p w14:paraId="7B54D10E" w14:textId="78DE5730" w:rsidR="008142CB" w:rsidRDefault="008142CB" w:rsidP="002E50FA">
      <w:pPr>
        <w:pStyle w:val="ListParagraph"/>
        <w:numPr>
          <w:ilvl w:val="2"/>
          <w:numId w:val="17"/>
        </w:numPr>
        <w:jc w:val="both"/>
      </w:pPr>
      <w:r>
        <w:t>Censor: Database closer, transfer, LTFU, ART initiation for pre-ART</w:t>
      </w:r>
    </w:p>
    <w:p w14:paraId="50203794" w14:textId="650D61D7" w:rsidR="008142CB" w:rsidRPr="008142CB" w:rsidRDefault="008142CB" w:rsidP="002E50FA">
      <w:pPr>
        <w:pStyle w:val="ListParagraph"/>
        <w:numPr>
          <w:ilvl w:val="2"/>
          <w:numId w:val="17"/>
        </w:numPr>
        <w:jc w:val="both"/>
      </w:pPr>
      <w:r>
        <w:t>Event: Death</w:t>
      </w:r>
    </w:p>
    <w:p w14:paraId="4AF98D34" w14:textId="77777777" w:rsidR="00135C42" w:rsidRPr="00050905" w:rsidRDefault="00135C42">
      <w:pPr>
        <w:pStyle w:val="ListParagraph"/>
        <w:jc w:val="both"/>
        <w:rPr>
          <w:u w:val="single"/>
        </w:rPr>
      </w:pPr>
    </w:p>
    <w:p w14:paraId="62AAE226" w14:textId="1C96AFE7" w:rsidR="00135C42" w:rsidRPr="00050905" w:rsidRDefault="004E4B9E" w:rsidP="002E50FA">
      <w:pPr>
        <w:pStyle w:val="ListParagraph"/>
        <w:numPr>
          <w:ilvl w:val="0"/>
          <w:numId w:val="17"/>
        </w:numPr>
        <w:jc w:val="both"/>
      </w:pPr>
      <w:r w:rsidRPr="00050905">
        <w:rPr>
          <w:u w:val="single"/>
        </w:rPr>
        <w:lastRenderedPageBreak/>
        <w:t>Estimat</w:t>
      </w:r>
      <w:r>
        <w:rPr>
          <w:u w:val="single"/>
        </w:rPr>
        <w:t>e</w:t>
      </w:r>
      <w:r w:rsidRPr="00050905">
        <w:rPr>
          <w:u w:val="single"/>
        </w:rPr>
        <w:t xml:space="preserve"> </w:t>
      </w:r>
      <w:r w:rsidR="00135C42" w:rsidRPr="00050905">
        <w:rPr>
          <w:u w:val="single"/>
        </w:rPr>
        <w:t>time</w:t>
      </w:r>
      <w:r w:rsidR="008142CB">
        <w:rPr>
          <w:u w:val="single"/>
        </w:rPr>
        <w:t xml:space="preserve"> interval</w:t>
      </w:r>
      <w:r w:rsidR="00135C42" w:rsidRPr="00050905">
        <w:rPr>
          <w:u w:val="single"/>
        </w:rPr>
        <w:t xml:space="preserve"> to reach CD4 stratum threshold</w:t>
      </w:r>
      <w:r w:rsidR="00135C42" w:rsidRPr="00050905">
        <w:t>. We will use the fitted regression line in step 1 to estimate the time</w:t>
      </w:r>
      <w:r w:rsidR="008142CB">
        <w:t xml:space="preserve"> interval</w:t>
      </w:r>
      <w:r w:rsidR="00135C42" w:rsidRPr="00050905">
        <w:t xml:space="preserve"> (for example, in days) each patient takes to reach each of the CD4 cell count stratum threshold</w:t>
      </w:r>
      <w:r>
        <w:t>s</w:t>
      </w:r>
      <w:r w:rsidR="00135C42" w:rsidRPr="00050905">
        <w:t xml:space="preserve"> (</w:t>
      </w:r>
      <w:r w:rsidR="00135C42" w:rsidRPr="008142CB">
        <w:t>500, 350, and 2</w:t>
      </w:r>
      <w:r w:rsidR="008142CB">
        <w:t>00</w:t>
      </w:r>
      <w:r w:rsidR="00135C42" w:rsidRPr="00050905">
        <w:t xml:space="preserve">) before Event date. </w:t>
      </w:r>
    </w:p>
    <w:p w14:paraId="50B2B8F9" w14:textId="77777777" w:rsidR="00135C42" w:rsidRPr="00050905" w:rsidRDefault="00135C42">
      <w:pPr>
        <w:pStyle w:val="ListParagraph"/>
        <w:jc w:val="both"/>
      </w:pPr>
    </w:p>
    <w:p w14:paraId="736F1B3F" w14:textId="10AA3EAB" w:rsidR="00135C42" w:rsidRPr="00050905" w:rsidRDefault="004E4B9E" w:rsidP="002E50FA">
      <w:pPr>
        <w:pStyle w:val="ListParagraph"/>
        <w:numPr>
          <w:ilvl w:val="0"/>
          <w:numId w:val="17"/>
        </w:numPr>
        <w:jc w:val="both"/>
      </w:pPr>
      <w:r w:rsidRPr="00050905">
        <w:rPr>
          <w:u w:val="single"/>
        </w:rPr>
        <w:t>Calculat</w:t>
      </w:r>
      <w:r>
        <w:rPr>
          <w:u w:val="single"/>
        </w:rPr>
        <w:t>e</w:t>
      </w:r>
      <w:r w:rsidRPr="00050905">
        <w:rPr>
          <w:u w:val="single"/>
        </w:rPr>
        <w:t xml:space="preserve"> </w:t>
      </w:r>
      <w:r w:rsidR="00135C42" w:rsidRPr="00050905">
        <w:rPr>
          <w:u w:val="single"/>
        </w:rPr>
        <w:t>CD4 stratum-specific residence time</w:t>
      </w:r>
      <w:r w:rsidR="00135C42" w:rsidRPr="00050905">
        <w:t xml:space="preserve">. We calculate CD4 stratum-specific residence time, which represents the time at risk for LTFU within a given CD4 cell count stratum, by taking the difference in time to reach successive CD4 stratum thresholds before Event date. </w:t>
      </w:r>
    </w:p>
    <w:p w14:paraId="08752438" w14:textId="77777777" w:rsidR="00135C42" w:rsidRPr="005E7705" w:rsidRDefault="00135C42">
      <w:pPr>
        <w:jc w:val="both"/>
      </w:pPr>
    </w:p>
    <w:p w14:paraId="10FB3437" w14:textId="58337329" w:rsidR="00135C42" w:rsidRDefault="00135C42" w:rsidP="002E50FA">
      <w:pPr>
        <w:pStyle w:val="ListParagraph"/>
        <w:numPr>
          <w:ilvl w:val="0"/>
          <w:numId w:val="17"/>
        </w:numPr>
        <w:jc w:val="both"/>
      </w:pPr>
      <w:r w:rsidRPr="005E7705">
        <w:rPr>
          <w:u w:val="single"/>
        </w:rPr>
        <w:t xml:space="preserve">Step 5: Assign </w:t>
      </w:r>
      <w:r>
        <w:rPr>
          <w:u w:val="single"/>
        </w:rPr>
        <w:t>Event value</w:t>
      </w:r>
      <w:r w:rsidRPr="005E7705">
        <w:t xml:space="preserve">: </w:t>
      </w:r>
      <w:r>
        <w:t>W</w:t>
      </w:r>
      <w:r w:rsidRPr="005E7705">
        <w:t xml:space="preserve">e </w:t>
      </w:r>
      <w:r>
        <w:t xml:space="preserve">will </w:t>
      </w:r>
      <w:r w:rsidRPr="005E7705">
        <w:t>assign the event</w:t>
      </w:r>
      <w:r>
        <w:t>s a censor (</w:t>
      </w:r>
      <m:oMath>
        <m:sSub>
          <m:sSubPr>
            <m:ctrlPr>
              <w:rPr>
                <w:rFonts w:ascii="Cambria Math" w:hAnsi="Cambria Math"/>
                <w:i/>
              </w:rPr>
            </m:ctrlPr>
          </m:sSubPr>
          <m:e>
            <m:r>
              <w:rPr>
                <w:rFonts w:ascii="Cambria Math" w:hAnsi="Cambria Math"/>
              </w:rPr>
              <m:t>event</m:t>
            </m:r>
          </m:e>
          <m:sub>
            <m:r>
              <w:rPr>
                <w:rFonts w:ascii="Cambria Math" w:hAnsi="Cambria Math"/>
              </w:rPr>
              <m:t>i</m:t>
            </m:r>
          </m:sub>
        </m:sSub>
        <m:r>
          <w:rPr>
            <w:rFonts w:ascii="Cambria Math" w:hAnsi="Cambria Math"/>
          </w:rPr>
          <m:t>=0</m:t>
        </m:r>
      </m:oMath>
      <w:r>
        <w:t>), event (</w:t>
      </w:r>
      <m:oMath>
        <m:sSub>
          <m:sSubPr>
            <m:ctrlPr>
              <w:rPr>
                <w:rFonts w:ascii="Cambria Math" w:hAnsi="Cambria Math"/>
                <w:i/>
              </w:rPr>
            </m:ctrlPr>
          </m:sSubPr>
          <m:e>
            <m:r>
              <w:rPr>
                <w:rFonts w:ascii="Cambria Math" w:hAnsi="Cambria Math"/>
              </w:rPr>
              <m:t>event</m:t>
            </m:r>
          </m:e>
          <m:sub>
            <m:r>
              <w:rPr>
                <w:rFonts w:ascii="Cambria Math" w:hAnsi="Cambria Math"/>
              </w:rPr>
              <m:t>i</m:t>
            </m:r>
          </m:sub>
        </m:sSub>
        <m:r>
          <w:rPr>
            <w:rFonts w:ascii="Cambria Math" w:hAnsi="Cambria Math"/>
          </w:rPr>
          <m:t>=1</m:t>
        </m:r>
      </m:oMath>
      <w:r>
        <w:t>), and competing risk (</w:t>
      </w:r>
      <m:oMath>
        <m:sSub>
          <m:sSubPr>
            <m:ctrlPr>
              <w:rPr>
                <w:rFonts w:ascii="Cambria Math" w:hAnsi="Cambria Math"/>
                <w:i/>
              </w:rPr>
            </m:ctrlPr>
          </m:sSubPr>
          <m:e>
            <m:r>
              <w:rPr>
                <w:rFonts w:ascii="Cambria Math" w:hAnsi="Cambria Math"/>
              </w:rPr>
              <m:t>event</m:t>
            </m:r>
          </m:e>
          <m:sub>
            <m:r>
              <w:rPr>
                <w:rFonts w:ascii="Cambria Math" w:hAnsi="Cambria Math"/>
              </w:rPr>
              <m:t>i</m:t>
            </m:r>
          </m:sub>
        </m:sSub>
        <m:r>
          <w:rPr>
            <w:rFonts w:ascii="Cambria Math" w:hAnsi="Cambria Math"/>
          </w:rPr>
          <m:t>=2</m:t>
        </m:r>
      </m:oMath>
      <w:r>
        <w:t xml:space="preserve">). Death is the only exception where no competing risk is assigned. </w:t>
      </w:r>
    </w:p>
    <w:p w14:paraId="5852F9EB" w14:textId="199443D8" w:rsidR="00833C8B" w:rsidRPr="002F0556" w:rsidRDefault="00833C8B" w:rsidP="00580BE8">
      <w:pPr>
        <w:pStyle w:val="Heading2"/>
      </w:pPr>
      <w:bookmarkStart w:id="401" w:name="_Toc81777629"/>
      <w:bookmarkStart w:id="402" w:name="_Toc81777630"/>
      <w:bookmarkStart w:id="403" w:name="_Toc81777631"/>
      <w:bookmarkStart w:id="404" w:name="_Toc81777632"/>
      <w:bookmarkStart w:id="405" w:name="_Toc81777633"/>
      <w:bookmarkStart w:id="406" w:name="_Toc81777634"/>
      <w:bookmarkStart w:id="407" w:name="_Toc81777635"/>
      <w:bookmarkStart w:id="408" w:name="_Ref82421937"/>
      <w:bookmarkStart w:id="409" w:name="_Toc82592766"/>
      <w:bookmarkEnd w:id="401"/>
      <w:bookmarkEnd w:id="402"/>
      <w:bookmarkEnd w:id="403"/>
      <w:bookmarkEnd w:id="404"/>
      <w:bookmarkEnd w:id="405"/>
      <w:bookmarkEnd w:id="406"/>
      <w:bookmarkEnd w:id="407"/>
      <w:r w:rsidRPr="004E4B9E">
        <w:t xml:space="preserve">Average monthly population growth rate, </w:t>
      </w:r>
      <w:r w:rsidR="00E861FA">
        <w:t>by sub-</w:t>
      </w:r>
      <w:proofErr w:type="spellStart"/>
      <w:r w:rsidR="00E861FA">
        <w:t>population</w:t>
      </w:r>
      <w:r w:rsidRPr="004E4B9E">
        <w:rPr>
          <w:vertAlign w:val="superscript"/>
        </w:rPr>
        <w:t>a</w:t>
      </w:r>
      <w:bookmarkEnd w:id="408"/>
      <w:bookmarkEnd w:id="409"/>
      <w:proofErr w:type="spellEnd"/>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602"/>
        <w:gridCol w:w="2702"/>
        <w:gridCol w:w="3046"/>
      </w:tblGrid>
      <w:tr w:rsidR="00833C8B" w:rsidRPr="00510203" w14:paraId="4A17A1B1" w14:textId="77777777" w:rsidTr="00B11104">
        <w:trPr>
          <w:trHeight w:val="300"/>
        </w:trPr>
        <w:tc>
          <w:tcPr>
            <w:tcW w:w="1926" w:type="pct"/>
            <w:tcBorders>
              <w:top w:val="single" w:sz="4" w:space="0" w:color="auto"/>
              <w:bottom w:val="single" w:sz="4" w:space="0" w:color="auto"/>
            </w:tcBorders>
            <w:shd w:val="clear" w:color="auto" w:fill="auto"/>
            <w:noWrap/>
            <w:vAlign w:val="bottom"/>
            <w:hideMark/>
          </w:tcPr>
          <w:p w14:paraId="024A920E" w14:textId="77777777" w:rsidR="00833C8B" w:rsidRPr="00510203" w:rsidRDefault="00833C8B" w:rsidP="00A4646C">
            <w:pPr>
              <w:rPr>
                <w:b/>
                <w:bCs/>
                <w:color w:val="000000"/>
                <w:sz w:val="20"/>
                <w:szCs w:val="20"/>
              </w:rPr>
            </w:pPr>
            <w:r w:rsidRPr="00510203">
              <w:rPr>
                <w:b/>
                <w:bCs/>
                <w:color w:val="000000"/>
                <w:sz w:val="20"/>
                <w:szCs w:val="20"/>
              </w:rPr>
              <w:t>Sub-population</w:t>
            </w:r>
          </w:p>
        </w:tc>
        <w:tc>
          <w:tcPr>
            <w:tcW w:w="1445" w:type="pct"/>
            <w:tcBorders>
              <w:top w:val="single" w:sz="4" w:space="0" w:color="auto"/>
              <w:bottom w:val="single" w:sz="4" w:space="0" w:color="auto"/>
            </w:tcBorders>
            <w:shd w:val="clear" w:color="auto" w:fill="auto"/>
            <w:noWrap/>
            <w:vAlign w:val="bottom"/>
            <w:hideMark/>
          </w:tcPr>
          <w:p w14:paraId="01D1C2DC" w14:textId="77777777" w:rsidR="00833C8B" w:rsidRPr="00510203" w:rsidRDefault="00833C8B" w:rsidP="001D10D4">
            <w:pPr>
              <w:rPr>
                <w:b/>
                <w:bCs/>
                <w:color w:val="000000"/>
                <w:sz w:val="20"/>
                <w:szCs w:val="20"/>
              </w:rPr>
            </w:pPr>
            <w:r w:rsidRPr="00510203">
              <w:rPr>
                <w:b/>
                <w:bCs/>
                <w:color w:val="000000"/>
                <w:sz w:val="20"/>
                <w:szCs w:val="20"/>
              </w:rPr>
              <w:t>Monthly growth rate</w:t>
            </w:r>
          </w:p>
        </w:tc>
        <w:tc>
          <w:tcPr>
            <w:tcW w:w="1629" w:type="pct"/>
            <w:tcBorders>
              <w:top w:val="single" w:sz="4" w:space="0" w:color="auto"/>
              <w:bottom w:val="single" w:sz="4" w:space="0" w:color="auto"/>
            </w:tcBorders>
            <w:shd w:val="clear" w:color="auto" w:fill="auto"/>
            <w:noWrap/>
            <w:vAlign w:val="bottom"/>
            <w:hideMark/>
          </w:tcPr>
          <w:p w14:paraId="672D25FF" w14:textId="77777777" w:rsidR="00833C8B" w:rsidRPr="00510203" w:rsidRDefault="00833C8B" w:rsidP="00527179">
            <w:pPr>
              <w:rPr>
                <w:b/>
                <w:bCs/>
                <w:color w:val="000000"/>
                <w:sz w:val="20"/>
                <w:szCs w:val="20"/>
              </w:rPr>
            </w:pPr>
            <w:r w:rsidRPr="00510203">
              <w:rPr>
                <w:b/>
                <w:bCs/>
                <w:color w:val="000000"/>
                <w:sz w:val="20"/>
                <w:szCs w:val="20"/>
              </w:rPr>
              <w:t>95% Confidence Interval</w:t>
            </w:r>
          </w:p>
        </w:tc>
      </w:tr>
      <w:tr w:rsidR="00833C8B" w:rsidRPr="00510203" w14:paraId="27FE7D79" w14:textId="77777777" w:rsidTr="00B11104">
        <w:trPr>
          <w:trHeight w:val="300"/>
        </w:trPr>
        <w:tc>
          <w:tcPr>
            <w:tcW w:w="1926" w:type="pct"/>
            <w:tcBorders>
              <w:top w:val="single" w:sz="4" w:space="0" w:color="auto"/>
              <w:bottom w:val="nil"/>
            </w:tcBorders>
            <w:shd w:val="clear" w:color="auto" w:fill="auto"/>
            <w:noWrap/>
            <w:vAlign w:val="bottom"/>
            <w:hideMark/>
          </w:tcPr>
          <w:p w14:paraId="07A2D161" w14:textId="77777777" w:rsidR="00833C8B" w:rsidRPr="00510203" w:rsidRDefault="00833C8B" w:rsidP="00A4646C">
            <w:pPr>
              <w:rPr>
                <w:color w:val="000000"/>
                <w:sz w:val="20"/>
                <w:szCs w:val="20"/>
              </w:rPr>
            </w:pPr>
            <w:r w:rsidRPr="00510203">
              <w:rPr>
                <w:color w:val="000000"/>
                <w:sz w:val="20"/>
                <w:szCs w:val="20"/>
              </w:rPr>
              <w:t>Low-risk urban women (15-24)</w:t>
            </w:r>
          </w:p>
        </w:tc>
        <w:tc>
          <w:tcPr>
            <w:tcW w:w="1445" w:type="pct"/>
            <w:tcBorders>
              <w:top w:val="single" w:sz="4" w:space="0" w:color="auto"/>
              <w:bottom w:val="nil"/>
            </w:tcBorders>
            <w:shd w:val="clear" w:color="auto" w:fill="auto"/>
            <w:noWrap/>
            <w:vAlign w:val="bottom"/>
            <w:hideMark/>
          </w:tcPr>
          <w:p w14:paraId="0C47340F" w14:textId="77777777" w:rsidR="00833C8B" w:rsidRPr="00510203" w:rsidRDefault="00833C8B" w:rsidP="001D10D4">
            <w:pPr>
              <w:jc w:val="center"/>
              <w:rPr>
                <w:color w:val="000000"/>
                <w:sz w:val="20"/>
                <w:szCs w:val="20"/>
              </w:rPr>
            </w:pPr>
            <w:r w:rsidRPr="00510203">
              <w:rPr>
                <w:color w:val="000000"/>
                <w:sz w:val="20"/>
                <w:szCs w:val="20"/>
              </w:rPr>
              <w:t>0.20%</w:t>
            </w:r>
          </w:p>
        </w:tc>
        <w:tc>
          <w:tcPr>
            <w:tcW w:w="1629" w:type="pct"/>
            <w:tcBorders>
              <w:top w:val="single" w:sz="4" w:space="0" w:color="auto"/>
              <w:bottom w:val="nil"/>
            </w:tcBorders>
            <w:shd w:val="clear" w:color="auto" w:fill="auto"/>
            <w:noWrap/>
            <w:vAlign w:val="bottom"/>
            <w:hideMark/>
          </w:tcPr>
          <w:p w14:paraId="22A4D14F" w14:textId="77777777" w:rsidR="00833C8B" w:rsidRPr="00510203" w:rsidRDefault="00833C8B" w:rsidP="00527179">
            <w:pPr>
              <w:jc w:val="center"/>
              <w:rPr>
                <w:color w:val="000000"/>
                <w:sz w:val="20"/>
                <w:szCs w:val="20"/>
              </w:rPr>
            </w:pPr>
            <w:r w:rsidRPr="00510203">
              <w:rPr>
                <w:color w:val="000000"/>
                <w:sz w:val="20"/>
                <w:szCs w:val="20"/>
              </w:rPr>
              <w:t>(0.17%, 0.23%)</w:t>
            </w:r>
          </w:p>
        </w:tc>
      </w:tr>
      <w:tr w:rsidR="00833C8B" w:rsidRPr="00510203" w14:paraId="09ED606F" w14:textId="77777777" w:rsidTr="00B11104">
        <w:trPr>
          <w:trHeight w:val="300"/>
        </w:trPr>
        <w:tc>
          <w:tcPr>
            <w:tcW w:w="1926" w:type="pct"/>
            <w:tcBorders>
              <w:top w:val="nil"/>
              <w:bottom w:val="nil"/>
            </w:tcBorders>
            <w:shd w:val="clear" w:color="auto" w:fill="auto"/>
            <w:noWrap/>
            <w:vAlign w:val="bottom"/>
            <w:hideMark/>
          </w:tcPr>
          <w:p w14:paraId="69204027" w14:textId="77777777" w:rsidR="00833C8B" w:rsidRPr="00510203" w:rsidRDefault="00833C8B" w:rsidP="00A4646C">
            <w:pPr>
              <w:rPr>
                <w:color w:val="000000"/>
                <w:sz w:val="20"/>
                <w:szCs w:val="20"/>
              </w:rPr>
            </w:pPr>
            <w:r w:rsidRPr="00510203">
              <w:rPr>
                <w:color w:val="000000"/>
                <w:sz w:val="20"/>
                <w:szCs w:val="20"/>
              </w:rPr>
              <w:t>Low-risk urban women (25-34)</w:t>
            </w:r>
          </w:p>
        </w:tc>
        <w:tc>
          <w:tcPr>
            <w:tcW w:w="1445" w:type="pct"/>
            <w:tcBorders>
              <w:top w:val="nil"/>
              <w:bottom w:val="nil"/>
            </w:tcBorders>
            <w:shd w:val="clear" w:color="auto" w:fill="auto"/>
            <w:noWrap/>
            <w:vAlign w:val="bottom"/>
            <w:hideMark/>
          </w:tcPr>
          <w:p w14:paraId="154A1706" w14:textId="77777777" w:rsidR="00833C8B" w:rsidRPr="00510203" w:rsidRDefault="00833C8B" w:rsidP="001D10D4">
            <w:pPr>
              <w:jc w:val="center"/>
              <w:rPr>
                <w:color w:val="000000"/>
                <w:sz w:val="20"/>
                <w:szCs w:val="20"/>
              </w:rPr>
            </w:pPr>
            <w:r w:rsidRPr="00510203">
              <w:rPr>
                <w:color w:val="000000"/>
                <w:sz w:val="20"/>
                <w:szCs w:val="20"/>
              </w:rPr>
              <w:t>0.30%</w:t>
            </w:r>
          </w:p>
        </w:tc>
        <w:tc>
          <w:tcPr>
            <w:tcW w:w="1629" w:type="pct"/>
            <w:tcBorders>
              <w:top w:val="nil"/>
              <w:bottom w:val="nil"/>
            </w:tcBorders>
            <w:shd w:val="clear" w:color="auto" w:fill="auto"/>
            <w:noWrap/>
            <w:vAlign w:val="bottom"/>
            <w:hideMark/>
          </w:tcPr>
          <w:p w14:paraId="56620883" w14:textId="77777777" w:rsidR="00833C8B" w:rsidRPr="00510203" w:rsidRDefault="00833C8B" w:rsidP="00527179">
            <w:pPr>
              <w:jc w:val="center"/>
              <w:rPr>
                <w:color w:val="000000"/>
                <w:sz w:val="20"/>
                <w:szCs w:val="20"/>
              </w:rPr>
            </w:pPr>
            <w:r w:rsidRPr="00510203">
              <w:rPr>
                <w:color w:val="000000"/>
                <w:sz w:val="20"/>
                <w:szCs w:val="20"/>
              </w:rPr>
              <w:t>(0.26%, 0.34%)</w:t>
            </w:r>
          </w:p>
        </w:tc>
      </w:tr>
      <w:tr w:rsidR="00833C8B" w:rsidRPr="00510203" w14:paraId="29C4F6B1" w14:textId="77777777" w:rsidTr="00B11104">
        <w:trPr>
          <w:trHeight w:val="300"/>
        </w:trPr>
        <w:tc>
          <w:tcPr>
            <w:tcW w:w="1926" w:type="pct"/>
            <w:tcBorders>
              <w:top w:val="nil"/>
              <w:bottom w:val="nil"/>
            </w:tcBorders>
            <w:shd w:val="clear" w:color="auto" w:fill="auto"/>
            <w:noWrap/>
            <w:vAlign w:val="bottom"/>
            <w:hideMark/>
          </w:tcPr>
          <w:p w14:paraId="729949CE" w14:textId="77777777" w:rsidR="00833C8B" w:rsidRPr="00510203" w:rsidRDefault="00833C8B" w:rsidP="00A4646C">
            <w:pPr>
              <w:rPr>
                <w:color w:val="000000"/>
                <w:sz w:val="20"/>
                <w:szCs w:val="20"/>
              </w:rPr>
            </w:pPr>
            <w:r w:rsidRPr="00510203">
              <w:rPr>
                <w:color w:val="000000"/>
                <w:sz w:val="20"/>
                <w:szCs w:val="20"/>
              </w:rPr>
              <w:t>Low-risk urban women (35-44)</w:t>
            </w:r>
          </w:p>
        </w:tc>
        <w:tc>
          <w:tcPr>
            <w:tcW w:w="1445" w:type="pct"/>
            <w:tcBorders>
              <w:top w:val="nil"/>
              <w:bottom w:val="nil"/>
            </w:tcBorders>
            <w:shd w:val="clear" w:color="auto" w:fill="auto"/>
            <w:noWrap/>
            <w:vAlign w:val="bottom"/>
            <w:hideMark/>
          </w:tcPr>
          <w:p w14:paraId="7DB1489C" w14:textId="77777777" w:rsidR="00833C8B" w:rsidRPr="00510203" w:rsidRDefault="00833C8B" w:rsidP="001D10D4">
            <w:pPr>
              <w:jc w:val="center"/>
              <w:rPr>
                <w:color w:val="000000"/>
                <w:sz w:val="20"/>
                <w:szCs w:val="20"/>
              </w:rPr>
            </w:pPr>
            <w:r w:rsidRPr="00510203">
              <w:rPr>
                <w:color w:val="000000"/>
                <w:sz w:val="20"/>
                <w:szCs w:val="20"/>
              </w:rPr>
              <w:t>0.35%</w:t>
            </w:r>
          </w:p>
        </w:tc>
        <w:tc>
          <w:tcPr>
            <w:tcW w:w="1629" w:type="pct"/>
            <w:tcBorders>
              <w:top w:val="nil"/>
              <w:bottom w:val="nil"/>
            </w:tcBorders>
            <w:shd w:val="clear" w:color="auto" w:fill="auto"/>
            <w:noWrap/>
            <w:vAlign w:val="bottom"/>
            <w:hideMark/>
          </w:tcPr>
          <w:p w14:paraId="153B94B7" w14:textId="77777777" w:rsidR="00833C8B" w:rsidRPr="00510203" w:rsidRDefault="00833C8B" w:rsidP="00527179">
            <w:pPr>
              <w:jc w:val="center"/>
              <w:rPr>
                <w:color w:val="000000"/>
                <w:sz w:val="20"/>
                <w:szCs w:val="20"/>
              </w:rPr>
            </w:pPr>
            <w:r w:rsidRPr="00510203">
              <w:rPr>
                <w:color w:val="000000"/>
                <w:sz w:val="20"/>
                <w:szCs w:val="20"/>
              </w:rPr>
              <w:t>(0.30%, 0.39%)</w:t>
            </w:r>
          </w:p>
        </w:tc>
      </w:tr>
      <w:tr w:rsidR="00833C8B" w:rsidRPr="00510203" w14:paraId="5BFC4EF7" w14:textId="77777777" w:rsidTr="00B11104">
        <w:trPr>
          <w:trHeight w:val="300"/>
        </w:trPr>
        <w:tc>
          <w:tcPr>
            <w:tcW w:w="1926" w:type="pct"/>
            <w:tcBorders>
              <w:top w:val="nil"/>
              <w:bottom w:val="nil"/>
            </w:tcBorders>
            <w:shd w:val="clear" w:color="auto" w:fill="auto"/>
            <w:noWrap/>
            <w:vAlign w:val="bottom"/>
            <w:hideMark/>
          </w:tcPr>
          <w:p w14:paraId="04389F59" w14:textId="77777777" w:rsidR="00833C8B" w:rsidRPr="00510203" w:rsidRDefault="00833C8B" w:rsidP="00A4646C">
            <w:pPr>
              <w:rPr>
                <w:color w:val="000000"/>
                <w:sz w:val="20"/>
                <w:szCs w:val="20"/>
              </w:rPr>
            </w:pPr>
            <w:r w:rsidRPr="00510203">
              <w:rPr>
                <w:color w:val="000000"/>
                <w:sz w:val="20"/>
                <w:szCs w:val="20"/>
              </w:rPr>
              <w:t>Low-risk urban women (45-54)</w:t>
            </w:r>
          </w:p>
        </w:tc>
        <w:tc>
          <w:tcPr>
            <w:tcW w:w="1445" w:type="pct"/>
            <w:tcBorders>
              <w:top w:val="nil"/>
              <w:bottom w:val="nil"/>
            </w:tcBorders>
            <w:shd w:val="clear" w:color="auto" w:fill="auto"/>
            <w:noWrap/>
            <w:vAlign w:val="bottom"/>
            <w:hideMark/>
          </w:tcPr>
          <w:p w14:paraId="0B45D1E8" w14:textId="77777777" w:rsidR="00833C8B" w:rsidRPr="00510203" w:rsidRDefault="00833C8B" w:rsidP="001D10D4">
            <w:pPr>
              <w:jc w:val="center"/>
              <w:rPr>
                <w:color w:val="000000"/>
                <w:sz w:val="20"/>
                <w:szCs w:val="20"/>
              </w:rPr>
            </w:pPr>
            <w:r w:rsidRPr="00510203">
              <w:rPr>
                <w:color w:val="000000"/>
                <w:sz w:val="20"/>
                <w:szCs w:val="20"/>
              </w:rPr>
              <w:t>0.36%</w:t>
            </w:r>
          </w:p>
        </w:tc>
        <w:tc>
          <w:tcPr>
            <w:tcW w:w="1629" w:type="pct"/>
            <w:tcBorders>
              <w:top w:val="nil"/>
              <w:bottom w:val="nil"/>
            </w:tcBorders>
            <w:shd w:val="clear" w:color="auto" w:fill="auto"/>
            <w:noWrap/>
            <w:vAlign w:val="bottom"/>
            <w:hideMark/>
          </w:tcPr>
          <w:p w14:paraId="10926A15" w14:textId="77777777" w:rsidR="00833C8B" w:rsidRPr="00510203" w:rsidRDefault="00833C8B" w:rsidP="00527179">
            <w:pPr>
              <w:jc w:val="center"/>
              <w:rPr>
                <w:color w:val="000000"/>
                <w:sz w:val="20"/>
                <w:szCs w:val="20"/>
              </w:rPr>
            </w:pPr>
            <w:r w:rsidRPr="00510203">
              <w:rPr>
                <w:color w:val="000000"/>
                <w:sz w:val="20"/>
                <w:szCs w:val="20"/>
              </w:rPr>
              <w:t>(0.31%, 0.41%)</w:t>
            </w:r>
          </w:p>
        </w:tc>
      </w:tr>
      <w:tr w:rsidR="00833C8B" w:rsidRPr="00510203" w14:paraId="091D22D6" w14:textId="77777777" w:rsidTr="00B11104">
        <w:trPr>
          <w:trHeight w:val="300"/>
        </w:trPr>
        <w:tc>
          <w:tcPr>
            <w:tcW w:w="1926" w:type="pct"/>
            <w:tcBorders>
              <w:top w:val="nil"/>
              <w:bottom w:val="single" w:sz="4" w:space="0" w:color="auto"/>
            </w:tcBorders>
            <w:shd w:val="clear" w:color="auto" w:fill="auto"/>
            <w:noWrap/>
            <w:vAlign w:val="bottom"/>
            <w:hideMark/>
          </w:tcPr>
          <w:p w14:paraId="796E416E" w14:textId="77777777" w:rsidR="00833C8B" w:rsidRPr="00510203" w:rsidRDefault="00833C8B" w:rsidP="00A4646C">
            <w:pPr>
              <w:rPr>
                <w:color w:val="000000"/>
                <w:sz w:val="20"/>
                <w:szCs w:val="20"/>
              </w:rPr>
            </w:pPr>
            <w:r w:rsidRPr="00510203">
              <w:rPr>
                <w:color w:val="000000"/>
                <w:sz w:val="20"/>
                <w:szCs w:val="20"/>
              </w:rPr>
              <w:t>Low-risk urban women (55-64)</w:t>
            </w:r>
          </w:p>
        </w:tc>
        <w:tc>
          <w:tcPr>
            <w:tcW w:w="1445" w:type="pct"/>
            <w:tcBorders>
              <w:top w:val="nil"/>
              <w:bottom w:val="single" w:sz="4" w:space="0" w:color="auto"/>
            </w:tcBorders>
            <w:shd w:val="clear" w:color="auto" w:fill="auto"/>
            <w:noWrap/>
            <w:vAlign w:val="bottom"/>
            <w:hideMark/>
          </w:tcPr>
          <w:p w14:paraId="15D101CA" w14:textId="77777777" w:rsidR="00833C8B" w:rsidRPr="00510203" w:rsidRDefault="00833C8B" w:rsidP="001D10D4">
            <w:pPr>
              <w:jc w:val="center"/>
              <w:rPr>
                <w:color w:val="000000"/>
                <w:sz w:val="20"/>
                <w:szCs w:val="20"/>
              </w:rPr>
            </w:pPr>
            <w:r w:rsidRPr="00510203">
              <w:rPr>
                <w:color w:val="000000"/>
                <w:sz w:val="20"/>
                <w:szCs w:val="20"/>
              </w:rPr>
              <w:t>0.45%</w:t>
            </w:r>
          </w:p>
        </w:tc>
        <w:tc>
          <w:tcPr>
            <w:tcW w:w="1629" w:type="pct"/>
            <w:tcBorders>
              <w:top w:val="nil"/>
              <w:bottom w:val="single" w:sz="4" w:space="0" w:color="auto"/>
            </w:tcBorders>
            <w:shd w:val="clear" w:color="auto" w:fill="auto"/>
            <w:noWrap/>
            <w:vAlign w:val="bottom"/>
            <w:hideMark/>
          </w:tcPr>
          <w:p w14:paraId="0E3E5A5C" w14:textId="77777777" w:rsidR="00833C8B" w:rsidRPr="00510203" w:rsidRDefault="00833C8B" w:rsidP="00527179">
            <w:pPr>
              <w:jc w:val="center"/>
              <w:rPr>
                <w:color w:val="000000"/>
                <w:sz w:val="20"/>
                <w:szCs w:val="20"/>
              </w:rPr>
            </w:pPr>
            <w:r w:rsidRPr="00510203">
              <w:rPr>
                <w:color w:val="000000"/>
                <w:sz w:val="20"/>
                <w:szCs w:val="20"/>
              </w:rPr>
              <w:t>(0.40%, 0.50%)</w:t>
            </w:r>
          </w:p>
        </w:tc>
      </w:tr>
      <w:tr w:rsidR="00833C8B" w:rsidRPr="00510203" w14:paraId="039EB011" w14:textId="77777777" w:rsidTr="00B11104">
        <w:trPr>
          <w:trHeight w:val="300"/>
        </w:trPr>
        <w:tc>
          <w:tcPr>
            <w:tcW w:w="1926" w:type="pct"/>
            <w:tcBorders>
              <w:top w:val="single" w:sz="4" w:space="0" w:color="auto"/>
              <w:bottom w:val="nil"/>
            </w:tcBorders>
            <w:shd w:val="clear" w:color="auto" w:fill="auto"/>
            <w:noWrap/>
            <w:vAlign w:val="bottom"/>
            <w:hideMark/>
          </w:tcPr>
          <w:p w14:paraId="3DCE340C" w14:textId="77777777" w:rsidR="00833C8B" w:rsidRPr="00510203" w:rsidRDefault="00833C8B" w:rsidP="00A4646C">
            <w:pPr>
              <w:rPr>
                <w:color w:val="000000"/>
                <w:sz w:val="20"/>
                <w:szCs w:val="20"/>
              </w:rPr>
            </w:pPr>
            <w:r w:rsidRPr="00510203">
              <w:rPr>
                <w:color w:val="000000"/>
                <w:sz w:val="20"/>
                <w:szCs w:val="20"/>
              </w:rPr>
              <w:t>Low-risk rural women (15-24)</w:t>
            </w:r>
          </w:p>
        </w:tc>
        <w:tc>
          <w:tcPr>
            <w:tcW w:w="1445" w:type="pct"/>
            <w:tcBorders>
              <w:top w:val="single" w:sz="4" w:space="0" w:color="auto"/>
              <w:bottom w:val="nil"/>
            </w:tcBorders>
            <w:shd w:val="clear" w:color="auto" w:fill="auto"/>
            <w:noWrap/>
            <w:vAlign w:val="bottom"/>
            <w:hideMark/>
          </w:tcPr>
          <w:p w14:paraId="2AAF9511" w14:textId="77777777" w:rsidR="00833C8B" w:rsidRPr="00510203" w:rsidRDefault="00833C8B" w:rsidP="001D10D4">
            <w:pPr>
              <w:jc w:val="center"/>
              <w:rPr>
                <w:color w:val="000000"/>
                <w:sz w:val="20"/>
                <w:szCs w:val="20"/>
              </w:rPr>
            </w:pPr>
            <w:r w:rsidRPr="00510203">
              <w:rPr>
                <w:color w:val="000000"/>
                <w:sz w:val="20"/>
                <w:szCs w:val="20"/>
              </w:rPr>
              <w:t>0.08%</w:t>
            </w:r>
          </w:p>
        </w:tc>
        <w:tc>
          <w:tcPr>
            <w:tcW w:w="1629" w:type="pct"/>
            <w:tcBorders>
              <w:top w:val="single" w:sz="4" w:space="0" w:color="auto"/>
              <w:bottom w:val="nil"/>
            </w:tcBorders>
            <w:shd w:val="clear" w:color="auto" w:fill="auto"/>
            <w:noWrap/>
            <w:vAlign w:val="bottom"/>
            <w:hideMark/>
          </w:tcPr>
          <w:p w14:paraId="2CF66573" w14:textId="77777777" w:rsidR="00833C8B" w:rsidRPr="00510203" w:rsidRDefault="00833C8B" w:rsidP="00527179">
            <w:pPr>
              <w:jc w:val="center"/>
              <w:rPr>
                <w:color w:val="000000"/>
                <w:sz w:val="20"/>
                <w:szCs w:val="20"/>
              </w:rPr>
            </w:pPr>
            <w:r w:rsidRPr="00510203">
              <w:rPr>
                <w:color w:val="000000"/>
                <w:sz w:val="20"/>
                <w:szCs w:val="20"/>
              </w:rPr>
              <w:t>(0.05%, 0.11%)</w:t>
            </w:r>
          </w:p>
        </w:tc>
      </w:tr>
      <w:tr w:rsidR="00833C8B" w:rsidRPr="00510203" w14:paraId="1E80CDA1" w14:textId="77777777" w:rsidTr="00B11104">
        <w:trPr>
          <w:trHeight w:val="300"/>
        </w:trPr>
        <w:tc>
          <w:tcPr>
            <w:tcW w:w="1926" w:type="pct"/>
            <w:tcBorders>
              <w:top w:val="nil"/>
              <w:bottom w:val="nil"/>
            </w:tcBorders>
            <w:shd w:val="clear" w:color="auto" w:fill="auto"/>
            <w:noWrap/>
            <w:vAlign w:val="bottom"/>
            <w:hideMark/>
          </w:tcPr>
          <w:p w14:paraId="79D533FF" w14:textId="77777777" w:rsidR="00833C8B" w:rsidRPr="00510203" w:rsidRDefault="00833C8B" w:rsidP="00A4646C">
            <w:pPr>
              <w:rPr>
                <w:color w:val="000000"/>
                <w:sz w:val="20"/>
                <w:szCs w:val="20"/>
              </w:rPr>
            </w:pPr>
            <w:r w:rsidRPr="00510203">
              <w:rPr>
                <w:color w:val="000000"/>
                <w:sz w:val="20"/>
                <w:szCs w:val="20"/>
              </w:rPr>
              <w:t>Low-risk rural women (25-34)</w:t>
            </w:r>
          </w:p>
        </w:tc>
        <w:tc>
          <w:tcPr>
            <w:tcW w:w="1445" w:type="pct"/>
            <w:tcBorders>
              <w:top w:val="nil"/>
              <w:bottom w:val="nil"/>
            </w:tcBorders>
            <w:shd w:val="clear" w:color="auto" w:fill="auto"/>
            <w:noWrap/>
            <w:vAlign w:val="bottom"/>
            <w:hideMark/>
          </w:tcPr>
          <w:p w14:paraId="0338A3D8" w14:textId="77777777" w:rsidR="00833C8B" w:rsidRPr="00510203" w:rsidRDefault="00833C8B" w:rsidP="001D10D4">
            <w:pPr>
              <w:jc w:val="center"/>
              <w:rPr>
                <w:color w:val="000000"/>
                <w:sz w:val="20"/>
                <w:szCs w:val="20"/>
              </w:rPr>
            </w:pPr>
            <w:r w:rsidRPr="00510203">
              <w:rPr>
                <w:color w:val="000000"/>
                <w:sz w:val="20"/>
                <w:szCs w:val="20"/>
              </w:rPr>
              <w:t>0.18%</w:t>
            </w:r>
          </w:p>
        </w:tc>
        <w:tc>
          <w:tcPr>
            <w:tcW w:w="1629" w:type="pct"/>
            <w:tcBorders>
              <w:top w:val="nil"/>
              <w:bottom w:val="nil"/>
            </w:tcBorders>
            <w:shd w:val="clear" w:color="auto" w:fill="auto"/>
            <w:noWrap/>
            <w:vAlign w:val="bottom"/>
            <w:hideMark/>
          </w:tcPr>
          <w:p w14:paraId="2EF23FA8" w14:textId="77777777" w:rsidR="00833C8B" w:rsidRPr="00510203" w:rsidRDefault="00833C8B" w:rsidP="00527179">
            <w:pPr>
              <w:jc w:val="center"/>
              <w:rPr>
                <w:color w:val="000000"/>
                <w:sz w:val="20"/>
                <w:szCs w:val="20"/>
              </w:rPr>
            </w:pPr>
            <w:r w:rsidRPr="00510203">
              <w:rPr>
                <w:color w:val="000000"/>
                <w:sz w:val="20"/>
                <w:szCs w:val="20"/>
              </w:rPr>
              <w:t>(0.14%, 0.23%)</w:t>
            </w:r>
          </w:p>
        </w:tc>
      </w:tr>
      <w:tr w:rsidR="00833C8B" w:rsidRPr="00510203" w14:paraId="2AB2FB0C" w14:textId="77777777" w:rsidTr="00B11104">
        <w:trPr>
          <w:trHeight w:val="300"/>
        </w:trPr>
        <w:tc>
          <w:tcPr>
            <w:tcW w:w="1926" w:type="pct"/>
            <w:tcBorders>
              <w:top w:val="nil"/>
              <w:bottom w:val="nil"/>
            </w:tcBorders>
            <w:shd w:val="clear" w:color="auto" w:fill="auto"/>
            <w:noWrap/>
            <w:vAlign w:val="bottom"/>
            <w:hideMark/>
          </w:tcPr>
          <w:p w14:paraId="4E5D4971" w14:textId="77777777" w:rsidR="00833C8B" w:rsidRPr="00510203" w:rsidRDefault="00833C8B" w:rsidP="00A4646C">
            <w:pPr>
              <w:rPr>
                <w:color w:val="000000"/>
                <w:sz w:val="20"/>
                <w:szCs w:val="20"/>
              </w:rPr>
            </w:pPr>
            <w:r w:rsidRPr="00510203">
              <w:rPr>
                <w:color w:val="000000"/>
                <w:sz w:val="20"/>
                <w:szCs w:val="20"/>
              </w:rPr>
              <w:t>Low-risk rural women (35-44)</w:t>
            </w:r>
          </w:p>
        </w:tc>
        <w:tc>
          <w:tcPr>
            <w:tcW w:w="1445" w:type="pct"/>
            <w:tcBorders>
              <w:top w:val="nil"/>
              <w:bottom w:val="nil"/>
            </w:tcBorders>
            <w:shd w:val="clear" w:color="auto" w:fill="auto"/>
            <w:noWrap/>
            <w:vAlign w:val="bottom"/>
            <w:hideMark/>
          </w:tcPr>
          <w:p w14:paraId="6BD7577A" w14:textId="77777777" w:rsidR="00833C8B" w:rsidRPr="00510203" w:rsidRDefault="00833C8B" w:rsidP="001D10D4">
            <w:pPr>
              <w:jc w:val="center"/>
              <w:rPr>
                <w:color w:val="000000"/>
                <w:sz w:val="20"/>
                <w:szCs w:val="20"/>
              </w:rPr>
            </w:pPr>
            <w:r w:rsidRPr="00510203">
              <w:rPr>
                <w:color w:val="000000"/>
                <w:sz w:val="20"/>
                <w:szCs w:val="20"/>
              </w:rPr>
              <w:t>0.23%</w:t>
            </w:r>
          </w:p>
        </w:tc>
        <w:tc>
          <w:tcPr>
            <w:tcW w:w="1629" w:type="pct"/>
            <w:tcBorders>
              <w:top w:val="nil"/>
              <w:bottom w:val="nil"/>
            </w:tcBorders>
            <w:shd w:val="clear" w:color="auto" w:fill="auto"/>
            <w:noWrap/>
            <w:vAlign w:val="bottom"/>
            <w:hideMark/>
          </w:tcPr>
          <w:p w14:paraId="3F43E4F2" w14:textId="77777777" w:rsidR="00833C8B" w:rsidRPr="00510203" w:rsidRDefault="00833C8B" w:rsidP="00527179">
            <w:pPr>
              <w:jc w:val="center"/>
              <w:rPr>
                <w:color w:val="000000"/>
                <w:sz w:val="20"/>
                <w:szCs w:val="20"/>
              </w:rPr>
            </w:pPr>
            <w:r w:rsidRPr="00510203">
              <w:rPr>
                <w:color w:val="000000"/>
                <w:sz w:val="20"/>
                <w:szCs w:val="20"/>
              </w:rPr>
              <w:t>(0.17%, 0.28%)</w:t>
            </w:r>
          </w:p>
        </w:tc>
      </w:tr>
      <w:tr w:rsidR="00833C8B" w:rsidRPr="00510203" w14:paraId="6238A605" w14:textId="77777777" w:rsidTr="00B11104">
        <w:trPr>
          <w:trHeight w:val="300"/>
        </w:trPr>
        <w:tc>
          <w:tcPr>
            <w:tcW w:w="1926" w:type="pct"/>
            <w:tcBorders>
              <w:top w:val="nil"/>
              <w:bottom w:val="nil"/>
            </w:tcBorders>
            <w:shd w:val="clear" w:color="auto" w:fill="auto"/>
            <w:noWrap/>
            <w:vAlign w:val="bottom"/>
            <w:hideMark/>
          </w:tcPr>
          <w:p w14:paraId="2F55BAC0" w14:textId="77777777" w:rsidR="00833C8B" w:rsidRPr="00510203" w:rsidRDefault="00833C8B" w:rsidP="00A4646C">
            <w:pPr>
              <w:rPr>
                <w:color w:val="000000"/>
                <w:sz w:val="20"/>
                <w:szCs w:val="20"/>
              </w:rPr>
            </w:pPr>
            <w:r w:rsidRPr="00510203">
              <w:rPr>
                <w:color w:val="000000"/>
                <w:sz w:val="20"/>
                <w:szCs w:val="20"/>
              </w:rPr>
              <w:t>Low-risk rural women (45-54)</w:t>
            </w:r>
          </w:p>
        </w:tc>
        <w:tc>
          <w:tcPr>
            <w:tcW w:w="1445" w:type="pct"/>
            <w:tcBorders>
              <w:top w:val="nil"/>
              <w:bottom w:val="nil"/>
            </w:tcBorders>
            <w:shd w:val="clear" w:color="auto" w:fill="auto"/>
            <w:noWrap/>
            <w:vAlign w:val="bottom"/>
            <w:hideMark/>
          </w:tcPr>
          <w:p w14:paraId="06EA24DB" w14:textId="77777777" w:rsidR="00833C8B" w:rsidRPr="00510203" w:rsidRDefault="00833C8B" w:rsidP="001D10D4">
            <w:pPr>
              <w:jc w:val="center"/>
              <w:rPr>
                <w:color w:val="000000"/>
                <w:sz w:val="20"/>
                <w:szCs w:val="20"/>
              </w:rPr>
            </w:pPr>
            <w:r w:rsidRPr="00510203">
              <w:rPr>
                <w:color w:val="000000"/>
                <w:sz w:val="20"/>
                <w:szCs w:val="20"/>
              </w:rPr>
              <w:t>0.24%</w:t>
            </w:r>
          </w:p>
        </w:tc>
        <w:tc>
          <w:tcPr>
            <w:tcW w:w="1629" w:type="pct"/>
            <w:tcBorders>
              <w:top w:val="nil"/>
              <w:bottom w:val="nil"/>
            </w:tcBorders>
            <w:shd w:val="clear" w:color="auto" w:fill="auto"/>
            <w:noWrap/>
            <w:vAlign w:val="bottom"/>
            <w:hideMark/>
          </w:tcPr>
          <w:p w14:paraId="5F949583" w14:textId="77777777" w:rsidR="00833C8B" w:rsidRPr="00510203" w:rsidRDefault="00833C8B" w:rsidP="00527179">
            <w:pPr>
              <w:jc w:val="center"/>
              <w:rPr>
                <w:color w:val="000000"/>
                <w:sz w:val="20"/>
                <w:szCs w:val="20"/>
              </w:rPr>
            </w:pPr>
            <w:r w:rsidRPr="00510203">
              <w:rPr>
                <w:color w:val="000000"/>
                <w:sz w:val="20"/>
                <w:szCs w:val="20"/>
              </w:rPr>
              <w:t>(0.19%, 0.30%)</w:t>
            </w:r>
          </w:p>
        </w:tc>
      </w:tr>
      <w:tr w:rsidR="00833C8B" w:rsidRPr="00510203" w14:paraId="7CA7F5BB" w14:textId="77777777" w:rsidTr="00B11104">
        <w:trPr>
          <w:trHeight w:val="300"/>
        </w:trPr>
        <w:tc>
          <w:tcPr>
            <w:tcW w:w="1926" w:type="pct"/>
            <w:tcBorders>
              <w:top w:val="nil"/>
              <w:bottom w:val="single" w:sz="4" w:space="0" w:color="auto"/>
            </w:tcBorders>
            <w:shd w:val="clear" w:color="auto" w:fill="auto"/>
            <w:noWrap/>
            <w:vAlign w:val="bottom"/>
            <w:hideMark/>
          </w:tcPr>
          <w:p w14:paraId="3245E915" w14:textId="77777777" w:rsidR="00833C8B" w:rsidRPr="00510203" w:rsidRDefault="00833C8B" w:rsidP="00A4646C">
            <w:pPr>
              <w:rPr>
                <w:color w:val="000000"/>
                <w:sz w:val="20"/>
                <w:szCs w:val="20"/>
              </w:rPr>
            </w:pPr>
            <w:r w:rsidRPr="00510203">
              <w:rPr>
                <w:color w:val="000000"/>
                <w:sz w:val="20"/>
                <w:szCs w:val="20"/>
              </w:rPr>
              <w:t>Low-risk rural women (55-64)</w:t>
            </w:r>
          </w:p>
        </w:tc>
        <w:tc>
          <w:tcPr>
            <w:tcW w:w="1445" w:type="pct"/>
            <w:tcBorders>
              <w:top w:val="nil"/>
              <w:bottom w:val="single" w:sz="4" w:space="0" w:color="auto"/>
            </w:tcBorders>
            <w:shd w:val="clear" w:color="auto" w:fill="auto"/>
            <w:noWrap/>
            <w:vAlign w:val="bottom"/>
            <w:hideMark/>
          </w:tcPr>
          <w:p w14:paraId="3F0B873F" w14:textId="77777777" w:rsidR="00833C8B" w:rsidRPr="00510203" w:rsidRDefault="00833C8B" w:rsidP="001D10D4">
            <w:pPr>
              <w:jc w:val="center"/>
              <w:rPr>
                <w:color w:val="000000"/>
                <w:sz w:val="20"/>
                <w:szCs w:val="20"/>
              </w:rPr>
            </w:pPr>
            <w:r w:rsidRPr="00510203">
              <w:rPr>
                <w:color w:val="000000"/>
                <w:sz w:val="20"/>
                <w:szCs w:val="20"/>
              </w:rPr>
              <w:t>0.33%</w:t>
            </w:r>
          </w:p>
        </w:tc>
        <w:tc>
          <w:tcPr>
            <w:tcW w:w="1629" w:type="pct"/>
            <w:tcBorders>
              <w:top w:val="nil"/>
              <w:bottom w:val="single" w:sz="4" w:space="0" w:color="auto"/>
            </w:tcBorders>
            <w:shd w:val="clear" w:color="auto" w:fill="auto"/>
            <w:noWrap/>
            <w:vAlign w:val="bottom"/>
            <w:hideMark/>
          </w:tcPr>
          <w:p w14:paraId="385053B4" w14:textId="77777777" w:rsidR="00833C8B" w:rsidRPr="00510203" w:rsidRDefault="00833C8B" w:rsidP="00527179">
            <w:pPr>
              <w:jc w:val="center"/>
              <w:rPr>
                <w:color w:val="000000"/>
                <w:sz w:val="20"/>
                <w:szCs w:val="20"/>
              </w:rPr>
            </w:pPr>
            <w:r w:rsidRPr="00510203">
              <w:rPr>
                <w:color w:val="000000"/>
                <w:sz w:val="20"/>
                <w:szCs w:val="20"/>
              </w:rPr>
              <w:t>(0.29%, 0.37%)</w:t>
            </w:r>
          </w:p>
        </w:tc>
      </w:tr>
      <w:tr w:rsidR="00833C8B" w:rsidRPr="00510203" w14:paraId="36DFAF82" w14:textId="77777777" w:rsidTr="00B11104">
        <w:trPr>
          <w:trHeight w:val="285"/>
        </w:trPr>
        <w:tc>
          <w:tcPr>
            <w:tcW w:w="1926" w:type="pct"/>
            <w:tcBorders>
              <w:top w:val="single" w:sz="4" w:space="0" w:color="auto"/>
              <w:bottom w:val="nil"/>
            </w:tcBorders>
            <w:shd w:val="clear" w:color="auto" w:fill="auto"/>
            <w:noWrap/>
            <w:vAlign w:val="bottom"/>
            <w:hideMark/>
          </w:tcPr>
          <w:p w14:paraId="528B02DD" w14:textId="77777777" w:rsidR="00833C8B" w:rsidRPr="00510203" w:rsidRDefault="00833C8B" w:rsidP="00A4646C">
            <w:pPr>
              <w:rPr>
                <w:color w:val="000000"/>
                <w:sz w:val="20"/>
                <w:szCs w:val="20"/>
              </w:rPr>
            </w:pPr>
            <w:r w:rsidRPr="00510203">
              <w:rPr>
                <w:color w:val="000000"/>
                <w:sz w:val="20"/>
                <w:szCs w:val="20"/>
              </w:rPr>
              <w:t>Urban men (15-24)</w:t>
            </w:r>
          </w:p>
        </w:tc>
        <w:tc>
          <w:tcPr>
            <w:tcW w:w="1445" w:type="pct"/>
            <w:tcBorders>
              <w:top w:val="single" w:sz="4" w:space="0" w:color="auto"/>
              <w:bottom w:val="nil"/>
            </w:tcBorders>
            <w:shd w:val="clear" w:color="auto" w:fill="auto"/>
            <w:noWrap/>
            <w:vAlign w:val="bottom"/>
            <w:hideMark/>
          </w:tcPr>
          <w:p w14:paraId="39F9C2E9" w14:textId="77777777" w:rsidR="00833C8B" w:rsidRPr="00510203" w:rsidRDefault="00833C8B" w:rsidP="001D10D4">
            <w:pPr>
              <w:jc w:val="center"/>
              <w:rPr>
                <w:color w:val="000000"/>
                <w:sz w:val="20"/>
                <w:szCs w:val="20"/>
              </w:rPr>
            </w:pPr>
            <w:r w:rsidRPr="00510203">
              <w:rPr>
                <w:color w:val="000000"/>
                <w:sz w:val="20"/>
                <w:szCs w:val="20"/>
              </w:rPr>
              <w:t>0.21%</w:t>
            </w:r>
          </w:p>
        </w:tc>
        <w:tc>
          <w:tcPr>
            <w:tcW w:w="1629" w:type="pct"/>
            <w:tcBorders>
              <w:top w:val="single" w:sz="4" w:space="0" w:color="auto"/>
              <w:bottom w:val="nil"/>
            </w:tcBorders>
            <w:shd w:val="clear" w:color="auto" w:fill="auto"/>
            <w:noWrap/>
            <w:vAlign w:val="bottom"/>
            <w:hideMark/>
          </w:tcPr>
          <w:p w14:paraId="3DB72A54" w14:textId="77777777" w:rsidR="00833C8B" w:rsidRPr="00510203" w:rsidRDefault="00833C8B" w:rsidP="00527179">
            <w:pPr>
              <w:jc w:val="center"/>
              <w:rPr>
                <w:color w:val="000000"/>
                <w:sz w:val="20"/>
                <w:szCs w:val="20"/>
              </w:rPr>
            </w:pPr>
            <w:r w:rsidRPr="00510203">
              <w:rPr>
                <w:color w:val="000000"/>
                <w:sz w:val="20"/>
                <w:szCs w:val="20"/>
              </w:rPr>
              <w:t>(0.18%, 0.24%)</w:t>
            </w:r>
          </w:p>
        </w:tc>
      </w:tr>
      <w:tr w:rsidR="00833C8B" w:rsidRPr="00510203" w14:paraId="72B78FF7" w14:textId="77777777" w:rsidTr="00B11104">
        <w:trPr>
          <w:trHeight w:val="300"/>
        </w:trPr>
        <w:tc>
          <w:tcPr>
            <w:tcW w:w="1926" w:type="pct"/>
            <w:tcBorders>
              <w:top w:val="nil"/>
              <w:bottom w:val="nil"/>
            </w:tcBorders>
            <w:shd w:val="clear" w:color="auto" w:fill="auto"/>
            <w:noWrap/>
            <w:vAlign w:val="bottom"/>
            <w:hideMark/>
          </w:tcPr>
          <w:p w14:paraId="3E5CE3A5" w14:textId="77777777" w:rsidR="00833C8B" w:rsidRPr="00510203" w:rsidRDefault="00833C8B" w:rsidP="00A4646C">
            <w:pPr>
              <w:rPr>
                <w:color w:val="000000"/>
                <w:sz w:val="20"/>
                <w:szCs w:val="20"/>
              </w:rPr>
            </w:pPr>
            <w:r w:rsidRPr="00510203">
              <w:rPr>
                <w:color w:val="000000"/>
                <w:sz w:val="20"/>
                <w:szCs w:val="20"/>
              </w:rPr>
              <w:t>Urban men (25-34)</w:t>
            </w:r>
          </w:p>
        </w:tc>
        <w:tc>
          <w:tcPr>
            <w:tcW w:w="1445" w:type="pct"/>
            <w:tcBorders>
              <w:top w:val="nil"/>
              <w:bottom w:val="nil"/>
            </w:tcBorders>
            <w:shd w:val="clear" w:color="auto" w:fill="auto"/>
            <w:noWrap/>
            <w:vAlign w:val="bottom"/>
            <w:hideMark/>
          </w:tcPr>
          <w:p w14:paraId="0C960D7B" w14:textId="77777777" w:rsidR="00833C8B" w:rsidRPr="00510203" w:rsidRDefault="00833C8B" w:rsidP="001D10D4">
            <w:pPr>
              <w:jc w:val="center"/>
              <w:rPr>
                <w:color w:val="000000"/>
                <w:sz w:val="20"/>
                <w:szCs w:val="20"/>
              </w:rPr>
            </w:pPr>
            <w:r w:rsidRPr="00510203">
              <w:rPr>
                <w:color w:val="000000"/>
                <w:sz w:val="20"/>
                <w:szCs w:val="20"/>
              </w:rPr>
              <w:t>0.32%</w:t>
            </w:r>
          </w:p>
        </w:tc>
        <w:tc>
          <w:tcPr>
            <w:tcW w:w="1629" w:type="pct"/>
            <w:tcBorders>
              <w:top w:val="nil"/>
              <w:bottom w:val="nil"/>
            </w:tcBorders>
            <w:shd w:val="clear" w:color="auto" w:fill="auto"/>
            <w:noWrap/>
            <w:vAlign w:val="bottom"/>
            <w:hideMark/>
          </w:tcPr>
          <w:p w14:paraId="738FE7AB" w14:textId="77777777" w:rsidR="00833C8B" w:rsidRPr="00510203" w:rsidRDefault="00833C8B" w:rsidP="00527179">
            <w:pPr>
              <w:jc w:val="center"/>
              <w:rPr>
                <w:color w:val="000000"/>
                <w:sz w:val="20"/>
                <w:szCs w:val="20"/>
              </w:rPr>
            </w:pPr>
            <w:r w:rsidRPr="00510203">
              <w:rPr>
                <w:color w:val="000000"/>
                <w:sz w:val="20"/>
                <w:szCs w:val="20"/>
              </w:rPr>
              <w:t>(0.28%, 0.35%)</w:t>
            </w:r>
          </w:p>
        </w:tc>
      </w:tr>
      <w:tr w:rsidR="00833C8B" w:rsidRPr="00510203" w14:paraId="09A2556F" w14:textId="77777777" w:rsidTr="00B11104">
        <w:trPr>
          <w:trHeight w:val="300"/>
        </w:trPr>
        <w:tc>
          <w:tcPr>
            <w:tcW w:w="1926" w:type="pct"/>
            <w:tcBorders>
              <w:top w:val="nil"/>
              <w:bottom w:val="nil"/>
            </w:tcBorders>
            <w:shd w:val="clear" w:color="auto" w:fill="auto"/>
            <w:noWrap/>
            <w:vAlign w:val="bottom"/>
            <w:hideMark/>
          </w:tcPr>
          <w:p w14:paraId="071AF8E2" w14:textId="77777777" w:rsidR="00833C8B" w:rsidRPr="00510203" w:rsidRDefault="00833C8B" w:rsidP="00A4646C">
            <w:pPr>
              <w:rPr>
                <w:color w:val="000000"/>
                <w:sz w:val="20"/>
                <w:szCs w:val="20"/>
              </w:rPr>
            </w:pPr>
            <w:r w:rsidRPr="00510203">
              <w:rPr>
                <w:color w:val="000000"/>
                <w:sz w:val="20"/>
                <w:szCs w:val="20"/>
              </w:rPr>
              <w:t>Urban men (35-44)</w:t>
            </w:r>
          </w:p>
        </w:tc>
        <w:tc>
          <w:tcPr>
            <w:tcW w:w="1445" w:type="pct"/>
            <w:tcBorders>
              <w:top w:val="nil"/>
              <w:bottom w:val="nil"/>
            </w:tcBorders>
            <w:shd w:val="clear" w:color="auto" w:fill="auto"/>
            <w:noWrap/>
            <w:vAlign w:val="bottom"/>
            <w:hideMark/>
          </w:tcPr>
          <w:p w14:paraId="30CABD36" w14:textId="77777777" w:rsidR="00833C8B" w:rsidRPr="00510203" w:rsidRDefault="00833C8B" w:rsidP="001D10D4">
            <w:pPr>
              <w:jc w:val="center"/>
              <w:rPr>
                <w:color w:val="000000"/>
                <w:sz w:val="20"/>
                <w:szCs w:val="20"/>
              </w:rPr>
            </w:pPr>
            <w:r w:rsidRPr="00510203">
              <w:rPr>
                <w:color w:val="000000"/>
                <w:sz w:val="20"/>
                <w:szCs w:val="20"/>
              </w:rPr>
              <w:t>0.33%</w:t>
            </w:r>
          </w:p>
        </w:tc>
        <w:tc>
          <w:tcPr>
            <w:tcW w:w="1629" w:type="pct"/>
            <w:tcBorders>
              <w:top w:val="nil"/>
              <w:bottom w:val="nil"/>
            </w:tcBorders>
            <w:shd w:val="clear" w:color="auto" w:fill="auto"/>
            <w:noWrap/>
            <w:vAlign w:val="bottom"/>
            <w:hideMark/>
          </w:tcPr>
          <w:p w14:paraId="6CC9828D" w14:textId="77777777" w:rsidR="00833C8B" w:rsidRPr="00510203" w:rsidRDefault="00833C8B" w:rsidP="00527179">
            <w:pPr>
              <w:jc w:val="center"/>
              <w:rPr>
                <w:color w:val="000000"/>
                <w:sz w:val="20"/>
                <w:szCs w:val="20"/>
              </w:rPr>
            </w:pPr>
            <w:r w:rsidRPr="00510203">
              <w:rPr>
                <w:color w:val="000000"/>
                <w:sz w:val="20"/>
                <w:szCs w:val="20"/>
              </w:rPr>
              <w:t>(0.27%, 0.39%)</w:t>
            </w:r>
          </w:p>
        </w:tc>
      </w:tr>
      <w:tr w:rsidR="00833C8B" w:rsidRPr="00510203" w14:paraId="1DD2D05F" w14:textId="77777777" w:rsidTr="00B11104">
        <w:trPr>
          <w:trHeight w:val="300"/>
        </w:trPr>
        <w:tc>
          <w:tcPr>
            <w:tcW w:w="1926" w:type="pct"/>
            <w:tcBorders>
              <w:top w:val="nil"/>
              <w:bottom w:val="nil"/>
            </w:tcBorders>
            <w:shd w:val="clear" w:color="auto" w:fill="auto"/>
            <w:noWrap/>
            <w:vAlign w:val="bottom"/>
            <w:hideMark/>
          </w:tcPr>
          <w:p w14:paraId="33B440B1" w14:textId="77777777" w:rsidR="00833C8B" w:rsidRPr="00510203" w:rsidRDefault="00833C8B" w:rsidP="00A4646C">
            <w:pPr>
              <w:rPr>
                <w:color w:val="000000"/>
                <w:sz w:val="20"/>
                <w:szCs w:val="20"/>
              </w:rPr>
            </w:pPr>
            <w:r w:rsidRPr="00510203">
              <w:rPr>
                <w:color w:val="000000"/>
                <w:sz w:val="20"/>
                <w:szCs w:val="20"/>
              </w:rPr>
              <w:t>Urban men (45-54)</w:t>
            </w:r>
          </w:p>
        </w:tc>
        <w:tc>
          <w:tcPr>
            <w:tcW w:w="1445" w:type="pct"/>
            <w:tcBorders>
              <w:top w:val="nil"/>
              <w:bottom w:val="nil"/>
            </w:tcBorders>
            <w:shd w:val="clear" w:color="auto" w:fill="auto"/>
            <w:noWrap/>
            <w:vAlign w:val="bottom"/>
            <w:hideMark/>
          </w:tcPr>
          <w:p w14:paraId="25229713" w14:textId="77777777" w:rsidR="00833C8B" w:rsidRPr="00510203" w:rsidRDefault="00833C8B" w:rsidP="001D10D4">
            <w:pPr>
              <w:jc w:val="center"/>
              <w:rPr>
                <w:color w:val="000000"/>
                <w:sz w:val="20"/>
                <w:szCs w:val="20"/>
              </w:rPr>
            </w:pPr>
            <w:r w:rsidRPr="00510203">
              <w:rPr>
                <w:color w:val="000000"/>
                <w:sz w:val="20"/>
                <w:szCs w:val="20"/>
              </w:rPr>
              <w:t>0.36%</w:t>
            </w:r>
          </w:p>
        </w:tc>
        <w:tc>
          <w:tcPr>
            <w:tcW w:w="1629" w:type="pct"/>
            <w:tcBorders>
              <w:top w:val="nil"/>
              <w:bottom w:val="nil"/>
            </w:tcBorders>
            <w:shd w:val="clear" w:color="auto" w:fill="auto"/>
            <w:noWrap/>
            <w:vAlign w:val="bottom"/>
            <w:hideMark/>
          </w:tcPr>
          <w:p w14:paraId="3B0A8666" w14:textId="77777777" w:rsidR="00833C8B" w:rsidRPr="00510203" w:rsidRDefault="00833C8B" w:rsidP="00527179">
            <w:pPr>
              <w:jc w:val="center"/>
              <w:rPr>
                <w:color w:val="000000"/>
                <w:sz w:val="20"/>
                <w:szCs w:val="20"/>
              </w:rPr>
            </w:pPr>
            <w:r w:rsidRPr="00510203">
              <w:rPr>
                <w:color w:val="000000"/>
                <w:sz w:val="20"/>
                <w:szCs w:val="20"/>
              </w:rPr>
              <w:t>(0.30%, 0.42%)</w:t>
            </w:r>
          </w:p>
        </w:tc>
      </w:tr>
      <w:tr w:rsidR="00833C8B" w:rsidRPr="00510203" w14:paraId="24371913" w14:textId="77777777" w:rsidTr="00B11104">
        <w:trPr>
          <w:trHeight w:val="300"/>
        </w:trPr>
        <w:tc>
          <w:tcPr>
            <w:tcW w:w="1926" w:type="pct"/>
            <w:tcBorders>
              <w:top w:val="nil"/>
              <w:bottom w:val="single" w:sz="4" w:space="0" w:color="auto"/>
            </w:tcBorders>
            <w:shd w:val="clear" w:color="auto" w:fill="auto"/>
            <w:noWrap/>
            <w:vAlign w:val="bottom"/>
            <w:hideMark/>
          </w:tcPr>
          <w:p w14:paraId="3B9093C5" w14:textId="77777777" w:rsidR="00833C8B" w:rsidRPr="00510203" w:rsidRDefault="00833C8B" w:rsidP="00A4646C">
            <w:pPr>
              <w:rPr>
                <w:color w:val="000000"/>
                <w:sz w:val="20"/>
                <w:szCs w:val="20"/>
              </w:rPr>
            </w:pPr>
            <w:r w:rsidRPr="00510203">
              <w:rPr>
                <w:color w:val="000000"/>
                <w:sz w:val="20"/>
                <w:szCs w:val="20"/>
              </w:rPr>
              <w:t>Urban men (55-64)</w:t>
            </w:r>
          </w:p>
        </w:tc>
        <w:tc>
          <w:tcPr>
            <w:tcW w:w="1445" w:type="pct"/>
            <w:tcBorders>
              <w:top w:val="nil"/>
              <w:bottom w:val="single" w:sz="4" w:space="0" w:color="auto"/>
            </w:tcBorders>
            <w:shd w:val="clear" w:color="auto" w:fill="auto"/>
            <w:noWrap/>
            <w:vAlign w:val="bottom"/>
            <w:hideMark/>
          </w:tcPr>
          <w:p w14:paraId="3481BC71" w14:textId="77777777" w:rsidR="00833C8B" w:rsidRPr="00510203" w:rsidRDefault="00833C8B" w:rsidP="001D10D4">
            <w:pPr>
              <w:jc w:val="center"/>
              <w:rPr>
                <w:color w:val="000000"/>
                <w:sz w:val="20"/>
                <w:szCs w:val="20"/>
              </w:rPr>
            </w:pPr>
            <w:r w:rsidRPr="00510203">
              <w:rPr>
                <w:color w:val="000000"/>
                <w:sz w:val="20"/>
                <w:szCs w:val="20"/>
              </w:rPr>
              <w:t>0.48%</w:t>
            </w:r>
          </w:p>
        </w:tc>
        <w:tc>
          <w:tcPr>
            <w:tcW w:w="1629" w:type="pct"/>
            <w:tcBorders>
              <w:top w:val="nil"/>
              <w:bottom w:val="single" w:sz="4" w:space="0" w:color="auto"/>
            </w:tcBorders>
            <w:shd w:val="clear" w:color="auto" w:fill="auto"/>
            <w:noWrap/>
            <w:vAlign w:val="bottom"/>
            <w:hideMark/>
          </w:tcPr>
          <w:p w14:paraId="702706A7" w14:textId="77777777" w:rsidR="00833C8B" w:rsidRPr="00510203" w:rsidRDefault="00833C8B" w:rsidP="00527179">
            <w:pPr>
              <w:jc w:val="center"/>
              <w:rPr>
                <w:color w:val="000000"/>
                <w:sz w:val="20"/>
                <w:szCs w:val="20"/>
              </w:rPr>
            </w:pPr>
            <w:r w:rsidRPr="00510203">
              <w:rPr>
                <w:color w:val="000000"/>
                <w:sz w:val="20"/>
                <w:szCs w:val="20"/>
              </w:rPr>
              <w:t>(0.42%, 0.53%)</w:t>
            </w:r>
          </w:p>
        </w:tc>
      </w:tr>
      <w:tr w:rsidR="00833C8B" w:rsidRPr="00510203" w14:paraId="3FF9D39A" w14:textId="77777777" w:rsidTr="00B11104">
        <w:trPr>
          <w:trHeight w:val="300"/>
        </w:trPr>
        <w:tc>
          <w:tcPr>
            <w:tcW w:w="1926" w:type="pct"/>
            <w:tcBorders>
              <w:top w:val="single" w:sz="4" w:space="0" w:color="auto"/>
              <w:bottom w:val="nil"/>
            </w:tcBorders>
            <w:shd w:val="clear" w:color="auto" w:fill="auto"/>
            <w:noWrap/>
            <w:vAlign w:val="bottom"/>
            <w:hideMark/>
          </w:tcPr>
          <w:p w14:paraId="70C9B0A9" w14:textId="77777777" w:rsidR="00833C8B" w:rsidRPr="00510203" w:rsidRDefault="00833C8B" w:rsidP="00A4646C">
            <w:pPr>
              <w:rPr>
                <w:color w:val="000000"/>
                <w:sz w:val="20"/>
                <w:szCs w:val="20"/>
              </w:rPr>
            </w:pPr>
            <w:r w:rsidRPr="00510203">
              <w:rPr>
                <w:color w:val="000000"/>
                <w:sz w:val="20"/>
                <w:szCs w:val="20"/>
              </w:rPr>
              <w:t>Rural men (15-24)</w:t>
            </w:r>
          </w:p>
        </w:tc>
        <w:tc>
          <w:tcPr>
            <w:tcW w:w="1445" w:type="pct"/>
            <w:tcBorders>
              <w:top w:val="single" w:sz="4" w:space="0" w:color="auto"/>
              <w:bottom w:val="nil"/>
            </w:tcBorders>
            <w:shd w:val="clear" w:color="auto" w:fill="auto"/>
            <w:noWrap/>
            <w:vAlign w:val="bottom"/>
            <w:hideMark/>
          </w:tcPr>
          <w:p w14:paraId="048B3D88" w14:textId="77777777" w:rsidR="00833C8B" w:rsidRPr="00510203" w:rsidRDefault="00833C8B" w:rsidP="001D10D4">
            <w:pPr>
              <w:jc w:val="center"/>
              <w:rPr>
                <w:color w:val="000000"/>
                <w:sz w:val="20"/>
                <w:szCs w:val="20"/>
              </w:rPr>
            </w:pPr>
            <w:r w:rsidRPr="00510203">
              <w:rPr>
                <w:color w:val="000000"/>
                <w:sz w:val="20"/>
                <w:szCs w:val="20"/>
              </w:rPr>
              <w:t>0.09%</w:t>
            </w:r>
          </w:p>
        </w:tc>
        <w:tc>
          <w:tcPr>
            <w:tcW w:w="1629" w:type="pct"/>
            <w:tcBorders>
              <w:top w:val="single" w:sz="4" w:space="0" w:color="auto"/>
              <w:bottom w:val="nil"/>
            </w:tcBorders>
            <w:shd w:val="clear" w:color="auto" w:fill="auto"/>
            <w:noWrap/>
            <w:vAlign w:val="bottom"/>
            <w:hideMark/>
          </w:tcPr>
          <w:p w14:paraId="6CC440E0" w14:textId="77777777" w:rsidR="00833C8B" w:rsidRPr="00510203" w:rsidRDefault="00833C8B" w:rsidP="00527179">
            <w:pPr>
              <w:jc w:val="center"/>
              <w:rPr>
                <w:color w:val="000000"/>
                <w:sz w:val="20"/>
                <w:szCs w:val="20"/>
              </w:rPr>
            </w:pPr>
            <w:r w:rsidRPr="00510203">
              <w:rPr>
                <w:color w:val="000000"/>
                <w:sz w:val="20"/>
                <w:szCs w:val="20"/>
              </w:rPr>
              <w:t>(0.06%, 0.12%)</w:t>
            </w:r>
          </w:p>
        </w:tc>
      </w:tr>
      <w:tr w:rsidR="00833C8B" w:rsidRPr="00510203" w14:paraId="74B00BA2" w14:textId="77777777" w:rsidTr="00B11104">
        <w:trPr>
          <w:trHeight w:val="300"/>
        </w:trPr>
        <w:tc>
          <w:tcPr>
            <w:tcW w:w="1926" w:type="pct"/>
            <w:tcBorders>
              <w:top w:val="nil"/>
              <w:bottom w:val="nil"/>
            </w:tcBorders>
            <w:shd w:val="clear" w:color="auto" w:fill="auto"/>
            <w:noWrap/>
            <w:vAlign w:val="bottom"/>
            <w:hideMark/>
          </w:tcPr>
          <w:p w14:paraId="6E378918" w14:textId="77777777" w:rsidR="00833C8B" w:rsidRPr="00510203" w:rsidRDefault="00833C8B" w:rsidP="00A4646C">
            <w:pPr>
              <w:rPr>
                <w:color w:val="000000"/>
                <w:sz w:val="20"/>
                <w:szCs w:val="20"/>
              </w:rPr>
            </w:pPr>
            <w:r w:rsidRPr="00510203">
              <w:rPr>
                <w:color w:val="000000"/>
                <w:sz w:val="20"/>
                <w:szCs w:val="20"/>
              </w:rPr>
              <w:t>Rural men (25-34)</w:t>
            </w:r>
          </w:p>
        </w:tc>
        <w:tc>
          <w:tcPr>
            <w:tcW w:w="1445" w:type="pct"/>
            <w:tcBorders>
              <w:top w:val="nil"/>
              <w:bottom w:val="nil"/>
            </w:tcBorders>
            <w:shd w:val="clear" w:color="auto" w:fill="auto"/>
            <w:noWrap/>
            <w:vAlign w:val="bottom"/>
            <w:hideMark/>
          </w:tcPr>
          <w:p w14:paraId="639348DD" w14:textId="77777777" w:rsidR="00833C8B" w:rsidRPr="00510203" w:rsidRDefault="00833C8B" w:rsidP="001D10D4">
            <w:pPr>
              <w:jc w:val="center"/>
              <w:rPr>
                <w:color w:val="000000"/>
                <w:sz w:val="20"/>
                <w:szCs w:val="20"/>
              </w:rPr>
            </w:pPr>
            <w:r w:rsidRPr="00510203">
              <w:rPr>
                <w:color w:val="000000"/>
                <w:sz w:val="20"/>
                <w:szCs w:val="20"/>
              </w:rPr>
              <w:t>0.20%</w:t>
            </w:r>
          </w:p>
        </w:tc>
        <w:tc>
          <w:tcPr>
            <w:tcW w:w="1629" w:type="pct"/>
            <w:tcBorders>
              <w:top w:val="nil"/>
              <w:bottom w:val="nil"/>
            </w:tcBorders>
            <w:shd w:val="clear" w:color="auto" w:fill="auto"/>
            <w:noWrap/>
            <w:vAlign w:val="bottom"/>
            <w:hideMark/>
          </w:tcPr>
          <w:p w14:paraId="245F3CE6" w14:textId="77777777" w:rsidR="00833C8B" w:rsidRPr="00510203" w:rsidRDefault="00833C8B" w:rsidP="00527179">
            <w:pPr>
              <w:jc w:val="center"/>
              <w:rPr>
                <w:color w:val="000000"/>
                <w:sz w:val="20"/>
                <w:szCs w:val="20"/>
              </w:rPr>
            </w:pPr>
            <w:r w:rsidRPr="00510203">
              <w:rPr>
                <w:color w:val="000000"/>
                <w:sz w:val="20"/>
                <w:szCs w:val="20"/>
              </w:rPr>
              <w:t>(0.15%, 0.25%)</w:t>
            </w:r>
          </w:p>
        </w:tc>
      </w:tr>
      <w:tr w:rsidR="00833C8B" w:rsidRPr="00510203" w14:paraId="626EF897" w14:textId="77777777" w:rsidTr="00B11104">
        <w:trPr>
          <w:trHeight w:val="300"/>
        </w:trPr>
        <w:tc>
          <w:tcPr>
            <w:tcW w:w="1926" w:type="pct"/>
            <w:tcBorders>
              <w:top w:val="nil"/>
              <w:bottom w:val="nil"/>
            </w:tcBorders>
            <w:shd w:val="clear" w:color="auto" w:fill="auto"/>
            <w:noWrap/>
            <w:vAlign w:val="bottom"/>
            <w:hideMark/>
          </w:tcPr>
          <w:p w14:paraId="20BB3C04" w14:textId="77777777" w:rsidR="00833C8B" w:rsidRPr="00510203" w:rsidRDefault="00833C8B" w:rsidP="00A4646C">
            <w:pPr>
              <w:rPr>
                <w:color w:val="000000"/>
                <w:sz w:val="20"/>
                <w:szCs w:val="20"/>
              </w:rPr>
            </w:pPr>
            <w:r w:rsidRPr="00510203">
              <w:rPr>
                <w:color w:val="000000"/>
                <w:sz w:val="20"/>
                <w:szCs w:val="20"/>
              </w:rPr>
              <w:t>Rural men (35-44)</w:t>
            </w:r>
          </w:p>
        </w:tc>
        <w:tc>
          <w:tcPr>
            <w:tcW w:w="1445" w:type="pct"/>
            <w:tcBorders>
              <w:top w:val="nil"/>
              <w:bottom w:val="nil"/>
            </w:tcBorders>
            <w:shd w:val="clear" w:color="auto" w:fill="auto"/>
            <w:noWrap/>
            <w:vAlign w:val="bottom"/>
            <w:hideMark/>
          </w:tcPr>
          <w:p w14:paraId="49FA2A29" w14:textId="77777777" w:rsidR="00833C8B" w:rsidRPr="00510203" w:rsidRDefault="00833C8B" w:rsidP="001D10D4">
            <w:pPr>
              <w:jc w:val="center"/>
              <w:rPr>
                <w:color w:val="000000"/>
                <w:sz w:val="20"/>
                <w:szCs w:val="20"/>
              </w:rPr>
            </w:pPr>
            <w:r w:rsidRPr="00510203">
              <w:rPr>
                <w:color w:val="000000"/>
                <w:sz w:val="20"/>
                <w:szCs w:val="20"/>
              </w:rPr>
              <w:t>0.21%</w:t>
            </w:r>
          </w:p>
        </w:tc>
        <w:tc>
          <w:tcPr>
            <w:tcW w:w="1629" w:type="pct"/>
            <w:tcBorders>
              <w:top w:val="nil"/>
              <w:bottom w:val="nil"/>
            </w:tcBorders>
            <w:shd w:val="clear" w:color="auto" w:fill="auto"/>
            <w:noWrap/>
            <w:vAlign w:val="bottom"/>
            <w:hideMark/>
          </w:tcPr>
          <w:p w14:paraId="1D305664" w14:textId="77777777" w:rsidR="00833C8B" w:rsidRPr="00510203" w:rsidRDefault="00833C8B" w:rsidP="00527179">
            <w:pPr>
              <w:jc w:val="center"/>
              <w:rPr>
                <w:color w:val="000000"/>
                <w:sz w:val="20"/>
                <w:szCs w:val="20"/>
              </w:rPr>
            </w:pPr>
            <w:r w:rsidRPr="00510203">
              <w:rPr>
                <w:color w:val="000000"/>
                <w:sz w:val="20"/>
                <w:szCs w:val="20"/>
              </w:rPr>
              <w:t>(0.16%, 0.27%)</w:t>
            </w:r>
          </w:p>
        </w:tc>
      </w:tr>
      <w:tr w:rsidR="00833C8B" w:rsidRPr="00510203" w14:paraId="49CB7B03" w14:textId="77777777" w:rsidTr="00B11104">
        <w:trPr>
          <w:trHeight w:val="300"/>
        </w:trPr>
        <w:tc>
          <w:tcPr>
            <w:tcW w:w="1926" w:type="pct"/>
            <w:tcBorders>
              <w:top w:val="nil"/>
              <w:bottom w:val="nil"/>
            </w:tcBorders>
            <w:shd w:val="clear" w:color="auto" w:fill="auto"/>
            <w:noWrap/>
            <w:vAlign w:val="bottom"/>
            <w:hideMark/>
          </w:tcPr>
          <w:p w14:paraId="5643B6E2" w14:textId="77777777" w:rsidR="00833C8B" w:rsidRPr="00510203" w:rsidRDefault="00833C8B" w:rsidP="00A4646C">
            <w:pPr>
              <w:rPr>
                <w:color w:val="000000"/>
                <w:sz w:val="20"/>
                <w:szCs w:val="20"/>
              </w:rPr>
            </w:pPr>
            <w:r w:rsidRPr="00510203">
              <w:rPr>
                <w:color w:val="000000"/>
                <w:sz w:val="20"/>
                <w:szCs w:val="20"/>
              </w:rPr>
              <w:t>Rural men (45-54)</w:t>
            </w:r>
          </w:p>
        </w:tc>
        <w:tc>
          <w:tcPr>
            <w:tcW w:w="1445" w:type="pct"/>
            <w:tcBorders>
              <w:top w:val="nil"/>
              <w:bottom w:val="nil"/>
            </w:tcBorders>
            <w:shd w:val="clear" w:color="auto" w:fill="auto"/>
            <w:noWrap/>
            <w:vAlign w:val="bottom"/>
            <w:hideMark/>
          </w:tcPr>
          <w:p w14:paraId="7ECBE9DE" w14:textId="77777777" w:rsidR="00833C8B" w:rsidRPr="00510203" w:rsidRDefault="00833C8B" w:rsidP="001D10D4">
            <w:pPr>
              <w:jc w:val="center"/>
              <w:rPr>
                <w:color w:val="000000"/>
                <w:sz w:val="20"/>
                <w:szCs w:val="20"/>
              </w:rPr>
            </w:pPr>
            <w:r w:rsidRPr="00510203">
              <w:rPr>
                <w:color w:val="000000"/>
                <w:sz w:val="20"/>
                <w:szCs w:val="20"/>
              </w:rPr>
              <w:t>0.24%</w:t>
            </w:r>
          </w:p>
        </w:tc>
        <w:tc>
          <w:tcPr>
            <w:tcW w:w="1629" w:type="pct"/>
            <w:tcBorders>
              <w:top w:val="nil"/>
              <w:bottom w:val="nil"/>
            </w:tcBorders>
            <w:shd w:val="clear" w:color="auto" w:fill="auto"/>
            <w:noWrap/>
            <w:vAlign w:val="bottom"/>
            <w:hideMark/>
          </w:tcPr>
          <w:p w14:paraId="6FD7EDD2" w14:textId="77777777" w:rsidR="00833C8B" w:rsidRPr="00510203" w:rsidRDefault="00833C8B" w:rsidP="00527179">
            <w:pPr>
              <w:jc w:val="center"/>
              <w:rPr>
                <w:color w:val="000000"/>
                <w:sz w:val="20"/>
                <w:szCs w:val="20"/>
              </w:rPr>
            </w:pPr>
            <w:r w:rsidRPr="00510203">
              <w:rPr>
                <w:color w:val="000000"/>
                <w:sz w:val="20"/>
                <w:szCs w:val="20"/>
              </w:rPr>
              <w:t>(0.18%, 0.30%)</w:t>
            </w:r>
          </w:p>
        </w:tc>
      </w:tr>
      <w:tr w:rsidR="00833C8B" w:rsidRPr="00510203" w14:paraId="449FB612" w14:textId="77777777" w:rsidTr="00B11104">
        <w:trPr>
          <w:trHeight w:val="300"/>
        </w:trPr>
        <w:tc>
          <w:tcPr>
            <w:tcW w:w="1926" w:type="pct"/>
            <w:tcBorders>
              <w:top w:val="nil"/>
              <w:bottom w:val="single" w:sz="4" w:space="0" w:color="auto"/>
            </w:tcBorders>
            <w:shd w:val="clear" w:color="auto" w:fill="auto"/>
            <w:noWrap/>
            <w:vAlign w:val="bottom"/>
            <w:hideMark/>
          </w:tcPr>
          <w:p w14:paraId="1E3B0752" w14:textId="77777777" w:rsidR="00833C8B" w:rsidRPr="00510203" w:rsidRDefault="00833C8B" w:rsidP="00A4646C">
            <w:pPr>
              <w:rPr>
                <w:color w:val="000000"/>
                <w:sz w:val="20"/>
                <w:szCs w:val="20"/>
              </w:rPr>
            </w:pPr>
            <w:r w:rsidRPr="00510203">
              <w:rPr>
                <w:color w:val="000000"/>
                <w:sz w:val="20"/>
                <w:szCs w:val="20"/>
              </w:rPr>
              <w:t>Rural men (55-64)</w:t>
            </w:r>
          </w:p>
        </w:tc>
        <w:tc>
          <w:tcPr>
            <w:tcW w:w="1445" w:type="pct"/>
            <w:tcBorders>
              <w:top w:val="nil"/>
              <w:bottom w:val="single" w:sz="4" w:space="0" w:color="auto"/>
            </w:tcBorders>
            <w:shd w:val="clear" w:color="auto" w:fill="auto"/>
            <w:noWrap/>
            <w:vAlign w:val="bottom"/>
            <w:hideMark/>
          </w:tcPr>
          <w:p w14:paraId="59949779" w14:textId="77777777" w:rsidR="00833C8B" w:rsidRPr="00510203" w:rsidRDefault="00833C8B" w:rsidP="001D10D4">
            <w:pPr>
              <w:jc w:val="center"/>
              <w:rPr>
                <w:color w:val="000000"/>
                <w:sz w:val="20"/>
                <w:szCs w:val="20"/>
              </w:rPr>
            </w:pPr>
            <w:r w:rsidRPr="00510203">
              <w:rPr>
                <w:color w:val="000000"/>
                <w:sz w:val="20"/>
                <w:szCs w:val="20"/>
              </w:rPr>
              <w:t>0.36%</w:t>
            </w:r>
          </w:p>
        </w:tc>
        <w:tc>
          <w:tcPr>
            <w:tcW w:w="1629" w:type="pct"/>
            <w:tcBorders>
              <w:top w:val="nil"/>
              <w:bottom w:val="single" w:sz="4" w:space="0" w:color="auto"/>
            </w:tcBorders>
            <w:shd w:val="clear" w:color="auto" w:fill="auto"/>
            <w:noWrap/>
            <w:vAlign w:val="bottom"/>
            <w:hideMark/>
          </w:tcPr>
          <w:p w14:paraId="3483F01F" w14:textId="77777777" w:rsidR="00833C8B" w:rsidRPr="00510203" w:rsidRDefault="00833C8B" w:rsidP="00527179">
            <w:pPr>
              <w:jc w:val="center"/>
              <w:rPr>
                <w:color w:val="000000"/>
                <w:sz w:val="20"/>
                <w:szCs w:val="20"/>
              </w:rPr>
            </w:pPr>
            <w:r w:rsidRPr="00510203">
              <w:rPr>
                <w:color w:val="000000"/>
                <w:sz w:val="20"/>
                <w:szCs w:val="20"/>
              </w:rPr>
              <w:t>(0.30%, 0.41%)</w:t>
            </w:r>
          </w:p>
        </w:tc>
      </w:tr>
    </w:tbl>
    <w:p w14:paraId="3E189E17" w14:textId="77777777" w:rsidR="00833C8B" w:rsidRPr="00E861FA" w:rsidRDefault="00833C8B" w:rsidP="002E50FA">
      <w:pPr>
        <w:pStyle w:val="BodyText"/>
        <w:numPr>
          <w:ilvl w:val="0"/>
          <w:numId w:val="11"/>
        </w:numPr>
        <w:spacing w:before="0" w:after="0"/>
        <w:jc w:val="both"/>
        <w:rPr>
          <w:bCs/>
          <w:sz w:val="20"/>
          <w:szCs w:val="20"/>
        </w:rPr>
      </w:pPr>
      <w:r w:rsidRPr="00E861FA">
        <w:rPr>
          <w:bCs/>
          <w:sz w:val="20"/>
          <w:szCs w:val="20"/>
        </w:rPr>
        <w:t>The monthly population growth rate is an average monthly growth between 2003 and 2045.</w:t>
      </w:r>
    </w:p>
    <w:p w14:paraId="34DF0A4D" w14:textId="77777777" w:rsidR="00550A15" w:rsidRPr="00E861FA" w:rsidRDefault="00550A15" w:rsidP="00A4646C">
      <w:pPr>
        <w:rPr>
          <w:b/>
          <w:sz w:val="20"/>
          <w:szCs w:val="20"/>
        </w:rPr>
        <w:sectPr w:rsidR="00550A15" w:rsidRPr="00E861FA" w:rsidSect="00550A15">
          <w:headerReference w:type="even" r:id="rId96"/>
          <w:headerReference w:type="default" r:id="rId97"/>
          <w:headerReference w:type="first" r:id="rId98"/>
          <w:pgSz w:w="12240" w:h="15840"/>
          <w:pgMar w:top="1440" w:right="1440" w:bottom="1440" w:left="1440" w:header="720" w:footer="720" w:gutter="0"/>
          <w:cols w:space="720"/>
          <w:docGrid w:linePitch="360"/>
        </w:sectPr>
      </w:pPr>
    </w:p>
    <w:p w14:paraId="5CAEF72B" w14:textId="39BD3E49" w:rsidR="00280B0C" w:rsidRPr="00280B0C" w:rsidRDefault="00280B0C" w:rsidP="00BC788D">
      <w:pPr>
        <w:pStyle w:val="Heading2"/>
      </w:pPr>
      <w:bookmarkStart w:id="410" w:name="_Ref82442914"/>
      <w:bookmarkStart w:id="411" w:name="_Toc82592767"/>
      <w:r w:rsidRPr="00280B0C">
        <w:lastRenderedPageBreak/>
        <w:t>Comparing different for measuring the goodness of fit in the calibration process.</w:t>
      </w:r>
      <w:bookmarkEnd w:id="410"/>
      <w:bookmarkEnd w:id="411"/>
      <w:r>
        <w:t xml:space="preserve"> </w:t>
      </w:r>
    </w:p>
    <w:tbl>
      <w:tblPr>
        <w:tblStyle w:val="TableGrid"/>
        <w:tblW w:w="13045" w:type="dxa"/>
        <w:tblLook w:val="04A0" w:firstRow="1" w:lastRow="0" w:firstColumn="1" w:lastColumn="0" w:noHBand="0" w:noVBand="1"/>
      </w:tblPr>
      <w:tblGrid>
        <w:gridCol w:w="2965"/>
        <w:gridCol w:w="2790"/>
        <w:gridCol w:w="3600"/>
        <w:gridCol w:w="2767"/>
        <w:gridCol w:w="923"/>
      </w:tblGrid>
      <w:tr w:rsidR="00280B0C" w:rsidRPr="007A45D6" w14:paraId="3B546622" w14:textId="77777777" w:rsidTr="001B0DEC">
        <w:tc>
          <w:tcPr>
            <w:tcW w:w="2965" w:type="dxa"/>
          </w:tcPr>
          <w:p w14:paraId="3F4D2110" w14:textId="77777777" w:rsidR="00280B0C" w:rsidRPr="007A45D6" w:rsidRDefault="00280B0C" w:rsidP="001B0DEC">
            <w:pPr>
              <w:rPr>
                <w:b/>
              </w:rPr>
            </w:pPr>
            <w:r w:rsidRPr="007A45D6">
              <w:rPr>
                <w:b/>
              </w:rPr>
              <w:t>Method</w:t>
            </w:r>
          </w:p>
        </w:tc>
        <w:tc>
          <w:tcPr>
            <w:tcW w:w="2790" w:type="dxa"/>
          </w:tcPr>
          <w:p w14:paraId="0CFA37A3" w14:textId="77777777" w:rsidR="00280B0C" w:rsidRPr="007A45D6" w:rsidRDefault="00280B0C" w:rsidP="001B0DEC">
            <w:pPr>
              <w:rPr>
                <w:b/>
              </w:rPr>
            </w:pPr>
            <w:r w:rsidRPr="007A45D6">
              <w:rPr>
                <w:b/>
              </w:rPr>
              <w:t>Advantage</w:t>
            </w:r>
          </w:p>
        </w:tc>
        <w:tc>
          <w:tcPr>
            <w:tcW w:w="3600" w:type="dxa"/>
          </w:tcPr>
          <w:p w14:paraId="76350D00" w14:textId="77777777" w:rsidR="00280B0C" w:rsidRPr="007A45D6" w:rsidRDefault="00280B0C" w:rsidP="001B0DEC">
            <w:pPr>
              <w:rPr>
                <w:b/>
              </w:rPr>
            </w:pPr>
            <w:r w:rsidRPr="007A45D6">
              <w:rPr>
                <w:b/>
              </w:rPr>
              <w:t xml:space="preserve">Disadvantages </w:t>
            </w:r>
          </w:p>
        </w:tc>
        <w:tc>
          <w:tcPr>
            <w:tcW w:w="2767" w:type="dxa"/>
          </w:tcPr>
          <w:p w14:paraId="6C40C051" w14:textId="77777777" w:rsidR="00280B0C" w:rsidRPr="007A45D6" w:rsidRDefault="00280B0C" w:rsidP="001B0DEC">
            <w:pPr>
              <w:rPr>
                <w:b/>
              </w:rPr>
            </w:pPr>
            <w:r w:rsidRPr="007A45D6">
              <w:rPr>
                <w:b/>
              </w:rPr>
              <w:t>Discussion</w:t>
            </w:r>
          </w:p>
        </w:tc>
        <w:tc>
          <w:tcPr>
            <w:tcW w:w="923" w:type="dxa"/>
          </w:tcPr>
          <w:p w14:paraId="0B1EE56E" w14:textId="77777777" w:rsidR="00280B0C" w:rsidRPr="007A45D6" w:rsidRDefault="00280B0C" w:rsidP="001B0DEC">
            <w:pPr>
              <w:rPr>
                <w:b/>
              </w:rPr>
            </w:pPr>
            <w:r w:rsidRPr="007A45D6">
              <w:rPr>
                <w:b/>
              </w:rPr>
              <w:t>Source</w:t>
            </w:r>
          </w:p>
        </w:tc>
      </w:tr>
      <w:tr w:rsidR="00280B0C" w:rsidRPr="007A45D6" w14:paraId="2DC1E950" w14:textId="77777777" w:rsidTr="001B0DEC">
        <w:tc>
          <w:tcPr>
            <w:tcW w:w="2965" w:type="dxa"/>
          </w:tcPr>
          <w:p w14:paraId="2FDEF088" w14:textId="77777777" w:rsidR="00280B0C" w:rsidRPr="007A45D6" w:rsidRDefault="00280B0C" w:rsidP="001B0DEC">
            <w:pPr>
              <w:rPr>
                <w:b/>
              </w:rPr>
            </w:pPr>
            <w:r w:rsidRPr="007A45D6">
              <w:rPr>
                <w:b/>
              </w:rPr>
              <w:t>Visual – Calibration plot</w:t>
            </w:r>
          </w:p>
          <w:p w14:paraId="16BE6481" w14:textId="77777777" w:rsidR="00280B0C" w:rsidRPr="007A45D6" w:rsidRDefault="00280B0C" w:rsidP="001B0DEC"/>
          <w:p w14:paraId="21226D33" w14:textId="77777777" w:rsidR="00280B0C" w:rsidRDefault="00280B0C" w:rsidP="001B0DEC">
            <w:r w:rsidRPr="007A45D6">
              <w:t xml:space="preserve">This is a qualitative approach of measuring the goodness-of-fit by visually comparing the model output with the calibration targets. This goodness of fit is determined by the analyst and no theoretical justification or consensuses on how that is determined. </w:t>
            </w:r>
          </w:p>
          <w:p w14:paraId="40C40A2E" w14:textId="77777777" w:rsidR="00280B0C" w:rsidRDefault="00280B0C" w:rsidP="001B0DEC"/>
          <w:p w14:paraId="3BC75995" w14:textId="77777777" w:rsidR="00280B0C" w:rsidRPr="007A45D6" w:rsidRDefault="00280B0C" w:rsidP="001B0DEC">
            <w:r>
              <w:t xml:space="preserve">Calibration targets with/without confidence interval are the only data required to perform the method. </w:t>
            </w:r>
          </w:p>
        </w:tc>
        <w:tc>
          <w:tcPr>
            <w:tcW w:w="2790" w:type="dxa"/>
          </w:tcPr>
          <w:p w14:paraId="69C47EEB" w14:textId="77777777" w:rsidR="00280B0C" w:rsidRPr="007A45D6" w:rsidRDefault="00280B0C" w:rsidP="001B0DEC">
            <w:r w:rsidRPr="007A45D6">
              <w:t>The method is simple and does not require complex statistical methods.</w:t>
            </w:r>
          </w:p>
        </w:tc>
        <w:tc>
          <w:tcPr>
            <w:tcW w:w="3600" w:type="dxa"/>
          </w:tcPr>
          <w:p w14:paraId="3245FCC0" w14:textId="77777777" w:rsidR="00280B0C" w:rsidRPr="007A45D6" w:rsidRDefault="00280B0C" w:rsidP="001B0DEC">
            <w:r w:rsidRPr="007A45D6">
              <w:t xml:space="preserve">This approach involves subjective judgment and there’s no clear methodology for determining the goodness of fit. </w:t>
            </w:r>
          </w:p>
          <w:p w14:paraId="41FE237F" w14:textId="77777777" w:rsidR="00280B0C" w:rsidRPr="007A45D6" w:rsidRDefault="00280B0C" w:rsidP="001B0DEC"/>
          <w:p w14:paraId="4DA49F7E" w14:textId="77777777" w:rsidR="00280B0C" w:rsidRPr="007A45D6" w:rsidRDefault="00280B0C" w:rsidP="001B0DEC">
            <w:r w:rsidRPr="007A45D6">
              <w:t xml:space="preserve">The approach can be difficult to justify. </w:t>
            </w:r>
          </w:p>
        </w:tc>
        <w:tc>
          <w:tcPr>
            <w:tcW w:w="2767" w:type="dxa"/>
          </w:tcPr>
          <w:p w14:paraId="3F87953E" w14:textId="77777777" w:rsidR="00280B0C" w:rsidRPr="007A45D6" w:rsidRDefault="00280B0C" w:rsidP="001B0DEC">
            <w:r w:rsidRPr="007A45D6">
              <w:t xml:space="preserve">This method is not selected because it is not reliable and has not methodological approach to justify it. However, the visual method can be used </w:t>
            </w:r>
            <w:r w:rsidRPr="007A45D6">
              <w:rPr>
                <w:rFonts w:hint="eastAsia"/>
              </w:rPr>
              <w:t>t</w:t>
            </w:r>
            <w:r w:rsidRPr="007A45D6">
              <w:t>o identify the parameter inputs included in the calibration process.</w:t>
            </w:r>
          </w:p>
          <w:p w14:paraId="4F7537A6" w14:textId="77777777" w:rsidR="00280B0C" w:rsidRPr="007A45D6" w:rsidRDefault="00280B0C" w:rsidP="001B0DEC"/>
          <w:p w14:paraId="5EE4CA1F" w14:textId="77777777" w:rsidR="00280B0C" w:rsidRPr="007A45D6" w:rsidRDefault="00280B0C" w:rsidP="001B0DEC">
            <w:r w:rsidRPr="007A45D6">
              <w:t xml:space="preserve">This method can also be inappropriate when multiple calibration targets are used.  </w:t>
            </w:r>
          </w:p>
        </w:tc>
        <w:tc>
          <w:tcPr>
            <w:tcW w:w="923" w:type="dxa"/>
          </w:tcPr>
          <w:p w14:paraId="0A2AF9E8" w14:textId="77777777" w:rsidR="00280B0C" w:rsidRPr="007A45D6" w:rsidRDefault="00280B0C" w:rsidP="001B0DEC">
            <w:pPr>
              <w:rPr>
                <w:b/>
              </w:rPr>
            </w:pPr>
            <w:r w:rsidRPr="007A45D6">
              <w:fldChar w:fldCharType="begin" w:fldLock="1"/>
            </w:r>
            <w:r>
              <w:instrText>ADDIN CSL_CITATION {"citationItems":[{"id":"ITEM-1","itemData":{"DOI":"10.2165/11584600-000000000-00000","ISSN":"11707690","PMID":"21142277","abstract":"In economic evaluation, mathematical models have a central role as a way of integrating all the relevant information about a disease and health interventions, in order to estimate costs and consequences over an extended time horizon. Models are based on scientific knowledge of disease (which is likely to change over time), simplifying assumptions and input parameters with different levels of uncertainty; therefore, it is sensible to explore the consistency of model predictions with observational data. Calibration is a useful tool for estimating uncertain parameters, as well as more accurately defining model uncertainty (particularly with respect to the representation of correlations between parameters). Calibration involves the comparison of model outputs (e.g. disease prevalence rates) with empirical data, leading to the identification of model parameter values that achieve a good fit.This article provides guidance on the theoretical underpinnings of different calibration methods. The calibration process is divided into seven steps and different potential methods at each step are discussed, focusing on the particular features of disease models in economic evaluation. The seven steps are (i) Which parameters should be varied in the calibration process? (ii) Which calibration targets should be used? (iii) What measure of goodness of fit should be used? (iv) What parameter search strategy should be used? (v) What determines acceptable goodness-of-fit parameter sets (convergence criteria)? (vi) What determines the termination of the calibration process (stopping rule)? (vii) How should the model calibration results and economic parameters be integrated?The lack of standards in calibrating disease models in economic evaluation can undermine the credibility of calibration methods. In order to avoid the scepticism regarding calibration, we ought to unify the way we approach the problems and report the methods used, and continue to investigate different methods. © 2011 Adis Data Information BV. All rights reserved.","author":[{"dropping-particle":"","family":"Vanni","given":"Tazio","non-dropping-particle":"","parse-names":false,"suffix":""},{"dropping-particle":"","family":"Karnon","given":"Jonathan","non-dropping-particle":"","parse-names":false,"suffix":""},{"dropping-particle":"","family":"Madan","given":"Jason","non-dropping-particle":"","parse-names":false,"suffix":""},{"dropping-particle":"","family":"White","given":"Richard G.","non-dropping-particle":"","parse-names":false,"suffix":""},{"dropping-particle":"","family":"Edmunds","given":"W. John","non-dropping-particle":"","parse-names":false,"suffix":""},{"dropping-particle":"","family":"Foss","given":"Anna M.","non-dropping-particle":"","parse-names":false,"suffix":""},{"dropping-particle":"","family":"Legood","given":"Rosa","non-dropping-particle":"","parse-names":false,"suffix":""}],"container-title":"PharmacoEconomics","id":"ITEM-1","issued":{"date-parts":[["2011"]]},"title":"Calibrating models in economic evaluation: A seven-step approach","type":"article-journal"},"uris":["http://www.mendeley.com/documents/?uuid=863ffe7f-7989-4b48-8a7b-815b7106d50e"]}],"mendeley":{"formattedCitation":"&lt;sup&gt;2&lt;/sup&gt;","plainTextFormattedCitation":"2","previouslyFormattedCitation":"&lt;sup&gt;2&lt;/sup&gt;"},"properties":{"noteIndex":0},"schema":"https://github.com/citation-style-language/schema/raw/master/csl-citation.json"}</w:instrText>
            </w:r>
            <w:r w:rsidRPr="007A45D6">
              <w:fldChar w:fldCharType="separate"/>
            </w:r>
            <w:r w:rsidRPr="00E63CD9">
              <w:rPr>
                <w:noProof/>
                <w:vertAlign w:val="superscript"/>
              </w:rPr>
              <w:t>2</w:t>
            </w:r>
            <w:r w:rsidRPr="007A45D6">
              <w:fldChar w:fldCharType="end"/>
            </w:r>
          </w:p>
        </w:tc>
      </w:tr>
      <w:tr w:rsidR="00280B0C" w:rsidRPr="007A45D6" w14:paraId="01945CC4" w14:textId="77777777" w:rsidTr="001B0DEC">
        <w:tc>
          <w:tcPr>
            <w:tcW w:w="2965" w:type="dxa"/>
          </w:tcPr>
          <w:p w14:paraId="0320661A" w14:textId="77777777" w:rsidR="00280B0C" w:rsidRPr="007A45D6" w:rsidRDefault="00280B0C" w:rsidP="001B0DEC">
            <w:pPr>
              <w:pStyle w:val="NormalWeb"/>
              <w:rPr>
                <w:b/>
              </w:rPr>
            </w:pPr>
            <w:r w:rsidRPr="007A45D6">
              <w:rPr>
                <w:b/>
              </w:rPr>
              <w:t>Sum of least-squares</w:t>
            </w:r>
          </w:p>
          <w:p w14:paraId="0CF9A43A" w14:textId="77777777" w:rsidR="00280B0C" w:rsidRDefault="00280B0C" w:rsidP="001B0DEC">
            <w:pPr>
              <w:pStyle w:val="NormalWeb"/>
            </w:pPr>
            <w:r w:rsidRPr="007A45D6">
              <w:t xml:space="preserve">This method minimizes the sum of square errors. The sum of square errors is calculated by taking the difference between the model output values and the calibration target values. Parameter values that minimize the sum of errors are selected. </w:t>
            </w:r>
          </w:p>
          <w:p w14:paraId="601E0210" w14:textId="77777777" w:rsidR="00280B0C" w:rsidRPr="007A45D6" w:rsidRDefault="00280B0C" w:rsidP="001B0DEC">
            <w:pPr>
              <w:pStyle w:val="NormalWeb"/>
            </w:pPr>
            <w:r>
              <w:lastRenderedPageBreak/>
              <w:t xml:space="preserve">Point estimates of calibration targets are required to perform the method. </w:t>
            </w:r>
            <w:r w:rsidRPr="007A45D6">
              <w:t>The sum of the squares of the differences between the observed data and the model predictions should be at the global minimum.</w:t>
            </w:r>
          </w:p>
          <w:p w14:paraId="7A420B19" w14:textId="77777777" w:rsidR="00280B0C" w:rsidRPr="007A45D6" w:rsidRDefault="00280B0C" w:rsidP="001B0DEC">
            <w:pPr>
              <w:pStyle w:val="NormalWeb"/>
              <w:rPr>
                <w:b/>
              </w:rPr>
            </w:pPr>
            <w:r w:rsidRPr="007A45D6">
              <w:rPr>
                <w:b/>
              </w:rPr>
              <w:t>Assumptions:</w:t>
            </w:r>
          </w:p>
          <w:p w14:paraId="52B0B332" w14:textId="77777777" w:rsidR="00280B0C" w:rsidRPr="007A45D6" w:rsidRDefault="00280B0C" w:rsidP="001B0DEC">
            <w:pPr>
              <w:pStyle w:val="NormalWeb"/>
            </w:pPr>
            <w:r w:rsidRPr="007A45D6">
              <w:t>Statistically, the least squares method assumes the random error in each data point is normally distributed and the constant variance (meaning the data is homoscedastic) across all data points.</w:t>
            </w:r>
          </w:p>
          <w:p w14:paraId="5FD75B68" w14:textId="77777777" w:rsidR="00280B0C" w:rsidRPr="007A45D6" w:rsidRDefault="00280B0C" w:rsidP="001B0DEC">
            <w:pPr>
              <w:pStyle w:val="NormalWeb"/>
            </w:pPr>
          </w:p>
        </w:tc>
        <w:tc>
          <w:tcPr>
            <w:tcW w:w="2790" w:type="dxa"/>
          </w:tcPr>
          <w:p w14:paraId="63DA813E" w14:textId="77777777" w:rsidR="00280B0C" w:rsidRPr="007A45D6" w:rsidRDefault="00280B0C" w:rsidP="001B0DEC">
            <w:pPr>
              <w:pStyle w:val="NormalWeb"/>
            </w:pPr>
            <w:r w:rsidRPr="007A45D6">
              <w:lastRenderedPageBreak/>
              <w:t xml:space="preserve">The sum of least squares method is intuitive and easier to implement. </w:t>
            </w:r>
          </w:p>
        </w:tc>
        <w:tc>
          <w:tcPr>
            <w:tcW w:w="3600" w:type="dxa"/>
          </w:tcPr>
          <w:p w14:paraId="509D06E8" w14:textId="77777777" w:rsidR="00280B0C" w:rsidRPr="007A45D6" w:rsidRDefault="00280B0C" w:rsidP="001B0DEC">
            <w:pPr>
              <w:pStyle w:val="NormalWeb"/>
            </w:pPr>
            <w:r w:rsidRPr="007A45D6">
              <w:t xml:space="preserve">The sum of least squares method does take into account the precision (uncertainty in the data) of the observed data used for calibration. That means, the method assumes all the data points have the same variance which is not always true. </w:t>
            </w:r>
          </w:p>
          <w:p w14:paraId="331ED4E3" w14:textId="77777777" w:rsidR="00280B0C" w:rsidRPr="007A45D6" w:rsidRDefault="00280B0C" w:rsidP="001B0DEC">
            <w:pPr>
              <w:pStyle w:val="NormalWeb"/>
            </w:pPr>
            <w:r w:rsidRPr="007A45D6">
              <w:t>The least squares method may generate biased estimates when the assumptions are violated.</w:t>
            </w:r>
          </w:p>
        </w:tc>
        <w:tc>
          <w:tcPr>
            <w:tcW w:w="2767" w:type="dxa"/>
          </w:tcPr>
          <w:p w14:paraId="40D9E3CD" w14:textId="77777777" w:rsidR="00280B0C" w:rsidRPr="007A45D6" w:rsidRDefault="00280B0C" w:rsidP="001B0DEC">
            <w:r w:rsidRPr="007A45D6">
              <w:t>The sum of least squares method is one of the commonly used methods for measuring the goodness of fit. Although the assumption of normality is usually not satisfied when calibrating to external targets, the least squares method generates acceptable model fits.</w:t>
            </w:r>
          </w:p>
          <w:p w14:paraId="0205196D" w14:textId="77777777" w:rsidR="00280B0C" w:rsidRPr="007A45D6" w:rsidRDefault="00280B0C" w:rsidP="001B0DEC"/>
          <w:p w14:paraId="18AD17EF" w14:textId="77777777" w:rsidR="00280B0C" w:rsidRPr="007A45D6" w:rsidRDefault="00280B0C" w:rsidP="001B0DEC"/>
        </w:tc>
        <w:tc>
          <w:tcPr>
            <w:tcW w:w="923" w:type="dxa"/>
          </w:tcPr>
          <w:p w14:paraId="437BDB2E" w14:textId="77777777" w:rsidR="00280B0C" w:rsidRPr="007A45D6" w:rsidRDefault="00280B0C" w:rsidP="001B0DEC">
            <w:r w:rsidRPr="007A45D6">
              <w:lastRenderedPageBreak/>
              <w:fldChar w:fldCharType="begin" w:fldLock="1"/>
            </w:r>
            <w:r>
              <w:instrText>ADDIN CSL_CITATION {"citationItems":[{"id":"ITEM-1","itemData":{"author":[{"dropping-particle":"","family":"Cooper","given":"Ben S.","non-dropping-particle":"","parse-names":false,"suffix":""}],"container-title":"Journal of Hospital Infection","id":"ITEM-1","issue":"S2","issued":{"date-parts":[["2007"]]},"page":"88-92","title":"Confronting Models with Data","type":"article-journal","volume":"65"},"uris":["http://www.mendeley.com/documents/?uuid=9bf63647-bdb7-4edd-84cb-6e10b244206a"]},{"id":"ITEM-2","itemData":{"DOI":"10.2165/11584600-000000000-00000","ISSN":"11707690","PMID":"21142277","abstract":"In economic evaluation, mathematical models have a central role as a way of integrating all the relevant information about a disease and health interventions, in order to estimate costs and consequences over an extended time horizon. Models are based on scientific knowledge of disease (which is likely to change over time), simplifying assumptions and input parameters with different levels of uncertainty; therefore, it is sensible to explore the consistency of model predictions with observational data. Calibration is a useful tool for estimating uncertain parameters, as well as more accurately defining model uncertainty (particularly with respect to the representation of correlations between parameters). Calibration involves the comparison of model outputs (e.g. disease prevalence rates) with empirical data, leading to the identification of model parameter values that achieve a good fit.This article provides guidance on the theoretical underpinnings of different calibration methods. The calibration process is divided into seven steps and different potential methods at each step are discussed, focusing on the particular features of disease models in economic evaluation. The seven steps are (i) Which parameters should be varied in the calibration process? (ii) Which calibration targets should be used? (iii) What measure of goodness of fit should be used? (iv) What parameter search strategy should be used? (v) What determines acceptable goodness-of-fit parameter sets (convergence criteria)? (vi) What determines the termination of the calibration process (stopping rule)? (vii) How should the model calibration results and economic parameters be integrated?The lack of standards in calibrating disease models in economic evaluation can undermine the credibility of calibration methods. In order to avoid the scepticism regarding calibration, we ought to unify the way we approach the problems and report the methods used, and continue to investigate different methods. © 2011 Adis Data Information BV. All rights reserved.","author":[{"dropping-particle":"","family":"Vanni","given":"Tazio","non-dropping-particle":"","parse-names":false,"suffix":""},{"dropping-particle":"","family":"Karnon","given":"Jonathan","non-dropping-particle":"","parse-names":false,"suffix":""},{"dropping-particle":"","family":"Madan","given":"Jason","non-dropping-particle":"","parse-names":false,"suffix":""},{"dropping-particle":"","family":"White","given":"Richard G.","non-dropping-particle":"","parse-names":false,"suffix":""},{"dropping-particle":"","family":"Edmunds","given":"W. John","non-dropping-particle":"","parse-names":false,"suffix":""},{"dropping-particle":"","family":"Foss","given":"Anna M.","non-dropping-particle":"","parse-names":false,"suffix":""},{"dropping-particle":"","family":"Legood","given":"Rosa","non-dropping-particle":"","parse-names":false,"suffix":""}],"container-title":"PharmacoEconomics","id":"ITEM-2","issued":{"date-parts":[["2011"]]},"title":"Calibrating models in economic evaluation: A seven-step approach","type":"article-journal"},"uris":["http://www.mendeley.com/documents/?uuid=863ffe7f-7989-4b48-8a7b-815b7106d50e"]}],"mendeley":{"formattedCitation":"&lt;sup&gt;2,3&lt;/sup&gt;","plainTextFormattedCitation":"2,3","previouslyFormattedCitation":"&lt;sup&gt;2,3&lt;/sup&gt;"},"properties":{"noteIndex":0},"schema":"https://github.com/citation-style-language/schema/raw/master/csl-citation.json"}</w:instrText>
            </w:r>
            <w:r w:rsidRPr="007A45D6">
              <w:fldChar w:fldCharType="separate"/>
            </w:r>
            <w:r w:rsidRPr="00E63CD9">
              <w:rPr>
                <w:noProof/>
                <w:vertAlign w:val="superscript"/>
              </w:rPr>
              <w:t>2,3</w:t>
            </w:r>
            <w:r w:rsidRPr="007A45D6">
              <w:fldChar w:fldCharType="end"/>
            </w:r>
          </w:p>
        </w:tc>
      </w:tr>
      <w:tr w:rsidR="00280B0C" w:rsidRPr="007A45D6" w14:paraId="1018B11A" w14:textId="77777777" w:rsidTr="001B0DEC">
        <w:tc>
          <w:tcPr>
            <w:tcW w:w="2965" w:type="dxa"/>
          </w:tcPr>
          <w:p w14:paraId="33B771A4" w14:textId="77777777" w:rsidR="00280B0C" w:rsidRDefault="00280B0C" w:rsidP="001B0DEC">
            <w:pPr>
              <w:pStyle w:val="NormalWeb"/>
              <w:rPr>
                <w:b/>
              </w:rPr>
            </w:pPr>
            <w:r>
              <w:rPr>
                <w:b/>
              </w:rPr>
              <w:t>Percentage deviation</w:t>
            </w:r>
          </w:p>
          <w:p w14:paraId="1F8F8164" w14:textId="77777777" w:rsidR="00280B0C" w:rsidRDefault="00280B0C" w:rsidP="001B0DEC">
            <w:pPr>
              <w:pStyle w:val="NormalWeb"/>
              <w:rPr>
                <w:bCs/>
              </w:rPr>
            </w:pPr>
            <w:r>
              <w:rPr>
                <w:bCs/>
              </w:rPr>
              <w:t xml:space="preserve">The percentage deviation method minimizes the deviation from the observed value. The percentage deviation is calculated as the absolute value of the difference between projected and observed </w:t>
            </w:r>
            <w:r>
              <w:rPr>
                <w:bCs/>
              </w:rPr>
              <w:lastRenderedPageBreak/>
              <w:t xml:space="preserve">value divided by the observed value. </w:t>
            </w:r>
          </w:p>
          <w:p w14:paraId="5F638C04" w14:textId="77777777" w:rsidR="00280B0C" w:rsidRPr="00EB0FFF" w:rsidRDefault="00280B0C" w:rsidP="001B0DEC">
            <w:pPr>
              <w:pStyle w:val="NormalWeb"/>
              <w:rPr>
                <w:bCs/>
              </w:rPr>
            </w:pPr>
            <w:r>
              <w:t>Point estimates of calibration targets are required to perform the method.</w:t>
            </w:r>
          </w:p>
        </w:tc>
        <w:tc>
          <w:tcPr>
            <w:tcW w:w="2790" w:type="dxa"/>
          </w:tcPr>
          <w:p w14:paraId="08FF5DDF" w14:textId="77777777" w:rsidR="00280B0C" w:rsidRPr="007A45D6" w:rsidRDefault="00280B0C" w:rsidP="001B0DEC">
            <w:pPr>
              <w:pStyle w:val="NormalWeb"/>
            </w:pPr>
            <w:r>
              <w:lastRenderedPageBreak/>
              <w:t>The percentage deviation is intuitive and is comparable between calibration targets with different units</w:t>
            </w:r>
          </w:p>
        </w:tc>
        <w:tc>
          <w:tcPr>
            <w:tcW w:w="3600" w:type="dxa"/>
          </w:tcPr>
          <w:p w14:paraId="47C0D8BA" w14:textId="77777777" w:rsidR="00280B0C" w:rsidRPr="007A45D6" w:rsidRDefault="00280B0C" w:rsidP="001B0DEC">
            <w:pPr>
              <w:pStyle w:val="NormalWeb"/>
            </w:pPr>
            <w:r>
              <w:t xml:space="preserve">The percentage deviation is not a common method used in the calibration paper.  </w:t>
            </w:r>
          </w:p>
        </w:tc>
        <w:tc>
          <w:tcPr>
            <w:tcW w:w="2767" w:type="dxa"/>
          </w:tcPr>
          <w:p w14:paraId="4C47318F" w14:textId="77777777" w:rsidR="00280B0C" w:rsidRPr="007A45D6" w:rsidRDefault="00280B0C" w:rsidP="001B0DEC">
            <w:r>
              <w:t>The percentage deviation generates acceptable goodness of fit scores especially when multiple calibration targets co-exist.</w:t>
            </w:r>
          </w:p>
        </w:tc>
        <w:tc>
          <w:tcPr>
            <w:tcW w:w="923" w:type="dxa"/>
          </w:tcPr>
          <w:p w14:paraId="62451A8E" w14:textId="77777777" w:rsidR="00280B0C" w:rsidRPr="007A45D6" w:rsidRDefault="00280B0C" w:rsidP="001B0DEC"/>
        </w:tc>
      </w:tr>
      <w:tr w:rsidR="00280B0C" w:rsidRPr="007A45D6" w14:paraId="13C76B93" w14:textId="77777777" w:rsidTr="001B0DEC">
        <w:tc>
          <w:tcPr>
            <w:tcW w:w="2965" w:type="dxa"/>
          </w:tcPr>
          <w:p w14:paraId="1E4EDB0F" w14:textId="77777777" w:rsidR="00280B0C" w:rsidRPr="007A45D6" w:rsidRDefault="00280B0C" w:rsidP="001B0DEC">
            <w:pPr>
              <w:pStyle w:val="NormalWeb"/>
              <w:rPr>
                <w:b/>
              </w:rPr>
            </w:pPr>
            <w:r w:rsidRPr="007A45D6">
              <w:rPr>
                <w:b/>
              </w:rPr>
              <w:t xml:space="preserve">Weighted Least-squares </w:t>
            </w:r>
          </w:p>
          <w:p w14:paraId="52369328" w14:textId="77777777" w:rsidR="00280B0C" w:rsidRPr="007A45D6" w:rsidRDefault="00280B0C" w:rsidP="001B0DEC">
            <w:pPr>
              <w:pStyle w:val="NormalWeb"/>
            </w:pPr>
            <w:r w:rsidRPr="007A45D6">
              <w:t xml:space="preserve">The weighted least squares (WLS) method is a continuation of the sum of least-squares method. The difference is that the WLS takes into account the variations in the calibration targets. </w:t>
            </w:r>
          </w:p>
          <w:p w14:paraId="12B85507" w14:textId="77777777" w:rsidR="00280B0C" w:rsidRPr="007A45D6" w:rsidRDefault="00280B0C" w:rsidP="001B0DEC">
            <w:pPr>
              <w:pStyle w:val="NormalWeb"/>
            </w:pPr>
            <w:r w:rsidRPr="007A45D6">
              <w:t xml:space="preserve">WLS is a special case of a generalized least squares methods. WLS works by allocating a weight to each data point. The size of the weight shows the precision of information in the associated observation. Optimizing the weighted model fitting criterion to find parameter estimates allows the weights to determine the contribution </w:t>
            </w:r>
            <w:r w:rsidRPr="007A45D6">
              <w:lastRenderedPageBreak/>
              <w:t xml:space="preserve">of each data point to the final parameter estimates. </w:t>
            </w:r>
          </w:p>
          <w:p w14:paraId="44A2ABCF" w14:textId="77777777" w:rsidR="00280B0C" w:rsidRDefault="00280B0C" w:rsidP="001B0DEC">
            <w:pPr>
              <w:pStyle w:val="NormalWeb"/>
            </w:pPr>
            <w:r w:rsidRPr="007A45D6">
              <w:t xml:space="preserve">One way of allocating weights when the standard deviation is not constant across all data points is to use the inverse of the variance for each data point. </w:t>
            </w:r>
          </w:p>
          <w:p w14:paraId="2FA5FBDE" w14:textId="77777777" w:rsidR="00280B0C" w:rsidRPr="007A45D6" w:rsidRDefault="00280B0C" w:rsidP="001B0DEC">
            <w:pPr>
              <w:pStyle w:val="NormalWeb"/>
            </w:pPr>
            <w:r>
              <w:t xml:space="preserve">Point estimates of the calibration targets and the variances are required to perform the analysis. </w:t>
            </w:r>
          </w:p>
        </w:tc>
        <w:tc>
          <w:tcPr>
            <w:tcW w:w="2790" w:type="dxa"/>
          </w:tcPr>
          <w:p w14:paraId="0DBC3B0F" w14:textId="77777777" w:rsidR="00280B0C" w:rsidRPr="007A45D6" w:rsidRDefault="00280B0C" w:rsidP="001B0DEC">
            <w:r w:rsidRPr="007A45D6">
              <w:lastRenderedPageBreak/>
              <w:t>The weighted least squares method considers the variation in data points which generates unbiased parameter estimates.</w:t>
            </w:r>
          </w:p>
          <w:p w14:paraId="093265E6" w14:textId="77777777" w:rsidR="00280B0C" w:rsidRPr="007A45D6" w:rsidRDefault="00280B0C" w:rsidP="001B0DEC"/>
          <w:p w14:paraId="6D7BEBEA" w14:textId="77777777" w:rsidR="00280B0C" w:rsidRPr="007A45D6" w:rsidRDefault="00280B0C" w:rsidP="001B0DEC">
            <w:r w:rsidRPr="007A45D6">
              <w:t xml:space="preserve">WLS method can produce reasonably good parameter estimates with small data sets </w:t>
            </w:r>
          </w:p>
        </w:tc>
        <w:tc>
          <w:tcPr>
            <w:tcW w:w="3600" w:type="dxa"/>
          </w:tcPr>
          <w:p w14:paraId="46165529" w14:textId="77777777" w:rsidR="00280B0C" w:rsidRPr="007A45D6" w:rsidRDefault="00280B0C" w:rsidP="001B0DEC">
            <w:pPr>
              <w:pStyle w:val="NormalWeb"/>
            </w:pPr>
            <w:r w:rsidRPr="007A45D6">
              <w:t xml:space="preserve">The weighted least squares method depends on the assumption that the weights are known. When weights are not known, and the estimated weights are not close to the true weight value, the parameter estimates will not be accurate. </w:t>
            </w:r>
          </w:p>
          <w:p w14:paraId="61CDE820" w14:textId="77777777" w:rsidR="00280B0C" w:rsidRPr="007A45D6" w:rsidRDefault="00280B0C" w:rsidP="001B0DEC">
            <w:r w:rsidRPr="007A45D6">
              <w:t>Weighted least squares method is also sensitive to the effects of outliers. If potential outliers are not investigated and dealt with appropriately, they will likely have a negative impact on the parameter estimation.</w:t>
            </w:r>
          </w:p>
        </w:tc>
        <w:tc>
          <w:tcPr>
            <w:tcW w:w="2767" w:type="dxa"/>
          </w:tcPr>
          <w:p w14:paraId="334EF27C" w14:textId="77777777" w:rsidR="00280B0C" w:rsidRPr="007A45D6" w:rsidRDefault="00280B0C" w:rsidP="001B0DEC">
            <w:r w:rsidRPr="007A45D6">
              <w:t xml:space="preserve">The weighted least square is </w:t>
            </w:r>
            <w:r>
              <w:t>not applicable since we do not always have the variance to calculate</w:t>
            </w:r>
            <w:r w:rsidRPr="007A45D6">
              <w:t xml:space="preserve"> weights</w:t>
            </w:r>
            <w:r>
              <w:t xml:space="preserve"> that</w:t>
            </w:r>
            <w:r w:rsidRPr="007A45D6">
              <w:t xml:space="preserve"> applied to the data points</w:t>
            </w:r>
            <w:r>
              <w:t xml:space="preserve"> (</w:t>
            </w:r>
            <w:proofErr w:type="gramStart"/>
            <w:r>
              <w:t>e.g.</w:t>
            </w:r>
            <w:proofErr w:type="gramEnd"/>
            <w:r w:rsidRPr="007A45D6">
              <w:t xml:space="preserve"> </w:t>
            </w:r>
            <w:r>
              <w:t>the number of patients on ART</w:t>
            </w:r>
            <w:r w:rsidRPr="007A45D6">
              <w:t xml:space="preserve"> </w:t>
            </w:r>
            <w:r>
              <w:t xml:space="preserve">and the percent of viral suppression condition on ART). </w:t>
            </w:r>
          </w:p>
          <w:p w14:paraId="76B9573C" w14:textId="77777777" w:rsidR="00280B0C" w:rsidRPr="007A45D6" w:rsidRDefault="00280B0C" w:rsidP="001B0DEC"/>
          <w:p w14:paraId="3F5490FB" w14:textId="77777777" w:rsidR="00280B0C" w:rsidRPr="007A45D6" w:rsidRDefault="00280B0C" w:rsidP="001B0DEC"/>
        </w:tc>
        <w:tc>
          <w:tcPr>
            <w:tcW w:w="923" w:type="dxa"/>
          </w:tcPr>
          <w:p w14:paraId="2A4AD483" w14:textId="77777777" w:rsidR="00280B0C" w:rsidRPr="007A45D6" w:rsidRDefault="00280B0C" w:rsidP="001B0DEC">
            <w:r w:rsidRPr="007A45D6">
              <w:fldChar w:fldCharType="begin" w:fldLock="1"/>
            </w:r>
            <w:r>
              <w:instrText>ADDIN CSL_CITATION {"citationItems":[{"id":"ITEM-1","itemData":{"DOI":"10.1039/c0an00192a","ISBN":"0003-2654","ISSN":"00032654","PMID":"20577693","abstract":"The least-squares (LS) analysis of data with error in x and y is generally thought to yield best results when carried out by minimizing the \"total variance\" (TV), defined as the sum of the properly weighted squared residuals in x and y. Alternative \"effective variance\" (EV) methods project the uncertainty in x into an effective contribution to that in y, and though easier to employ are considered to be less reliable. In the case of a linear response function with both sigma(x) and sigma(y) constant, the EV solutions are identically those from ordinary LS; and Monte Carlo (MC) simulations reveal that they can actually yield smaller root-mean-square errors than the TV method. Furthermore, the biases can be predicted from theory based on inverse regression--x upon y when x is error-free and y is uncertain--which yields a bias factor proportional to the ratio sigma(x)(2)/sigma(xm)(2) of the random-error variance in x to the model variance. The MC simulations confirm that the biases are essentially independent of the error in y, hence correctable. With such bias corrections, the better performance of the EV method in estimating the parameters translates into better performance in estimating the unknown (x(0)) from measurements (y(0)) of its response. The predictability of the EV parameter biases extends also to heteroscedastic y data as long as sigma(x) remains constant, but the estimation of x(0) is not as good in this case. When both x and y are heteroscedastic, there is no known way to predict the biases. However, the MC simulations suggest that for proportional error in x, a geometric x-structure leads to small bias and comparable performance for the EV and TV methods.","author":[{"dropping-particle":"","family":"Tellinghuisen","given":"Joel","non-dropping-particle":"","parse-names":false,"suffix":""}],"container-title":"Analyst","id":"ITEM-1","issue":"8","issued":{"date-parts":[["2010"]]},"page":"1961-1969","title":"Least squares in calibration: Dealing with uncertainty in x","type":"article-journal","volume":"135"},"uris":["http://www.mendeley.com/documents/?uuid=0bcebfbf-7b72-4621-b1b8-e7d21e103a27"]}],"mendeley":{"formattedCitation":"&lt;sup&gt;4&lt;/sup&gt;","plainTextFormattedCitation":"4","previouslyFormattedCitation":"&lt;sup&gt;4&lt;/sup&gt;"},"properties":{"noteIndex":0},"schema":"https://github.com/citation-style-language/schema/raw/master/csl-citation.json"}</w:instrText>
            </w:r>
            <w:r w:rsidRPr="007A45D6">
              <w:fldChar w:fldCharType="separate"/>
            </w:r>
            <w:r w:rsidRPr="00E63CD9">
              <w:rPr>
                <w:noProof/>
                <w:vertAlign w:val="superscript"/>
              </w:rPr>
              <w:t>4</w:t>
            </w:r>
            <w:r w:rsidRPr="007A45D6">
              <w:fldChar w:fldCharType="end"/>
            </w:r>
          </w:p>
        </w:tc>
      </w:tr>
      <w:tr w:rsidR="00280B0C" w:rsidRPr="007A45D6" w14:paraId="139C7FB7" w14:textId="77777777" w:rsidTr="001B0DEC">
        <w:tc>
          <w:tcPr>
            <w:tcW w:w="2965" w:type="dxa"/>
          </w:tcPr>
          <w:p w14:paraId="6476B2E7" w14:textId="77777777" w:rsidR="00280B0C" w:rsidRPr="007A45D6" w:rsidRDefault="00280B0C" w:rsidP="001B0DEC">
            <w:pPr>
              <w:rPr>
                <w:b/>
              </w:rPr>
            </w:pPr>
            <w:r w:rsidRPr="007A45D6">
              <w:rPr>
                <w:b/>
              </w:rPr>
              <w:t>Chi-square</w:t>
            </w:r>
          </w:p>
          <w:p w14:paraId="38BA3337" w14:textId="77777777" w:rsidR="00280B0C" w:rsidRPr="007A45D6" w:rsidRDefault="00280B0C" w:rsidP="001B0DEC"/>
          <w:p w14:paraId="5A4BA304" w14:textId="77777777" w:rsidR="00280B0C" w:rsidRDefault="00280B0C" w:rsidP="001B0DEC">
            <w:r w:rsidRPr="007A45D6">
              <w:t xml:space="preserve">The chi-square method uses the similar approach as the sum of least-squares method discussed above. The difference is that the chi-square divides the sum of least squares by the standard deviation to take into account the variation across data points. </w:t>
            </w:r>
          </w:p>
          <w:p w14:paraId="22B9A8B9" w14:textId="77777777" w:rsidR="00280B0C" w:rsidRPr="00572F70" w:rsidRDefault="00280B0C" w:rsidP="001B0DEC"/>
          <w:p w14:paraId="478A73A2" w14:textId="77777777" w:rsidR="00280B0C" w:rsidRPr="00572F70" w:rsidRDefault="00280B0C" w:rsidP="001B0DEC">
            <w:r w:rsidRPr="00572F70">
              <w:t>Point estimates of the calibration targets and the variances are required to perform the analysis.</w:t>
            </w:r>
          </w:p>
          <w:p w14:paraId="2582F10F" w14:textId="77777777" w:rsidR="00280B0C" w:rsidRPr="00572F70" w:rsidRDefault="00280B0C" w:rsidP="001B0DEC"/>
          <w:p w14:paraId="2B6692CF" w14:textId="77777777" w:rsidR="00280B0C" w:rsidRPr="007A45D6" w:rsidRDefault="00280B0C" w:rsidP="001B0DEC">
            <w:pPr>
              <w:rPr>
                <w:b/>
              </w:rPr>
            </w:pPr>
            <w:r w:rsidRPr="007A45D6">
              <w:rPr>
                <w:b/>
              </w:rPr>
              <w:t>Assumption</w:t>
            </w:r>
          </w:p>
          <w:p w14:paraId="191AD82F" w14:textId="77777777" w:rsidR="00280B0C" w:rsidRPr="007A45D6" w:rsidRDefault="00280B0C" w:rsidP="001B0DEC"/>
          <w:p w14:paraId="35E43367" w14:textId="77777777" w:rsidR="00280B0C" w:rsidRPr="007A45D6" w:rsidRDefault="00280B0C" w:rsidP="001B0DEC">
            <w:r w:rsidRPr="007A45D6">
              <w:t xml:space="preserve">Statistically, the chi-square method assumes that the data points are independent of each other and normally distributed. </w:t>
            </w:r>
          </w:p>
        </w:tc>
        <w:tc>
          <w:tcPr>
            <w:tcW w:w="2790" w:type="dxa"/>
          </w:tcPr>
          <w:p w14:paraId="0E94D654" w14:textId="77777777" w:rsidR="00280B0C" w:rsidRPr="007A45D6" w:rsidRDefault="00280B0C" w:rsidP="001B0DEC">
            <w:r w:rsidRPr="007A45D6">
              <w:lastRenderedPageBreak/>
              <w:t xml:space="preserve">The chi-square method divides the sum of square errors by the standard deviation, which gives more weight to calibration targets with lower standard deviations. </w:t>
            </w:r>
          </w:p>
          <w:p w14:paraId="7EEF1B2B" w14:textId="77777777" w:rsidR="00280B0C" w:rsidRPr="007A45D6" w:rsidRDefault="00280B0C" w:rsidP="001B0DEC"/>
          <w:p w14:paraId="35F24BD7" w14:textId="77777777" w:rsidR="00280B0C" w:rsidRPr="007A45D6" w:rsidRDefault="00280B0C" w:rsidP="001B0DEC"/>
          <w:p w14:paraId="2B543D77" w14:textId="77777777" w:rsidR="00280B0C" w:rsidRPr="007A45D6" w:rsidRDefault="00280B0C" w:rsidP="001B0DEC"/>
          <w:p w14:paraId="59C6C736" w14:textId="77777777" w:rsidR="00280B0C" w:rsidRPr="007A45D6" w:rsidRDefault="00280B0C" w:rsidP="001B0DEC"/>
        </w:tc>
        <w:tc>
          <w:tcPr>
            <w:tcW w:w="3600" w:type="dxa"/>
          </w:tcPr>
          <w:p w14:paraId="39D5394F" w14:textId="77777777" w:rsidR="00280B0C" w:rsidRPr="007A45D6" w:rsidRDefault="00280B0C" w:rsidP="001B0DEC">
            <w:r w:rsidRPr="007A45D6">
              <w:t xml:space="preserve">The chi-square method is highly sensitive to the sample size. This method requires a sufficient sample size to have a valid chi-square approximation. </w:t>
            </w:r>
          </w:p>
          <w:p w14:paraId="44046B9C" w14:textId="77777777" w:rsidR="00280B0C" w:rsidRPr="007A45D6" w:rsidRDefault="00280B0C" w:rsidP="001B0DEC"/>
          <w:p w14:paraId="78A10653" w14:textId="77777777" w:rsidR="00280B0C" w:rsidRPr="007A45D6" w:rsidRDefault="00280B0C" w:rsidP="001B0DEC">
            <w:r w:rsidRPr="007A45D6">
              <w:t xml:space="preserve">The chi-square method does not test whether the assumption of normality has been fulfilled but it assumes normality in the data. If the assumption is significantly violated, then the test will not be valid. </w:t>
            </w:r>
          </w:p>
        </w:tc>
        <w:tc>
          <w:tcPr>
            <w:tcW w:w="2767" w:type="dxa"/>
          </w:tcPr>
          <w:p w14:paraId="547CA95E" w14:textId="77777777" w:rsidR="00280B0C" w:rsidRPr="007A45D6" w:rsidRDefault="00280B0C" w:rsidP="001B0DEC">
            <w:r w:rsidRPr="007A45D6">
              <w:t xml:space="preserve">The chi-square method is somewhat similar to the WSL method as it accounts for variation in calibration points by diving the sum of squares by the standard deviation. The method requires the standard deviation of the data point to be known. </w:t>
            </w:r>
          </w:p>
          <w:p w14:paraId="4D7A67DE" w14:textId="77777777" w:rsidR="00280B0C" w:rsidRPr="007A45D6" w:rsidRDefault="00280B0C" w:rsidP="001B0DEC"/>
          <w:p w14:paraId="6BEF9EFD" w14:textId="77777777" w:rsidR="00280B0C" w:rsidRPr="007A45D6" w:rsidRDefault="00280B0C" w:rsidP="001B0DEC">
            <w:r w:rsidRPr="007A45D6">
              <w:t xml:space="preserve">The chi-square method may not be applicable </w:t>
            </w:r>
            <w:r>
              <w:t xml:space="preserve">since the standard deviation is not available in some calibration targets. </w:t>
            </w:r>
          </w:p>
        </w:tc>
        <w:tc>
          <w:tcPr>
            <w:tcW w:w="923" w:type="dxa"/>
          </w:tcPr>
          <w:p w14:paraId="62B34CF7" w14:textId="77777777" w:rsidR="00280B0C" w:rsidRPr="007A45D6" w:rsidRDefault="00280B0C" w:rsidP="001B0DEC">
            <w:pPr>
              <w:rPr>
                <w:lang w:eastAsia="ja-JP"/>
              </w:rPr>
            </w:pPr>
            <w:r w:rsidRPr="007A45D6">
              <w:fldChar w:fldCharType="begin" w:fldLock="1"/>
            </w:r>
            <w:r>
              <w:instrText>ADDIN CSL_CITATION {"citationItems":[{"id":"ITEM-1","itemData":{"DOI":"10.2165/11584600-000000000-00000","ISSN":"11707690","PMID":"21142277","abstract":"In economic evaluation, mathematical models have a central role as a way of integrating all the relevant information about a disease and health interventions, in order to estimate costs and consequences over an extended time horizon. Models are based on scientific knowledge of disease (which is likely to change over time), simplifying assumptions and input parameters with different levels of uncertainty; therefore, it is sensible to explore the consistency of model predictions with observational data. Calibration is a useful tool for estimating uncertain parameters, as well as more accurately defining model uncertainty (particularly with respect to the representation of correlations between parameters). Calibration involves the comparison of model outputs (e.g. disease prevalence rates) with empirical data, leading to the identification of model parameter values that achieve a good fit.This article provides guidance on the theoretical underpinnings of different calibration methods. The calibration process is divided into seven steps and different potential methods at each step are discussed, focusing on the particular features of disease models in economic evaluation. The seven steps are (i) Which parameters should be varied in the calibration process? (ii) Which calibration targets should be used? (iii) What measure of goodness of fit should be used? (iv) What parameter search strategy should be used? (v) What determines acceptable goodness-of-fit parameter sets (convergence criteria)? (vi) What determines the termination of the calibration process (stopping rule)? (vii) How should the model calibration results and economic parameters be integrated?The lack of standards in calibrating disease models in economic evaluation can undermine the credibility of calibration methods. In order to avoid the scepticism regarding calibration, we ought to unify the way we approach the problems and report the methods used, and continue to investigate different methods. © 2011 Adis Data Information BV. All rights reserved.","author":[{"dropping-particle":"","family":"Vanni","given":"Tazio","non-dropping-particle":"","parse-names":false,"suffix":""},{"dropping-particle":"","family":"Karnon","given":"Jonathan","non-dropping-particle":"","parse-names":false,"suffix":""},{"dropping-particle":"","family":"Madan","given":"Jason","non-dropping-particle":"","parse-names":false,"suffix":""},{"dropping-particle":"","family":"White","given":"Richard G.","non-dropping-particle":"","parse-names":false,"suffix":""},{"dropping-particle":"","family":"Edmunds","given":"W. John","non-dropping-particle":"","parse-names":false,"suffix":""},{"dropping-particle":"","family":"Foss","given":"Anna M.","non-dropping-particle":"","parse-names":false,"suffix":""},{"dropping-particle":"","family":"Legood","given":"Rosa","non-dropping-particle":"","parse-names":false,"suffix":""}],"container-title":"PharmacoEconomics","id":"ITEM-1","issued":{"date-parts":[["2011"]]},"title":"Calibrating models in economic evaluation: A seven-step approach","type":"article-journal"},"uris":["http://www.mendeley.com/documents/?uuid=863ffe7f-7989-4b48-8a7b-815b7106d50e"]}],"mendeley":{"formattedCitation":"&lt;sup&gt;2&lt;/sup&gt;","plainTextFormattedCitation":"2","previouslyFormattedCitation":"&lt;sup&gt;2&lt;/sup&gt;"},"properties":{"noteIndex":0},"schema":"https://github.com/citation-style-language/schema/raw/master/csl-citation.json"}</w:instrText>
            </w:r>
            <w:r w:rsidRPr="007A45D6">
              <w:fldChar w:fldCharType="separate"/>
            </w:r>
            <w:r w:rsidRPr="00E63CD9">
              <w:rPr>
                <w:noProof/>
                <w:vertAlign w:val="superscript"/>
                <w:lang w:eastAsia="ja-JP"/>
              </w:rPr>
              <w:t>2</w:t>
            </w:r>
            <w:r w:rsidRPr="007A45D6">
              <w:fldChar w:fldCharType="end"/>
            </w:r>
          </w:p>
        </w:tc>
      </w:tr>
      <w:tr w:rsidR="00280B0C" w:rsidRPr="007A45D6" w14:paraId="081A2197" w14:textId="77777777" w:rsidTr="001B0DEC">
        <w:tc>
          <w:tcPr>
            <w:tcW w:w="2965" w:type="dxa"/>
          </w:tcPr>
          <w:p w14:paraId="75DC5D1A" w14:textId="77777777" w:rsidR="00280B0C" w:rsidRPr="007A45D6" w:rsidRDefault="00280B0C" w:rsidP="001B0DEC">
            <w:pPr>
              <w:rPr>
                <w:b/>
                <w:lang w:eastAsia="ja-JP"/>
              </w:rPr>
            </w:pPr>
            <w:commentRangeStart w:id="412"/>
            <w:r w:rsidRPr="007A45D6">
              <w:rPr>
                <w:b/>
                <w:lang w:eastAsia="ja-JP"/>
              </w:rPr>
              <w:t>Likelihood method</w:t>
            </w:r>
            <w:commentRangeEnd w:id="412"/>
            <w:r>
              <w:rPr>
                <w:rStyle w:val="CommentReference"/>
                <w:rFonts w:eastAsiaTheme="minorEastAsia"/>
              </w:rPr>
              <w:commentReference w:id="412"/>
            </w:r>
          </w:p>
          <w:p w14:paraId="21ECB58B" w14:textId="77777777" w:rsidR="00280B0C" w:rsidRDefault="00280B0C" w:rsidP="001B0DEC">
            <w:pPr>
              <w:pStyle w:val="NormalWeb"/>
              <w:rPr>
                <w:lang w:eastAsia="ja-JP"/>
              </w:rPr>
            </w:pPr>
            <w:r w:rsidRPr="007A45D6">
              <w:rPr>
                <w:lang w:eastAsia="ja-JP"/>
              </w:rPr>
              <w:t xml:space="preserve">Maximum likelihood is a statistical method used for estimating unknown parameters of a probability model by maximizing the likelihood function to generate a set of parameter estimates that fit the empirical data. </w:t>
            </w:r>
          </w:p>
          <w:p w14:paraId="10FD5C28" w14:textId="77777777" w:rsidR="00280B0C" w:rsidRPr="007A45D6" w:rsidRDefault="00280B0C" w:rsidP="001B0DEC">
            <w:pPr>
              <w:pStyle w:val="NormalWeb"/>
              <w:rPr>
                <w:lang w:eastAsia="ja-JP"/>
              </w:rPr>
            </w:pPr>
            <w:r>
              <w:rPr>
                <w:lang w:eastAsia="ja-JP"/>
              </w:rPr>
              <w:t xml:space="preserve">Individual-level data associated with calibration targets will be needed to derive the likelihood function. </w:t>
            </w:r>
          </w:p>
          <w:p w14:paraId="62C52905" w14:textId="77777777" w:rsidR="00280B0C" w:rsidRPr="007A45D6" w:rsidRDefault="00280B0C" w:rsidP="001B0DEC">
            <w:pPr>
              <w:pStyle w:val="NormalWeb"/>
              <w:rPr>
                <w:lang w:eastAsia="ja-JP"/>
              </w:rPr>
            </w:pPr>
          </w:p>
        </w:tc>
        <w:tc>
          <w:tcPr>
            <w:tcW w:w="2790" w:type="dxa"/>
          </w:tcPr>
          <w:p w14:paraId="40C39163" w14:textId="77777777" w:rsidR="00280B0C" w:rsidRPr="007A45D6" w:rsidRDefault="00280B0C" w:rsidP="001B0DEC">
            <w:r w:rsidRPr="007A45D6">
              <w:rPr>
                <w:lang w:eastAsia="ja-JP"/>
              </w:rPr>
              <w:t>The likelihood metho</w:t>
            </w:r>
            <w:r w:rsidRPr="007A45D6">
              <w:t xml:space="preserve">d considers the level of uncertainty in the observed data, which generates reliable parameter estimates. </w:t>
            </w:r>
          </w:p>
          <w:p w14:paraId="29AD6460" w14:textId="77777777" w:rsidR="00280B0C" w:rsidRPr="007A45D6" w:rsidRDefault="00280B0C" w:rsidP="001B0DEC"/>
          <w:p w14:paraId="7BF06F71" w14:textId="77777777" w:rsidR="00280B0C" w:rsidRPr="007A45D6" w:rsidRDefault="00280B0C" w:rsidP="001B0DEC">
            <w:r w:rsidRPr="007A45D6">
              <w:t>Maximum likelihood is a consistent measure of parameter estimation cross a variety of estimation situations and hence it can be applicable to multiple problems.</w:t>
            </w:r>
          </w:p>
          <w:p w14:paraId="51F04792" w14:textId="77777777" w:rsidR="00280B0C" w:rsidRPr="007A45D6" w:rsidRDefault="00280B0C" w:rsidP="001B0DEC"/>
          <w:p w14:paraId="09F6A042" w14:textId="77777777" w:rsidR="00280B0C" w:rsidRPr="007A45D6" w:rsidRDefault="00280B0C" w:rsidP="001B0DEC">
            <w:r w:rsidRPr="007A45D6">
              <w:t xml:space="preserve">Most statistical </w:t>
            </w:r>
            <w:proofErr w:type="spellStart"/>
            <w:r w:rsidRPr="007A45D6">
              <w:t>softwares</w:t>
            </w:r>
            <w:proofErr w:type="spellEnd"/>
            <w:r w:rsidRPr="007A45D6">
              <w:t xml:space="preserve"> support maximum likelihood estimation which minimizes computation errors.  </w:t>
            </w:r>
          </w:p>
        </w:tc>
        <w:tc>
          <w:tcPr>
            <w:tcW w:w="3600" w:type="dxa"/>
          </w:tcPr>
          <w:p w14:paraId="556EACE3" w14:textId="77777777" w:rsidR="00280B0C" w:rsidRPr="007A45D6" w:rsidRDefault="00280B0C" w:rsidP="001B0DEC">
            <w:r w:rsidRPr="007A45D6">
              <w:t>The likelihood method requires more empirical data to estimate parameter values. The likelihood method is sensitive to small samples</w:t>
            </w:r>
            <w:r>
              <w:t xml:space="preserve"> in empirical data</w:t>
            </w:r>
            <w:r w:rsidRPr="007A45D6">
              <w:t xml:space="preserve"> and can produce biased estimates. </w:t>
            </w:r>
          </w:p>
          <w:p w14:paraId="11EB610D" w14:textId="77777777" w:rsidR="00280B0C" w:rsidRPr="007A45D6" w:rsidRDefault="00280B0C" w:rsidP="001B0DEC"/>
          <w:p w14:paraId="0DF6E85F" w14:textId="77777777" w:rsidR="00280B0C" w:rsidRPr="007A45D6" w:rsidRDefault="00280B0C" w:rsidP="001B0DEC">
            <w:r w:rsidRPr="007A45D6">
              <w:t xml:space="preserve">The likelihood method is sensitive to the starting point. This means that the estimated values can be change depending on the starting point. Multiple starting points are recommended. </w:t>
            </w:r>
          </w:p>
        </w:tc>
        <w:tc>
          <w:tcPr>
            <w:tcW w:w="2767" w:type="dxa"/>
          </w:tcPr>
          <w:p w14:paraId="543D4446" w14:textId="77777777" w:rsidR="00280B0C" w:rsidRPr="007A45D6" w:rsidRDefault="00280B0C" w:rsidP="001B0DEC">
            <w:r w:rsidRPr="007A45D6">
              <w:t xml:space="preserve">The maximum likelihood method </w:t>
            </w:r>
            <w:r>
              <w:t xml:space="preserve">might not be selected since we have no individual-level data for our calibration targets. </w:t>
            </w:r>
          </w:p>
        </w:tc>
        <w:tc>
          <w:tcPr>
            <w:tcW w:w="923" w:type="dxa"/>
          </w:tcPr>
          <w:p w14:paraId="4D71215F" w14:textId="77777777" w:rsidR="00280B0C" w:rsidRPr="007A45D6" w:rsidRDefault="00280B0C" w:rsidP="001B0DEC">
            <w:r w:rsidRPr="007A45D6">
              <w:fldChar w:fldCharType="begin" w:fldLock="1"/>
            </w:r>
            <w:r>
              <w:instrText>ADDIN CSL_CITATION {"citationItems":[{"id":"ITEM-1","itemData":{"DOI":"10.2307/1269484","ISBN":"0-521-43108-5","ISSN":"00401706","PMID":"7879318","author":[{"dropping-particle":"","family":"Press","given":"William H","non-dropping-particle":"","parse-names":false,"suffix":""},{"dropping-particle":"","family":"Teukolsky","given":"Saul A","non-dropping-particle":"","parse-names":false,"suffix":""},{"dropping-particle":"","family":"Vetterling","given":"William T","non-dropping-particle":"","parse-names":false,"suffix":""},{"dropping-particle":"","family":"Flannery","given":"Brian P","non-dropping-particle":"","parse-names":false,"suffix":""}],"container-title":"CAMBRIDGE UNIVERSITY PRESS","id":"ITEM-1","issued":{"date-parts":[["2002"]]},"number-of-pages":"1-949","title":"Numerical Recipes in C: The Art of Scientific Computing Second Edition","type":"book"},"uris":["http://www.mendeley.com/documents/?uuid=04905fe1-bd9b-4f06-baf0-1a0fcf203325"]},{"id":"ITEM-2","itemData":{"DOI":"10.2165/11584600-000000000-00000","ISSN":"11707690","PMID":"21142277","abstract":"In economic evaluation, mathematical models have a central role as a way of integrating all the relevant information about a disease and health interventions, in order to estimate costs and consequences over an extended time horizon. Models are based on scientific knowledge of disease (which is likely to change over time), simplifying assumptions and input parameters with different levels of uncertainty; therefore, it is sensible to explore the consistency of model predictions with observational data. Calibration is a useful tool for estimating uncertain parameters, as well as more accurately defining model uncertainty (particularly with respect to the representation of correlations between parameters). Calibration involves the comparison of model outputs (e.g. disease prevalence rates) with empirical data, leading to the identification of model parameter values that achieve a good fit.This article provides guidance on the theoretical underpinnings of different calibration methods. The calibration process is divided into seven steps and different potential methods at each step are discussed, focusing on the particular features of disease models in economic evaluation. The seven steps are (i) Which parameters should be varied in the calibration process? (ii) Which calibration targets should be used? (iii) What measure of goodness of fit should be used? (iv) What parameter search strategy should be used? (v) What determines acceptable goodness-of-fit parameter sets (convergence criteria)? (vi) What determines the termination of the calibration process (stopping rule)? (vii) How should the model calibration results and economic parameters be integrated?The lack of standards in calibrating disease models in economic evaluation can undermine the credibility of calibration methods. In order to avoid the scepticism regarding calibration, we ought to unify the way we approach the problems and report the methods used, and continue to investigate different methods. © 2011 Adis Data Information BV. All rights reserved.","author":[{"dropping-particle":"","family":"Vanni","given":"Tazio","non-dropping-particle":"","parse-names":false,"suffix":""},{"dropping-particle":"","family":"Karnon","given":"Jonathan","non-dropping-particle":"","parse-names":false,"suffix":""},{"dropping-particle":"","family":"Madan","given":"Jason","non-dropping-particle":"","parse-names":false,"suffix":""},{"dropping-particle":"","family":"White","given":"Richard G.","non-dropping-particle":"","parse-names":false,"suffix":""},{"dropping-particle":"","family":"Edmunds","given":"W. John","non-dropping-particle":"","parse-names":false,"suffix":""},{"dropping-particle":"","family":"Foss","given":"Anna M.","non-dropping-particle":"","parse-names":false,"suffix":""},{"dropping-particle":"","family":"Legood","given":"Rosa","non-dropping-particle":"","parse-names":false,"suffix":""}],"container-title":"PharmacoEconomics","id":"ITEM-2","issued":{"date-parts":[["2011"]]},"title":"Calibrating models in economic evaluation: A seven-step approach","type":"article-journal"},"uris":["http://www.mendeley.com/documents/?uuid=863ffe7f-7989-4b48-8a7b-815b7106d50e"]}],"mendeley":{"formattedCitation":"&lt;sup&gt;2,5&lt;/sup&gt;","plainTextFormattedCitation":"2,5","previouslyFormattedCitation":"&lt;sup&gt;2,5&lt;/sup&gt;"},"properties":{"noteIndex":0},"schema":"https://github.com/citation-style-language/schema/raw/master/csl-citation.json"}</w:instrText>
            </w:r>
            <w:r w:rsidRPr="007A45D6">
              <w:fldChar w:fldCharType="separate"/>
            </w:r>
            <w:r w:rsidRPr="00E63CD9">
              <w:rPr>
                <w:noProof/>
                <w:vertAlign w:val="superscript"/>
              </w:rPr>
              <w:t>2,5</w:t>
            </w:r>
            <w:r w:rsidRPr="007A45D6">
              <w:fldChar w:fldCharType="end"/>
            </w:r>
          </w:p>
        </w:tc>
      </w:tr>
      <w:tr w:rsidR="00280B0C" w:rsidRPr="007A45D6" w14:paraId="0B4057C8" w14:textId="77777777" w:rsidTr="001B0DEC">
        <w:tc>
          <w:tcPr>
            <w:tcW w:w="2965" w:type="dxa"/>
          </w:tcPr>
          <w:p w14:paraId="6D875CCB" w14:textId="77777777" w:rsidR="00280B0C" w:rsidRPr="007A45D6" w:rsidRDefault="00280B0C" w:rsidP="001B0DEC">
            <w:pPr>
              <w:rPr>
                <w:b/>
              </w:rPr>
            </w:pPr>
            <w:r w:rsidRPr="007A45D6">
              <w:rPr>
                <w:b/>
              </w:rPr>
              <w:t>Multiple goodness of fit (GOF)estimates</w:t>
            </w:r>
          </w:p>
          <w:p w14:paraId="7CFFC7C3" w14:textId="77777777" w:rsidR="00280B0C" w:rsidRPr="007A45D6" w:rsidRDefault="00280B0C" w:rsidP="001B0DEC">
            <w:pPr>
              <w:rPr>
                <w:b/>
              </w:rPr>
            </w:pPr>
          </w:p>
          <w:p w14:paraId="7B9F72F5" w14:textId="77777777" w:rsidR="00280B0C" w:rsidRPr="007A45D6" w:rsidRDefault="00280B0C" w:rsidP="001B0DEC">
            <w:r w:rsidRPr="007A45D6">
              <w:t xml:space="preserve">This method uses multiple calibration targets to obtain a combined measure of goodness of fit across all </w:t>
            </w:r>
            <w:r w:rsidRPr="007A45D6">
              <w:lastRenderedPageBreak/>
              <w:t xml:space="preserve">calibration targets. In this approach, individual calibration target </w:t>
            </w:r>
            <w:r>
              <w:t>is</w:t>
            </w:r>
            <w:r w:rsidRPr="007A45D6">
              <w:t xml:space="preserve"> treated as independent target and then sum the GOF measures across the different targets. </w:t>
            </w:r>
          </w:p>
          <w:p w14:paraId="2F0A093B" w14:textId="77777777" w:rsidR="00280B0C" w:rsidRPr="007A45D6" w:rsidRDefault="00280B0C" w:rsidP="001B0DEC"/>
          <w:p w14:paraId="2F10E963" w14:textId="77777777" w:rsidR="00280B0C" w:rsidRPr="007A45D6" w:rsidRDefault="00280B0C" w:rsidP="001B0DEC">
            <w:r w:rsidRPr="007A45D6">
              <w:t xml:space="preserve">Two methods can be used perform this task are the global criterion and lexicographic method.  The global criterion method is the sum of GOF of each weighted calibration target. The weights are allocated based on importance by the analyst. </w:t>
            </w:r>
          </w:p>
          <w:p w14:paraId="36D64359" w14:textId="77777777" w:rsidR="00280B0C" w:rsidRPr="007A45D6" w:rsidRDefault="00280B0C" w:rsidP="001B0DEC"/>
          <w:p w14:paraId="54E272A4" w14:textId="77777777" w:rsidR="00280B0C" w:rsidRPr="007A45D6" w:rsidRDefault="00280B0C" w:rsidP="001B0DEC">
            <w:r w:rsidRPr="007A45D6">
              <w:t>For the lexicographic approach, the calibration targets are ranked in order of importance, and the process of finding the optimal parameter values is carried out step by step, starting with the most important calibration target and proceeding according to the order of importance.</w:t>
            </w:r>
          </w:p>
          <w:p w14:paraId="0E54D818" w14:textId="77777777" w:rsidR="00280B0C" w:rsidRPr="007A45D6" w:rsidRDefault="00280B0C" w:rsidP="001B0DEC"/>
        </w:tc>
        <w:tc>
          <w:tcPr>
            <w:tcW w:w="2790" w:type="dxa"/>
          </w:tcPr>
          <w:p w14:paraId="67F2D460" w14:textId="77777777" w:rsidR="00280B0C" w:rsidRPr="007A45D6" w:rsidRDefault="00280B0C" w:rsidP="001B0DEC">
            <w:r w:rsidRPr="007A45D6">
              <w:lastRenderedPageBreak/>
              <w:t xml:space="preserve">The multiple goodness of fit method is helpful in circumstances where the calibration targets need to be calibrated independently.  </w:t>
            </w:r>
          </w:p>
        </w:tc>
        <w:tc>
          <w:tcPr>
            <w:tcW w:w="3600" w:type="dxa"/>
          </w:tcPr>
          <w:p w14:paraId="69CA67E6" w14:textId="77777777" w:rsidR="00280B0C" w:rsidRPr="007A45D6" w:rsidRDefault="00280B0C" w:rsidP="001B0DEC">
            <w:r w:rsidRPr="007A45D6">
              <w:t xml:space="preserve">For the lexicographic approach, the calibration targets are ranked in order of importance but not specific criteria </w:t>
            </w:r>
            <w:proofErr w:type="gramStart"/>
            <w:r w:rsidRPr="007A45D6">
              <w:t>is</w:t>
            </w:r>
            <w:proofErr w:type="gramEnd"/>
            <w:r w:rsidRPr="007A45D6">
              <w:t xml:space="preserve"> given to rank the calibration targets which leave a lot to personal judgment. </w:t>
            </w:r>
          </w:p>
          <w:p w14:paraId="1500DA85" w14:textId="77777777" w:rsidR="00280B0C" w:rsidRPr="007A45D6" w:rsidRDefault="00280B0C" w:rsidP="001B0DEC"/>
          <w:p w14:paraId="5CCBCC5F" w14:textId="77777777" w:rsidR="00280B0C" w:rsidRPr="007A45D6" w:rsidRDefault="00280B0C" w:rsidP="001B0DEC">
            <w:r w:rsidRPr="007A45D6">
              <w:lastRenderedPageBreak/>
              <w:t xml:space="preserve">The global criterion method uses weights allocated based on importance by the analyst. This requires the weights to be known and criteria for allocating importance on the weights is subjective.  </w:t>
            </w:r>
          </w:p>
          <w:p w14:paraId="116C5139" w14:textId="77777777" w:rsidR="00280B0C" w:rsidRPr="007A45D6" w:rsidRDefault="00280B0C" w:rsidP="001B0DEC"/>
        </w:tc>
        <w:tc>
          <w:tcPr>
            <w:tcW w:w="2767" w:type="dxa"/>
          </w:tcPr>
          <w:p w14:paraId="0374C317" w14:textId="77777777" w:rsidR="00280B0C" w:rsidRDefault="00280B0C" w:rsidP="001B0DEC">
            <w:r w:rsidRPr="007A45D6">
              <w:lastRenderedPageBreak/>
              <w:t>The multiple goodness of fit method could potentially be considered as an option for calibrating the model</w:t>
            </w:r>
            <w:r>
              <w:t xml:space="preserve"> since we have calibration targets on HIV </w:t>
            </w:r>
            <w:r>
              <w:lastRenderedPageBreak/>
              <w:t xml:space="preserve">prevalence, HIV incidence, number of patients on ART, etc. </w:t>
            </w:r>
          </w:p>
          <w:p w14:paraId="316CF27E" w14:textId="77777777" w:rsidR="00280B0C" w:rsidRDefault="00280B0C" w:rsidP="001B0DEC"/>
          <w:p w14:paraId="3B9F9AE6" w14:textId="77777777" w:rsidR="00280B0C" w:rsidRPr="007A45D6" w:rsidRDefault="00280B0C" w:rsidP="001B0DEC"/>
        </w:tc>
        <w:tc>
          <w:tcPr>
            <w:tcW w:w="923" w:type="dxa"/>
          </w:tcPr>
          <w:p w14:paraId="75063C33" w14:textId="77777777" w:rsidR="00280B0C" w:rsidRPr="007A45D6" w:rsidRDefault="00280B0C" w:rsidP="001B0DEC">
            <w:r w:rsidRPr="007A45D6">
              <w:lastRenderedPageBreak/>
              <w:fldChar w:fldCharType="begin" w:fldLock="1"/>
            </w:r>
            <w:r>
              <w:instrText>ADDIN CSL_CITATION {"citationItems":[{"id":"ITEM-1","itemData":{"DOI":"10.2165/11584600-000000000-00000","ISSN":"11707690","PMID":"21142277","abstract":"In economic evaluation, mathematical models have a central role as a way of integrating all the relevant information about a disease and health interventions, in order to estimate costs and consequences over an extended time horizon. Models are based on scientific knowledge of disease (which is likely to change over time), simplifying assumptions and input parameters with different levels of uncertainty; therefore, it is sensible to explore the consistency of model predictions with observational data. Calibration is a useful tool for estimating uncertain parameters, as well as more accurately defining model uncertainty (particularly with respect to the representation of correlations between parameters). Calibration involves the comparison of model outputs (e.g. disease prevalence rates) with empirical data, leading to the identification of model parameter values that achieve a good fit.This article provides guidance on the theoretical underpinnings of different calibration methods. The calibration process is divided into seven steps and different potential methods at each step are discussed, focusing on the particular features of disease models in economic evaluation. The seven steps are (i) Which parameters should be varied in the calibration process? (ii) Which calibration targets should be used? (iii) What measure of goodness of fit should be used? (iv) What parameter search strategy should be used? (v) What determines acceptable goodness-of-fit parameter sets (convergence criteria)? (vi) What determines the termination of the calibration process (stopping rule)? (vii) How should the model calibration results and economic parameters be integrated?The lack of standards in calibrating disease models in economic evaluation can undermine the credibility of calibration methods. In order to avoid the scepticism regarding calibration, we ought to unify the way we approach the problems and report the methods used, and continue to investigate different methods. © 2011 Adis Data Information BV. All rights reserved.","author":[{"dropping-particle":"","family":"Vanni","given":"Tazio","non-dropping-particle":"","parse-names":false,"suffix":""},{"dropping-particle":"","family":"Karnon","given":"Jonathan","non-dropping-particle":"","parse-names":false,"suffix":""},{"dropping-particle":"","family":"Madan","given":"Jason","non-dropping-particle":"","parse-names":false,"suffix":""},{"dropping-particle":"","family":"White","given":"Richard G.","non-dropping-particle":"","parse-names":false,"suffix":""},{"dropping-particle":"","family":"Edmunds","given":"W. John","non-dropping-particle":"","parse-names":false,"suffix":""},{"dropping-particle":"","family":"Foss","given":"Anna M.","non-dropping-particle":"","parse-names":false,"suffix":""},{"dropping-particle":"","family":"Legood","given":"Rosa","non-dropping-particle":"","parse-names":false,"suffix":""}],"container-title":"PharmacoEconomics","id":"ITEM-1","issued":{"date-parts":[["2011"]]},"title":"Calibrating models in economic evaluation: A seven-step approach","type":"article-journal"},"uris":["http://www.mendeley.com/documents/?uuid=863ffe7f-7989-4b48-8a7b-815b7106d50e"]}],"mendeley":{"formattedCitation":"&lt;sup&gt;2&lt;/sup&gt;","plainTextFormattedCitation":"2","previouslyFormattedCitation":"&lt;sup&gt;2&lt;/sup&gt;"},"properties":{"noteIndex":0},"schema":"https://github.com/citation-style-language/schema/raw/master/csl-citation.json"}</w:instrText>
            </w:r>
            <w:r w:rsidRPr="007A45D6">
              <w:fldChar w:fldCharType="separate"/>
            </w:r>
            <w:r w:rsidRPr="00E63CD9">
              <w:rPr>
                <w:noProof/>
                <w:vertAlign w:val="superscript"/>
              </w:rPr>
              <w:t>2</w:t>
            </w:r>
            <w:r w:rsidRPr="007A45D6">
              <w:fldChar w:fldCharType="end"/>
            </w:r>
          </w:p>
        </w:tc>
      </w:tr>
    </w:tbl>
    <w:p w14:paraId="3E7452D2" w14:textId="77777777" w:rsidR="00280B0C" w:rsidRDefault="00280B0C" w:rsidP="00280B0C">
      <w:pPr>
        <w:tabs>
          <w:tab w:val="left" w:pos="1557"/>
        </w:tabs>
        <w:rPr>
          <w:b/>
        </w:rPr>
        <w:sectPr w:rsidR="00280B0C" w:rsidSect="006B3F3C">
          <w:pgSz w:w="15840" w:h="12240" w:orient="landscape"/>
          <w:pgMar w:top="1440" w:right="1440" w:bottom="1440" w:left="1440" w:header="720" w:footer="720" w:gutter="0"/>
          <w:cols w:space="720"/>
          <w:docGrid w:linePitch="360"/>
        </w:sectPr>
      </w:pPr>
    </w:p>
    <w:p w14:paraId="3363385E" w14:textId="10FF796A" w:rsidR="00BC788D" w:rsidRPr="008C2C6E" w:rsidRDefault="00BC788D" w:rsidP="00BC788D">
      <w:pPr>
        <w:pStyle w:val="Heading2"/>
      </w:pPr>
      <w:bookmarkStart w:id="413" w:name="_Ref82443794"/>
      <w:bookmarkStart w:id="414" w:name="_Toc82592768"/>
      <w:r w:rsidRPr="00BC788D">
        <w:lastRenderedPageBreak/>
        <w:t>Methods for searching for parameters.</w:t>
      </w:r>
      <w:bookmarkEnd w:id="413"/>
      <w:bookmarkEnd w:id="414"/>
    </w:p>
    <w:tbl>
      <w:tblPr>
        <w:tblStyle w:val="TableGrid"/>
        <w:tblW w:w="0" w:type="auto"/>
        <w:tblLook w:val="04A0" w:firstRow="1" w:lastRow="0" w:firstColumn="1" w:lastColumn="0" w:noHBand="0" w:noVBand="1"/>
      </w:tblPr>
      <w:tblGrid>
        <w:gridCol w:w="3685"/>
        <w:gridCol w:w="2790"/>
        <w:gridCol w:w="2970"/>
        <w:gridCol w:w="2340"/>
        <w:gridCol w:w="1165"/>
      </w:tblGrid>
      <w:tr w:rsidR="00BC788D" w:rsidRPr="004A6A00" w14:paraId="37D7DB63" w14:textId="77777777" w:rsidTr="001B0DEC">
        <w:tc>
          <w:tcPr>
            <w:tcW w:w="3685" w:type="dxa"/>
          </w:tcPr>
          <w:p w14:paraId="00762EF7" w14:textId="77777777" w:rsidR="00BC788D" w:rsidRPr="004A6A00" w:rsidRDefault="00BC788D" w:rsidP="001B0DEC">
            <w:pPr>
              <w:rPr>
                <w:b/>
              </w:rPr>
            </w:pPr>
            <w:r w:rsidRPr="004A6A00">
              <w:rPr>
                <w:b/>
              </w:rPr>
              <w:t>Method</w:t>
            </w:r>
          </w:p>
          <w:p w14:paraId="50F471C7" w14:textId="77777777" w:rsidR="00BC788D" w:rsidRPr="004A6A00" w:rsidRDefault="00BC788D" w:rsidP="001B0DEC">
            <w:pPr>
              <w:rPr>
                <w:b/>
              </w:rPr>
            </w:pPr>
          </w:p>
        </w:tc>
        <w:tc>
          <w:tcPr>
            <w:tcW w:w="2790" w:type="dxa"/>
          </w:tcPr>
          <w:p w14:paraId="4CBDB40A" w14:textId="77777777" w:rsidR="00BC788D" w:rsidRPr="004A6A00" w:rsidRDefault="00BC788D" w:rsidP="001B0DEC">
            <w:pPr>
              <w:rPr>
                <w:b/>
              </w:rPr>
            </w:pPr>
            <w:r w:rsidRPr="004A6A00">
              <w:rPr>
                <w:b/>
              </w:rPr>
              <w:t xml:space="preserve">Advantages </w:t>
            </w:r>
          </w:p>
        </w:tc>
        <w:tc>
          <w:tcPr>
            <w:tcW w:w="2970" w:type="dxa"/>
          </w:tcPr>
          <w:p w14:paraId="24B0B349" w14:textId="77777777" w:rsidR="00BC788D" w:rsidRPr="004A6A00" w:rsidRDefault="00BC788D" w:rsidP="001B0DEC">
            <w:pPr>
              <w:rPr>
                <w:b/>
              </w:rPr>
            </w:pPr>
            <w:r w:rsidRPr="004A6A00">
              <w:rPr>
                <w:b/>
              </w:rPr>
              <w:t xml:space="preserve">Disadvantages </w:t>
            </w:r>
          </w:p>
        </w:tc>
        <w:tc>
          <w:tcPr>
            <w:tcW w:w="2340" w:type="dxa"/>
          </w:tcPr>
          <w:p w14:paraId="29DAAE38" w14:textId="77777777" w:rsidR="00BC788D" w:rsidRPr="004A6A00" w:rsidRDefault="00BC788D" w:rsidP="001B0DEC">
            <w:pPr>
              <w:rPr>
                <w:b/>
              </w:rPr>
            </w:pPr>
            <w:r w:rsidRPr="004A6A00">
              <w:rPr>
                <w:b/>
              </w:rPr>
              <w:t>Decision</w:t>
            </w:r>
          </w:p>
        </w:tc>
        <w:tc>
          <w:tcPr>
            <w:tcW w:w="1165" w:type="dxa"/>
          </w:tcPr>
          <w:p w14:paraId="455A64BF" w14:textId="77777777" w:rsidR="00BC788D" w:rsidRPr="004A6A00" w:rsidRDefault="00BC788D" w:rsidP="001B0DEC">
            <w:pPr>
              <w:rPr>
                <w:b/>
              </w:rPr>
            </w:pPr>
            <w:r w:rsidRPr="004A6A00">
              <w:rPr>
                <w:b/>
              </w:rPr>
              <w:t>Source</w:t>
            </w:r>
          </w:p>
        </w:tc>
      </w:tr>
      <w:tr w:rsidR="00BC788D" w:rsidRPr="004A6A00" w14:paraId="2AC57029" w14:textId="77777777" w:rsidTr="001B0DEC">
        <w:tc>
          <w:tcPr>
            <w:tcW w:w="3685" w:type="dxa"/>
          </w:tcPr>
          <w:p w14:paraId="6F08434C" w14:textId="77777777" w:rsidR="00BC788D" w:rsidRPr="004A6A00" w:rsidRDefault="00BC788D" w:rsidP="001B0DEC">
            <w:pPr>
              <w:rPr>
                <w:b/>
              </w:rPr>
            </w:pPr>
            <w:r w:rsidRPr="004A6A00">
              <w:rPr>
                <w:b/>
              </w:rPr>
              <w:t>Manual search</w:t>
            </w:r>
          </w:p>
          <w:p w14:paraId="2B0AAEC0" w14:textId="77777777" w:rsidR="00BC788D" w:rsidRPr="004A6A00" w:rsidRDefault="00BC788D" w:rsidP="001B0DEC">
            <w:pPr>
              <w:rPr>
                <w:b/>
              </w:rPr>
            </w:pPr>
          </w:p>
          <w:p w14:paraId="53DEC434" w14:textId="77777777" w:rsidR="00BC788D" w:rsidRPr="004A6A00" w:rsidRDefault="00BC788D" w:rsidP="001B0DEC">
            <w:r w:rsidRPr="004A6A00">
              <w:t xml:space="preserve">This method is based on intuition, experience and guessing to generate parameter values that the analysts is satisfied with. </w:t>
            </w:r>
          </w:p>
          <w:p w14:paraId="2419F188" w14:textId="77777777" w:rsidR="00BC788D" w:rsidRPr="004A6A00" w:rsidRDefault="00BC788D" w:rsidP="001B0DEC"/>
        </w:tc>
        <w:tc>
          <w:tcPr>
            <w:tcW w:w="2790" w:type="dxa"/>
          </w:tcPr>
          <w:p w14:paraId="1253C4CD" w14:textId="77777777" w:rsidR="00BC788D" w:rsidRPr="004A6A00" w:rsidRDefault="00BC788D" w:rsidP="001B0DEC">
            <w:r w:rsidRPr="004A6A00">
              <w:t xml:space="preserve">This approach does not follow any specific set of guidelines and can be easy to implement in models that are not complex. </w:t>
            </w:r>
          </w:p>
        </w:tc>
        <w:tc>
          <w:tcPr>
            <w:tcW w:w="2970" w:type="dxa"/>
          </w:tcPr>
          <w:p w14:paraId="32B1B082" w14:textId="77777777" w:rsidR="00BC788D" w:rsidRPr="004A6A00" w:rsidRDefault="00BC788D" w:rsidP="001B0DEC">
            <w:r w:rsidRPr="004A6A00">
              <w:t xml:space="preserve">The manual search process can be time consuming and hard to justify especially for models with multiple parameters. </w:t>
            </w:r>
          </w:p>
        </w:tc>
        <w:tc>
          <w:tcPr>
            <w:tcW w:w="2340" w:type="dxa"/>
          </w:tcPr>
          <w:p w14:paraId="65CD425E" w14:textId="77777777" w:rsidR="00BC788D" w:rsidRPr="004A6A00" w:rsidRDefault="00BC788D" w:rsidP="001B0DEC">
            <w:r w:rsidRPr="004A6A00">
              <w:t xml:space="preserve">The manual search method </w:t>
            </w:r>
            <w:r>
              <w:t>is not</w:t>
            </w:r>
            <w:r w:rsidRPr="004A6A00">
              <w:t xml:space="preserve"> applicable </w:t>
            </w:r>
            <w:r>
              <w:t xml:space="preserve">alone </w:t>
            </w:r>
            <w:r w:rsidRPr="004A6A00">
              <w:t>since we have hundreds of parameter inputs and the search is not systematic.</w:t>
            </w:r>
          </w:p>
        </w:tc>
        <w:tc>
          <w:tcPr>
            <w:tcW w:w="1165" w:type="dxa"/>
          </w:tcPr>
          <w:p w14:paraId="0E77F382" w14:textId="77777777" w:rsidR="00BC788D" w:rsidRPr="004A6A00" w:rsidRDefault="00BC788D" w:rsidP="001B0DEC">
            <w:pPr>
              <w:rPr>
                <w:b/>
              </w:rPr>
            </w:pPr>
          </w:p>
        </w:tc>
      </w:tr>
      <w:tr w:rsidR="00BC788D" w:rsidRPr="004A6A00" w14:paraId="7D44AF99" w14:textId="77777777" w:rsidTr="001B0DEC">
        <w:tc>
          <w:tcPr>
            <w:tcW w:w="3685" w:type="dxa"/>
          </w:tcPr>
          <w:p w14:paraId="736C95A1" w14:textId="77777777" w:rsidR="00BC788D" w:rsidRPr="004A6A00" w:rsidRDefault="00BC788D" w:rsidP="001B0DEC">
            <w:pPr>
              <w:pStyle w:val="NormalWeb"/>
              <w:rPr>
                <w:b/>
              </w:rPr>
            </w:pPr>
            <w:r w:rsidRPr="004A6A00">
              <w:rPr>
                <w:b/>
              </w:rPr>
              <w:t>Grid Search Method</w:t>
            </w:r>
          </w:p>
          <w:p w14:paraId="27B53F4B" w14:textId="77777777" w:rsidR="00BC788D" w:rsidRPr="004A6A00" w:rsidRDefault="00BC788D" w:rsidP="001B0DEC">
            <w:pPr>
              <w:pStyle w:val="NormalWeb"/>
            </w:pPr>
            <w:r w:rsidRPr="004A6A00">
              <w:t xml:space="preserve">In the grid search method, the parameter search takes place across the different possible combinations of parameter values (parameter space). </w:t>
            </w:r>
          </w:p>
          <w:p w14:paraId="6F49F92F" w14:textId="77777777" w:rsidR="00BC788D" w:rsidRPr="004A6A00" w:rsidRDefault="00BC788D" w:rsidP="001B0DEC">
            <w:pPr>
              <w:pStyle w:val="NormalWeb"/>
            </w:pPr>
            <w:r w:rsidRPr="004A6A00">
              <w:t xml:space="preserve">The method involves setting up a suitable grid in the parameter space, evaluating the GOF estimate at all the grid points and finding the grid point that best minimizes the GOF. For each additional parameter, the number of dimensions required to represent the space also increases accordingly and, in most practical problems, the grid search method requires large numbers of model evaluations. </w:t>
            </w:r>
          </w:p>
          <w:p w14:paraId="03E97138" w14:textId="77777777" w:rsidR="00BC788D" w:rsidRPr="004A6A00" w:rsidRDefault="00BC788D" w:rsidP="001B0DEC">
            <w:pPr>
              <w:pStyle w:val="NormalWeb"/>
            </w:pPr>
          </w:p>
        </w:tc>
        <w:tc>
          <w:tcPr>
            <w:tcW w:w="2790" w:type="dxa"/>
          </w:tcPr>
          <w:p w14:paraId="2DA92F9C" w14:textId="77777777" w:rsidR="00BC788D" w:rsidRPr="004A6A00" w:rsidRDefault="00BC788D" w:rsidP="001B0DEC">
            <w:pPr>
              <w:pStyle w:val="NormalWeb"/>
            </w:pPr>
            <w:r w:rsidRPr="004A6A00">
              <w:t xml:space="preserve">The grid search method does not require complex computation to implement and offers a systematic way of identifying parameters. </w:t>
            </w:r>
          </w:p>
          <w:p w14:paraId="4E944B56" w14:textId="77777777" w:rsidR="00BC788D" w:rsidRPr="004A6A00" w:rsidRDefault="00BC788D" w:rsidP="001B0DEC"/>
        </w:tc>
        <w:tc>
          <w:tcPr>
            <w:tcW w:w="2970" w:type="dxa"/>
          </w:tcPr>
          <w:p w14:paraId="2A1B1004" w14:textId="77777777" w:rsidR="00BC788D" w:rsidRPr="004A6A00" w:rsidRDefault="00BC788D" w:rsidP="001B0DEC">
            <w:r w:rsidRPr="004A6A00">
              <w:t xml:space="preserve">The grid search method requires multiple evaluations for models with many parameters. This can be time consuming. </w:t>
            </w:r>
          </w:p>
          <w:p w14:paraId="6B4220E6" w14:textId="77777777" w:rsidR="00BC788D" w:rsidRPr="004A6A00" w:rsidRDefault="00BC788D" w:rsidP="001B0DEC"/>
          <w:p w14:paraId="62F50147" w14:textId="77777777" w:rsidR="00BC788D" w:rsidRPr="004A6A00" w:rsidRDefault="00BC788D" w:rsidP="001B0DEC"/>
        </w:tc>
        <w:tc>
          <w:tcPr>
            <w:tcW w:w="2340" w:type="dxa"/>
          </w:tcPr>
          <w:p w14:paraId="6C3EE605" w14:textId="77777777" w:rsidR="00BC788D" w:rsidRPr="004A6A00" w:rsidRDefault="00BC788D" w:rsidP="001B0DEC">
            <w:r w:rsidRPr="004A6A00">
              <w:t xml:space="preserve">The grid search method </w:t>
            </w:r>
            <w:r>
              <w:t xml:space="preserve">is a potential method to use in our model despite that we have a lot of parameter inputs to estimate and the evaluation will be complex and time consuming. </w:t>
            </w:r>
          </w:p>
        </w:tc>
        <w:tc>
          <w:tcPr>
            <w:tcW w:w="1165" w:type="dxa"/>
          </w:tcPr>
          <w:p w14:paraId="440B36DE" w14:textId="77777777" w:rsidR="00BC788D" w:rsidRPr="004A6A00" w:rsidRDefault="00BC788D" w:rsidP="001B0DEC">
            <w:r w:rsidRPr="004A6A00">
              <w:fldChar w:fldCharType="begin" w:fldLock="1"/>
            </w:r>
            <w:r>
              <w:instrText>ADDIN CSL_CITATION {"citationItems":[{"id":"ITEM-1","itemData":{"DOI":"10.2165/11584600-000000000-00000","ISSN":"11707690","PMID":"21142277","abstract":"In economic evaluation, mathematical models have a central role as a way of integrating all the relevant information about a disease and health interventions, in order to estimate costs and consequences over an extended time horizon. Models are based on scientific knowledge of disease (which is likely to change over time), simplifying assumptions and input parameters with different levels of uncertainty; therefore, it is sensible to explore the consistency of model predictions with observational data. Calibration is a useful tool for estimating uncertain parameters, as well as more accurately defining model uncertainty (particularly with respect to the representation of correlations between parameters). Calibration involves the comparison of model outputs (e.g. disease prevalence rates) with empirical data, leading to the identification of model parameter values that achieve a good fit.This article provides guidance on the theoretical underpinnings of different calibration methods. The calibration process is divided into seven steps and different potential methods at each step are discussed, focusing on the particular features of disease models in economic evaluation. The seven steps are (i) Which parameters should be varied in the calibration process? (ii) Which calibration targets should be used? (iii) What measure of goodness of fit should be used? (iv) What parameter search strategy should be used? (v) What determines acceptable goodness-of-fit parameter sets (convergence criteria)? (vi) What determines the termination of the calibration process (stopping rule)? (vii) How should the model calibration results and economic parameters be integrated?The lack of standards in calibrating disease models in economic evaluation can undermine the credibility of calibration methods. In order to avoid the scepticism regarding calibration, we ought to unify the way we approach the problems and report the methods used, and continue to investigate different methods. © 2011 Adis Data Information BV. All rights reserved.","author":[{"dropping-particle":"","family":"Vanni","given":"Tazio","non-dropping-particle":"","parse-names":false,"suffix":""},{"dropping-particle":"","family":"Karnon","given":"Jonathan","non-dropping-particle":"","parse-names":false,"suffix":""},{"dropping-particle":"","family":"Madan","given":"Jason","non-dropping-particle":"","parse-names":false,"suffix":""},{"dropping-particle":"","family":"White","given":"Richard G.","non-dropping-particle":"","parse-names":false,"suffix":""},{"dropping-particle":"","family":"Edmunds","given":"W. John","non-dropping-particle":"","parse-names":false,"suffix":""},{"dropping-particle":"","family":"Foss","given":"Anna M.","non-dropping-particle":"","parse-names":false,"suffix":""},{"dropping-particle":"","family":"Legood","given":"Rosa","non-dropping-particle":"","parse-names":false,"suffix":""}],"container-title":"PharmacoEconomics","id":"ITEM-1","issued":{"date-parts":[["2011"]]},"title":"Calibrating models in economic evaluation: A seven-step approach","type":"article-journal"},"uris":["http://www.mendeley.com/documents/?uuid=863ffe7f-7989-4b48-8a7b-815b7106d50e"]},{"id":"ITEM-2","itemData":{"author":[{"dropping-particle":"","family":"Cooper","given":"Ben S.","non-dropping-particle":"","parse-names":false,"suffix":""}],"container-title":"Journal of Hospital Infection","id":"ITEM-2","issue":"S2","issued":{"date-parts":[["2007"]]},"page":"88-92","title":"Confronting Models with Data","type":"article-journal","volume":"65"},"uris":["http://www.mendeley.com/documents/?uuid=9bf63647-bdb7-4edd-84cb-6e10b244206a"]}],"mendeley":{"formattedCitation":"&lt;sup&gt;2,3&lt;/sup&gt;","plainTextFormattedCitation":"2,3","previouslyFormattedCitation":"&lt;sup&gt;2,3&lt;/sup&gt;"},"properties":{"noteIndex":0},"schema":"https://github.com/citation-style-language/schema/raw/master/csl-citation.json"}</w:instrText>
            </w:r>
            <w:r w:rsidRPr="004A6A00">
              <w:fldChar w:fldCharType="separate"/>
            </w:r>
            <w:r w:rsidRPr="00E63CD9">
              <w:rPr>
                <w:noProof/>
                <w:vertAlign w:val="superscript"/>
              </w:rPr>
              <w:t>2,3</w:t>
            </w:r>
            <w:r w:rsidRPr="004A6A00">
              <w:fldChar w:fldCharType="end"/>
            </w:r>
          </w:p>
        </w:tc>
      </w:tr>
      <w:tr w:rsidR="00BC788D" w:rsidRPr="004A6A00" w14:paraId="73E9414F" w14:textId="77777777" w:rsidTr="001B0DEC">
        <w:tc>
          <w:tcPr>
            <w:tcW w:w="3685" w:type="dxa"/>
          </w:tcPr>
          <w:p w14:paraId="4F116F53" w14:textId="77777777" w:rsidR="00BC788D" w:rsidRPr="004A6A00" w:rsidRDefault="00BC788D" w:rsidP="001B0DEC">
            <w:pPr>
              <w:rPr>
                <w:b/>
              </w:rPr>
            </w:pPr>
            <w:r w:rsidRPr="004A6A00">
              <w:rPr>
                <w:b/>
              </w:rPr>
              <w:lastRenderedPageBreak/>
              <w:t>Random Search Method</w:t>
            </w:r>
          </w:p>
          <w:p w14:paraId="6AE8AEF9" w14:textId="77777777" w:rsidR="00BC788D" w:rsidRPr="004A6A00" w:rsidRDefault="00BC788D" w:rsidP="001B0DEC">
            <w:pPr>
              <w:rPr>
                <w:b/>
              </w:rPr>
            </w:pPr>
          </w:p>
          <w:p w14:paraId="7B8D6EE7" w14:textId="77777777" w:rsidR="00BC788D" w:rsidRPr="004A6A00" w:rsidRDefault="00BC788D" w:rsidP="001B0DEC">
            <w:r w:rsidRPr="004A6A00">
              <w:t xml:space="preserve">The random search method is the most commonly used method for parameter search. In this method, distributions are assigned to each parameter in the model and multiple sets of parameter values are sampled using a random number generator. Each set is then used in the model and GOF calculated. The set that results in the optimum GOF is selected. </w:t>
            </w:r>
          </w:p>
          <w:p w14:paraId="7BE49C36" w14:textId="77777777" w:rsidR="00BC788D" w:rsidRPr="004A6A00" w:rsidRDefault="00BC788D" w:rsidP="001B0DEC"/>
          <w:p w14:paraId="0C49AD0B" w14:textId="77777777" w:rsidR="00BC788D" w:rsidRPr="004A6A00" w:rsidRDefault="00BC788D" w:rsidP="001B0DEC">
            <w:r w:rsidRPr="004A6A00">
              <w:t>The method uses sampling to obtain parameter values from the parameter distribution. The methods of sampling used to obtain the parameter values vary in efficiency. Random sampling can be used but it is less efficient. One of the popular sampling methods used is the Latin hypercube. In the Latin hypercube sampling, for each parameter, a probability density function is defined and divided into n intervals with the same probability. A parameter value is picked randomly from every interval and this procedure is performed for every parameter.</w:t>
            </w:r>
          </w:p>
          <w:p w14:paraId="0180485B" w14:textId="77777777" w:rsidR="00BC788D" w:rsidRPr="004A6A00" w:rsidRDefault="00BC788D" w:rsidP="001B0DEC"/>
        </w:tc>
        <w:tc>
          <w:tcPr>
            <w:tcW w:w="2790" w:type="dxa"/>
          </w:tcPr>
          <w:p w14:paraId="316477DE" w14:textId="77777777" w:rsidR="00BC788D" w:rsidRPr="004A6A00" w:rsidRDefault="00BC788D" w:rsidP="001B0DEC">
            <w:r w:rsidRPr="004A6A00">
              <w:t>The random search method is intuitive and relatively easy to program compared to other methods.</w:t>
            </w:r>
          </w:p>
        </w:tc>
        <w:tc>
          <w:tcPr>
            <w:tcW w:w="2970" w:type="dxa"/>
          </w:tcPr>
          <w:p w14:paraId="76574AF3" w14:textId="77777777" w:rsidR="00BC788D" w:rsidRPr="004A6A00" w:rsidRDefault="00BC788D" w:rsidP="001B0DEC">
            <w:r w:rsidRPr="004A6A00">
              <w:t xml:space="preserve">The random search method is not efficient in covering the whole parameter space. Although increasing the number of searches improves the chance that the global min or max has been identified, we cannot be certain that the identified is global min or max and not local. </w:t>
            </w:r>
          </w:p>
          <w:p w14:paraId="0DE346AD" w14:textId="77777777" w:rsidR="00BC788D" w:rsidRPr="004A6A00" w:rsidRDefault="00BC788D" w:rsidP="001B0DEC">
            <w:pPr>
              <w:pStyle w:val="NormalWeb"/>
            </w:pPr>
            <w:r w:rsidRPr="004A6A00">
              <w:t xml:space="preserve">In more complex models with many parameters and larger parameter space, the random search method has limitations in the processing time required to search for the global extremum. </w:t>
            </w:r>
          </w:p>
          <w:p w14:paraId="631B166A" w14:textId="77777777" w:rsidR="00BC788D" w:rsidRPr="004A6A00" w:rsidRDefault="00BC788D" w:rsidP="001B0DEC">
            <w:pPr>
              <w:pStyle w:val="NormalWeb"/>
            </w:pPr>
            <w:r w:rsidRPr="004A6A00">
              <w:t xml:space="preserve">The random search is likely to generate parameter estimates with high variance. </w:t>
            </w:r>
          </w:p>
          <w:p w14:paraId="2137C9DC" w14:textId="77777777" w:rsidR="00BC788D" w:rsidRPr="004A6A00" w:rsidRDefault="00BC788D" w:rsidP="001B0DEC">
            <w:pPr>
              <w:pStyle w:val="NormalWeb"/>
            </w:pPr>
          </w:p>
        </w:tc>
        <w:tc>
          <w:tcPr>
            <w:tcW w:w="2340" w:type="dxa"/>
          </w:tcPr>
          <w:p w14:paraId="7447BF3B" w14:textId="77777777" w:rsidR="00BC788D" w:rsidRPr="004A6A00" w:rsidRDefault="00BC788D" w:rsidP="001B0DEC">
            <w:r w:rsidRPr="004A6A00">
              <w:t xml:space="preserve">The random search method is </w:t>
            </w:r>
            <w:r>
              <w:t xml:space="preserve">a potential method to use. </w:t>
            </w:r>
          </w:p>
        </w:tc>
        <w:tc>
          <w:tcPr>
            <w:tcW w:w="1165" w:type="dxa"/>
          </w:tcPr>
          <w:p w14:paraId="7F80311E" w14:textId="77777777" w:rsidR="00BC788D" w:rsidRPr="004A6A00" w:rsidRDefault="00BC788D" w:rsidP="001B0DEC">
            <w:pPr>
              <w:rPr>
                <w:lang w:eastAsia="ja-JP"/>
              </w:rPr>
            </w:pPr>
            <w:r w:rsidRPr="004A6A00">
              <w:fldChar w:fldCharType="begin" w:fldLock="1"/>
            </w:r>
            <w:r>
              <w:instrText>ADDIN CSL_CITATION {"citationItems":[{"id":"ITEM-1","itemData":{"DOI":"10.2165/11584600-000000000-00000","ISSN":"11707690","PMID":"21142277","abstract":"In economic evaluation, mathematical models have a central role as a way of integrating all the relevant information about a disease and health interventions, in order to estimate costs and consequences over an extended time horizon. Models are based on scientific knowledge of disease (which is likely to change over time), simplifying assumptions and input parameters with different levels of uncertainty; therefore, it is sensible to explore the consistency of model predictions with observational data. Calibration is a useful tool for estimating uncertain parameters, as well as more accurately defining model uncertainty (particularly with respect to the representation of correlations between parameters). Calibration involves the comparison of model outputs (e.g. disease prevalence rates) with empirical data, leading to the identification of model parameter values that achieve a good fit.This article provides guidance on the theoretical underpinnings of different calibration methods. The calibration process is divided into seven steps and different potential methods at each step are discussed, focusing on the particular features of disease models in economic evaluation. The seven steps are (i) Which parameters should be varied in the calibration process? (ii) Which calibration targets should be used? (iii) What measure of goodness of fit should be used? (iv) What parameter search strategy should be used? (v) What determines acceptable goodness-of-fit parameter sets (convergence criteria)? (vi) What determines the termination of the calibration process (stopping rule)? (vii) How should the model calibration results and economic parameters be integrated?The lack of standards in calibrating disease models in economic evaluation can undermine the credibility of calibration methods. In order to avoid the scepticism regarding calibration, we ought to unify the way we approach the problems and report the methods used, and continue to investigate different methods. © 2011 Adis Data Information BV. All rights reserved.","author":[{"dropping-particle":"","family":"Vanni","given":"Tazio","non-dropping-particle":"","parse-names":false,"suffix":""},{"dropping-particle":"","family":"Karnon","given":"Jonathan","non-dropping-particle":"","parse-names":false,"suffix":""},{"dropping-particle":"","family":"Madan","given":"Jason","non-dropping-particle":"","parse-names":false,"suffix":""},{"dropping-particle":"","family":"White","given":"Richard G.","non-dropping-particle":"","parse-names":false,"suffix":""},{"dropping-particle":"","family":"Edmunds","given":"W. John","non-dropping-particle":"","parse-names":false,"suffix":""},{"dropping-particle":"","family":"Foss","given":"Anna M.","non-dropping-particle":"","parse-names":false,"suffix":""},{"dropping-particle":"","family":"Legood","given":"Rosa","non-dropping-particle":"","parse-names":false,"suffix":""}],"container-title":"PharmacoEconomics","id":"ITEM-1","issued":{"date-parts":[["2011"]]},"title":"Calibrating models in economic evaluation: A seven-step approach","type":"article-journal"},"uris":["http://www.mendeley.com/documents/?uuid=863ffe7f-7989-4b48-8a7b-815b7106d50e"]},{"id":"ITEM-2","itemData":{"author":[{"dropping-particle":"","family":"Cooper","given":"Ben S.","non-dropping-particle":"","parse-names":false,"suffix":""}],"container-title":"Journal of Hospital Infection","id":"ITEM-2","issue":"S2","issued":{"date-parts":[["2007"]]},"page":"88-92","title":"Confronting Models with Data","type":"article-journal","volume":"65"},"uris":["http://www.mendeley.com/documents/?uuid=9bf63647-bdb7-4edd-84cb-6e10b244206a"]}],"mendeley":{"formattedCitation":"&lt;sup&gt;2,3&lt;/sup&gt;","plainTextFormattedCitation":"2,3","previouslyFormattedCitation":"&lt;sup&gt;2,3&lt;/sup&gt;"},"properties":{"noteIndex":0},"schema":"https://github.com/citation-style-language/schema/raw/master/csl-citation.json"}</w:instrText>
            </w:r>
            <w:r w:rsidRPr="004A6A00">
              <w:fldChar w:fldCharType="separate"/>
            </w:r>
            <w:r w:rsidRPr="00E63CD9">
              <w:rPr>
                <w:noProof/>
                <w:vertAlign w:val="superscript"/>
                <w:lang w:eastAsia="ja-JP"/>
              </w:rPr>
              <w:t>2,3</w:t>
            </w:r>
            <w:r w:rsidRPr="004A6A00">
              <w:fldChar w:fldCharType="end"/>
            </w:r>
          </w:p>
        </w:tc>
      </w:tr>
      <w:tr w:rsidR="00BC788D" w:rsidRPr="004A6A00" w14:paraId="24718B1C" w14:textId="77777777" w:rsidTr="001B0DEC">
        <w:tc>
          <w:tcPr>
            <w:tcW w:w="3685" w:type="dxa"/>
          </w:tcPr>
          <w:p w14:paraId="567B65D0" w14:textId="77777777" w:rsidR="00BC788D" w:rsidRPr="00E20E40" w:rsidRDefault="00BC788D" w:rsidP="001B0DEC">
            <w:pPr>
              <w:rPr>
                <w:b/>
              </w:rPr>
            </w:pPr>
            <w:r w:rsidRPr="00E20E40">
              <w:rPr>
                <w:b/>
              </w:rPr>
              <w:lastRenderedPageBreak/>
              <w:t>Bayesian calibration methods</w:t>
            </w:r>
          </w:p>
          <w:p w14:paraId="56FDCEFA" w14:textId="77777777" w:rsidR="00BC788D" w:rsidRPr="00E20E40" w:rsidRDefault="00BC788D" w:rsidP="001B0DEC">
            <w:pPr>
              <w:rPr>
                <w:b/>
              </w:rPr>
            </w:pPr>
          </w:p>
          <w:p w14:paraId="61FA34AB" w14:textId="77777777" w:rsidR="00BC788D" w:rsidRPr="00E20E40" w:rsidRDefault="00BC788D" w:rsidP="001B0DEC">
            <w:pPr>
              <w:rPr>
                <w:color w:val="000000"/>
                <w:shd w:val="clear" w:color="auto" w:fill="FFFFFF"/>
              </w:rPr>
            </w:pPr>
            <w:r w:rsidRPr="00E20E40">
              <w:rPr>
                <w:color w:val="000000"/>
                <w:shd w:val="clear" w:color="auto" w:fill="FFFFFF"/>
              </w:rPr>
              <w:t>A calibration approach based on the Bayesian theorem. Bayesian approaches use simple probability rules to combine three sources of information: 1) evidence about the distribution of model parameters, 2) evidence about the distribution of modelled outcomes, and 3) model structural assumptions that relate parameters and modelled outcomes. The prior distribution is assigned to model parameter inputs and the outputs will be projected using the parameters under prior distribution. The likelihood of projected outputs and observed outputs will be calculated. The posterior distribution of parameter inputs conditional on outputs will be derived by combining prior distribution and likelihood function.</w:t>
            </w:r>
            <w:r>
              <w:rPr>
                <w:color w:val="000000"/>
                <w:shd w:val="clear" w:color="auto" w:fill="FFFFFF"/>
              </w:rPr>
              <w:t xml:space="preserve"> At each iteration, the distribution of parameter inputs will be updated compared to random search method. </w:t>
            </w:r>
          </w:p>
          <w:p w14:paraId="56C37AE2" w14:textId="77777777" w:rsidR="00BC788D" w:rsidRPr="00E20E40" w:rsidRDefault="00BC788D" w:rsidP="001B0DEC">
            <w:pPr>
              <w:rPr>
                <w:bCs/>
              </w:rPr>
            </w:pPr>
          </w:p>
        </w:tc>
        <w:tc>
          <w:tcPr>
            <w:tcW w:w="2790" w:type="dxa"/>
          </w:tcPr>
          <w:p w14:paraId="244E061F" w14:textId="77777777" w:rsidR="00BC788D" w:rsidRDefault="00BC788D" w:rsidP="001B0DEC">
            <w:r>
              <w:t xml:space="preserve">The Bayesian calibration methods is similar to random sampling approach in parameter value selecting that assigned distribution of each parameter inputs. </w:t>
            </w:r>
          </w:p>
          <w:p w14:paraId="604D9AD1" w14:textId="77777777" w:rsidR="00BC788D" w:rsidRDefault="00BC788D" w:rsidP="001B0DEC"/>
          <w:p w14:paraId="1C392FAD" w14:textId="77777777" w:rsidR="00BC788D" w:rsidRDefault="00BC788D" w:rsidP="001B0DEC">
            <w:r>
              <w:t xml:space="preserve">The process is intuitive and easy to program. </w:t>
            </w:r>
          </w:p>
          <w:p w14:paraId="58E6BAF7" w14:textId="77777777" w:rsidR="00BC788D" w:rsidRDefault="00BC788D" w:rsidP="001B0DEC"/>
          <w:p w14:paraId="269F7BA3" w14:textId="77777777" w:rsidR="00BC788D" w:rsidRPr="004A6A00" w:rsidRDefault="00BC788D" w:rsidP="001B0DEC">
            <w:r>
              <w:t xml:space="preserve">The Bayesian calibration method and its adaptations are commonly used in epidemiological models for HIV, Malaria, and TB.  </w:t>
            </w:r>
          </w:p>
        </w:tc>
        <w:tc>
          <w:tcPr>
            <w:tcW w:w="2970" w:type="dxa"/>
          </w:tcPr>
          <w:p w14:paraId="4F56D0E4" w14:textId="77777777" w:rsidR="00BC788D" w:rsidRPr="004A6A00" w:rsidRDefault="00BC788D" w:rsidP="001B0DEC">
            <w:pPr>
              <w:pStyle w:val="NormalWeb"/>
            </w:pPr>
            <w:r>
              <w:t xml:space="preserve">With increased number of parameters, the </w:t>
            </w:r>
            <w:r>
              <w:rPr>
                <w:rFonts w:hint="eastAsia"/>
                <w:lang w:eastAsia="zh-CN"/>
              </w:rPr>
              <w:t>method</w:t>
            </w:r>
            <w:r>
              <w:rPr>
                <w:lang w:eastAsia="zh-CN"/>
              </w:rPr>
              <w:t xml:space="preserve"> </w:t>
            </w:r>
            <w:r w:rsidRPr="004A6A00">
              <w:t>has limitations in the processing time required to search for the global extremum</w:t>
            </w:r>
            <w:r>
              <w:t xml:space="preserve"> since a significant number of iterations will be needed to estimate posterior distribution of parameters</w:t>
            </w:r>
          </w:p>
          <w:p w14:paraId="509888E7" w14:textId="77777777" w:rsidR="00BC788D" w:rsidRPr="004A6A00" w:rsidRDefault="00BC788D" w:rsidP="001B0DEC">
            <w:r>
              <w:t xml:space="preserve">Bayesian calibration methods requires information on the distribution of calibration targets. For calibration targets that has unknown distribution, the estimation can be biased if the assumption on distribution fails to fit the actual data. </w:t>
            </w:r>
          </w:p>
        </w:tc>
        <w:tc>
          <w:tcPr>
            <w:tcW w:w="2340" w:type="dxa"/>
          </w:tcPr>
          <w:p w14:paraId="06C8EA1A" w14:textId="77777777" w:rsidR="00BC788D" w:rsidRPr="004A6A00" w:rsidRDefault="00BC788D" w:rsidP="001B0DEC">
            <w:r>
              <w:t xml:space="preserve">Bayesian calibration methods might be usable for our model. However, the calibration targets we collected have limited data on the distribution of calibration targets. For certain calibration targets, we have only a single point estimate without any information on ranges or confidence interval. This might prevent us from assigning an appropriate distribution to calibration targets. </w:t>
            </w:r>
          </w:p>
        </w:tc>
        <w:tc>
          <w:tcPr>
            <w:tcW w:w="1165" w:type="dxa"/>
          </w:tcPr>
          <w:p w14:paraId="64C9954D" w14:textId="77777777" w:rsidR="00BC788D" w:rsidRPr="004A6A00" w:rsidRDefault="00BC788D" w:rsidP="001B0DEC">
            <w:r>
              <w:fldChar w:fldCharType="begin" w:fldLock="1"/>
            </w:r>
            <w:r>
              <w:instrText>ADDIN CSL_CITATION {"citationItems":[{"id":"ITEM-1","itemData":{"DOI":"10.1007/s40273-017-0494-4","ISSN":"11792027","PMID":"28247184","abstract":"Mathematical simulation models are commonly used to inform health policy decisions. These health policy models represent the social and biological mechanisms that determine health and economic outcomes, combine multiple sources of evidence about how policy alternatives will impact those outcomes, and synthesize outcomes into summary measures salient for the policy decision. Calibrating these health policy models to fit empirical data can provide face validity and improve the quality of model predictions. Bayesian methods provide powerful tools for model calibration. These methods summarize information relevant to a particular policy decision into (1) prior distributions for model parameters, (2) structural assumptions of the model, and (3) a likelihood function created from the calibration data, combining these different sources of evidence via Bayes’ theorem. This article provides a tutorial on Bayesian approaches for model calibration, describing the theoretical basis for Bayesian calibration approaches as well as pragmatic considerations that arise in the tasks of creating calibration targets, estimating the posterior distribution, and obtaining results to inform the policy decision. These considerations, as well as the specific steps for implementing the calibration, are described in the context of an extended worked example about the policy choice to provide (or not provide) treatment for a hypothetical infectious disease. Given the many simplifications and subjective decisions required to create prior distributions, model structure, and likelihood, calibration should be considered an exercise in creating a reasonable model that produces valid evidence for policy, rather than as a technique for identifying a unique theoretically optimal summary of the evidence.","author":[{"dropping-particle":"","family":"Menzies","given":"Nicolas A.","non-dropping-particle":"","parse-names":false,"suffix":""},{"dropping-particle":"","family":"Soeteman","given":"Djøra I.","non-dropping-particle":"","parse-names":false,"suffix":""},{"dropping-particle":"","family":"Pandya","given":"Ankur","non-dropping-particle":"","parse-names":false,"suffix":""},{"dropping-particle":"","family":"Kim","given":"Jane J.","non-dropping-particle":"","parse-names":false,"suffix":""}],"container-title":"PharmacoEconomics","id":"ITEM-1","issued":{"date-parts":[["2017"]]},"title":"Bayesian Methods for Calibrating Health Policy Models: A Tutorial","type":"article-journal"},"uris":["http://www.mendeley.com/documents/?uuid=884b2f1d-39d9-4a00-8e10-1055b9c5c87b"]}],"mendeley":{"formattedCitation":"&lt;sup&gt;6&lt;/sup&gt;","plainTextFormattedCitation":"6","previouslyFormattedCitation":"&lt;sup&gt;6&lt;/sup&gt;"},"properties":{"noteIndex":0},"schema":"https://github.com/citation-style-language/schema/raw/master/csl-citation.json"}</w:instrText>
            </w:r>
            <w:r>
              <w:fldChar w:fldCharType="separate"/>
            </w:r>
            <w:r w:rsidRPr="00E63CD9">
              <w:rPr>
                <w:noProof/>
                <w:vertAlign w:val="superscript"/>
              </w:rPr>
              <w:t>6</w:t>
            </w:r>
            <w:r>
              <w:fldChar w:fldCharType="end"/>
            </w:r>
          </w:p>
        </w:tc>
      </w:tr>
      <w:tr w:rsidR="00BC788D" w:rsidRPr="004A6A00" w14:paraId="445E9C86" w14:textId="77777777" w:rsidTr="001B0DEC">
        <w:tc>
          <w:tcPr>
            <w:tcW w:w="3685" w:type="dxa"/>
          </w:tcPr>
          <w:p w14:paraId="32F2665F" w14:textId="77777777" w:rsidR="00BC788D" w:rsidRPr="004A6A00" w:rsidRDefault="00BC788D" w:rsidP="001B0DEC">
            <w:pPr>
              <w:rPr>
                <w:b/>
                <w:lang w:eastAsia="ja-JP"/>
              </w:rPr>
            </w:pPr>
            <w:r w:rsidRPr="004A6A00">
              <w:rPr>
                <w:b/>
                <w:lang w:eastAsia="ja-JP"/>
              </w:rPr>
              <w:t xml:space="preserve">Generalized Reduced Gradient Method. </w:t>
            </w:r>
          </w:p>
          <w:p w14:paraId="184E2301" w14:textId="77777777" w:rsidR="00BC788D" w:rsidRDefault="00BC788D" w:rsidP="001B0DEC">
            <w:pPr>
              <w:pStyle w:val="NormalWeb"/>
              <w:rPr>
                <w:lang w:eastAsia="ja-JP"/>
              </w:rPr>
            </w:pPr>
            <w:r>
              <w:rPr>
                <w:lang w:eastAsia="ja-JP"/>
              </w:rPr>
              <w:t xml:space="preserve">An extension of reduced gradient method that allows non-linear </w:t>
            </w:r>
            <w:r>
              <w:rPr>
                <w:lang w:eastAsia="ja-JP"/>
              </w:rPr>
              <w:lastRenderedPageBreak/>
              <w:t xml:space="preserve">constraints and arbitrary bounds for variables. The method assumes that the objective function is differentiable. </w:t>
            </w:r>
          </w:p>
          <w:p w14:paraId="08A1A4B3" w14:textId="77777777" w:rsidR="00BC788D" w:rsidRPr="004A6A00" w:rsidRDefault="00BC788D" w:rsidP="001B0DEC">
            <w:pPr>
              <w:pStyle w:val="NormalWeb"/>
              <w:rPr>
                <w:lang w:eastAsia="ja-JP"/>
              </w:rPr>
            </w:pPr>
            <w:r w:rsidRPr="004A6A00">
              <w:rPr>
                <w:lang w:eastAsia="ja-JP"/>
              </w:rPr>
              <w:t xml:space="preserve">This approach is used in Microsoft Excel Solver as an optimization tool, which assumes the model to be non-linear. Optimization methods that use the gradient vector can be expected to find the minimum point faster. In the spreadsheet format, the optimization problem can be solved using Microsoft Excel Solver. </w:t>
            </w:r>
          </w:p>
          <w:p w14:paraId="3C381782" w14:textId="77777777" w:rsidR="00BC788D" w:rsidRPr="004A6A00" w:rsidRDefault="00BC788D" w:rsidP="001B0DEC">
            <w:pPr>
              <w:rPr>
                <w:lang w:eastAsia="ja-JP"/>
              </w:rPr>
            </w:pPr>
            <w:r w:rsidRPr="004A6A00">
              <w:rPr>
                <w:lang w:eastAsia="ja-JP"/>
              </w:rPr>
              <w:t xml:space="preserve">Solver extracts the information (problem to optimize) from the spreadsheet cells and internally builds a representation of the model that is suitable for the generalized reduced gradient method. Solver assumes the model to be nonlinear as default. The path and scaling factors used by the generalized reduced gradient method depend on the starting point. It is recommended that different starting points are tried. If the software reaches roughly the same final point, then that this is a global extremum. </w:t>
            </w:r>
          </w:p>
          <w:p w14:paraId="4EEA9DB5" w14:textId="77777777" w:rsidR="00BC788D" w:rsidRPr="004A6A00" w:rsidRDefault="00BC788D" w:rsidP="001B0DEC">
            <w:pPr>
              <w:rPr>
                <w:lang w:eastAsia="ja-JP"/>
              </w:rPr>
            </w:pPr>
          </w:p>
        </w:tc>
        <w:tc>
          <w:tcPr>
            <w:tcW w:w="2790" w:type="dxa"/>
          </w:tcPr>
          <w:p w14:paraId="19B10D89" w14:textId="77777777" w:rsidR="00BC788D" w:rsidRPr="004A6A00" w:rsidRDefault="00BC788D" w:rsidP="001B0DEC">
            <w:pPr>
              <w:rPr>
                <w:lang w:eastAsia="ja-JP"/>
              </w:rPr>
            </w:pPr>
            <w:r w:rsidRPr="004A6A00">
              <w:rPr>
                <w:lang w:eastAsia="ja-JP"/>
              </w:rPr>
              <w:lastRenderedPageBreak/>
              <w:t xml:space="preserve">The generalized reduced gradient method can be implemented in Microsoft Excel using Solver and is faster in obtaining the </w:t>
            </w:r>
            <w:r w:rsidRPr="004A6A00">
              <w:rPr>
                <w:lang w:eastAsia="ja-JP"/>
              </w:rPr>
              <w:lastRenderedPageBreak/>
              <w:t>minimum points. Microsoft Excel is free and available to most people.</w:t>
            </w:r>
          </w:p>
        </w:tc>
        <w:tc>
          <w:tcPr>
            <w:tcW w:w="2970" w:type="dxa"/>
          </w:tcPr>
          <w:p w14:paraId="38610003" w14:textId="77777777" w:rsidR="00BC788D" w:rsidRPr="004A6A00" w:rsidRDefault="00BC788D" w:rsidP="001B0DEC">
            <w:pPr>
              <w:pStyle w:val="NormalWeb"/>
            </w:pPr>
            <w:r w:rsidRPr="004A6A00">
              <w:rPr>
                <w:lang w:eastAsia="ja-JP"/>
              </w:rPr>
              <w:lastRenderedPageBreak/>
              <w:t>The generalized reduced gradient method when using the Microsoft</w:t>
            </w:r>
            <w:r w:rsidRPr="004A6A00">
              <w:rPr>
                <w:position w:val="8"/>
                <w:lang w:eastAsia="ja-JP"/>
              </w:rPr>
              <w:t xml:space="preserve"> </w:t>
            </w:r>
            <w:r w:rsidRPr="004A6A00">
              <w:rPr>
                <w:lang w:eastAsia="ja-JP"/>
              </w:rPr>
              <w:t>Excel Solver assumes the model to be nonlinear as d</w:t>
            </w:r>
            <w:r w:rsidRPr="004A6A00">
              <w:t xml:space="preserve">efault. This </w:t>
            </w:r>
            <w:r w:rsidRPr="004A6A00">
              <w:lastRenderedPageBreak/>
              <w:t xml:space="preserve">can lead to biased estimates incase the model is linear. </w:t>
            </w:r>
          </w:p>
          <w:p w14:paraId="7C4A3240" w14:textId="77777777" w:rsidR="00BC788D" w:rsidRPr="004A6A00" w:rsidRDefault="00BC788D" w:rsidP="001B0DEC">
            <w:r>
              <w:t>Since it is an optimization algorithm, t</w:t>
            </w:r>
            <w:r w:rsidRPr="004A6A00">
              <w:t xml:space="preserve">he </w:t>
            </w:r>
            <w:r>
              <w:t xml:space="preserve">method generates only one </w:t>
            </w:r>
            <w:r w:rsidRPr="004A6A00">
              <w:t xml:space="preserve">solution </w:t>
            </w:r>
            <w:r>
              <w:t xml:space="preserve">for a given starting point. The final outcome </w:t>
            </w:r>
            <w:r w:rsidRPr="004A6A00">
              <w:t xml:space="preserve">depends on the starting point and multiple points have </w:t>
            </w:r>
            <w:proofErr w:type="gramStart"/>
            <w:r w:rsidRPr="004A6A00">
              <w:t>be</w:t>
            </w:r>
            <w:proofErr w:type="gramEnd"/>
            <w:r w:rsidRPr="004A6A00">
              <w:t xml:space="preserve"> tried. </w:t>
            </w:r>
          </w:p>
        </w:tc>
        <w:tc>
          <w:tcPr>
            <w:tcW w:w="2340" w:type="dxa"/>
          </w:tcPr>
          <w:p w14:paraId="4576C62C" w14:textId="77777777" w:rsidR="00BC788D" w:rsidRDefault="00BC788D" w:rsidP="001B0DEC">
            <w:r w:rsidRPr="00DC6429">
              <w:lastRenderedPageBreak/>
              <w:t>This is an optimization method that generates one set of the parameter estimate</w:t>
            </w:r>
            <w:r>
              <w:rPr>
                <w:rFonts w:hint="eastAsia"/>
              </w:rPr>
              <w:t>.</w:t>
            </w:r>
          </w:p>
          <w:p w14:paraId="789D68D0" w14:textId="77777777" w:rsidR="00BC788D" w:rsidRDefault="00BC788D" w:rsidP="001B0DEC"/>
          <w:p w14:paraId="49CAE3CE" w14:textId="77777777" w:rsidR="00BC788D" w:rsidRDefault="00BC788D" w:rsidP="001B0DEC">
            <w:r>
              <w:t xml:space="preserve">The method finds local extremes instead of global optimization. Multiple initial </w:t>
            </w:r>
            <w:proofErr w:type="gramStart"/>
            <w:r>
              <w:t>simplex</w:t>
            </w:r>
            <w:proofErr w:type="gramEnd"/>
            <w:r>
              <w:t xml:space="preserve"> will be tried. </w:t>
            </w:r>
            <w:r w:rsidRPr="00DC6429">
              <w:rPr>
                <w:rFonts w:hint="eastAsia"/>
              </w:rPr>
              <w:t xml:space="preserve"> </w:t>
            </w:r>
          </w:p>
          <w:p w14:paraId="07923393" w14:textId="77777777" w:rsidR="00BC788D" w:rsidRDefault="00BC788D" w:rsidP="001B0DEC"/>
          <w:p w14:paraId="0ED14ACC" w14:textId="77777777" w:rsidR="00BC788D" w:rsidRPr="004A6A00" w:rsidRDefault="00BC788D" w:rsidP="001B0DEC">
            <w:r>
              <w:t xml:space="preserve">However, it is applied in Excel and no existing package is found in R to perform the method. </w:t>
            </w:r>
          </w:p>
        </w:tc>
        <w:tc>
          <w:tcPr>
            <w:tcW w:w="1165" w:type="dxa"/>
          </w:tcPr>
          <w:p w14:paraId="0E2F3706" w14:textId="77777777" w:rsidR="00BC788D" w:rsidRPr="004A6A00" w:rsidRDefault="00BC788D" w:rsidP="001B0DEC">
            <w:r w:rsidRPr="004A6A00">
              <w:lastRenderedPageBreak/>
              <w:fldChar w:fldCharType="begin" w:fldLock="1"/>
            </w:r>
            <w:r>
              <w:instrText>ADDIN CSL_CITATION {"citationItems":[{"id":"ITEM-1","itemData":{"DOI":"10.2165/11584600-000000000-00000","ISSN":"11707690","PMID":"21142277","abstract":"In economic evaluation, mathematical models have a central role as a way of integrating all the relevant information about a disease and health interventions, in order to estimate costs and consequences over an extended time horizon. Models are based on scientific knowledge of disease (which is likely to change over time), simplifying assumptions and input parameters with different levels of uncertainty; therefore, it is sensible to explore the consistency of model predictions with observational data. Calibration is a useful tool for estimating uncertain parameters, as well as more accurately defining model uncertainty (particularly with respect to the representation of correlations between parameters). Calibration involves the comparison of model outputs (e.g. disease prevalence rates) with empirical data, leading to the identification of model parameter values that achieve a good fit.This article provides guidance on the theoretical underpinnings of different calibration methods. The calibration process is divided into seven steps and different potential methods at each step are discussed, focusing on the particular features of disease models in economic evaluation. The seven steps are (i) Which parameters should be varied in the calibration process? (ii) Which calibration targets should be used? (iii) What measure of goodness of fit should be used? (iv) What parameter search strategy should be used? (v) What determines acceptable goodness-of-fit parameter sets (convergence criteria)? (vi) What determines the termination of the calibration process (stopping rule)? (vii) How should the model calibration results and economic parameters be integrated?The lack of standards in calibrating disease models in economic evaluation can undermine the credibility of calibration methods. In order to avoid the scepticism regarding calibration, we ought to unify the way we approach the problems and report the methods used, and continue to investigate different methods. © 2011 Adis Data Information BV. All rights reserved.","author":[{"dropping-particle":"","family":"Vanni","given":"Tazio","non-dropping-particle":"","parse-names":false,"suffix":""},{"dropping-particle":"","family":"Karnon","given":"Jonathan","non-dropping-particle":"","parse-names":false,"suffix":""},{"dropping-particle":"","family":"Madan","given":"Jason","non-dropping-particle":"","parse-names":false,"suffix":""},{"dropping-particle":"","family":"White","given":"Richard G.","non-dropping-particle":"","parse-names":false,"suffix":""},{"dropping-particle":"","family":"Edmunds","given":"W. John","non-dropping-particle":"","parse-names":false,"suffix":""},{"dropping-particle":"","family":"Foss","given":"Anna M.","non-dropping-particle":"","parse-names":false,"suffix":""},{"dropping-particle":"","family":"Legood","given":"Rosa","non-dropping-particle":"","parse-names":false,"suffix":""}],"container-title":"PharmacoEconomics","id":"ITEM-1","issued":{"date-parts":[["2011"]]},"title":"Calibrating models in economic evaluation: A seven-step approach","type":"article-journal"},"uris":["http://www.mendeley.com/documents/?uuid=863ffe7f-7989-4b48-8a7b-815b7106d50e"]},{"id":"ITEM-2","itemData":{"author":[{"dropping-particle":"","family":"Cooper","given":"Ben S.","non-dropping-particle":"","parse-names":false,"suffix":""}],"container-title":"Journal of Hospital Infection","id":"ITEM-2","issue":"S2","issued":{"date-parts":[["2007"]]},"page":"88-92","title":"Confronting Models with Data","type":"article-journal","volume":"65"},"uris":["http://www.mendeley.com/documents/?uuid=9bf63647-bdb7-4edd-84cb-6e10b244206a"]}],"mendeley":{"formattedCitation":"&lt;sup&gt;2,3&lt;/sup&gt;","plainTextFormattedCitation":"2,3","previouslyFormattedCitation":"&lt;sup&gt;2,3&lt;/sup&gt;"},"properties":{"noteIndex":0},"schema":"https://github.com/citation-style-language/schema/raw/master/csl-citation.json"}</w:instrText>
            </w:r>
            <w:r w:rsidRPr="004A6A00">
              <w:fldChar w:fldCharType="separate"/>
            </w:r>
            <w:r w:rsidRPr="00E63CD9">
              <w:rPr>
                <w:noProof/>
                <w:vertAlign w:val="superscript"/>
              </w:rPr>
              <w:t>2,3</w:t>
            </w:r>
            <w:r w:rsidRPr="004A6A00">
              <w:fldChar w:fldCharType="end"/>
            </w:r>
          </w:p>
        </w:tc>
      </w:tr>
      <w:tr w:rsidR="00BC788D" w:rsidRPr="004A6A00" w14:paraId="169A85AF" w14:textId="77777777" w:rsidTr="001B0DEC">
        <w:tc>
          <w:tcPr>
            <w:tcW w:w="3685" w:type="dxa"/>
          </w:tcPr>
          <w:p w14:paraId="7CA7951F" w14:textId="77777777" w:rsidR="00BC788D" w:rsidRPr="004A6A00" w:rsidRDefault="00BC788D" w:rsidP="001B0DEC">
            <w:pPr>
              <w:rPr>
                <w:b/>
              </w:rPr>
            </w:pPr>
            <w:r w:rsidRPr="004A6A00">
              <w:rPr>
                <w:b/>
              </w:rPr>
              <w:lastRenderedPageBreak/>
              <w:t>Downhill Simplex Method (</w:t>
            </w:r>
            <w:proofErr w:type="spellStart"/>
            <w:r w:rsidRPr="004A6A00">
              <w:rPr>
                <w:b/>
              </w:rPr>
              <w:t>Nelder</w:t>
            </w:r>
            <w:proofErr w:type="spellEnd"/>
            <w:r w:rsidRPr="004A6A00">
              <w:rPr>
                <w:b/>
              </w:rPr>
              <w:t>-Mead).</w:t>
            </w:r>
          </w:p>
          <w:p w14:paraId="4410BB4D" w14:textId="77777777" w:rsidR="00BC788D" w:rsidRPr="004A6A00" w:rsidRDefault="00BC788D" w:rsidP="001B0DEC">
            <w:pPr>
              <w:rPr>
                <w:b/>
              </w:rPr>
            </w:pPr>
          </w:p>
          <w:p w14:paraId="50EE4852" w14:textId="77777777" w:rsidR="00BC788D" w:rsidRDefault="00BC788D" w:rsidP="001B0DEC">
            <w:proofErr w:type="spellStart"/>
            <w:r>
              <w:t>Nelder</w:t>
            </w:r>
            <w:proofErr w:type="spellEnd"/>
            <w:r>
              <w:t>-Mead method is an optimization method that establishes a nonlinear simplex (d</w:t>
            </w:r>
            <w:r w:rsidRPr="004A6A00">
              <w:t>ownhill simplex</w:t>
            </w:r>
            <w:r>
              <w:t xml:space="preserve">) to identify global extreme in objective function. Unlike reduced gradient method, the </w:t>
            </w:r>
            <w:proofErr w:type="spellStart"/>
            <w:r>
              <w:t>Nelder</w:t>
            </w:r>
            <w:proofErr w:type="spellEnd"/>
            <w:r>
              <w:t xml:space="preserve"> Mead method does not require differentiable objective function. </w:t>
            </w:r>
          </w:p>
          <w:p w14:paraId="60595957" w14:textId="77777777" w:rsidR="00BC788D" w:rsidRDefault="00BC788D" w:rsidP="001B0DEC"/>
          <w:p w14:paraId="5EC5397E" w14:textId="77777777" w:rsidR="00BC788D" w:rsidRPr="004A6A00" w:rsidRDefault="00BC788D" w:rsidP="001B0DEC">
            <w:pPr>
              <w:rPr>
                <w:color w:val="000000" w:themeColor="text1"/>
              </w:rPr>
            </w:pPr>
            <w:r w:rsidRPr="004A6A00">
              <w:t xml:space="preserve">Downhill simplex is a geometrical figure consisting, N dimensions, of N + 1 points (or vertices) and all their </w:t>
            </w:r>
            <w:r w:rsidRPr="004A6A00">
              <w:rPr>
                <w:color w:val="000000" w:themeColor="text1"/>
              </w:rPr>
              <w:t>interconnecting line segments. In two dimensions the simplex is a triangle. In three dimensions it is a tetrahedron. The number of dimensions is determined by the number of input parameters varied in the optimization process.</w:t>
            </w:r>
          </w:p>
          <w:p w14:paraId="4F3B7D46" w14:textId="77777777" w:rsidR="00BC788D" w:rsidRPr="004A6A00" w:rsidRDefault="00BC788D" w:rsidP="001B0DEC"/>
          <w:p w14:paraId="3841D2DA" w14:textId="77777777" w:rsidR="00BC788D" w:rsidRPr="004A6A00" w:rsidRDefault="00BC788D" w:rsidP="001B0DEC">
            <w:r w:rsidRPr="004A6A00">
              <w:t xml:space="preserve">The downhill simplex method must be initialized with N+ 1 points in order to constitute an initial simplex. The model’s GOF indicates poorly fitting parameter sets at surface with peaks and valleys indicate better fitting parameter sets. This method takes a series of steps (reflection, </w:t>
            </w:r>
            <w:r w:rsidRPr="004A6A00">
              <w:lastRenderedPageBreak/>
              <w:t>expansion, contraction, and reduction) to generate the parameter set. The method is slow and generates only one best-fit parameter set at the end of the process. In order to gain more confidence that the best-fit parameter set does not represent a local extremum, the algorithm is usually run a few times from different starting points (different simplexes).</w:t>
            </w:r>
            <w:r>
              <w:t xml:space="preserve"> </w:t>
            </w:r>
          </w:p>
        </w:tc>
        <w:tc>
          <w:tcPr>
            <w:tcW w:w="2790" w:type="dxa"/>
          </w:tcPr>
          <w:p w14:paraId="5042C8AA" w14:textId="77777777" w:rsidR="00BC788D" w:rsidRPr="004A6A00" w:rsidRDefault="00BC788D" w:rsidP="001B0DEC">
            <w:r w:rsidRPr="004A6A00">
              <w:lastRenderedPageBreak/>
              <w:t xml:space="preserve">This method makes no assumption about the function being minimized. </w:t>
            </w:r>
          </w:p>
          <w:p w14:paraId="2D1908F0" w14:textId="77777777" w:rsidR="00BC788D" w:rsidRPr="004A6A00" w:rsidRDefault="00BC788D" w:rsidP="001B0DEC"/>
        </w:tc>
        <w:tc>
          <w:tcPr>
            <w:tcW w:w="2970" w:type="dxa"/>
          </w:tcPr>
          <w:p w14:paraId="3478973C" w14:textId="77777777" w:rsidR="00BC788D" w:rsidRPr="004A6A00" w:rsidRDefault="00BC788D" w:rsidP="001B0DEC">
            <w:r w:rsidRPr="004A6A00">
              <w:t>This method is not as fast compared to other methods such as the generalized reduced gradient method.</w:t>
            </w:r>
            <w:r>
              <w:t xml:space="preserve"> In addition, the convergence becomes increasingly difficult with more than 10 parameter inputs. </w:t>
            </w:r>
          </w:p>
          <w:p w14:paraId="114EAD8B" w14:textId="77777777" w:rsidR="00BC788D" w:rsidRPr="004A6A00" w:rsidRDefault="00BC788D" w:rsidP="001B0DEC">
            <w:pPr>
              <w:pStyle w:val="NormalWeb"/>
            </w:pPr>
            <w:r w:rsidRPr="004A6A00">
              <w:t xml:space="preserve">This method only generates one best-fit parameter after the process. </w:t>
            </w:r>
          </w:p>
          <w:p w14:paraId="126471AF" w14:textId="77777777" w:rsidR="00BC788D" w:rsidRPr="004A6A00" w:rsidRDefault="00BC788D" w:rsidP="001B0DEC">
            <w:pPr>
              <w:pStyle w:val="NormalWeb"/>
              <w:rPr>
                <w:lang w:eastAsia="zh-CN"/>
              </w:rPr>
            </w:pPr>
          </w:p>
        </w:tc>
        <w:tc>
          <w:tcPr>
            <w:tcW w:w="2340" w:type="dxa"/>
          </w:tcPr>
          <w:p w14:paraId="326A054A" w14:textId="77777777" w:rsidR="00BC788D" w:rsidRPr="004A6A00" w:rsidRDefault="00BC788D" w:rsidP="001B0DEC">
            <w:r>
              <w:t>The number of parameter inputs to calibrate is large so that the method becomes complex in computing. The existing R package for this method limits the number of parameter inputs calibrated to 10-20 with bounds or non-linear constraints.</w:t>
            </w:r>
          </w:p>
        </w:tc>
        <w:tc>
          <w:tcPr>
            <w:tcW w:w="1165" w:type="dxa"/>
          </w:tcPr>
          <w:p w14:paraId="2859C2FF" w14:textId="77777777" w:rsidR="00BC788D" w:rsidRPr="004A6A00" w:rsidRDefault="00BC788D" w:rsidP="001B0DEC">
            <w:r w:rsidRPr="004A6A00">
              <w:fldChar w:fldCharType="begin" w:fldLock="1"/>
            </w:r>
            <w:r>
              <w:instrText>ADDIN CSL_CITATION {"citationItems":[{"id":"ITEM-1","itemData":{"DOI":"10.2165/11584600-000000000-00000","ISSN":"11707690","PMID":"21142277","abstract":"In economic evaluation, mathematical models have a central role as a way of integrating all the relevant information about a disease and health interventions, in order to estimate costs and consequences over an extended time horizon. Models are based on scientific knowledge of disease (which is likely to change over time), simplifying assumptions and input parameters with different levels of uncertainty; therefore, it is sensible to explore the consistency of model predictions with observational data. Calibration is a useful tool for estimating uncertain parameters, as well as more accurately defining model uncertainty (particularly with respect to the representation of correlations between parameters). Calibration involves the comparison of model outputs (e.g. disease prevalence rates) with empirical data, leading to the identification of model parameter values that achieve a good fit.This article provides guidance on the theoretical underpinnings of different calibration methods. The calibration process is divided into seven steps and different potential methods at each step are discussed, focusing on the particular features of disease models in economic evaluation. The seven steps are (i) Which parameters should be varied in the calibration process? (ii) Which calibration targets should be used? (iii) What measure of goodness of fit should be used? (iv) What parameter search strategy should be used? (v) What determines acceptable goodness-of-fit parameter sets (convergence criteria)? (vi) What determines the termination of the calibration process (stopping rule)? (vii) How should the model calibration results and economic parameters be integrated?The lack of standards in calibrating disease models in economic evaluation can undermine the credibility of calibration methods. In order to avoid the scepticism regarding calibration, we ought to unify the way we approach the problems and report the methods used, and continue to investigate different methods. © 2011 Adis Data Information BV. All rights reserved.","author":[{"dropping-particle":"","family":"Vanni","given":"Tazio","non-dropping-particle":"","parse-names":false,"suffix":""},{"dropping-particle":"","family":"Karnon","given":"Jonathan","non-dropping-particle":"","parse-names":false,"suffix":""},{"dropping-particle":"","family":"Madan","given":"Jason","non-dropping-particle":"","parse-names":false,"suffix":""},{"dropping-particle":"","family":"White","given":"Richard G.","non-dropping-particle":"","parse-names":false,"suffix":""},{"dropping-particle":"","family":"Edmunds","given":"W. John","non-dropping-particle":"","parse-names":false,"suffix":""},{"dropping-particle":"","family":"Foss","given":"Anna M.","non-dropping-particle":"","parse-names":false,"suffix":""},{"dropping-particle":"","family":"Legood","given":"Rosa","non-dropping-particle":"","parse-names":false,"suffix":""}],"container-title":"PharmacoEconomics","id":"ITEM-1","issued":{"date-parts":[["2011"]]},"title":"Calibrating models in economic evaluation: A seven-step approach","type":"article-journal"},"uris":["http://www.mendeley.com/documents/?uuid=863ffe7f-7989-4b48-8a7b-815b7106d50e"]}],"mendeley":{"formattedCitation":"&lt;sup&gt;2&lt;/sup&gt;","plainTextFormattedCitation":"2","previouslyFormattedCitation":"&lt;sup&gt;2&lt;/sup&gt;"},"properties":{"noteIndex":0},"schema":"https://github.com/citation-style-language/schema/raw/master/csl-citation.json"}</w:instrText>
            </w:r>
            <w:r w:rsidRPr="004A6A00">
              <w:fldChar w:fldCharType="separate"/>
            </w:r>
            <w:r w:rsidRPr="00E63CD9">
              <w:rPr>
                <w:noProof/>
                <w:vertAlign w:val="superscript"/>
              </w:rPr>
              <w:t>2</w:t>
            </w:r>
            <w:r w:rsidRPr="004A6A00">
              <w:fldChar w:fldCharType="end"/>
            </w:r>
          </w:p>
        </w:tc>
      </w:tr>
      <w:tr w:rsidR="00BC788D" w:rsidRPr="004A6A00" w14:paraId="2F34FD21" w14:textId="77777777" w:rsidTr="001B0DEC">
        <w:tc>
          <w:tcPr>
            <w:tcW w:w="3685" w:type="dxa"/>
          </w:tcPr>
          <w:p w14:paraId="41074445" w14:textId="77777777" w:rsidR="00BC788D" w:rsidRPr="004A6A00" w:rsidRDefault="00BC788D" w:rsidP="001B0DEC">
            <w:r w:rsidRPr="004A6A00">
              <w:rPr>
                <w:b/>
              </w:rPr>
              <w:t>Simulated Annealing Method</w:t>
            </w:r>
          </w:p>
          <w:p w14:paraId="4ED2DFA9" w14:textId="77777777" w:rsidR="00BC788D" w:rsidRPr="004A6A00" w:rsidRDefault="00BC788D" w:rsidP="001B0DEC"/>
          <w:p w14:paraId="0ADB3302" w14:textId="77777777" w:rsidR="00BC788D" w:rsidRPr="004A6A00" w:rsidRDefault="00BC788D" w:rsidP="001B0DEC">
            <w:r w:rsidRPr="004A6A00">
              <w:rPr>
                <w:rFonts w:ascii="Calibri" w:hAnsi="Calibri" w:cs="Calibri"/>
              </w:rPr>
              <w:t>﻿</w:t>
            </w:r>
            <w:r w:rsidRPr="004A6A00">
              <w:t xml:space="preserve">Simulated annealing is a more complex parameter search method and an efficient alternative for largescale optimization problems, particularly those where a desired global extremum is hidden among many poorer local extrema. </w:t>
            </w:r>
          </w:p>
          <w:p w14:paraId="16409AB0" w14:textId="77777777" w:rsidR="00BC788D" w:rsidRPr="004A6A00" w:rsidRDefault="00BC788D" w:rsidP="001B0DEC"/>
          <w:p w14:paraId="477B05F0" w14:textId="77777777" w:rsidR="00BC788D" w:rsidRPr="004A6A00" w:rsidRDefault="00BC788D" w:rsidP="001B0DEC">
            <w:r>
              <w:t xml:space="preserve">Unlike the </w:t>
            </w:r>
            <w:proofErr w:type="spellStart"/>
            <w:r>
              <w:rPr>
                <w:rFonts w:hint="eastAsia"/>
              </w:rPr>
              <w:t>N</w:t>
            </w:r>
            <w:r>
              <w:t>elder</w:t>
            </w:r>
            <w:proofErr w:type="spellEnd"/>
            <w:r>
              <w:t xml:space="preserve"> Mead method that searches the entire space described by the simplex, s</w:t>
            </w:r>
            <w:r w:rsidRPr="004A6A00">
              <w:t>imulated annealing is based on the thermodynamics of the crystallization of metal, where parameter searching involves the introduction of an artificial parameter that determines the probability of accepting a set of random parameter values.</w:t>
            </w:r>
          </w:p>
          <w:p w14:paraId="559FA446" w14:textId="77777777" w:rsidR="00BC788D" w:rsidRPr="004A6A00" w:rsidRDefault="00BC788D" w:rsidP="001B0DEC"/>
          <w:p w14:paraId="686DF455" w14:textId="77777777" w:rsidR="00BC788D" w:rsidRPr="004A6A00" w:rsidRDefault="00BC788D" w:rsidP="001B0DEC">
            <w:r w:rsidRPr="004A6A00">
              <w:t xml:space="preserve">At initial high value, the probability of accepting a new set of parameter values is higher, which means that the algorithm is allowed to widely explore the parameter space. Like in the downhill simplex, by conceptualizing the model’s GOF as a surface with peaks (poorly fitting parameter sets) and valleys (better fitting parameter sets), it is apparent that bigger ‘jumps’ avoid the algorithm falling into a local minimal GOF. Slowly decreasing the values of the artificial parameter allows the algorithm to find the parameter set with the lowest GOF. </w:t>
            </w:r>
          </w:p>
          <w:p w14:paraId="5D435817" w14:textId="77777777" w:rsidR="00BC788D" w:rsidRPr="004A6A00" w:rsidRDefault="00BC788D" w:rsidP="001B0DEC"/>
          <w:p w14:paraId="7B9743D1" w14:textId="77777777" w:rsidR="00BC788D" w:rsidRPr="004A6A00" w:rsidRDefault="00BC788D" w:rsidP="001B0DEC">
            <w:r w:rsidRPr="004A6A00">
              <w:t xml:space="preserve">Only one parameter set emerges at the end of the process. However, simulated annealing is efficient, and it can also be used in problems of combinatorial optimization. In the case of disease models, this would allow us to consider sets of possible model structures in the calibration process. </w:t>
            </w:r>
          </w:p>
          <w:p w14:paraId="7511A47B" w14:textId="77777777" w:rsidR="00BC788D" w:rsidRPr="004A6A00" w:rsidRDefault="00BC788D" w:rsidP="001B0DEC">
            <w:pPr>
              <w:rPr>
                <w:b/>
              </w:rPr>
            </w:pPr>
          </w:p>
        </w:tc>
        <w:tc>
          <w:tcPr>
            <w:tcW w:w="2790" w:type="dxa"/>
          </w:tcPr>
          <w:p w14:paraId="40DFF0C1" w14:textId="77777777" w:rsidR="00BC788D" w:rsidRDefault="00BC788D" w:rsidP="001B0DEC">
            <w:r w:rsidRPr="004A6A00">
              <w:lastRenderedPageBreak/>
              <w:t>The method is fast and efficient</w:t>
            </w:r>
            <w:r>
              <w:t xml:space="preserve"> and does not make assumptions on the objective functions. </w:t>
            </w:r>
          </w:p>
          <w:p w14:paraId="6A23EF82" w14:textId="77777777" w:rsidR="00BC788D" w:rsidRDefault="00BC788D" w:rsidP="001B0DEC"/>
          <w:p w14:paraId="7FA82E6E" w14:textId="77777777" w:rsidR="00BC788D" w:rsidRPr="004A6A00" w:rsidRDefault="00BC788D" w:rsidP="001B0DEC">
            <w:r>
              <w:t xml:space="preserve">The method would provide a global optimum compared to reduced gradient method that generates local extreme. </w:t>
            </w:r>
          </w:p>
          <w:p w14:paraId="720A3ADA" w14:textId="77777777" w:rsidR="00BC788D" w:rsidRPr="004A6A00" w:rsidRDefault="00BC788D" w:rsidP="001B0DEC"/>
          <w:p w14:paraId="0D80B802" w14:textId="77777777" w:rsidR="00BC788D" w:rsidRPr="004A6A00" w:rsidRDefault="00BC788D" w:rsidP="001B0DEC">
            <w:r w:rsidRPr="004A6A00">
              <w:t xml:space="preserve">Applicable to largescale optimization problems </w:t>
            </w:r>
          </w:p>
        </w:tc>
        <w:tc>
          <w:tcPr>
            <w:tcW w:w="2970" w:type="dxa"/>
          </w:tcPr>
          <w:p w14:paraId="1E1FCD1E" w14:textId="77777777" w:rsidR="00BC788D" w:rsidRDefault="00BC788D" w:rsidP="001B0DEC">
            <w:r w:rsidRPr="004A6A00">
              <w:t xml:space="preserve">Not applicable to small optimization problems. </w:t>
            </w:r>
          </w:p>
          <w:p w14:paraId="450CA7B4" w14:textId="77777777" w:rsidR="00BC788D" w:rsidRDefault="00BC788D" w:rsidP="001B0DEC"/>
          <w:p w14:paraId="118A79E3" w14:textId="77777777" w:rsidR="00BC788D" w:rsidRPr="004A6A00" w:rsidRDefault="00BC788D" w:rsidP="001B0DEC">
            <w:r>
              <w:t xml:space="preserve">The method only generates one best-fit parameter after the process. </w:t>
            </w:r>
          </w:p>
        </w:tc>
        <w:tc>
          <w:tcPr>
            <w:tcW w:w="2340" w:type="dxa"/>
          </w:tcPr>
          <w:p w14:paraId="0872B69C" w14:textId="77777777" w:rsidR="00BC788D" w:rsidRPr="00DC6429" w:rsidRDefault="00BC788D" w:rsidP="001B0DEC">
            <w:r>
              <w:t xml:space="preserve">The method requires a large sample size to estimate the model and process might be complicated. The R package for simulated annealing method applied only for estimating parameter inputs under maximum likelihood methods. </w:t>
            </w:r>
          </w:p>
          <w:p w14:paraId="33D43A8A" w14:textId="77777777" w:rsidR="00BC788D" w:rsidRPr="004A6A00" w:rsidRDefault="00BC788D" w:rsidP="001B0DEC"/>
          <w:p w14:paraId="6FD69EFD" w14:textId="77777777" w:rsidR="00BC788D" w:rsidRPr="004A6A00" w:rsidRDefault="00BC788D" w:rsidP="001B0DEC"/>
        </w:tc>
        <w:tc>
          <w:tcPr>
            <w:tcW w:w="1165" w:type="dxa"/>
          </w:tcPr>
          <w:p w14:paraId="179E4E78" w14:textId="77777777" w:rsidR="00BC788D" w:rsidRPr="004A6A00" w:rsidRDefault="00BC788D" w:rsidP="001B0DEC">
            <w:r w:rsidRPr="004A6A00">
              <w:fldChar w:fldCharType="begin" w:fldLock="1"/>
            </w:r>
            <w:r>
              <w:instrText>ADDIN CSL_CITATION {"citationItems":[{"id":"ITEM-1","itemData":{"DOI":"10.2165/11584600-000000000-00000","ISSN":"11707690","PMID":"21142277","abstract":"In economic evaluation, mathematical models have a central role as a way of integrating all the relevant information about a disease and health interventions, in order to estimate costs and consequences over an extended time horizon. Models are based on scientific knowledge of disease (which is likely to change over time), simplifying assumptions and input parameters with different levels of uncertainty; therefore, it is sensible to explore the consistency of model predictions with observational data. Calibration is a useful tool for estimating uncertain parameters, as well as more accurately defining model uncertainty (particularly with respect to the representation of correlations between parameters). Calibration involves the comparison of model outputs (e.g. disease prevalence rates) with empirical data, leading to the identification of model parameter values that achieve a good fit.This article provides guidance on the theoretical underpinnings of different calibration methods. The calibration process is divided into seven steps and different potential methods at each step are discussed, focusing on the particular features of disease models in economic evaluation. The seven steps are (i) Which parameters should be varied in the calibration process? (ii) Which calibration targets should be used? (iii) What measure of goodness of fit should be used? (iv) What parameter search strategy should be used? (v) What determines acceptable goodness-of-fit parameter sets (convergence criteria)? (vi) What determines the termination of the calibration process (stopping rule)? (vii) How should the model calibration results and economic parameters be integrated?The lack of standards in calibrating disease models in economic evaluation can undermine the credibility of calibration methods. In order to avoid the scepticism regarding calibration, we ought to unify the way we approach the problems and report the methods used, and continue to investigate different methods. © 2011 Adis Data Information BV. All rights reserved.","author":[{"dropping-particle":"","family":"Vanni","given":"Tazio","non-dropping-particle":"","parse-names":false,"suffix":""},{"dropping-particle":"","family":"Karnon","given":"Jonathan","non-dropping-particle":"","parse-names":false,"suffix":""},{"dropping-particle":"","family":"Madan","given":"Jason","non-dropping-particle":"","parse-names":false,"suffix":""},{"dropping-particle":"","family":"White","given":"Richard G.","non-dropping-particle":"","parse-names":false,"suffix":""},{"dropping-particle":"","family":"Edmunds","given":"W. John","non-dropping-particle":"","parse-names":false,"suffix":""},{"dropping-particle":"","family":"Foss","given":"Anna M.","non-dropping-particle":"","parse-names":false,"suffix":""},{"dropping-particle":"","family":"Legood","given":"Rosa","non-dropping-particle":"","parse-names":false,"suffix":""}],"container-title":"PharmacoEconomics","id":"ITEM-1","issued":{"date-parts":[["2011"]]},"title":"Calibrating models in economic evaluation: A seven-step approach","type":"article-journal"},"uris":["http://www.mendeley.com/documents/?uuid=863ffe7f-7989-4b48-8a7b-815b7106d50e"]}],"mendeley":{"formattedCitation":"&lt;sup&gt;2&lt;/sup&gt;","plainTextFormattedCitation":"2","previouslyFormattedCitation":"&lt;sup&gt;2&lt;/sup&gt;"},"properties":{"noteIndex":0},"schema":"https://github.com/citation-style-language/schema/raw/master/csl-citation.json"}</w:instrText>
            </w:r>
            <w:r w:rsidRPr="004A6A00">
              <w:fldChar w:fldCharType="separate"/>
            </w:r>
            <w:r w:rsidRPr="00E63CD9">
              <w:rPr>
                <w:noProof/>
                <w:vertAlign w:val="superscript"/>
              </w:rPr>
              <w:t>2</w:t>
            </w:r>
            <w:r w:rsidRPr="004A6A00">
              <w:fldChar w:fldCharType="end"/>
            </w:r>
          </w:p>
        </w:tc>
      </w:tr>
      <w:tr w:rsidR="00BC788D" w:rsidRPr="004A6A00" w14:paraId="32A27A71" w14:textId="77777777" w:rsidTr="001B0DEC">
        <w:tc>
          <w:tcPr>
            <w:tcW w:w="3685" w:type="dxa"/>
          </w:tcPr>
          <w:p w14:paraId="1EDFA2EC" w14:textId="77777777" w:rsidR="00BC788D" w:rsidRPr="004A6A00" w:rsidRDefault="00BC788D" w:rsidP="001B0DEC">
            <w:pPr>
              <w:rPr>
                <w:b/>
              </w:rPr>
            </w:pPr>
            <w:r w:rsidRPr="004A6A00">
              <w:rPr>
                <w:b/>
              </w:rPr>
              <w:t>Mixed Approaches</w:t>
            </w:r>
          </w:p>
          <w:p w14:paraId="0479F99A" w14:textId="77777777" w:rsidR="00BC788D" w:rsidRPr="004A6A00" w:rsidRDefault="00BC788D" w:rsidP="001B0DEC">
            <w:pPr>
              <w:rPr>
                <w:b/>
              </w:rPr>
            </w:pPr>
          </w:p>
          <w:p w14:paraId="56692F75" w14:textId="77777777" w:rsidR="00BC788D" w:rsidRPr="004A6A00" w:rsidRDefault="00BC788D" w:rsidP="001B0DEC">
            <w:r w:rsidRPr="004A6A00">
              <w:t xml:space="preserve">Mixed approaches have been proposed where methods such as </w:t>
            </w:r>
            <w:r w:rsidRPr="004A6A00">
              <w:lastRenderedPageBreak/>
              <w:t xml:space="preserve">random search or grid search can be used to predict the region of the parameter space in which the global extremum is placed. </w:t>
            </w:r>
          </w:p>
          <w:p w14:paraId="1C4E8348" w14:textId="77777777" w:rsidR="00BC788D" w:rsidRPr="004A6A00" w:rsidRDefault="00BC788D" w:rsidP="001B0DEC"/>
          <w:p w14:paraId="0B0F2A97" w14:textId="77777777" w:rsidR="00BC788D" w:rsidRPr="004A6A00" w:rsidRDefault="00BC788D" w:rsidP="001B0DEC">
            <w:r w:rsidRPr="004A6A00">
              <w:t>Once this region is located, more efficient guided techniques can be used to find the precise location of the global extremum. In general, it is encouraged if time allow for analysts to consider the application of more than one method or combinations of methods in a comparative way.</w:t>
            </w:r>
          </w:p>
        </w:tc>
        <w:tc>
          <w:tcPr>
            <w:tcW w:w="2790" w:type="dxa"/>
          </w:tcPr>
          <w:p w14:paraId="5FE196A1" w14:textId="77777777" w:rsidR="00BC788D" w:rsidRPr="004A6A00" w:rsidRDefault="00BC788D" w:rsidP="001B0DEC">
            <w:r w:rsidRPr="004A6A00">
              <w:lastRenderedPageBreak/>
              <w:t>Mixed approaches are helpful to generate the best parameter estimates using multiple techniques.</w:t>
            </w:r>
          </w:p>
        </w:tc>
        <w:tc>
          <w:tcPr>
            <w:tcW w:w="2970" w:type="dxa"/>
          </w:tcPr>
          <w:p w14:paraId="6C5C8C08" w14:textId="77777777" w:rsidR="00BC788D" w:rsidRPr="004A6A00" w:rsidRDefault="00BC788D" w:rsidP="001B0DEC">
            <w:r w:rsidRPr="004A6A00">
              <w:t xml:space="preserve">The approach may not be applicable in case of data limitations </w:t>
            </w:r>
          </w:p>
        </w:tc>
        <w:tc>
          <w:tcPr>
            <w:tcW w:w="2340" w:type="dxa"/>
          </w:tcPr>
          <w:p w14:paraId="3574FE2D" w14:textId="77777777" w:rsidR="00BC788D" w:rsidRPr="004A6A00" w:rsidRDefault="00BC788D" w:rsidP="001B0DEC">
            <w:r w:rsidRPr="004A6A00">
              <w:t xml:space="preserve">The mixed method approach could potentially be used in </w:t>
            </w:r>
            <w:r w:rsidRPr="004A6A00">
              <w:lastRenderedPageBreak/>
              <w:t>the model calibration for our study</w:t>
            </w:r>
            <w:r>
              <w:t>.</w:t>
            </w:r>
          </w:p>
        </w:tc>
        <w:tc>
          <w:tcPr>
            <w:tcW w:w="1165" w:type="dxa"/>
          </w:tcPr>
          <w:p w14:paraId="6447D425" w14:textId="77777777" w:rsidR="00BC788D" w:rsidRPr="004A6A00" w:rsidRDefault="00BC788D" w:rsidP="001B0DEC">
            <w:r w:rsidRPr="004A6A00">
              <w:lastRenderedPageBreak/>
              <w:fldChar w:fldCharType="begin" w:fldLock="1"/>
            </w:r>
            <w:r>
              <w:instrText>ADDIN CSL_CITATION {"citationItems":[{"id":"ITEM-1","itemData":{"DOI":"10.2165/11584600-000000000-00000","ISSN":"11707690","PMID":"21142277","abstract":"In economic evaluation, mathematical models have a central role as a way of integrating all the relevant information about a disease and health interventions, in order to estimate costs and consequences over an extended time horizon. Models are based on scientific knowledge of disease (which is likely to change over time), simplifying assumptions and input parameters with different levels of uncertainty; therefore, it is sensible to explore the consistency of model predictions with observational data. Calibration is a useful tool for estimating uncertain parameters, as well as more accurately defining model uncertainty (particularly with respect to the representation of correlations between parameters). Calibration involves the comparison of model outputs (e.g. disease prevalence rates) with empirical data, leading to the identification of model parameter values that achieve a good fit.This article provides guidance on the theoretical underpinnings of different calibration methods. The calibration process is divided into seven steps and different potential methods at each step are discussed, focusing on the particular features of disease models in economic evaluation. The seven steps are (i) Which parameters should be varied in the calibration process? (ii) Which calibration targets should be used? (iii) What measure of goodness of fit should be used? (iv) What parameter search strategy should be used? (v) What determines acceptable goodness-of-fit parameter sets (convergence criteria)? (vi) What determines the termination of the calibration process (stopping rule)? (vii) How should the model calibration results and economic parameters be integrated?The lack of standards in calibrating disease models in economic evaluation can undermine the credibility of calibration methods. In order to avoid the scepticism regarding calibration, we ought to unify the way we approach the problems and report the methods used, and continue to investigate different methods. © 2011 Adis Data Information BV. All rights reserved.","author":[{"dropping-particle":"","family":"Vanni","given":"Tazio","non-dropping-particle":"","parse-names":false,"suffix":""},{"dropping-particle":"","family":"Karnon","given":"Jonathan","non-dropping-particle":"","parse-names":false,"suffix":""},{"dropping-particle":"","family":"Madan","given":"Jason","non-dropping-particle":"","parse-names":false,"suffix":""},{"dropping-particle":"","family":"White","given":"Richard G.","non-dropping-particle":"","parse-names":false,"suffix":""},{"dropping-particle":"","family":"Edmunds","given":"W. John","non-dropping-particle":"","parse-names":false,"suffix":""},{"dropping-particle":"","family":"Foss","given":"Anna M.","non-dropping-particle":"","parse-names":false,"suffix":""},{"dropping-particle":"","family":"Legood","given":"Rosa","non-dropping-particle":"","parse-names":false,"suffix":""}],"container-title":"PharmacoEconomics","id":"ITEM-1","issued":{"date-parts":[["2011"]]},"title":"Calibrating models in economic evaluation: A seven-step approach","type":"article-journal"},"uris":["http://www.mendeley.com/documents/?uuid=863ffe7f-7989-4b48-8a7b-815b7106d50e"]}],"mendeley":{"formattedCitation":"&lt;sup&gt;2&lt;/sup&gt;","plainTextFormattedCitation":"2","previouslyFormattedCitation":"&lt;sup&gt;2&lt;/sup&gt;"},"properties":{"noteIndex":0},"schema":"https://github.com/citation-style-language/schema/raw/master/csl-citation.json"}</w:instrText>
            </w:r>
            <w:r w:rsidRPr="004A6A00">
              <w:fldChar w:fldCharType="separate"/>
            </w:r>
            <w:r w:rsidRPr="00E63CD9">
              <w:rPr>
                <w:noProof/>
                <w:vertAlign w:val="superscript"/>
              </w:rPr>
              <w:t>2</w:t>
            </w:r>
            <w:r w:rsidRPr="004A6A00">
              <w:fldChar w:fldCharType="end"/>
            </w:r>
          </w:p>
        </w:tc>
      </w:tr>
    </w:tbl>
    <w:p w14:paraId="1E400337" w14:textId="77777777" w:rsidR="00BC788D" w:rsidRDefault="00BC788D" w:rsidP="00BC788D">
      <w:pPr>
        <w:pStyle w:val="ListParagraph"/>
        <w:ind w:left="1080"/>
      </w:pPr>
    </w:p>
    <w:p w14:paraId="18C8175F" w14:textId="77777777" w:rsidR="00BC788D" w:rsidRDefault="00BC788D" w:rsidP="00BC788D">
      <w:pPr>
        <w:pStyle w:val="ListParagraph"/>
        <w:ind w:left="1080"/>
      </w:pPr>
    </w:p>
    <w:p w14:paraId="4F354870" w14:textId="77777777" w:rsidR="00BC788D" w:rsidRDefault="00BC788D" w:rsidP="00BC788D"/>
    <w:p w14:paraId="4A28E1FB" w14:textId="77777777" w:rsidR="00BC788D" w:rsidRDefault="00BC788D" w:rsidP="00BC788D"/>
    <w:p w14:paraId="1D72263D" w14:textId="77777777" w:rsidR="00BC788D" w:rsidRDefault="00BC788D" w:rsidP="00BC788D"/>
    <w:p w14:paraId="45B6B7D5" w14:textId="77777777" w:rsidR="00BC788D" w:rsidRPr="00BC788D" w:rsidRDefault="00BC788D" w:rsidP="00BA24C2">
      <w:pPr>
        <w:pStyle w:val="BodyText"/>
      </w:pPr>
    </w:p>
    <w:p w14:paraId="142FA03C" w14:textId="2FA8495C" w:rsidR="00135C42" w:rsidRPr="00EC234A" w:rsidRDefault="004E4B9E" w:rsidP="00BA24C2">
      <w:pPr>
        <w:pStyle w:val="Heading2"/>
      </w:pPr>
      <w:bookmarkStart w:id="415" w:name="_Ref82441413"/>
      <w:bookmarkStart w:id="416" w:name="_Ref82442929"/>
      <w:bookmarkStart w:id="417" w:name="_Ref82443812"/>
      <w:bookmarkStart w:id="418" w:name="_Toc82592769"/>
      <w:r>
        <w:t>Probabilis</w:t>
      </w:r>
      <w:r w:rsidR="00E861FA">
        <w:t>tic</w:t>
      </w:r>
      <w:r>
        <w:t xml:space="preserve"> d</w:t>
      </w:r>
      <w:r w:rsidRPr="00EC234A">
        <w:t xml:space="preserve">istribution </w:t>
      </w:r>
      <w:r>
        <w:t xml:space="preserve">assigned to </w:t>
      </w:r>
      <w:r w:rsidR="00135C42" w:rsidRPr="00EC234A">
        <w:t>model parameters</w:t>
      </w:r>
      <w:bookmarkEnd w:id="415"/>
      <w:bookmarkEnd w:id="416"/>
      <w:bookmarkEnd w:id="417"/>
      <w:bookmarkEnd w:id="418"/>
    </w:p>
    <w:tbl>
      <w:tblPr>
        <w:tblW w:w="5000" w:type="pct"/>
        <w:tblLayout w:type="fixed"/>
        <w:tblLook w:val="04A0" w:firstRow="1" w:lastRow="0" w:firstColumn="1" w:lastColumn="0" w:noHBand="0" w:noVBand="1"/>
      </w:tblPr>
      <w:tblGrid>
        <w:gridCol w:w="1345"/>
        <w:gridCol w:w="1800"/>
        <w:gridCol w:w="1621"/>
        <w:gridCol w:w="3509"/>
        <w:gridCol w:w="2274"/>
        <w:gridCol w:w="479"/>
        <w:gridCol w:w="36"/>
        <w:gridCol w:w="1886"/>
      </w:tblGrid>
      <w:tr w:rsidR="00135C42" w:rsidRPr="004350A9" w14:paraId="6C59A1F3" w14:textId="77777777" w:rsidTr="00FA7C7E">
        <w:trPr>
          <w:trHeight w:val="90"/>
        </w:trPr>
        <w:tc>
          <w:tcPr>
            <w:tcW w:w="519" w:type="pct"/>
            <w:tcBorders>
              <w:top w:val="single" w:sz="4" w:space="0" w:color="auto"/>
              <w:left w:val="single" w:sz="4" w:space="0" w:color="auto"/>
              <w:bottom w:val="single" w:sz="4" w:space="0" w:color="auto"/>
              <w:right w:val="single" w:sz="4" w:space="0" w:color="auto"/>
            </w:tcBorders>
            <w:hideMark/>
          </w:tcPr>
          <w:p w14:paraId="0222D22D" w14:textId="77777777" w:rsidR="00135C42" w:rsidRPr="004350A9" w:rsidRDefault="00135C42" w:rsidP="00527179">
            <w:pPr>
              <w:jc w:val="both"/>
              <w:rPr>
                <w:b/>
                <w:color w:val="000000" w:themeColor="text1"/>
                <w:sz w:val="22"/>
                <w:szCs w:val="22"/>
              </w:rPr>
            </w:pPr>
            <w:r w:rsidRPr="004350A9">
              <w:rPr>
                <w:b/>
                <w:color w:val="000000" w:themeColor="text1"/>
                <w:sz w:val="22"/>
                <w:szCs w:val="22"/>
              </w:rPr>
              <w:t>Parameter</w:t>
            </w:r>
          </w:p>
        </w:tc>
        <w:tc>
          <w:tcPr>
            <w:tcW w:w="695" w:type="pct"/>
            <w:tcBorders>
              <w:top w:val="single" w:sz="4" w:space="0" w:color="auto"/>
              <w:left w:val="single" w:sz="4" w:space="0" w:color="auto"/>
              <w:bottom w:val="single" w:sz="4" w:space="0" w:color="auto"/>
              <w:right w:val="single" w:sz="4" w:space="0" w:color="auto"/>
            </w:tcBorders>
          </w:tcPr>
          <w:p w14:paraId="0CE5BA8E" w14:textId="77777777" w:rsidR="00135C42" w:rsidRPr="004350A9" w:rsidRDefault="00135C42" w:rsidP="00527179">
            <w:pPr>
              <w:pStyle w:val="BodyText"/>
              <w:spacing w:before="0" w:after="0"/>
              <w:jc w:val="both"/>
              <w:rPr>
                <w:rFonts w:eastAsiaTheme="minorEastAsia"/>
                <w:b/>
                <w:color w:val="000000" w:themeColor="text1"/>
                <w:sz w:val="22"/>
                <w:szCs w:val="22"/>
              </w:rPr>
            </w:pPr>
            <w:r w:rsidRPr="004350A9">
              <w:rPr>
                <w:rFonts w:eastAsiaTheme="minorEastAsia"/>
                <w:b/>
                <w:color w:val="000000" w:themeColor="text1"/>
                <w:sz w:val="22"/>
                <w:szCs w:val="22"/>
              </w:rPr>
              <w:t>Description</w:t>
            </w:r>
          </w:p>
        </w:tc>
        <w:tc>
          <w:tcPr>
            <w:tcW w:w="626" w:type="pct"/>
            <w:tcBorders>
              <w:top w:val="single" w:sz="4" w:space="0" w:color="auto"/>
              <w:left w:val="single" w:sz="4" w:space="0" w:color="auto"/>
              <w:bottom w:val="single" w:sz="4" w:space="0" w:color="auto"/>
              <w:right w:val="single" w:sz="4" w:space="0" w:color="auto"/>
            </w:tcBorders>
          </w:tcPr>
          <w:p w14:paraId="64328186" w14:textId="77777777" w:rsidR="00135C42" w:rsidRPr="004350A9" w:rsidRDefault="00135C42" w:rsidP="00527179">
            <w:pPr>
              <w:pStyle w:val="BodyText"/>
              <w:spacing w:before="0" w:after="0"/>
              <w:jc w:val="both"/>
              <w:rPr>
                <w:rFonts w:eastAsiaTheme="minorEastAsia"/>
                <w:b/>
                <w:color w:val="000000" w:themeColor="text1"/>
                <w:sz w:val="22"/>
                <w:szCs w:val="22"/>
              </w:rPr>
            </w:pPr>
            <w:r w:rsidRPr="004350A9">
              <w:rPr>
                <w:rFonts w:eastAsiaTheme="minorEastAsia"/>
                <w:b/>
                <w:color w:val="000000" w:themeColor="text1"/>
                <w:sz w:val="22"/>
                <w:szCs w:val="22"/>
              </w:rPr>
              <w:t>Distribution</w:t>
            </w:r>
          </w:p>
        </w:tc>
        <w:tc>
          <w:tcPr>
            <w:tcW w:w="1355" w:type="pct"/>
            <w:tcBorders>
              <w:top w:val="single" w:sz="4" w:space="0" w:color="auto"/>
              <w:left w:val="single" w:sz="4" w:space="0" w:color="auto"/>
              <w:bottom w:val="single" w:sz="4" w:space="0" w:color="auto"/>
              <w:right w:val="single" w:sz="4" w:space="0" w:color="auto"/>
            </w:tcBorders>
          </w:tcPr>
          <w:p w14:paraId="009FDB66" w14:textId="77777777" w:rsidR="00135C42" w:rsidRPr="004350A9" w:rsidRDefault="00135C42" w:rsidP="00E71320">
            <w:pPr>
              <w:pStyle w:val="BodyText"/>
              <w:spacing w:before="0" w:after="0"/>
              <w:jc w:val="both"/>
              <w:rPr>
                <w:rFonts w:eastAsiaTheme="minorEastAsia"/>
                <w:b/>
                <w:color w:val="000000" w:themeColor="text1"/>
                <w:sz w:val="22"/>
                <w:szCs w:val="22"/>
              </w:rPr>
            </w:pPr>
            <w:r w:rsidRPr="004350A9">
              <w:rPr>
                <w:rFonts w:eastAsiaTheme="minorEastAsia"/>
                <w:b/>
                <w:color w:val="000000" w:themeColor="text1"/>
                <w:sz w:val="22"/>
                <w:szCs w:val="22"/>
              </w:rPr>
              <w:t>Justification</w:t>
            </w:r>
          </w:p>
        </w:tc>
        <w:tc>
          <w:tcPr>
            <w:tcW w:w="1077" w:type="pct"/>
            <w:gridSpan w:val="3"/>
            <w:tcBorders>
              <w:top w:val="single" w:sz="4" w:space="0" w:color="auto"/>
              <w:left w:val="single" w:sz="4" w:space="0" w:color="auto"/>
              <w:bottom w:val="single" w:sz="4" w:space="0" w:color="auto"/>
              <w:right w:val="single" w:sz="4" w:space="0" w:color="auto"/>
            </w:tcBorders>
          </w:tcPr>
          <w:p w14:paraId="0FB08790" w14:textId="77777777" w:rsidR="00135C42" w:rsidRPr="004350A9" w:rsidRDefault="00135C42" w:rsidP="00E71320">
            <w:pPr>
              <w:pStyle w:val="BodyText"/>
              <w:spacing w:before="0" w:after="0"/>
              <w:jc w:val="both"/>
              <w:rPr>
                <w:rFonts w:eastAsiaTheme="minorEastAsia"/>
                <w:b/>
                <w:color w:val="000000" w:themeColor="text1"/>
                <w:sz w:val="22"/>
                <w:szCs w:val="22"/>
              </w:rPr>
            </w:pPr>
            <w:r w:rsidRPr="004350A9">
              <w:rPr>
                <w:rFonts w:eastAsiaTheme="minorEastAsia"/>
                <w:b/>
                <w:color w:val="000000" w:themeColor="text1"/>
                <w:sz w:val="22"/>
                <w:szCs w:val="22"/>
              </w:rPr>
              <w:t>Parameterization</w:t>
            </w:r>
          </w:p>
        </w:tc>
        <w:tc>
          <w:tcPr>
            <w:tcW w:w="728" w:type="pct"/>
            <w:tcBorders>
              <w:top w:val="single" w:sz="4" w:space="0" w:color="auto"/>
              <w:left w:val="single" w:sz="4" w:space="0" w:color="auto"/>
              <w:bottom w:val="single" w:sz="4" w:space="0" w:color="auto"/>
              <w:right w:val="single" w:sz="4" w:space="0" w:color="auto"/>
            </w:tcBorders>
          </w:tcPr>
          <w:p w14:paraId="024D58F0" w14:textId="77777777" w:rsidR="00135C42" w:rsidRPr="004350A9" w:rsidRDefault="00135C42" w:rsidP="00E71320">
            <w:pPr>
              <w:pStyle w:val="BodyText"/>
              <w:spacing w:before="0" w:after="0"/>
              <w:jc w:val="both"/>
              <w:rPr>
                <w:rFonts w:eastAsiaTheme="minorEastAsia"/>
                <w:b/>
                <w:color w:val="000000" w:themeColor="text1"/>
                <w:sz w:val="22"/>
                <w:szCs w:val="22"/>
              </w:rPr>
            </w:pPr>
            <w:r w:rsidRPr="004350A9">
              <w:rPr>
                <w:rFonts w:eastAsiaTheme="minorEastAsia"/>
                <w:b/>
                <w:color w:val="000000" w:themeColor="text1"/>
                <w:sz w:val="22"/>
                <w:szCs w:val="22"/>
              </w:rPr>
              <w:t>Data availability</w:t>
            </w:r>
          </w:p>
        </w:tc>
      </w:tr>
      <w:tr w:rsidR="00135C42" w:rsidRPr="004350A9" w14:paraId="633D6E4F" w14:textId="77777777" w:rsidTr="00FA7C7E">
        <w:trPr>
          <w:trHeight w:val="221"/>
        </w:trPr>
        <w:tc>
          <w:tcPr>
            <w:tcW w:w="519" w:type="pct"/>
            <w:tcBorders>
              <w:top w:val="single" w:sz="4" w:space="0" w:color="auto"/>
              <w:left w:val="single" w:sz="4" w:space="0" w:color="auto"/>
              <w:bottom w:val="single" w:sz="4" w:space="0" w:color="auto"/>
              <w:right w:val="single" w:sz="4" w:space="0" w:color="auto"/>
            </w:tcBorders>
          </w:tcPr>
          <w:p w14:paraId="45A6D6A9" w14:textId="77777777" w:rsidR="00135C42" w:rsidRPr="004350A9" w:rsidRDefault="00000000" w:rsidP="00A4646C">
            <w:pPr>
              <w:jc w:val="both"/>
              <w:rPr>
                <w:rFonts w:eastAsia="DengXian"/>
                <w:color w:val="000000" w:themeColor="text1"/>
                <w:sz w:val="22"/>
                <w:szCs w:val="22"/>
                <w:highlight w:val="yellow"/>
              </w:rPr>
            </w:pPr>
            <m:oMathPara>
              <m:oMathParaPr>
                <m:jc m:val="left"/>
              </m:oMathParaPr>
              <m:oMath>
                <m:sSub>
                  <m:sSubPr>
                    <m:ctrlPr>
                      <w:rPr>
                        <w:rFonts w:ascii="Cambria Math" w:eastAsia="Calibri" w:hAnsi="Cambria Math"/>
                        <w:i/>
                        <w:color w:val="000000" w:themeColor="text1"/>
                        <w:sz w:val="22"/>
                        <w:szCs w:val="22"/>
                      </w:rPr>
                    </m:ctrlPr>
                  </m:sSubPr>
                  <m:e>
                    <m:r>
                      <w:rPr>
                        <w:rFonts w:ascii="Cambria Math" w:eastAsia="Calibri" w:hAnsi="Cambria Math"/>
                        <w:color w:val="000000" w:themeColor="text1"/>
                        <w:sz w:val="22"/>
                        <w:szCs w:val="22"/>
                      </w:rPr>
                      <m:t>ρ</m:t>
                    </m:r>
                  </m:e>
                  <m:sub>
                    <m:r>
                      <w:rPr>
                        <w:rFonts w:ascii="Cambria Math" w:eastAsia="Calibri" w:hAnsi="Cambria Math"/>
                        <w:color w:val="000000" w:themeColor="text1"/>
                        <w:sz w:val="22"/>
                        <w:szCs w:val="22"/>
                      </w:rPr>
                      <m:t>r</m:t>
                    </m:r>
                  </m:sub>
                </m:sSub>
              </m:oMath>
            </m:oMathPara>
          </w:p>
        </w:tc>
        <w:tc>
          <w:tcPr>
            <w:tcW w:w="695" w:type="pct"/>
            <w:tcBorders>
              <w:top w:val="single" w:sz="4" w:space="0" w:color="auto"/>
              <w:left w:val="single" w:sz="4" w:space="0" w:color="auto"/>
              <w:bottom w:val="single" w:sz="4" w:space="0" w:color="auto"/>
              <w:right w:val="single" w:sz="4" w:space="0" w:color="auto"/>
            </w:tcBorders>
          </w:tcPr>
          <w:p w14:paraId="2C85EF6E" w14:textId="77777777" w:rsidR="00135C42" w:rsidRPr="004350A9" w:rsidRDefault="00135C42" w:rsidP="001D10D4">
            <w:pPr>
              <w:jc w:val="both"/>
              <w:rPr>
                <w:color w:val="000000" w:themeColor="text1"/>
                <w:sz w:val="22"/>
                <w:szCs w:val="22"/>
                <w:highlight w:val="yellow"/>
              </w:rPr>
            </w:pPr>
            <w:r w:rsidRPr="003F2CC5">
              <w:rPr>
                <w:color w:val="000000" w:themeColor="text1"/>
                <w:sz w:val="22"/>
                <w:szCs w:val="22"/>
              </w:rPr>
              <w:t>Population growth rate for group r</w:t>
            </w:r>
          </w:p>
        </w:tc>
        <w:tc>
          <w:tcPr>
            <w:tcW w:w="626" w:type="pct"/>
            <w:tcBorders>
              <w:top w:val="single" w:sz="4" w:space="0" w:color="auto"/>
              <w:left w:val="single" w:sz="4" w:space="0" w:color="auto"/>
              <w:bottom w:val="single" w:sz="4" w:space="0" w:color="auto"/>
              <w:right w:val="single" w:sz="4" w:space="0" w:color="auto"/>
            </w:tcBorders>
          </w:tcPr>
          <w:p w14:paraId="293F273A" w14:textId="77777777" w:rsidR="00135C42" w:rsidRPr="004350A9" w:rsidRDefault="00135C42" w:rsidP="00527179">
            <w:pPr>
              <w:jc w:val="both"/>
              <w:rPr>
                <w:color w:val="000000" w:themeColor="text1"/>
                <w:sz w:val="22"/>
                <w:szCs w:val="22"/>
              </w:rPr>
            </w:pPr>
            <w:r w:rsidRPr="004350A9">
              <w:rPr>
                <w:color w:val="000000" w:themeColor="text1"/>
                <w:sz w:val="22"/>
                <w:szCs w:val="22"/>
              </w:rPr>
              <w:t>Normal</w:t>
            </w:r>
          </w:p>
        </w:tc>
        <w:tc>
          <w:tcPr>
            <w:tcW w:w="1355" w:type="pct"/>
            <w:tcBorders>
              <w:top w:val="single" w:sz="4" w:space="0" w:color="auto"/>
              <w:left w:val="single" w:sz="4" w:space="0" w:color="auto"/>
              <w:bottom w:val="single" w:sz="4" w:space="0" w:color="auto"/>
              <w:right w:val="single" w:sz="4" w:space="0" w:color="auto"/>
            </w:tcBorders>
          </w:tcPr>
          <w:p w14:paraId="76D0B4DB" w14:textId="77777777" w:rsidR="00135C42" w:rsidRPr="004350A9" w:rsidRDefault="00135C42" w:rsidP="00527179">
            <w:pPr>
              <w:jc w:val="both"/>
              <w:rPr>
                <w:color w:val="000000" w:themeColor="text1"/>
                <w:sz w:val="22"/>
                <w:szCs w:val="22"/>
              </w:rPr>
            </w:pPr>
            <w:r w:rsidRPr="004350A9">
              <w:rPr>
                <w:color w:val="000000" w:themeColor="text1"/>
                <w:sz w:val="22"/>
                <w:szCs w:val="22"/>
              </w:rPr>
              <w:t>The distribution of population growth is unknown. Population growth rate is not bounded and we assume the same rate overtime suggesting that it is independent to time. Thus, normal distribution of population growth rate might be suitable</w:t>
            </w:r>
          </w:p>
        </w:tc>
        <w:tc>
          <w:tcPr>
            <w:tcW w:w="1077" w:type="pct"/>
            <w:gridSpan w:val="3"/>
            <w:tcBorders>
              <w:top w:val="single" w:sz="4" w:space="0" w:color="auto"/>
              <w:left w:val="single" w:sz="4" w:space="0" w:color="auto"/>
              <w:bottom w:val="single" w:sz="4" w:space="0" w:color="auto"/>
              <w:right w:val="single" w:sz="4" w:space="0" w:color="auto"/>
            </w:tcBorders>
          </w:tcPr>
          <w:p w14:paraId="3FB73F21" w14:textId="77777777" w:rsidR="00135C42" w:rsidRPr="004350A9" w:rsidRDefault="00135C42" w:rsidP="00527179">
            <w:pPr>
              <w:jc w:val="both"/>
              <w:rPr>
                <w:color w:val="000000" w:themeColor="text1"/>
                <w:sz w:val="22"/>
                <w:szCs w:val="22"/>
              </w:rPr>
            </w:pPr>
            <w:r w:rsidRPr="004350A9">
              <w:rPr>
                <w:color w:val="000000" w:themeColor="text1"/>
                <w:sz w:val="22"/>
                <w:szCs w:val="22"/>
              </w:rPr>
              <w:t xml:space="preserve">The model will adopt the mean and variance estimated from the data. </w:t>
            </w:r>
          </w:p>
        </w:tc>
        <w:tc>
          <w:tcPr>
            <w:tcW w:w="728" w:type="pct"/>
            <w:tcBorders>
              <w:top w:val="single" w:sz="4" w:space="0" w:color="auto"/>
              <w:left w:val="single" w:sz="4" w:space="0" w:color="auto"/>
              <w:bottom w:val="single" w:sz="4" w:space="0" w:color="auto"/>
              <w:right w:val="single" w:sz="4" w:space="0" w:color="auto"/>
            </w:tcBorders>
          </w:tcPr>
          <w:p w14:paraId="73FD9B58" w14:textId="77777777" w:rsidR="00135C42" w:rsidRPr="004350A9" w:rsidRDefault="00135C42" w:rsidP="00E71320">
            <w:pPr>
              <w:jc w:val="both"/>
              <w:rPr>
                <w:color w:val="000000" w:themeColor="text1"/>
                <w:sz w:val="22"/>
                <w:szCs w:val="22"/>
              </w:rPr>
            </w:pPr>
            <w:r w:rsidRPr="004350A9">
              <w:rPr>
                <w:color w:val="000000" w:themeColor="text1"/>
                <w:sz w:val="22"/>
                <w:szCs w:val="22"/>
              </w:rPr>
              <w:t>Both mean and variances can be estimated from data.</w:t>
            </w:r>
          </w:p>
        </w:tc>
      </w:tr>
      <w:tr w:rsidR="00135C42" w:rsidRPr="004350A9" w14:paraId="3D38E678" w14:textId="77777777" w:rsidTr="00FA7C7E">
        <w:trPr>
          <w:trHeight w:val="221"/>
        </w:trPr>
        <w:tc>
          <w:tcPr>
            <w:tcW w:w="519" w:type="pct"/>
            <w:tcBorders>
              <w:top w:val="single" w:sz="4" w:space="0" w:color="auto"/>
              <w:left w:val="single" w:sz="4" w:space="0" w:color="auto"/>
              <w:bottom w:val="single" w:sz="4" w:space="0" w:color="auto"/>
              <w:right w:val="single" w:sz="4" w:space="0" w:color="auto"/>
            </w:tcBorders>
            <w:hideMark/>
          </w:tcPr>
          <w:p w14:paraId="46BDC9E8" w14:textId="77777777" w:rsidR="00135C42" w:rsidRPr="004350A9" w:rsidRDefault="00000000" w:rsidP="00A4646C">
            <w:pPr>
              <w:jc w:val="both"/>
              <w:rPr>
                <w:rFonts w:eastAsia="Calibri"/>
                <w:color w:val="000000" w:themeColor="text1"/>
                <w:sz w:val="22"/>
                <w:szCs w:val="22"/>
              </w:rPr>
            </w:pPr>
            <m:oMathPara>
              <m:oMathParaPr>
                <m:jc m:val="left"/>
              </m:oMathParaPr>
              <m:oMath>
                <m:sSub>
                  <m:sSubPr>
                    <m:ctrlPr>
                      <w:rPr>
                        <w:rFonts w:ascii="Cambria Math" w:eastAsia="Calibri" w:hAnsi="Cambria Math"/>
                        <w:i/>
                        <w:color w:val="000000" w:themeColor="text1"/>
                        <w:sz w:val="22"/>
                        <w:szCs w:val="22"/>
                      </w:rPr>
                    </m:ctrlPr>
                  </m:sSubPr>
                  <m:e>
                    <m:r>
                      <w:rPr>
                        <w:rFonts w:ascii="Cambria Math" w:eastAsia="Calibri" w:hAnsi="Cambria Math"/>
                        <w:color w:val="000000" w:themeColor="text1"/>
                        <w:sz w:val="22"/>
                        <w:szCs w:val="22"/>
                      </w:rPr>
                      <m:t>α</m:t>
                    </m:r>
                  </m:e>
                  <m:sub>
                    <m:r>
                      <w:rPr>
                        <w:rFonts w:ascii="Cambria Math" w:eastAsia="Calibri" w:hAnsi="Cambria Math"/>
                        <w:color w:val="000000" w:themeColor="text1"/>
                        <w:sz w:val="22"/>
                        <w:szCs w:val="22"/>
                      </w:rPr>
                      <m:t>i,r</m:t>
                    </m:r>
                  </m:sub>
                </m:sSub>
              </m:oMath>
            </m:oMathPara>
          </w:p>
        </w:tc>
        <w:tc>
          <w:tcPr>
            <w:tcW w:w="695" w:type="pct"/>
            <w:tcBorders>
              <w:top w:val="single" w:sz="4" w:space="0" w:color="auto"/>
              <w:left w:val="single" w:sz="4" w:space="0" w:color="auto"/>
              <w:bottom w:val="single" w:sz="4" w:space="0" w:color="auto"/>
              <w:right w:val="single" w:sz="4" w:space="0" w:color="auto"/>
            </w:tcBorders>
            <w:hideMark/>
          </w:tcPr>
          <w:p w14:paraId="79F790C2" w14:textId="77777777" w:rsidR="00135C42" w:rsidRPr="004350A9" w:rsidRDefault="00135C42" w:rsidP="001D10D4">
            <w:pPr>
              <w:jc w:val="both"/>
              <w:rPr>
                <w:color w:val="000000" w:themeColor="text1"/>
                <w:sz w:val="22"/>
                <w:szCs w:val="22"/>
              </w:rPr>
            </w:pPr>
            <w:r w:rsidRPr="004350A9">
              <w:rPr>
                <w:rFonts w:eastAsiaTheme="minorEastAsia"/>
                <w:color w:val="000000" w:themeColor="text1"/>
                <w:sz w:val="22"/>
                <w:szCs w:val="22"/>
              </w:rPr>
              <w:t xml:space="preserve">Probability of diagnosed with HIV in </w:t>
            </w:r>
            <w:r w:rsidRPr="004350A9">
              <w:rPr>
                <w:rFonts w:eastAsiaTheme="minorEastAsia"/>
                <w:color w:val="000000" w:themeColor="text1"/>
                <w:sz w:val="22"/>
                <w:szCs w:val="22"/>
              </w:rPr>
              <w:lastRenderedPageBreak/>
              <w:t xml:space="preserve">compartment </w:t>
            </w:r>
            <w:proofErr w:type="spellStart"/>
            <w:r w:rsidRPr="004350A9">
              <w:rPr>
                <w:rFonts w:eastAsiaTheme="minorEastAsia"/>
                <w:color w:val="000000" w:themeColor="text1"/>
                <w:sz w:val="22"/>
                <w:szCs w:val="22"/>
              </w:rPr>
              <w:t>i</w:t>
            </w:r>
            <w:proofErr w:type="spellEnd"/>
            <w:r w:rsidRPr="004350A9">
              <w:rPr>
                <w:rFonts w:eastAsiaTheme="minorEastAsia"/>
                <w:color w:val="000000" w:themeColor="text1"/>
                <w:sz w:val="22"/>
                <w:szCs w:val="22"/>
              </w:rPr>
              <w:t xml:space="preserve"> </w:t>
            </w:r>
            <w:r w:rsidRPr="004350A9">
              <w:rPr>
                <w:color w:val="000000" w:themeColor="text1"/>
                <w:sz w:val="22"/>
                <w:szCs w:val="22"/>
              </w:rPr>
              <w:t>for group r</w:t>
            </w:r>
          </w:p>
        </w:tc>
        <w:tc>
          <w:tcPr>
            <w:tcW w:w="626" w:type="pct"/>
            <w:vMerge w:val="restart"/>
            <w:tcBorders>
              <w:top w:val="single" w:sz="4" w:space="0" w:color="auto"/>
              <w:left w:val="single" w:sz="4" w:space="0" w:color="auto"/>
              <w:right w:val="single" w:sz="4" w:space="0" w:color="auto"/>
            </w:tcBorders>
          </w:tcPr>
          <w:p w14:paraId="29796D9F" w14:textId="77777777" w:rsidR="00135C42" w:rsidRPr="004350A9" w:rsidRDefault="00135C42" w:rsidP="00527179">
            <w:pPr>
              <w:jc w:val="both"/>
              <w:rPr>
                <w:color w:val="000000" w:themeColor="text1"/>
                <w:sz w:val="22"/>
                <w:szCs w:val="22"/>
              </w:rPr>
            </w:pPr>
            <w:r w:rsidRPr="004350A9">
              <w:rPr>
                <w:color w:val="000000" w:themeColor="text1"/>
                <w:sz w:val="22"/>
                <w:szCs w:val="22"/>
              </w:rPr>
              <w:lastRenderedPageBreak/>
              <w:t>Beta</w:t>
            </w:r>
          </w:p>
          <w:p w14:paraId="326F2C14" w14:textId="77777777" w:rsidR="00135C42" w:rsidRPr="004350A9" w:rsidRDefault="00135C42" w:rsidP="00527179">
            <w:pPr>
              <w:jc w:val="both"/>
              <w:rPr>
                <w:color w:val="000000" w:themeColor="text1"/>
                <w:sz w:val="22"/>
                <w:szCs w:val="22"/>
              </w:rPr>
            </w:pPr>
          </w:p>
        </w:tc>
        <w:tc>
          <w:tcPr>
            <w:tcW w:w="1355" w:type="pct"/>
            <w:vMerge w:val="restart"/>
            <w:tcBorders>
              <w:top w:val="single" w:sz="4" w:space="0" w:color="auto"/>
              <w:left w:val="single" w:sz="4" w:space="0" w:color="auto"/>
              <w:right w:val="single" w:sz="4" w:space="0" w:color="auto"/>
            </w:tcBorders>
          </w:tcPr>
          <w:p w14:paraId="6DFAC165" w14:textId="77777777" w:rsidR="00135C42" w:rsidRPr="004350A9" w:rsidRDefault="00135C42" w:rsidP="00527179">
            <w:pPr>
              <w:jc w:val="both"/>
              <w:rPr>
                <w:color w:val="000000" w:themeColor="text1"/>
                <w:sz w:val="22"/>
                <w:szCs w:val="22"/>
              </w:rPr>
            </w:pPr>
            <w:r w:rsidRPr="004350A9">
              <w:rPr>
                <w:color w:val="000000" w:themeColor="text1"/>
                <w:sz w:val="22"/>
                <w:szCs w:val="22"/>
              </w:rPr>
              <w:t xml:space="preserve">The parameter is a probability bounded within the interval [0,1]. Beta distribution is suitable for probabilities and proportions not only </w:t>
            </w:r>
            <w:r w:rsidRPr="004350A9">
              <w:rPr>
                <w:color w:val="000000" w:themeColor="text1"/>
                <w:sz w:val="22"/>
                <w:szCs w:val="22"/>
              </w:rPr>
              <w:lastRenderedPageBreak/>
              <w:t xml:space="preserve">because is defined on interval [0,1] and commonly used to calibrate probabilities but also because beta distribution is a standard result in statistics </w:t>
            </w:r>
          </w:p>
          <w:p w14:paraId="47DA407E" w14:textId="77777777" w:rsidR="00135C42" w:rsidRPr="004350A9" w:rsidRDefault="00135C42" w:rsidP="00527179">
            <w:pPr>
              <w:jc w:val="both"/>
              <w:rPr>
                <w:color w:val="000000" w:themeColor="text1"/>
                <w:sz w:val="22"/>
                <w:szCs w:val="22"/>
              </w:rPr>
            </w:pPr>
          </w:p>
        </w:tc>
        <w:tc>
          <w:tcPr>
            <w:tcW w:w="1077" w:type="pct"/>
            <w:gridSpan w:val="3"/>
            <w:tcBorders>
              <w:top w:val="single" w:sz="4" w:space="0" w:color="auto"/>
              <w:left w:val="single" w:sz="4" w:space="0" w:color="auto"/>
              <w:right w:val="single" w:sz="4" w:space="0" w:color="auto"/>
            </w:tcBorders>
          </w:tcPr>
          <w:p w14:paraId="1AE904E8" w14:textId="77777777" w:rsidR="00135C42" w:rsidRPr="004350A9" w:rsidRDefault="00135C42" w:rsidP="00E71320">
            <w:pPr>
              <w:jc w:val="both"/>
              <w:rPr>
                <w:color w:val="000000" w:themeColor="text1"/>
                <w:sz w:val="22"/>
                <w:szCs w:val="22"/>
              </w:rPr>
            </w:pPr>
            <w:r w:rsidRPr="004350A9">
              <w:rPr>
                <w:color w:val="000000" w:themeColor="text1"/>
                <w:sz w:val="22"/>
                <w:szCs w:val="22"/>
              </w:rPr>
              <w:lastRenderedPageBreak/>
              <w:t xml:space="preserve">The shape parameters </w:t>
            </w:r>
            <m:oMath>
              <m:r>
                <w:rPr>
                  <w:rFonts w:ascii="Cambria Math" w:hAnsi="Cambria Math"/>
                  <w:color w:val="000000" w:themeColor="text1"/>
                  <w:sz w:val="22"/>
                  <w:szCs w:val="22"/>
                </w:rPr>
                <m:t>(α, β)</m:t>
              </m:r>
            </m:oMath>
            <w:r w:rsidRPr="004350A9">
              <w:rPr>
                <w:color w:val="000000" w:themeColor="text1"/>
                <w:sz w:val="22"/>
                <w:szCs w:val="22"/>
              </w:rPr>
              <w:t xml:space="preserve"> can be estimated from the mean </w:t>
            </w:r>
            <m:oMath>
              <m:r>
                <w:rPr>
                  <w:rFonts w:ascii="Cambria Math" w:hAnsi="Cambria Math"/>
                  <w:color w:val="000000" w:themeColor="text1"/>
                  <w:sz w:val="22"/>
                  <w:szCs w:val="22"/>
                </w:rPr>
                <m:t>(μ)</m:t>
              </m:r>
            </m:oMath>
            <w:r w:rsidRPr="004350A9">
              <w:rPr>
                <w:color w:val="000000" w:themeColor="text1"/>
                <w:sz w:val="22"/>
                <w:szCs w:val="22"/>
              </w:rPr>
              <w:t xml:space="preserve"> and variances of the data </w:t>
            </w:r>
            <m:oMath>
              <m:r>
                <w:rPr>
                  <w:rFonts w:ascii="Cambria Math" w:hAnsi="Cambria Math"/>
                  <w:color w:val="000000" w:themeColor="text1"/>
                  <w:sz w:val="22"/>
                  <w:szCs w:val="22"/>
                </w:rPr>
                <m:t>(</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σ</m:t>
                  </m:r>
                </m:e>
                <m:sup>
                  <m:r>
                    <w:rPr>
                      <w:rFonts w:ascii="Cambria Math" w:hAnsi="Cambria Math"/>
                      <w:color w:val="000000" w:themeColor="text1"/>
                      <w:sz w:val="22"/>
                      <w:szCs w:val="22"/>
                    </w:rPr>
                    <m:t>2</m:t>
                  </m:r>
                </m:sup>
              </m:sSup>
              <m:r>
                <w:rPr>
                  <w:rFonts w:ascii="Cambria Math" w:hAnsi="Cambria Math"/>
                  <w:color w:val="000000" w:themeColor="text1"/>
                  <w:sz w:val="22"/>
                  <w:szCs w:val="22"/>
                </w:rPr>
                <m:t>)</m:t>
              </m:r>
            </m:oMath>
            <w:r w:rsidRPr="004350A9">
              <w:rPr>
                <w:color w:val="000000" w:themeColor="text1"/>
                <w:sz w:val="22"/>
                <w:szCs w:val="22"/>
              </w:rPr>
              <w:t xml:space="preserve">. The </w:t>
            </w:r>
            <w:r w:rsidRPr="004350A9">
              <w:rPr>
                <w:color w:val="000000" w:themeColor="text1"/>
                <w:sz w:val="22"/>
                <w:szCs w:val="22"/>
              </w:rPr>
              <w:lastRenderedPageBreak/>
              <w:t xml:space="preserve">distribution will be scaled based on the range.  </w:t>
            </w:r>
          </w:p>
          <w:p w14:paraId="786DF7AB" w14:textId="77777777" w:rsidR="00135C42" w:rsidRPr="004350A9" w:rsidRDefault="00135C42" w:rsidP="00E71320">
            <w:pPr>
              <w:jc w:val="both"/>
              <w:rPr>
                <w:color w:val="000000" w:themeColor="text1"/>
                <w:sz w:val="22"/>
                <w:szCs w:val="22"/>
              </w:rPr>
            </w:pPr>
          </w:p>
          <w:p w14:paraId="2DC34E96" w14:textId="77777777" w:rsidR="00135C42" w:rsidRPr="004350A9" w:rsidRDefault="00135C42" w:rsidP="00E71320">
            <w:pPr>
              <w:jc w:val="both"/>
              <w:rPr>
                <w:color w:val="000000" w:themeColor="text1"/>
                <w:sz w:val="22"/>
                <w:szCs w:val="22"/>
              </w:rPr>
            </w:pPr>
            <w:r w:rsidRPr="004350A9">
              <w:rPr>
                <w:color w:val="000000" w:themeColor="text1"/>
                <w:sz w:val="22"/>
                <w:szCs w:val="22"/>
              </w:rPr>
              <w:t>Since</w:t>
            </w:r>
          </w:p>
          <w:p w14:paraId="38AAA6E3" w14:textId="77777777" w:rsidR="00135C42" w:rsidRPr="004350A9" w:rsidRDefault="00135C42" w:rsidP="00E71320">
            <w:pPr>
              <w:jc w:val="both"/>
              <w:rPr>
                <w:color w:val="000000" w:themeColor="text1"/>
                <w:sz w:val="22"/>
                <w:szCs w:val="22"/>
              </w:rPr>
            </w:pPr>
            <m:oMathPara>
              <m:oMath>
                <m:r>
                  <w:rPr>
                    <w:rFonts w:ascii="Cambria Math" w:hAnsi="Cambria Math"/>
                    <w:color w:val="000000" w:themeColor="text1"/>
                    <w:sz w:val="22"/>
                    <w:szCs w:val="22"/>
                  </w:rPr>
                  <m:t>μ=</m:t>
                </m:r>
                <m:f>
                  <m:fPr>
                    <m:ctrlPr>
                      <w:rPr>
                        <w:rFonts w:ascii="Cambria Math" w:hAnsi="Cambria Math"/>
                        <w:i/>
                        <w:color w:val="000000" w:themeColor="text1"/>
                        <w:sz w:val="22"/>
                        <w:szCs w:val="22"/>
                      </w:rPr>
                    </m:ctrlPr>
                  </m:fPr>
                  <m:num>
                    <m:r>
                      <w:rPr>
                        <w:rFonts w:ascii="Cambria Math" w:hAnsi="Cambria Math"/>
                        <w:color w:val="000000" w:themeColor="text1"/>
                        <w:sz w:val="22"/>
                        <w:szCs w:val="22"/>
                      </w:rPr>
                      <m:t>α</m:t>
                    </m:r>
                  </m:num>
                  <m:den>
                    <m:r>
                      <w:rPr>
                        <w:rFonts w:ascii="Cambria Math" w:hAnsi="Cambria Math"/>
                        <w:color w:val="000000" w:themeColor="text1"/>
                        <w:sz w:val="22"/>
                        <w:szCs w:val="22"/>
                      </w:rPr>
                      <m:t>α+β</m:t>
                    </m:r>
                  </m:den>
                </m:f>
              </m:oMath>
            </m:oMathPara>
          </w:p>
          <w:p w14:paraId="05D11681" w14:textId="77777777" w:rsidR="00135C42" w:rsidRPr="004350A9" w:rsidRDefault="00000000" w:rsidP="00E71320">
            <w:pPr>
              <w:jc w:val="both"/>
              <w:rPr>
                <w:color w:val="000000" w:themeColor="text1"/>
                <w:sz w:val="22"/>
                <w:szCs w:val="22"/>
              </w:rPr>
            </w:pPr>
            <m:oMathPara>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σ</m:t>
                    </m:r>
                  </m:e>
                  <m:sup>
                    <m:r>
                      <w:rPr>
                        <w:rFonts w:ascii="Cambria Math" w:hAnsi="Cambria Math"/>
                        <w:color w:val="000000" w:themeColor="text1"/>
                        <w:sz w:val="22"/>
                        <w:szCs w:val="22"/>
                      </w:rPr>
                      <m:t>2</m:t>
                    </m:r>
                  </m:sup>
                </m:sSup>
                <m:r>
                  <w:rPr>
                    <w:rFonts w:ascii="Cambria Math" w:hAnsi="Cambria Math"/>
                    <w:color w:val="000000" w:themeColor="text1"/>
                    <w:sz w:val="22"/>
                    <w:szCs w:val="22"/>
                  </w:rPr>
                  <m:t>=</m:t>
                </m:r>
                <m:f>
                  <m:fPr>
                    <m:ctrlPr>
                      <w:rPr>
                        <w:rFonts w:ascii="Cambria Math" w:hAnsi="Cambria Math"/>
                        <w:i/>
                        <w:color w:val="000000" w:themeColor="text1"/>
                        <w:sz w:val="22"/>
                        <w:szCs w:val="22"/>
                      </w:rPr>
                    </m:ctrlPr>
                  </m:fPr>
                  <m:num>
                    <m:r>
                      <w:rPr>
                        <w:rFonts w:ascii="Cambria Math" w:hAnsi="Cambria Math"/>
                        <w:color w:val="000000" w:themeColor="text1"/>
                        <w:sz w:val="22"/>
                        <w:szCs w:val="22"/>
                      </w:rPr>
                      <m:t>αβ</m:t>
                    </m:r>
                  </m:num>
                  <m:den>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r>
                              <w:rPr>
                                <w:rFonts w:ascii="Cambria Math" w:hAnsi="Cambria Math"/>
                                <w:color w:val="000000" w:themeColor="text1"/>
                                <w:sz w:val="22"/>
                                <w:szCs w:val="22"/>
                              </w:rPr>
                              <m:t>α+β</m:t>
                            </m:r>
                          </m:e>
                        </m:d>
                      </m:e>
                      <m:sup>
                        <m:r>
                          <w:rPr>
                            <w:rFonts w:ascii="Cambria Math" w:hAnsi="Cambria Math"/>
                            <w:color w:val="000000" w:themeColor="text1"/>
                            <w:sz w:val="22"/>
                            <w:szCs w:val="22"/>
                          </w:rPr>
                          <m:t>2</m:t>
                        </m:r>
                      </m:sup>
                    </m:sSup>
                    <m:r>
                      <w:rPr>
                        <w:rFonts w:ascii="Cambria Math" w:hAnsi="Cambria Math"/>
                        <w:color w:val="000000" w:themeColor="text1"/>
                        <w:sz w:val="22"/>
                        <w:szCs w:val="22"/>
                      </w:rPr>
                      <m:t>(1+α+β)</m:t>
                    </m:r>
                  </m:den>
                </m:f>
              </m:oMath>
            </m:oMathPara>
          </w:p>
          <w:p w14:paraId="415903A4" w14:textId="77777777" w:rsidR="00135C42" w:rsidRPr="004350A9" w:rsidRDefault="00135C42" w:rsidP="002C3EFA">
            <w:pPr>
              <w:jc w:val="both"/>
              <w:rPr>
                <w:color w:val="000000" w:themeColor="text1"/>
                <w:sz w:val="22"/>
                <w:szCs w:val="22"/>
              </w:rPr>
            </w:pPr>
          </w:p>
          <w:p w14:paraId="0EED8DF0" w14:textId="77777777" w:rsidR="00135C42" w:rsidRPr="004350A9" w:rsidRDefault="00135C42" w:rsidP="00550A15">
            <w:pPr>
              <w:jc w:val="both"/>
              <w:rPr>
                <w:color w:val="000000" w:themeColor="text1"/>
                <w:sz w:val="22"/>
                <w:szCs w:val="22"/>
              </w:rPr>
            </w:pPr>
            <w:r w:rsidRPr="004350A9">
              <w:rPr>
                <w:color w:val="000000" w:themeColor="text1"/>
                <w:sz w:val="22"/>
                <w:szCs w:val="22"/>
              </w:rPr>
              <w:t>Thus,</w:t>
            </w:r>
          </w:p>
          <w:p w14:paraId="4A6ADE1E" w14:textId="77777777" w:rsidR="00135C42" w:rsidRPr="004350A9" w:rsidRDefault="00135C42" w:rsidP="00550A15">
            <w:pPr>
              <w:jc w:val="both"/>
              <w:rPr>
                <w:color w:val="000000" w:themeColor="text1"/>
                <w:sz w:val="22"/>
                <w:szCs w:val="22"/>
              </w:rPr>
            </w:pPr>
            <m:oMathPara>
              <m:oMath>
                <m:r>
                  <w:rPr>
                    <w:rFonts w:ascii="Cambria Math" w:hAnsi="Cambria Math"/>
                    <w:color w:val="000000" w:themeColor="text1"/>
                    <w:sz w:val="22"/>
                    <w:szCs w:val="22"/>
                  </w:rPr>
                  <m:t>α=μ(</m:t>
                </m:r>
                <m:f>
                  <m:fPr>
                    <m:ctrlPr>
                      <w:rPr>
                        <w:rFonts w:ascii="Cambria Math" w:hAnsi="Cambria Math"/>
                        <w:i/>
                        <w:color w:val="000000" w:themeColor="text1"/>
                        <w:sz w:val="22"/>
                        <w:szCs w:val="22"/>
                      </w:rPr>
                    </m:ctrlPr>
                  </m:fPr>
                  <m:num>
                    <m:r>
                      <w:rPr>
                        <w:rFonts w:ascii="Cambria Math" w:hAnsi="Cambria Math"/>
                        <w:color w:val="000000" w:themeColor="text1"/>
                        <w:sz w:val="22"/>
                        <w:szCs w:val="22"/>
                      </w:rPr>
                      <m:t>μ(1-μ)</m:t>
                    </m:r>
                  </m:num>
                  <m:den>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σ</m:t>
                        </m:r>
                      </m:e>
                      <m:sup>
                        <m:r>
                          <w:rPr>
                            <w:rFonts w:ascii="Cambria Math" w:hAnsi="Cambria Math"/>
                            <w:color w:val="000000" w:themeColor="text1"/>
                            <w:sz w:val="22"/>
                            <w:szCs w:val="22"/>
                          </w:rPr>
                          <m:t>2</m:t>
                        </m:r>
                      </m:sup>
                    </m:sSup>
                  </m:den>
                </m:f>
                <m:r>
                  <w:rPr>
                    <w:rFonts w:ascii="Cambria Math" w:hAnsi="Cambria Math"/>
                    <w:color w:val="000000" w:themeColor="text1"/>
                    <w:sz w:val="22"/>
                    <w:szCs w:val="22"/>
                  </w:rPr>
                  <m:t>-1)</m:t>
                </m:r>
              </m:oMath>
            </m:oMathPara>
          </w:p>
          <w:p w14:paraId="00D80C01" w14:textId="77777777" w:rsidR="00135C42" w:rsidRPr="004350A9" w:rsidRDefault="00135C42" w:rsidP="00550A15">
            <w:pPr>
              <w:jc w:val="both"/>
              <w:rPr>
                <w:color w:val="000000" w:themeColor="text1"/>
                <w:sz w:val="22"/>
                <w:szCs w:val="22"/>
              </w:rPr>
            </w:pPr>
            <m:oMathPara>
              <m:oMath>
                <m:r>
                  <w:rPr>
                    <w:rFonts w:ascii="Cambria Math" w:hAnsi="Cambria Math"/>
                    <w:color w:val="000000" w:themeColor="text1"/>
                    <w:sz w:val="22"/>
                    <w:szCs w:val="22"/>
                  </w:rPr>
                  <m:t>β=(1-μ)(</m:t>
                </m:r>
                <m:f>
                  <m:fPr>
                    <m:ctrlPr>
                      <w:rPr>
                        <w:rFonts w:ascii="Cambria Math" w:hAnsi="Cambria Math"/>
                        <w:i/>
                        <w:color w:val="000000" w:themeColor="text1"/>
                        <w:sz w:val="22"/>
                        <w:szCs w:val="22"/>
                      </w:rPr>
                    </m:ctrlPr>
                  </m:fPr>
                  <m:num>
                    <m:r>
                      <w:rPr>
                        <w:rFonts w:ascii="Cambria Math" w:hAnsi="Cambria Math"/>
                        <w:color w:val="000000" w:themeColor="text1"/>
                        <w:sz w:val="22"/>
                        <w:szCs w:val="22"/>
                      </w:rPr>
                      <m:t>μ(1-μ)</m:t>
                    </m:r>
                  </m:num>
                  <m:den>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σ</m:t>
                        </m:r>
                      </m:e>
                      <m:sup>
                        <m:r>
                          <w:rPr>
                            <w:rFonts w:ascii="Cambria Math" w:hAnsi="Cambria Math"/>
                            <w:color w:val="000000" w:themeColor="text1"/>
                            <w:sz w:val="22"/>
                            <w:szCs w:val="22"/>
                          </w:rPr>
                          <m:t>2</m:t>
                        </m:r>
                      </m:sup>
                    </m:sSup>
                  </m:den>
                </m:f>
                <m:r>
                  <w:rPr>
                    <w:rFonts w:ascii="Cambria Math" w:hAnsi="Cambria Math"/>
                    <w:color w:val="000000" w:themeColor="text1"/>
                    <w:sz w:val="22"/>
                    <w:szCs w:val="22"/>
                  </w:rPr>
                  <m:t>-1)</m:t>
                </m:r>
              </m:oMath>
            </m:oMathPara>
          </w:p>
        </w:tc>
        <w:tc>
          <w:tcPr>
            <w:tcW w:w="728" w:type="pct"/>
            <w:vMerge w:val="restart"/>
            <w:tcBorders>
              <w:top w:val="single" w:sz="4" w:space="0" w:color="auto"/>
              <w:left w:val="single" w:sz="4" w:space="0" w:color="auto"/>
              <w:right w:val="single" w:sz="4" w:space="0" w:color="auto"/>
            </w:tcBorders>
          </w:tcPr>
          <w:p w14:paraId="7B513370" w14:textId="77777777" w:rsidR="00135C42" w:rsidRPr="004350A9" w:rsidRDefault="00135C42" w:rsidP="00550A15">
            <w:pPr>
              <w:jc w:val="both"/>
              <w:rPr>
                <w:color w:val="000000" w:themeColor="text1"/>
                <w:sz w:val="22"/>
                <w:szCs w:val="22"/>
              </w:rPr>
            </w:pPr>
            <w:r w:rsidRPr="004350A9">
              <w:rPr>
                <w:color w:val="000000" w:themeColor="text1"/>
                <w:sz w:val="22"/>
                <w:szCs w:val="22"/>
              </w:rPr>
              <w:lastRenderedPageBreak/>
              <w:t xml:space="preserve">For the probabilities estimated from the survey data, we </w:t>
            </w:r>
            <w:r w:rsidRPr="004350A9">
              <w:rPr>
                <w:color w:val="000000" w:themeColor="text1"/>
                <w:sz w:val="22"/>
                <w:szCs w:val="22"/>
              </w:rPr>
              <w:lastRenderedPageBreak/>
              <w:t xml:space="preserve">can easily derive the parameters. </w:t>
            </w:r>
          </w:p>
          <w:p w14:paraId="752F4EEA" w14:textId="77777777" w:rsidR="00135C42" w:rsidRPr="004350A9" w:rsidRDefault="00135C42" w:rsidP="00550A15">
            <w:pPr>
              <w:jc w:val="both"/>
              <w:rPr>
                <w:color w:val="000000" w:themeColor="text1"/>
                <w:sz w:val="22"/>
                <w:szCs w:val="22"/>
              </w:rPr>
            </w:pPr>
          </w:p>
          <w:p w14:paraId="32F35CB9" w14:textId="77777777" w:rsidR="00135C42" w:rsidRPr="004350A9" w:rsidRDefault="00135C42">
            <w:pPr>
              <w:jc w:val="both"/>
              <w:rPr>
                <w:color w:val="000000" w:themeColor="text1"/>
                <w:sz w:val="22"/>
                <w:szCs w:val="22"/>
              </w:rPr>
            </w:pPr>
            <w:r w:rsidRPr="004350A9">
              <w:rPr>
                <w:color w:val="000000" w:themeColor="text1"/>
                <w:sz w:val="22"/>
                <w:szCs w:val="22"/>
              </w:rPr>
              <w:t xml:space="preserve">For the probabilities reported in the literature the mean and sample size are reported. </w:t>
            </w:r>
          </w:p>
        </w:tc>
      </w:tr>
      <w:tr w:rsidR="00135C42" w:rsidRPr="004350A9" w14:paraId="63480199" w14:textId="77777777" w:rsidTr="00FA7C7E">
        <w:trPr>
          <w:trHeight w:val="221"/>
        </w:trPr>
        <w:tc>
          <w:tcPr>
            <w:tcW w:w="519" w:type="pct"/>
            <w:tcBorders>
              <w:top w:val="single" w:sz="4" w:space="0" w:color="auto"/>
              <w:left w:val="single" w:sz="4" w:space="0" w:color="auto"/>
              <w:bottom w:val="single" w:sz="4" w:space="0" w:color="auto"/>
              <w:right w:val="single" w:sz="4" w:space="0" w:color="auto"/>
            </w:tcBorders>
          </w:tcPr>
          <w:p w14:paraId="4AEE6B73" w14:textId="77777777" w:rsidR="00135C42" w:rsidRPr="004350A9" w:rsidRDefault="00000000" w:rsidP="00A4646C">
            <w:pPr>
              <w:jc w:val="both"/>
              <w:rPr>
                <w:rFonts w:eastAsia="DengXian"/>
                <w:color w:val="000000" w:themeColor="text1"/>
                <w:sz w:val="22"/>
                <w:szCs w:val="22"/>
              </w:rPr>
            </w:pPr>
            <m:oMathPara>
              <m:oMathParaPr>
                <m:jc m:val="left"/>
              </m:oMathParaPr>
              <m:oMath>
                <m:sSub>
                  <m:sSubPr>
                    <m:ctrlPr>
                      <w:rPr>
                        <w:rFonts w:ascii="Cambria Math" w:eastAsia="Calibri" w:hAnsi="Cambria Math"/>
                        <w:i/>
                        <w:color w:val="000000" w:themeColor="text1"/>
                        <w:sz w:val="22"/>
                        <w:szCs w:val="22"/>
                      </w:rPr>
                    </m:ctrlPr>
                  </m:sSubPr>
                  <m:e>
                    <m:r>
                      <w:rPr>
                        <w:rFonts w:ascii="Cambria Math" w:eastAsia="Calibri" w:hAnsi="Cambria Math"/>
                        <w:color w:val="000000" w:themeColor="text1"/>
                        <w:sz w:val="22"/>
                        <w:szCs w:val="22"/>
                      </w:rPr>
                      <m:t>γ</m:t>
                    </m:r>
                  </m:e>
                  <m:sub>
                    <m:r>
                      <w:rPr>
                        <w:rFonts w:ascii="Cambria Math" w:eastAsia="Calibri" w:hAnsi="Cambria Math"/>
                        <w:color w:val="000000" w:themeColor="text1"/>
                        <w:sz w:val="22"/>
                        <w:szCs w:val="22"/>
                      </w:rPr>
                      <m:t>i,r</m:t>
                    </m:r>
                  </m:sub>
                </m:sSub>
              </m:oMath>
            </m:oMathPara>
          </w:p>
        </w:tc>
        <w:tc>
          <w:tcPr>
            <w:tcW w:w="695" w:type="pct"/>
            <w:tcBorders>
              <w:top w:val="single" w:sz="4" w:space="0" w:color="auto"/>
              <w:left w:val="single" w:sz="4" w:space="0" w:color="auto"/>
              <w:bottom w:val="single" w:sz="4" w:space="0" w:color="auto"/>
              <w:right w:val="single" w:sz="4" w:space="0" w:color="auto"/>
            </w:tcBorders>
          </w:tcPr>
          <w:p w14:paraId="379CFD29" w14:textId="77777777" w:rsidR="00135C42" w:rsidRPr="004350A9" w:rsidRDefault="00135C42" w:rsidP="001D10D4">
            <w:pPr>
              <w:jc w:val="both"/>
              <w:rPr>
                <w:color w:val="000000" w:themeColor="text1"/>
                <w:sz w:val="22"/>
                <w:szCs w:val="22"/>
              </w:rPr>
            </w:pPr>
            <w:r w:rsidRPr="004350A9">
              <w:rPr>
                <w:rFonts w:eastAsiaTheme="minorEastAsia"/>
                <w:color w:val="000000" w:themeColor="text1"/>
                <w:sz w:val="22"/>
                <w:szCs w:val="22"/>
              </w:rPr>
              <w:t xml:space="preserve">Probability of loss to follow-up in compartment </w:t>
            </w:r>
            <w:proofErr w:type="spellStart"/>
            <w:r w:rsidRPr="004350A9">
              <w:rPr>
                <w:rFonts w:eastAsiaTheme="minorEastAsia"/>
                <w:color w:val="000000" w:themeColor="text1"/>
                <w:sz w:val="22"/>
                <w:szCs w:val="22"/>
              </w:rPr>
              <w:t>i</w:t>
            </w:r>
            <w:proofErr w:type="spellEnd"/>
            <w:r w:rsidRPr="004350A9">
              <w:rPr>
                <w:rFonts w:eastAsiaTheme="minorEastAsia"/>
                <w:color w:val="000000" w:themeColor="text1"/>
                <w:sz w:val="22"/>
                <w:szCs w:val="22"/>
              </w:rPr>
              <w:t xml:space="preserve"> </w:t>
            </w:r>
            <w:r w:rsidRPr="004350A9">
              <w:rPr>
                <w:color w:val="000000" w:themeColor="text1"/>
                <w:sz w:val="22"/>
                <w:szCs w:val="22"/>
              </w:rPr>
              <w:t>for group r</w:t>
            </w:r>
          </w:p>
        </w:tc>
        <w:tc>
          <w:tcPr>
            <w:tcW w:w="626" w:type="pct"/>
            <w:vMerge/>
            <w:tcBorders>
              <w:left w:val="single" w:sz="4" w:space="0" w:color="auto"/>
              <w:right w:val="single" w:sz="4" w:space="0" w:color="auto"/>
            </w:tcBorders>
          </w:tcPr>
          <w:p w14:paraId="1CA8D454" w14:textId="77777777" w:rsidR="00135C42" w:rsidRPr="004350A9" w:rsidRDefault="00135C42">
            <w:pPr>
              <w:jc w:val="both"/>
              <w:rPr>
                <w:color w:val="000000" w:themeColor="text1"/>
                <w:sz w:val="22"/>
                <w:szCs w:val="22"/>
              </w:rPr>
            </w:pPr>
          </w:p>
        </w:tc>
        <w:tc>
          <w:tcPr>
            <w:tcW w:w="1355" w:type="pct"/>
            <w:vMerge/>
            <w:tcBorders>
              <w:left w:val="single" w:sz="4" w:space="0" w:color="auto"/>
              <w:right w:val="single" w:sz="4" w:space="0" w:color="auto"/>
            </w:tcBorders>
          </w:tcPr>
          <w:p w14:paraId="13E66A78" w14:textId="77777777" w:rsidR="00135C42" w:rsidRPr="004350A9" w:rsidRDefault="00135C42">
            <w:pPr>
              <w:jc w:val="both"/>
              <w:rPr>
                <w:color w:val="000000" w:themeColor="text1"/>
                <w:sz w:val="22"/>
                <w:szCs w:val="22"/>
              </w:rPr>
            </w:pPr>
          </w:p>
        </w:tc>
        <w:tc>
          <w:tcPr>
            <w:tcW w:w="1077" w:type="pct"/>
            <w:gridSpan w:val="3"/>
            <w:vMerge w:val="restart"/>
            <w:tcBorders>
              <w:left w:val="single" w:sz="4" w:space="0" w:color="auto"/>
              <w:right w:val="single" w:sz="4" w:space="0" w:color="auto"/>
            </w:tcBorders>
          </w:tcPr>
          <w:p w14:paraId="098F29CE" w14:textId="77777777" w:rsidR="00135C42" w:rsidRPr="004350A9" w:rsidRDefault="00135C42">
            <w:pPr>
              <w:jc w:val="both"/>
              <w:rPr>
                <w:color w:val="000000" w:themeColor="text1"/>
                <w:sz w:val="22"/>
                <w:szCs w:val="22"/>
              </w:rPr>
            </w:pPr>
            <w:r w:rsidRPr="004350A9">
              <w:rPr>
                <w:color w:val="000000" w:themeColor="text1"/>
                <w:sz w:val="22"/>
                <w:szCs w:val="22"/>
              </w:rPr>
              <w:t xml:space="preserve">The shape parameters </w:t>
            </w:r>
            <m:oMath>
              <m:r>
                <w:rPr>
                  <w:rFonts w:ascii="Cambria Math" w:hAnsi="Cambria Math"/>
                  <w:color w:val="000000" w:themeColor="text1"/>
                  <w:sz w:val="22"/>
                  <w:szCs w:val="22"/>
                </w:rPr>
                <m:t>(α, β)</m:t>
              </m:r>
            </m:oMath>
            <w:r w:rsidRPr="004350A9">
              <w:rPr>
                <w:color w:val="000000" w:themeColor="text1"/>
                <w:sz w:val="22"/>
                <w:szCs w:val="22"/>
              </w:rPr>
              <w:t xml:space="preserve"> can be estimated via mean </w:t>
            </w:r>
            <m:oMath>
              <m:r>
                <w:rPr>
                  <w:rFonts w:ascii="Cambria Math" w:hAnsi="Cambria Math"/>
                  <w:color w:val="000000" w:themeColor="text1"/>
                  <w:sz w:val="22"/>
                  <w:szCs w:val="22"/>
                </w:rPr>
                <m:t>(μ)</m:t>
              </m:r>
            </m:oMath>
            <w:r w:rsidRPr="004350A9">
              <w:rPr>
                <w:color w:val="000000" w:themeColor="text1"/>
                <w:sz w:val="22"/>
                <w:szCs w:val="22"/>
              </w:rPr>
              <w:t xml:space="preserve">  and sample size </w:t>
            </w:r>
            <m:oMath>
              <m:r>
                <w:rPr>
                  <w:rFonts w:ascii="Cambria Math" w:hAnsi="Cambria Math"/>
                  <w:color w:val="000000" w:themeColor="text1"/>
                  <w:sz w:val="22"/>
                  <w:szCs w:val="22"/>
                </w:rPr>
                <m:t>(v)</m:t>
              </m:r>
            </m:oMath>
            <w:r w:rsidRPr="004350A9">
              <w:rPr>
                <w:color w:val="000000" w:themeColor="text1"/>
                <w:sz w:val="22"/>
                <w:szCs w:val="22"/>
              </w:rPr>
              <w:t>.</w:t>
            </w:r>
          </w:p>
          <w:p w14:paraId="54437DC1" w14:textId="77777777" w:rsidR="00135C42" w:rsidRPr="004350A9" w:rsidRDefault="00135C42">
            <w:pPr>
              <w:jc w:val="both"/>
              <w:rPr>
                <w:color w:val="000000" w:themeColor="text1"/>
                <w:sz w:val="22"/>
                <w:szCs w:val="22"/>
              </w:rPr>
            </w:pPr>
            <m:oMathPara>
              <m:oMath>
                <m:r>
                  <w:rPr>
                    <w:rFonts w:ascii="Cambria Math" w:hAnsi="Cambria Math"/>
                    <w:color w:val="000000" w:themeColor="text1"/>
                    <w:sz w:val="22"/>
                    <w:szCs w:val="22"/>
                  </w:rPr>
                  <m:t>α=μv</m:t>
                </m:r>
              </m:oMath>
            </m:oMathPara>
          </w:p>
          <w:p w14:paraId="3C3C3E9D" w14:textId="77777777" w:rsidR="00135C42" w:rsidRPr="004350A9" w:rsidRDefault="00135C42">
            <w:pPr>
              <w:jc w:val="both"/>
              <w:rPr>
                <w:color w:val="000000" w:themeColor="text1"/>
                <w:sz w:val="22"/>
                <w:szCs w:val="22"/>
              </w:rPr>
            </w:pPr>
            <m:oMathPara>
              <m:oMath>
                <m:r>
                  <w:rPr>
                    <w:rFonts w:ascii="Cambria Math" w:hAnsi="Cambria Math"/>
                    <w:color w:val="000000" w:themeColor="text1"/>
                    <w:sz w:val="22"/>
                    <w:szCs w:val="22"/>
                  </w:rPr>
                  <m:t>β=(1-μ)v</m:t>
                </m:r>
              </m:oMath>
            </m:oMathPara>
          </w:p>
        </w:tc>
        <w:tc>
          <w:tcPr>
            <w:tcW w:w="728" w:type="pct"/>
            <w:vMerge/>
            <w:tcBorders>
              <w:left w:val="single" w:sz="4" w:space="0" w:color="auto"/>
              <w:right w:val="single" w:sz="4" w:space="0" w:color="auto"/>
            </w:tcBorders>
          </w:tcPr>
          <w:p w14:paraId="6E3ADD48" w14:textId="77777777" w:rsidR="00135C42" w:rsidRPr="004350A9" w:rsidRDefault="00135C42">
            <w:pPr>
              <w:jc w:val="both"/>
              <w:rPr>
                <w:color w:val="000000" w:themeColor="text1"/>
                <w:sz w:val="22"/>
                <w:szCs w:val="22"/>
              </w:rPr>
            </w:pPr>
          </w:p>
        </w:tc>
      </w:tr>
      <w:tr w:rsidR="00135C42" w:rsidRPr="004350A9" w14:paraId="1F79917D" w14:textId="77777777" w:rsidTr="00FA7C7E">
        <w:trPr>
          <w:trHeight w:val="221"/>
        </w:trPr>
        <w:tc>
          <w:tcPr>
            <w:tcW w:w="519" w:type="pct"/>
            <w:tcBorders>
              <w:top w:val="single" w:sz="4" w:space="0" w:color="auto"/>
              <w:left w:val="single" w:sz="4" w:space="0" w:color="auto"/>
              <w:bottom w:val="single" w:sz="4" w:space="0" w:color="auto"/>
              <w:right w:val="single" w:sz="4" w:space="0" w:color="auto"/>
            </w:tcBorders>
          </w:tcPr>
          <w:p w14:paraId="5C7240E4" w14:textId="77777777" w:rsidR="00135C42" w:rsidRPr="004350A9" w:rsidRDefault="00000000" w:rsidP="00A4646C">
            <w:pPr>
              <w:jc w:val="both"/>
              <w:rPr>
                <w:rFonts w:eastAsia="Calibri"/>
                <w:color w:val="000000" w:themeColor="text1"/>
                <w:sz w:val="22"/>
                <w:szCs w:val="22"/>
              </w:rPr>
            </w:pPr>
            <m:oMathPara>
              <m:oMathParaPr>
                <m:jc m:val="left"/>
              </m:oMathParaPr>
              <m:oMath>
                <m:sSub>
                  <m:sSubPr>
                    <m:ctrlPr>
                      <w:rPr>
                        <w:rFonts w:ascii="Cambria Math" w:eastAsia="Calibri" w:hAnsi="Cambria Math"/>
                        <w:i/>
                        <w:color w:val="000000" w:themeColor="text1"/>
                        <w:sz w:val="22"/>
                        <w:szCs w:val="22"/>
                      </w:rPr>
                    </m:ctrlPr>
                  </m:sSubPr>
                  <m:e>
                    <m:r>
                      <w:rPr>
                        <w:rFonts w:ascii="Cambria Math" w:eastAsia="Calibri" w:hAnsi="Cambria Math"/>
                        <w:color w:val="000000" w:themeColor="text1"/>
                        <w:sz w:val="22"/>
                        <w:szCs w:val="22"/>
                      </w:rPr>
                      <m:t>θ</m:t>
                    </m:r>
                  </m:e>
                  <m:sub>
                    <m:r>
                      <w:rPr>
                        <w:rFonts w:ascii="Cambria Math" w:eastAsia="Calibri" w:hAnsi="Cambria Math"/>
                        <w:color w:val="000000" w:themeColor="text1"/>
                        <w:sz w:val="22"/>
                        <w:szCs w:val="22"/>
                      </w:rPr>
                      <m:t>i,r</m:t>
                    </m:r>
                  </m:sub>
                </m:sSub>
              </m:oMath>
            </m:oMathPara>
          </w:p>
        </w:tc>
        <w:tc>
          <w:tcPr>
            <w:tcW w:w="695" w:type="pct"/>
            <w:tcBorders>
              <w:top w:val="single" w:sz="4" w:space="0" w:color="auto"/>
              <w:left w:val="single" w:sz="4" w:space="0" w:color="auto"/>
              <w:bottom w:val="single" w:sz="4" w:space="0" w:color="auto"/>
              <w:right w:val="single" w:sz="4" w:space="0" w:color="auto"/>
            </w:tcBorders>
          </w:tcPr>
          <w:p w14:paraId="263063C4" w14:textId="77777777" w:rsidR="00135C42" w:rsidRPr="004350A9" w:rsidRDefault="00135C42" w:rsidP="001D10D4">
            <w:pPr>
              <w:jc w:val="both"/>
              <w:rPr>
                <w:color w:val="000000" w:themeColor="text1"/>
                <w:sz w:val="22"/>
                <w:szCs w:val="22"/>
              </w:rPr>
            </w:pPr>
            <w:r w:rsidRPr="004350A9">
              <w:rPr>
                <w:rFonts w:eastAsiaTheme="minorEastAsia"/>
                <w:color w:val="000000" w:themeColor="text1"/>
                <w:sz w:val="22"/>
                <w:szCs w:val="22"/>
              </w:rPr>
              <w:t xml:space="preserve">Probability of on ART and suppressed in compartment </w:t>
            </w:r>
            <w:proofErr w:type="spellStart"/>
            <w:r w:rsidRPr="004350A9">
              <w:rPr>
                <w:rFonts w:eastAsiaTheme="minorEastAsia"/>
                <w:color w:val="000000" w:themeColor="text1"/>
                <w:sz w:val="22"/>
                <w:szCs w:val="22"/>
              </w:rPr>
              <w:t>i</w:t>
            </w:r>
            <w:proofErr w:type="spellEnd"/>
            <w:r w:rsidRPr="004350A9">
              <w:rPr>
                <w:rFonts w:eastAsiaTheme="minorEastAsia"/>
                <w:color w:val="000000" w:themeColor="text1"/>
                <w:sz w:val="22"/>
                <w:szCs w:val="22"/>
              </w:rPr>
              <w:t xml:space="preserve"> </w:t>
            </w:r>
            <w:r w:rsidRPr="004350A9">
              <w:rPr>
                <w:color w:val="000000" w:themeColor="text1"/>
                <w:sz w:val="22"/>
                <w:szCs w:val="22"/>
              </w:rPr>
              <w:t>for group r</w:t>
            </w:r>
          </w:p>
        </w:tc>
        <w:tc>
          <w:tcPr>
            <w:tcW w:w="626" w:type="pct"/>
            <w:vMerge/>
            <w:tcBorders>
              <w:left w:val="single" w:sz="4" w:space="0" w:color="auto"/>
              <w:right w:val="single" w:sz="4" w:space="0" w:color="auto"/>
            </w:tcBorders>
          </w:tcPr>
          <w:p w14:paraId="29701020" w14:textId="77777777" w:rsidR="00135C42" w:rsidRPr="004350A9" w:rsidRDefault="00135C42">
            <w:pPr>
              <w:jc w:val="both"/>
              <w:rPr>
                <w:color w:val="000000" w:themeColor="text1"/>
                <w:sz w:val="22"/>
                <w:szCs w:val="22"/>
              </w:rPr>
            </w:pPr>
          </w:p>
        </w:tc>
        <w:tc>
          <w:tcPr>
            <w:tcW w:w="1355" w:type="pct"/>
            <w:vMerge/>
            <w:tcBorders>
              <w:left w:val="single" w:sz="4" w:space="0" w:color="auto"/>
              <w:right w:val="single" w:sz="4" w:space="0" w:color="auto"/>
            </w:tcBorders>
          </w:tcPr>
          <w:p w14:paraId="4B275EC3" w14:textId="77777777" w:rsidR="00135C42" w:rsidRPr="004350A9" w:rsidRDefault="00135C42">
            <w:pPr>
              <w:jc w:val="both"/>
              <w:rPr>
                <w:color w:val="000000" w:themeColor="text1"/>
                <w:sz w:val="22"/>
                <w:szCs w:val="22"/>
              </w:rPr>
            </w:pPr>
          </w:p>
        </w:tc>
        <w:tc>
          <w:tcPr>
            <w:tcW w:w="1077" w:type="pct"/>
            <w:gridSpan w:val="3"/>
            <w:vMerge/>
            <w:tcBorders>
              <w:left w:val="single" w:sz="4" w:space="0" w:color="auto"/>
              <w:right w:val="single" w:sz="4" w:space="0" w:color="auto"/>
            </w:tcBorders>
          </w:tcPr>
          <w:p w14:paraId="406B2F17" w14:textId="77777777" w:rsidR="00135C42" w:rsidRPr="004350A9" w:rsidRDefault="00135C42">
            <w:pPr>
              <w:jc w:val="both"/>
              <w:rPr>
                <w:color w:val="000000" w:themeColor="text1"/>
                <w:sz w:val="22"/>
                <w:szCs w:val="22"/>
              </w:rPr>
            </w:pPr>
          </w:p>
        </w:tc>
        <w:tc>
          <w:tcPr>
            <w:tcW w:w="728" w:type="pct"/>
            <w:vMerge/>
            <w:tcBorders>
              <w:left w:val="single" w:sz="4" w:space="0" w:color="auto"/>
              <w:right w:val="single" w:sz="4" w:space="0" w:color="auto"/>
            </w:tcBorders>
          </w:tcPr>
          <w:p w14:paraId="6AFA4D6F" w14:textId="77777777" w:rsidR="00135C42" w:rsidRPr="004350A9" w:rsidRDefault="00135C42">
            <w:pPr>
              <w:jc w:val="both"/>
              <w:rPr>
                <w:color w:val="000000" w:themeColor="text1"/>
                <w:sz w:val="22"/>
                <w:szCs w:val="22"/>
              </w:rPr>
            </w:pPr>
          </w:p>
        </w:tc>
      </w:tr>
      <w:tr w:rsidR="00135C42" w:rsidRPr="004350A9" w14:paraId="0948D4F1" w14:textId="77777777" w:rsidTr="00FA7C7E">
        <w:trPr>
          <w:trHeight w:val="221"/>
        </w:trPr>
        <w:tc>
          <w:tcPr>
            <w:tcW w:w="519" w:type="pct"/>
            <w:tcBorders>
              <w:top w:val="single" w:sz="4" w:space="0" w:color="auto"/>
              <w:left w:val="single" w:sz="4" w:space="0" w:color="auto"/>
              <w:bottom w:val="single" w:sz="4" w:space="0" w:color="auto"/>
              <w:right w:val="single" w:sz="4" w:space="0" w:color="auto"/>
            </w:tcBorders>
          </w:tcPr>
          <w:p w14:paraId="15CF2D1F" w14:textId="77777777" w:rsidR="00135C42" w:rsidRPr="004350A9" w:rsidRDefault="00000000" w:rsidP="00A4646C">
            <w:pPr>
              <w:jc w:val="both"/>
              <w:rPr>
                <w:rFonts w:eastAsia="Calibri"/>
                <w:color w:val="000000" w:themeColor="text1"/>
                <w:sz w:val="22"/>
                <w:szCs w:val="22"/>
              </w:rPr>
            </w:pPr>
            <m:oMathPara>
              <m:oMathParaPr>
                <m:jc m:val="left"/>
              </m:oMathParaPr>
              <m:oMath>
                <m:sSub>
                  <m:sSubPr>
                    <m:ctrlPr>
                      <w:rPr>
                        <w:rFonts w:ascii="Cambria Math" w:eastAsia="Calibri" w:hAnsi="Cambria Math"/>
                        <w:i/>
                        <w:color w:val="000000" w:themeColor="text1"/>
                        <w:sz w:val="22"/>
                        <w:szCs w:val="22"/>
                      </w:rPr>
                    </m:ctrlPr>
                  </m:sSubPr>
                  <m:e>
                    <m:r>
                      <w:rPr>
                        <w:rFonts w:ascii="Cambria Math" w:eastAsia="Calibri" w:hAnsi="Cambria Math"/>
                        <w:color w:val="000000" w:themeColor="text1"/>
                        <w:sz w:val="22"/>
                        <w:szCs w:val="22"/>
                      </w:rPr>
                      <m:t>Ψ</m:t>
                    </m:r>
                  </m:e>
                  <m:sub>
                    <m:r>
                      <w:rPr>
                        <w:rFonts w:ascii="Cambria Math" w:eastAsia="Calibri" w:hAnsi="Cambria Math"/>
                        <w:color w:val="000000" w:themeColor="text1"/>
                        <w:sz w:val="22"/>
                        <w:szCs w:val="22"/>
                      </w:rPr>
                      <m:t>i,r</m:t>
                    </m:r>
                  </m:sub>
                </m:sSub>
              </m:oMath>
            </m:oMathPara>
          </w:p>
        </w:tc>
        <w:tc>
          <w:tcPr>
            <w:tcW w:w="695" w:type="pct"/>
            <w:tcBorders>
              <w:top w:val="single" w:sz="4" w:space="0" w:color="auto"/>
              <w:left w:val="single" w:sz="4" w:space="0" w:color="auto"/>
              <w:bottom w:val="single" w:sz="4" w:space="0" w:color="auto"/>
              <w:right w:val="single" w:sz="4" w:space="0" w:color="auto"/>
            </w:tcBorders>
          </w:tcPr>
          <w:p w14:paraId="4802C764" w14:textId="77777777" w:rsidR="00135C42" w:rsidRPr="004350A9" w:rsidRDefault="00135C42" w:rsidP="001D10D4">
            <w:pPr>
              <w:jc w:val="both"/>
              <w:rPr>
                <w:color w:val="000000" w:themeColor="text1"/>
                <w:sz w:val="22"/>
                <w:szCs w:val="22"/>
              </w:rPr>
            </w:pPr>
            <w:r w:rsidRPr="004350A9">
              <w:rPr>
                <w:rFonts w:eastAsiaTheme="minorEastAsia"/>
                <w:color w:val="000000" w:themeColor="text1"/>
                <w:sz w:val="22"/>
                <w:szCs w:val="22"/>
              </w:rPr>
              <w:t xml:space="preserve">Probability of on ART and not suppressed in compartment </w:t>
            </w:r>
            <w:proofErr w:type="spellStart"/>
            <w:r w:rsidRPr="004350A9">
              <w:rPr>
                <w:rFonts w:eastAsiaTheme="minorEastAsia"/>
                <w:color w:val="000000" w:themeColor="text1"/>
                <w:sz w:val="22"/>
                <w:szCs w:val="22"/>
              </w:rPr>
              <w:t>i</w:t>
            </w:r>
            <w:proofErr w:type="spellEnd"/>
            <w:r w:rsidRPr="004350A9">
              <w:rPr>
                <w:rFonts w:eastAsiaTheme="minorEastAsia"/>
                <w:color w:val="000000" w:themeColor="text1"/>
                <w:sz w:val="22"/>
                <w:szCs w:val="22"/>
              </w:rPr>
              <w:t xml:space="preserve"> </w:t>
            </w:r>
            <w:r w:rsidRPr="004350A9">
              <w:rPr>
                <w:color w:val="000000" w:themeColor="text1"/>
                <w:sz w:val="22"/>
                <w:szCs w:val="22"/>
              </w:rPr>
              <w:t>for group r</w:t>
            </w:r>
          </w:p>
        </w:tc>
        <w:tc>
          <w:tcPr>
            <w:tcW w:w="626" w:type="pct"/>
            <w:vMerge/>
            <w:tcBorders>
              <w:left w:val="single" w:sz="4" w:space="0" w:color="auto"/>
              <w:right w:val="single" w:sz="4" w:space="0" w:color="auto"/>
            </w:tcBorders>
          </w:tcPr>
          <w:p w14:paraId="2DA82BF5" w14:textId="77777777" w:rsidR="00135C42" w:rsidRPr="004350A9" w:rsidRDefault="00135C42">
            <w:pPr>
              <w:jc w:val="both"/>
              <w:rPr>
                <w:color w:val="000000" w:themeColor="text1"/>
                <w:sz w:val="22"/>
                <w:szCs w:val="22"/>
              </w:rPr>
            </w:pPr>
          </w:p>
        </w:tc>
        <w:tc>
          <w:tcPr>
            <w:tcW w:w="1355" w:type="pct"/>
            <w:vMerge/>
            <w:tcBorders>
              <w:left w:val="single" w:sz="4" w:space="0" w:color="auto"/>
              <w:right w:val="single" w:sz="4" w:space="0" w:color="auto"/>
            </w:tcBorders>
          </w:tcPr>
          <w:p w14:paraId="27AB2DAC" w14:textId="77777777" w:rsidR="00135C42" w:rsidRPr="004350A9" w:rsidRDefault="00135C42">
            <w:pPr>
              <w:jc w:val="both"/>
              <w:rPr>
                <w:color w:val="000000" w:themeColor="text1"/>
                <w:sz w:val="22"/>
                <w:szCs w:val="22"/>
              </w:rPr>
            </w:pPr>
          </w:p>
        </w:tc>
        <w:tc>
          <w:tcPr>
            <w:tcW w:w="1077" w:type="pct"/>
            <w:gridSpan w:val="3"/>
            <w:vMerge/>
            <w:tcBorders>
              <w:left w:val="single" w:sz="4" w:space="0" w:color="auto"/>
              <w:right w:val="single" w:sz="4" w:space="0" w:color="auto"/>
            </w:tcBorders>
          </w:tcPr>
          <w:p w14:paraId="6D03E6E3" w14:textId="77777777" w:rsidR="00135C42" w:rsidRPr="004350A9" w:rsidRDefault="00135C42">
            <w:pPr>
              <w:jc w:val="both"/>
              <w:rPr>
                <w:color w:val="000000" w:themeColor="text1"/>
                <w:sz w:val="22"/>
                <w:szCs w:val="22"/>
              </w:rPr>
            </w:pPr>
          </w:p>
        </w:tc>
        <w:tc>
          <w:tcPr>
            <w:tcW w:w="728" w:type="pct"/>
            <w:vMerge/>
            <w:tcBorders>
              <w:left w:val="single" w:sz="4" w:space="0" w:color="auto"/>
              <w:right w:val="single" w:sz="4" w:space="0" w:color="auto"/>
            </w:tcBorders>
          </w:tcPr>
          <w:p w14:paraId="49BD96A3" w14:textId="77777777" w:rsidR="00135C42" w:rsidRPr="004350A9" w:rsidRDefault="00135C42">
            <w:pPr>
              <w:jc w:val="both"/>
              <w:rPr>
                <w:color w:val="000000" w:themeColor="text1"/>
                <w:sz w:val="22"/>
                <w:szCs w:val="22"/>
              </w:rPr>
            </w:pPr>
          </w:p>
        </w:tc>
      </w:tr>
      <w:tr w:rsidR="00135C42" w:rsidRPr="004350A9" w14:paraId="7FB89CFD" w14:textId="77777777" w:rsidTr="00FA7C7E">
        <w:trPr>
          <w:trHeight w:val="221"/>
        </w:trPr>
        <w:tc>
          <w:tcPr>
            <w:tcW w:w="519" w:type="pct"/>
            <w:tcBorders>
              <w:top w:val="single" w:sz="4" w:space="0" w:color="auto"/>
              <w:left w:val="single" w:sz="4" w:space="0" w:color="auto"/>
              <w:bottom w:val="single" w:sz="4" w:space="0" w:color="auto"/>
              <w:right w:val="single" w:sz="4" w:space="0" w:color="auto"/>
            </w:tcBorders>
          </w:tcPr>
          <w:p w14:paraId="4A1DE057" w14:textId="77777777" w:rsidR="00135C42" w:rsidRPr="004350A9" w:rsidRDefault="00000000" w:rsidP="00A4646C">
            <w:pPr>
              <w:jc w:val="both"/>
              <w:rPr>
                <w:rFonts w:eastAsia="Calibri"/>
                <w:color w:val="000000" w:themeColor="text1"/>
                <w:sz w:val="22"/>
                <w:szCs w:val="22"/>
              </w:rPr>
            </w:pPr>
            <m:oMathPara>
              <m:oMathParaPr>
                <m:jc m:val="left"/>
              </m:oMathParaPr>
              <m:oMath>
                <m:sSub>
                  <m:sSubPr>
                    <m:ctrlPr>
                      <w:rPr>
                        <w:rFonts w:ascii="Cambria Math" w:eastAsiaTheme="minorEastAsia" w:hAnsi="Cambria Math"/>
                        <w:i/>
                        <w:color w:val="000000" w:themeColor="text1"/>
                        <w:sz w:val="22"/>
                        <w:szCs w:val="22"/>
                      </w:rPr>
                    </m:ctrlPr>
                  </m:sSubPr>
                  <m:e>
                    <m:r>
                      <w:rPr>
                        <w:rFonts w:ascii="Cambria Math" w:eastAsiaTheme="minorEastAsia" w:hAnsi="Cambria Math"/>
                        <w:color w:val="000000" w:themeColor="text1"/>
                        <w:sz w:val="22"/>
                        <w:szCs w:val="22"/>
                      </w:rPr>
                      <m:t>τ</m:t>
                    </m:r>
                  </m:e>
                  <m:sub>
                    <m:r>
                      <w:rPr>
                        <w:rFonts w:ascii="Cambria Math" w:eastAsiaTheme="minorEastAsia" w:hAnsi="Cambria Math"/>
                        <w:color w:val="000000" w:themeColor="text1"/>
                        <w:sz w:val="22"/>
                        <w:szCs w:val="22"/>
                      </w:rPr>
                      <m:t>i,r</m:t>
                    </m:r>
                  </m:sub>
                </m:sSub>
              </m:oMath>
            </m:oMathPara>
          </w:p>
        </w:tc>
        <w:tc>
          <w:tcPr>
            <w:tcW w:w="695" w:type="pct"/>
            <w:tcBorders>
              <w:top w:val="single" w:sz="4" w:space="0" w:color="auto"/>
              <w:left w:val="single" w:sz="4" w:space="0" w:color="auto"/>
              <w:bottom w:val="single" w:sz="4" w:space="0" w:color="auto"/>
              <w:right w:val="single" w:sz="4" w:space="0" w:color="auto"/>
            </w:tcBorders>
          </w:tcPr>
          <w:p w14:paraId="77344BAF" w14:textId="77777777" w:rsidR="00135C42" w:rsidRPr="004350A9" w:rsidRDefault="00135C42" w:rsidP="001D10D4">
            <w:pPr>
              <w:jc w:val="both"/>
              <w:rPr>
                <w:color w:val="000000" w:themeColor="text1"/>
                <w:sz w:val="22"/>
                <w:szCs w:val="22"/>
              </w:rPr>
            </w:pPr>
            <w:r w:rsidRPr="004350A9">
              <w:rPr>
                <w:rFonts w:eastAsiaTheme="minorEastAsia"/>
                <w:color w:val="000000" w:themeColor="text1"/>
                <w:sz w:val="22"/>
                <w:szCs w:val="22"/>
              </w:rPr>
              <w:t xml:space="preserve">Probability of return to ART and suppressed in compartment </w:t>
            </w:r>
            <w:proofErr w:type="spellStart"/>
            <w:r w:rsidRPr="004350A9">
              <w:rPr>
                <w:rFonts w:eastAsiaTheme="minorEastAsia"/>
                <w:color w:val="000000" w:themeColor="text1"/>
                <w:sz w:val="22"/>
                <w:szCs w:val="22"/>
              </w:rPr>
              <w:t>i</w:t>
            </w:r>
            <w:proofErr w:type="spellEnd"/>
            <w:r w:rsidRPr="004350A9">
              <w:rPr>
                <w:rFonts w:eastAsiaTheme="minorEastAsia"/>
                <w:color w:val="000000" w:themeColor="text1"/>
                <w:sz w:val="22"/>
                <w:szCs w:val="22"/>
              </w:rPr>
              <w:t xml:space="preserve"> </w:t>
            </w:r>
            <w:r w:rsidRPr="004350A9">
              <w:rPr>
                <w:color w:val="000000" w:themeColor="text1"/>
                <w:sz w:val="22"/>
                <w:szCs w:val="22"/>
              </w:rPr>
              <w:t>for group r</w:t>
            </w:r>
          </w:p>
        </w:tc>
        <w:tc>
          <w:tcPr>
            <w:tcW w:w="626" w:type="pct"/>
            <w:vMerge/>
            <w:tcBorders>
              <w:left w:val="single" w:sz="4" w:space="0" w:color="auto"/>
              <w:right w:val="single" w:sz="4" w:space="0" w:color="auto"/>
            </w:tcBorders>
          </w:tcPr>
          <w:p w14:paraId="2C486FDD" w14:textId="77777777" w:rsidR="00135C42" w:rsidRPr="004350A9" w:rsidRDefault="00135C42">
            <w:pPr>
              <w:jc w:val="both"/>
              <w:rPr>
                <w:color w:val="000000" w:themeColor="text1"/>
                <w:sz w:val="22"/>
                <w:szCs w:val="22"/>
              </w:rPr>
            </w:pPr>
          </w:p>
        </w:tc>
        <w:tc>
          <w:tcPr>
            <w:tcW w:w="1355" w:type="pct"/>
            <w:vMerge/>
            <w:tcBorders>
              <w:left w:val="single" w:sz="4" w:space="0" w:color="auto"/>
              <w:right w:val="single" w:sz="4" w:space="0" w:color="auto"/>
            </w:tcBorders>
          </w:tcPr>
          <w:p w14:paraId="71F82B5A" w14:textId="77777777" w:rsidR="00135C42" w:rsidRPr="004350A9" w:rsidRDefault="00135C42">
            <w:pPr>
              <w:jc w:val="both"/>
              <w:rPr>
                <w:color w:val="000000" w:themeColor="text1"/>
                <w:sz w:val="22"/>
                <w:szCs w:val="22"/>
              </w:rPr>
            </w:pPr>
          </w:p>
        </w:tc>
        <w:tc>
          <w:tcPr>
            <w:tcW w:w="1077" w:type="pct"/>
            <w:gridSpan w:val="3"/>
            <w:vMerge/>
            <w:tcBorders>
              <w:left w:val="single" w:sz="4" w:space="0" w:color="auto"/>
              <w:right w:val="single" w:sz="4" w:space="0" w:color="auto"/>
            </w:tcBorders>
          </w:tcPr>
          <w:p w14:paraId="58A41321" w14:textId="77777777" w:rsidR="00135C42" w:rsidRPr="004350A9" w:rsidRDefault="00135C42">
            <w:pPr>
              <w:jc w:val="both"/>
              <w:rPr>
                <w:color w:val="000000" w:themeColor="text1"/>
                <w:sz w:val="22"/>
                <w:szCs w:val="22"/>
              </w:rPr>
            </w:pPr>
          </w:p>
        </w:tc>
        <w:tc>
          <w:tcPr>
            <w:tcW w:w="728" w:type="pct"/>
            <w:vMerge/>
            <w:tcBorders>
              <w:left w:val="single" w:sz="4" w:space="0" w:color="auto"/>
              <w:right w:val="single" w:sz="4" w:space="0" w:color="auto"/>
            </w:tcBorders>
          </w:tcPr>
          <w:p w14:paraId="297EC782" w14:textId="77777777" w:rsidR="00135C42" w:rsidRPr="004350A9" w:rsidRDefault="00135C42">
            <w:pPr>
              <w:jc w:val="both"/>
              <w:rPr>
                <w:color w:val="000000" w:themeColor="text1"/>
                <w:sz w:val="22"/>
                <w:szCs w:val="22"/>
              </w:rPr>
            </w:pPr>
          </w:p>
        </w:tc>
      </w:tr>
      <w:tr w:rsidR="00135C42" w:rsidRPr="004350A9" w14:paraId="51DE1EDC" w14:textId="77777777" w:rsidTr="00FA7C7E">
        <w:trPr>
          <w:trHeight w:val="221"/>
        </w:trPr>
        <w:tc>
          <w:tcPr>
            <w:tcW w:w="519" w:type="pct"/>
            <w:tcBorders>
              <w:top w:val="single" w:sz="4" w:space="0" w:color="auto"/>
              <w:left w:val="single" w:sz="4" w:space="0" w:color="auto"/>
              <w:bottom w:val="single" w:sz="4" w:space="0" w:color="auto"/>
              <w:right w:val="single" w:sz="4" w:space="0" w:color="auto"/>
            </w:tcBorders>
          </w:tcPr>
          <w:p w14:paraId="686BA326" w14:textId="77777777" w:rsidR="00135C42" w:rsidRPr="004350A9" w:rsidRDefault="00000000" w:rsidP="00A4646C">
            <w:pPr>
              <w:jc w:val="both"/>
              <w:rPr>
                <w:rFonts w:eastAsia="Calibri"/>
                <w:color w:val="000000" w:themeColor="text1"/>
                <w:sz w:val="22"/>
                <w:szCs w:val="22"/>
              </w:rPr>
            </w:pPr>
            <m:oMathPara>
              <m:oMathParaPr>
                <m:jc m:val="left"/>
              </m:oMathParaPr>
              <m:oMath>
                <m:sSub>
                  <m:sSubPr>
                    <m:ctrlPr>
                      <w:rPr>
                        <w:rFonts w:ascii="Cambria Math" w:eastAsia="Calibri" w:hAnsi="Cambria Math"/>
                        <w:i/>
                        <w:color w:val="000000" w:themeColor="text1"/>
                        <w:sz w:val="22"/>
                        <w:szCs w:val="22"/>
                      </w:rPr>
                    </m:ctrlPr>
                  </m:sSubPr>
                  <m:e>
                    <m:r>
                      <w:rPr>
                        <w:rFonts w:ascii="Cambria Math" w:eastAsia="Calibri" w:hAnsi="Cambria Math"/>
                        <w:color w:val="000000" w:themeColor="text1"/>
                        <w:sz w:val="22"/>
                        <w:szCs w:val="22"/>
                      </w:rPr>
                      <m:t>δ</m:t>
                    </m:r>
                  </m:e>
                  <m:sub>
                    <m:r>
                      <w:rPr>
                        <w:rFonts w:ascii="Cambria Math" w:eastAsia="Calibri" w:hAnsi="Cambria Math"/>
                        <w:color w:val="000000" w:themeColor="text1"/>
                        <w:sz w:val="22"/>
                        <w:szCs w:val="22"/>
                      </w:rPr>
                      <m:t>i,r</m:t>
                    </m:r>
                  </m:sub>
                </m:sSub>
              </m:oMath>
            </m:oMathPara>
          </w:p>
        </w:tc>
        <w:tc>
          <w:tcPr>
            <w:tcW w:w="695" w:type="pct"/>
            <w:tcBorders>
              <w:top w:val="single" w:sz="4" w:space="0" w:color="auto"/>
              <w:left w:val="single" w:sz="4" w:space="0" w:color="auto"/>
              <w:bottom w:val="single" w:sz="4" w:space="0" w:color="auto"/>
              <w:right w:val="single" w:sz="4" w:space="0" w:color="auto"/>
            </w:tcBorders>
          </w:tcPr>
          <w:p w14:paraId="045ED1C8" w14:textId="77777777" w:rsidR="00135C42" w:rsidRPr="004350A9" w:rsidRDefault="00135C42" w:rsidP="001D10D4">
            <w:pPr>
              <w:jc w:val="both"/>
              <w:rPr>
                <w:color w:val="000000" w:themeColor="text1"/>
                <w:sz w:val="22"/>
                <w:szCs w:val="22"/>
              </w:rPr>
            </w:pPr>
            <w:r w:rsidRPr="004350A9">
              <w:rPr>
                <w:rFonts w:eastAsiaTheme="minorEastAsia"/>
                <w:color w:val="000000" w:themeColor="text1"/>
                <w:sz w:val="22"/>
                <w:szCs w:val="22"/>
              </w:rPr>
              <w:t xml:space="preserve">Probability of HIV disease progression in </w:t>
            </w:r>
            <w:r w:rsidRPr="004350A9">
              <w:rPr>
                <w:rFonts w:eastAsiaTheme="minorEastAsia"/>
                <w:color w:val="000000" w:themeColor="text1"/>
                <w:sz w:val="22"/>
                <w:szCs w:val="22"/>
              </w:rPr>
              <w:lastRenderedPageBreak/>
              <w:t xml:space="preserve">compartment </w:t>
            </w:r>
            <w:proofErr w:type="spellStart"/>
            <w:r w:rsidRPr="004350A9">
              <w:rPr>
                <w:rFonts w:eastAsiaTheme="minorEastAsia"/>
                <w:color w:val="000000" w:themeColor="text1"/>
                <w:sz w:val="22"/>
                <w:szCs w:val="22"/>
              </w:rPr>
              <w:t>i</w:t>
            </w:r>
            <w:proofErr w:type="spellEnd"/>
            <w:r w:rsidRPr="004350A9">
              <w:rPr>
                <w:rFonts w:eastAsiaTheme="minorEastAsia"/>
                <w:color w:val="000000" w:themeColor="text1"/>
                <w:sz w:val="22"/>
                <w:szCs w:val="22"/>
              </w:rPr>
              <w:t xml:space="preserve"> </w:t>
            </w:r>
            <w:r w:rsidRPr="004350A9">
              <w:rPr>
                <w:color w:val="000000" w:themeColor="text1"/>
                <w:sz w:val="22"/>
                <w:szCs w:val="22"/>
              </w:rPr>
              <w:t>for group r</w:t>
            </w:r>
          </w:p>
        </w:tc>
        <w:tc>
          <w:tcPr>
            <w:tcW w:w="626" w:type="pct"/>
            <w:vMerge/>
            <w:tcBorders>
              <w:left w:val="single" w:sz="4" w:space="0" w:color="auto"/>
              <w:right w:val="single" w:sz="4" w:space="0" w:color="auto"/>
            </w:tcBorders>
          </w:tcPr>
          <w:p w14:paraId="44A2AB7D" w14:textId="77777777" w:rsidR="00135C42" w:rsidRPr="004350A9" w:rsidRDefault="00135C42">
            <w:pPr>
              <w:jc w:val="both"/>
              <w:rPr>
                <w:color w:val="000000" w:themeColor="text1"/>
                <w:sz w:val="22"/>
                <w:szCs w:val="22"/>
              </w:rPr>
            </w:pPr>
          </w:p>
        </w:tc>
        <w:tc>
          <w:tcPr>
            <w:tcW w:w="1355" w:type="pct"/>
            <w:vMerge/>
            <w:tcBorders>
              <w:left w:val="single" w:sz="4" w:space="0" w:color="auto"/>
              <w:right w:val="single" w:sz="4" w:space="0" w:color="auto"/>
            </w:tcBorders>
          </w:tcPr>
          <w:p w14:paraId="2F99BF57" w14:textId="77777777" w:rsidR="00135C42" w:rsidRPr="004350A9" w:rsidRDefault="00135C42">
            <w:pPr>
              <w:jc w:val="both"/>
              <w:rPr>
                <w:color w:val="000000" w:themeColor="text1"/>
                <w:sz w:val="22"/>
                <w:szCs w:val="22"/>
              </w:rPr>
            </w:pPr>
          </w:p>
        </w:tc>
        <w:tc>
          <w:tcPr>
            <w:tcW w:w="1077" w:type="pct"/>
            <w:gridSpan w:val="3"/>
            <w:vMerge/>
            <w:tcBorders>
              <w:left w:val="single" w:sz="4" w:space="0" w:color="auto"/>
              <w:right w:val="single" w:sz="4" w:space="0" w:color="auto"/>
            </w:tcBorders>
          </w:tcPr>
          <w:p w14:paraId="384E39C8" w14:textId="77777777" w:rsidR="00135C42" w:rsidRPr="004350A9" w:rsidRDefault="00135C42">
            <w:pPr>
              <w:jc w:val="both"/>
              <w:rPr>
                <w:color w:val="000000" w:themeColor="text1"/>
                <w:sz w:val="22"/>
                <w:szCs w:val="22"/>
              </w:rPr>
            </w:pPr>
          </w:p>
        </w:tc>
        <w:tc>
          <w:tcPr>
            <w:tcW w:w="728" w:type="pct"/>
            <w:vMerge/>
            <w:tcBorders>
              <w:left w:val="single" w:sz="4" w:space="0" w:color="auto"/>
              <w:right w:val="single" w:sz="4" w:space="0" w:color="auto"/>
            </w:tcBorders>
          </w:tcPr>
          <w:p w14:paraId="2C0B8AF2" w14:textId="77777777" w:rsidR="00135C42" w:rsidRPr="004350A9" w:rsidRDefault="00135C42">
            <w:pPr>
              <w:jc w:val="both"/>
              <w:rPr>
                <w:color w:val="000000" w:themeColor="text1"/>
                <w:sz w:val="22"/>
                <w:szCs w:val="22"/>
              </w:rPr>
            </w:pPr>
          </w:p>
        </w:tc>
      </w:tr>
      <w:tr w:rsidR="00135C42" w:rsidRPr="004350A9" w14:paraId="3D7D6A48" w14:textId="77777777" w:rsidTr="00FA7C7E">
        <w:trPr>
          <w:trHeight w:val="221"/>
        </w:trPr>
        <w:tc>
          <w:tcPr>
            <w:tcW w:w="519" w:type="pct"/>
            <w:tcBorders>
              <w:top w:val="single" w:sz="4" w:space="0" w:color="auto"/>
              <w:left w:val="single" w:sz="4" w:space="0" w:color="auto"/>
              <w:bottom w:val="single" w:sz="4" w:space="0" w:color="auto"/>
              <w:right w:val="single" w:sz="4" w:space="0" w:color="auto"/>
            </w:tcBorders>
          </w:tcPr>
          <w:p w14:paraId="5152B98F" w14:textId="77777777" w:rsidR="00135C42" w:rsidRPr="004350A9" w:rsidRDefault="00000000" w:rsidP="00A4646C">
            <w:pPr>
              <w:jc w:val="both"/>
              <w:rPr>
                <w:rFonts w:eastAsia="Calibri"/>
                <w:color w:val="000000" w:themeColor="text1"/>
                <w:sz w:val="22"/>
                <w:szCs w:val="22"/>
              </w:rPr>
            </w:pPr>
            <m:oMathPara>
              <m:oMathParaPr>
                <m:jc m:val="left"/>
              </m:oMathParaPr>
              <m:oMath>
                <m:sSub>
                  <m:sSubPr>
                    <m:ctrlPr>
                      <w:rPr>
                        <w:rFonts w:ascii="Cambria Math" w:eastAsia="Calibri" w:hAnsi="Cambria Math"/>
                        <w:i/>
                        <w:color w:val="000000" w:themeColor="text1"/>
                        <w:sz w:val="22"/>
                        <w:szCs w:val="22"/>
                      </w:rPr>
                    </m:ctrlPr>
                  </m:sSubPr>
                  <m:e>
                    <m:r>
                      <w:rPr>
                        <w:rFonts w:ascii="Cambria Math" w:eastAsia="Calibri" w:hAnsi="Cambria Math"/>
                        <w:color w:val="000000" w:themeColor="text1"/>
                        <w:sz w:val="22"/>
                        <w:szCs w:val="22"/>
                      </w:rPr>
                      <m:t>μ</m:t>
                    </m:r>
                  </m:e>
                  <m:sub>
                    <m:r>
                      <w:rPr>
                        <w:rFonts w:ascii="Cambria Math" w:eastAsia="Calibri" w:hAnsi="Cambria Math"/>
                        <w:color w:val="000000" w:themeColor="text1"/>
                        <w:sz w:val="22"/>
                        <w:szCs w:val="22"/>
                      </w:rPr>
                      <m:t>i,r</m:t>
                    </m:r>
                  </m:sub>
                </m:sSub>
              </m:oMath>
            </m:oMathPara>
          </w:p>
        </w:tc>
        <w:tc>
          <w:tcPr>
            <w:tcW w:w="695" w:type="pct"/>
            <w:tcBorders>
              <w:top w:val="single" w:sz="4" w:space="0" w:color="auto"/>
              <w:left w:val="single" w:sz="4" w:space="0" w:color="auto"/>
              <w:bottom w:val="single" w:sz="4" w:space="0" w:color="auto"/>
              <w:right w:val="single" w:sz="4" w:space="0" w:color="auto"/>
            </w:tcBorders>
          </w:tcPr>
          <w:p w14:paraId="6DA58268" w14:textId="77777777" w:rsidR="00135C42" w:rsidRPr="004350A9" w:rsidRDefault="00135C42" w:rsidP="001D10D4">
            <w:pPr>
              <w:jc w:val="both"/>
              <w:rPr>
                <w:rFonts w:eastAsiaTheme="minorEastAsia"/>
                <w:color w:val="000000" w:themeColor="text1"/>
                <w:sz w:val="22"/>
                <w:szCs w:val="22"/>
              </w:rPr>
            </w:pPr>
            <w:r w:rsidRPr="004350A9">
              <w:rPr>
                <w:color w:val="000000" w:themeColor="text1"/>
                <w:sz w:val="22"/>
                <w:szCs w:val="22"/>
              </w:rPr>
              <w:t>Probability of death</w:t>
            </w:r>
            <w:r w:rsidRPr="004350A9">
              <w:rPr>
                <w:rFonts w:eastAsiaTheme="minorEastAsia"/>
                <w:color w:val="000000" w:themeColor="text1"/>
                <w:sz w:val="22"/>
                <w:szCs w:val="22"/>
              </w:rPr>
              <w:t xml:space="preserve"> in compartment </w:t>
            </w:r>
            <w:proofErr w:type="spellStart"/>
            <w:r w:rsidRPr="004350A9">
              <w:rPr>
                <w:rFonts w:eastAsiaTheme="minorEastAsia"/>
                <w:color w:val="000000" w:themeColor="text1"/>
                <w:sz w:val="22"/>
                <w:szCs w:val="22"/>
              </w:rPr>
              <w:t>i</w:t>
            </w:r>
            <w:proofErr w:type="spellEnd"/>
            <w:r w:rsidRPr="004350A9">
              <w:rPr>
                <w:rFonts w:eastAsiaTheme="minorEastAsia"/>
                <w:color w:val="000000" w:themeColor="text1"/>
                <w:sz w:val="22"/>
                <w:szCs w:val="22"/>
              </w:rPr>
              <w:t xml:space="preserve"> </w:t>
            </w:r>
            <w:r w:rsidRPr="004350A9">
              <w:rPr>
                <w:color w:val="000000" w:themeColor="text1"/>
                <w:sz w:val="22"/>
                <w:szCs w:val="22"/>
              </w:rPr>
              <w:t>for group r</w:t>
            </w:r>
          </w:p>
        </w:tc>
        <w:tc>
          <w:tcPr>
            <w:tcW w:w="626" w:type="pct"/>
            <w:vMerge/>
            <w:tcBorders>
              <w:left w:val="single" w:sz="4" w:space="0" w:color="auto"/>
              <w:right w:val="single" w:sz="4" w:space="0" w:color="auto"/>
            </w:tcBorders>
          </w:tcPr>
          <w:p w14:paraId="0188B95C" w14:textId="77777777" w:rsidR="00135C42" w:rsidRPr="004350A9" w:rsidRDefault="00135C42">
            <w:pPr>
              <w:jc w:val="both"/>
              <w:rPr>
                <w:color w:val="000000" w:themeColor="text1"/>
                <w:sz w:val="22"/>
                <w:szCs w:val="22"/>
              </w:rPr>
            </w:pPr>
          </w:p>
        </w:tc>
        <w:tc>
          <w:tcPr>
            <w:tcW w:w="1355" w:type="pct"/>
            <w:vMerge/>
            <w:tcBorders>
              <w:left w:val="single" w:sz="4" w:space="0" w:color="auto"/>
              <w:right w:val="single" w:sz="4" w:space="0" w:color="auto"/>
            </w:tcBorders>
          </w:tcPr>
          <w:p w14:paraId="753BAF59" w14:textId="77777777" w:rsidR="00135C42" w:rsidRPr="004350A9" w:rsidRDefault="00135C42">
            <w:pPr>
              <w:jc w:val="both"/>
              <w:rPr>
                <w:color w:val="000000" w:themeColor="text1"/>
                <w:sz w:val="22"/>
                <w:szCs w:val="22"/>
              </w:rPr>
            </w:pPr>
          </w:p>
        </w:tc>
        <w:tc>
          <w:tcPr>
            <w:tcW w:w="1077" w:type="pct"/>
            <w:gridSpan w:val="3"/>
            <w:vMerge/>
            <w:tcBorders>
              <w:left w:val="single" w:sz="4" w:space="0" w:color="auto"/>
              <w:right w:val="single" w:sz="4" w:space="0" w:color="auto"/>
            </w:tcBorders>
          </w:tcPr>
          <w:p w14:paraId="0DC2DAA1" w14:textId="77777777" w:rsidR="00135C42" w:rsidRPr="004350A9" w:rsidRDefault="00135C42">
            <w:pPr>
              <w:jc w:val="both"/>
              <w:rPr>
                <w:color w:val="000000" w:themeColor="text1"/>
                <w:sz w:val="22"/>
                <w:szCs w:val="22"/>
              </w:rPr>
            </w:pPr>
          </w:p>
        </w:tc>
        <w:tc>
          <w:tcPr>
            <w:tcW w:w="728" w:type="pct"/>
            <w:vMerge/>
            <w:tcBorders>
              <w:left w:val="single" w:sz="4" w:space="0" w:color="auto"/>
              <w:right w:val="single" w:sz="4" w:space="0" w:color="auto"/>
            </w:tcBorders>
          </w:tcPr>
          <w:p w14:paraId="074A03B8" w14:textId="77777777" w:rsidR="00135C42" w:rsidRPr="004350A9" w:rsidRDefault="00135C42">
            <w:pPr>
              <w:jc w:val="both"/>
              <w:rPr>
                <w:color w:val="000000" w:themeColor="text1"/>
                <w:sz w:val="22"/>
                <w:szCs w:val="22"/>
              </w:rPr>
            </w:pPr>
          </w:p>
        </w:tc>
      </w:tr>
      <w:tr w:rsidR="00135C42" w:rsidRPr="004350A9" w14:paraId="0B2FB8ED" w14:textId="77777777" w:rsidTr="00FA7C7E">
        <w:trPr>
          <w:trHeight w:val="221"/>
        </w:trPr>
        <w:tc>
          <w:tcPr>
            <w:tcW w:w="519" w:type="pct"/>
            <w:tcBorders>
              <w:top w:val="single" w:sz="4" w:space="0" w:color="auto"/>
              <w:left w:val="single" w:sz="4" w:space="0" w:color="auto"/>
              <w:bottom w:val="single" w:sz="4" w:space="0" w:color="auto"/>
              <w:right w:val="single" w:sz="4" w:space="0" w:color="auto"/>
            </w:tcBorders>
          </w:tcPr>
          <w:p w14:paraId="0F632E17" w14:textId="77777777" w:rsidR="00135C42" w:rsidRPr="004350A9" w:rsidRDefault="00000000" w:rsidP="00A4646C">
            <w:pPr>
              <w:jc w:val="both"/>
              <w:rPr>
                <w:rFonts w:eastAsia="DengXian"/>
                <w:color w:val="000000" w:themeColor="text1"/>
                <w:sz w:val="22"/>
                <w:szCs w:val="22"/>
              </w:rPr>
            </w:pPr>
            <m:oMathPara>
              <m:oMathParaPr>
                <m:jc m:val="left"/>
              </m:oMathParaPr>
              <m:oMath>
                <m:sSub>
                  <m:sSubPr>
                    <m:ctrlPr>
                      <w:rPr>
                        <w:rFonts w:ascii="Cambria Math" w:eastAsia="Calibri" w:hAnsi="Cambria Math"/>
                        <w:i/>
                        <w:color w:val="000000" w:themeColor="text1"/>
                        <w:sz w:val="22"/>
                        <w:szCs w:val="22"/>
                      </w:rPr>
                    </m:ctrlPr>
                  </m:sSubPr>
                  <m:e>
                    <m:r>
                      <w:rPr>
                        <w:rFonts w:ascii="Cambria Math" w:eastAsia="Calibri" w:hAnsi="Cambria Math"/>
                        <w:color w:val="000000" w:themeColor="text1"/>
                        <w:sz w:val="22"/>
                        <w:szCs w:val="22"/>
                      </w:rPr>
                      <m:t>σ</m:t>
                    </m:r>
                  </m:e>
                  <m:sub>
                    <m:r>
                      <w:rPr>
                        <w:rFonts w:ascii="Cambria Math" w:eastAsia="Calibri" w:hAnsi="Cambria Math"/>
                        <w:color w:val="000000" w:themeColor="text1"/>
                        <w:sz w:val="22"/>
                        <w:szCs w:val="22"/>
                      </w:rPr>
                      <m:t>i,r</m:t>
                    </m:r>
                  </m:sub>
                </m:sSub>
              </m:oMath>
            </m:oMathPara>
          </w:p>
        </w:tc>
        <w:tc>
          <w:tcPr>
            <w:tcW w:w="695" w:type="pct"/>
            <w:tcBorders>
              <w:top w:val="single" w:sz="4" w:space="0" w:color="auto"/>
              <w:left w:val="single" w:sz="4" w:space="0" w:color="auto"/>
              <w:bottom w:val="single" w:sz="4" w:space="0" w:color="auto"/>
              <w:right w:val="single" w:sz="4" w:space="0" w:color="auto"/>
            </w:tcBorders>
          </w:tcPr>
          <w:p w14:paraId="6AEBEB57" w14:textId="77777777" w:rsidR="00135C42" w:rsidRPr="004350A9" w:rsidRDefault="00135C42" w:rsidP="001D10D4">
            <w:pPr>
              <w:jc w:val="both"/>
              <w:rPr>
                <w:color w:val="000000" w:themeColor="text1"/>
                <w:sz w:val="22"/>
                <w:szCs w:val="22"/>
              </w:rPr>
            </w:pPr>
            <w:r w:rsidRPr="004350A9">
              <w:rPr>
                <w:color w:val="000000" w:themeColor="text1"/>
                <w:sz w:val="22"/>
                <w:szCs w:val="22"/>
              </w:rPr>
              <w:t>Probability of link to care</w:t>
            </w:r>
            <w:r w:rsidRPr="004350A9">
              <w:rPr>
                <w:rFonts w:eastAsiaTheme="minorEastAsia"/>
                <w:color w:val="000000" w:themeColor="text1"/>
                <w:sz w:val="22"/>
                <w:szCs w:val="22"/>
              </w:rPr>
              <w:t xml:space="preserve"> in compartment </w:t>
            </w:r>
            <w:proofErr w:type="spellStart"/>
            <w:r w:rsidRPr="004350A9">
              <w:rPr>
                <w:rFonts w:eastAsiaTheme="minorEastAsia"/>
                <w:color w:val="000000" w:themeColor="text1"/>
                <w:sz w:val="22"/>
                <w:szCs w:val="22"/>
              </w:rPr>
              <w:t>i</w:t>
            </w:r>
            <w:proofErr w:type="spellEnd"/>
            <w:r w:rsidRPr="004350A9">
              <w:rPr>
                <w:rFonts w:eastAsiaTheme="minorEastAsia"/>
                <w:color w:val="000000" w:themeColor="text1"/>
                <w:sz w:val="22"/>
                <w:szCs w:val="22"/>
              </w:rPr>
              <w:t xml:space="preserve"> </w:t>
            </w:r>
            <w:r w:rsidRPr="004350A9">
              <w:rPr>
                <w:color w:val="000000" w:themeColor="text1"/>
                <w:sz w:val="22"/>
                <w:szCs w:val="22"/>
              </w:rPr>
              <w:t>for group r</w:t>
            </w:r>
          </w:p>
        </w:tc>
        <w:tc>
          <w:tcPr>
            <w:tcW w:w="626" w:type="pct"/>
            <w:vMerge/>
            <w:tcBorders>
              <w:left w:val="single" w:sz="4" w:space="0" w:color="auto"/>
              <w:bottom w:val="single" w:sz="4" w:space="0" w:color="auto"/>
              <w:right w:val="single" w:sz="4" w:space="0" w:color="auto"/>
            </w:tcBorders>
          </w:tcPr>
          <w:p w14:paraId="77B05147" w14:textId="77777777" w:rsidR="00135C42" w:rsidRPr="004350A9" w:rsidRDefault="00135C42">
            <w:pPr>
              <w:jc w:val="both"/>
              <w:rPr>
                <w:color w:val="000000" w:themeColor="text1"/>
                <w:sz w:val="22"/>
                <w:szCs w:val="22"/>
              </w:rPr>
            </w:pPr>
          </w:p>
        </w:tc>
        <w:tc>
          <w:tcPr>
            <w:tcW w:w="1355" w:type="pct"/>
            <w:vMerge/>
            <w:tcBorders>
              <w:left w:val="single" w:sz="4" w:space="0" w:color="auto"/>
              <w:bottom w:val="single" w:sz="4" w:space="0" w:color="auto"/>
              <w:right w:val="single" w:sz="4" w:space="0" w:color="auto"/>
            </w:tcBorders>
          </w:tcPr>
          <w:p w14:paraId="422B078E" w14:textId="77777777" w:rsidR="00135C42" w:rsidRPr="004350A9" w:rsidRDefault="00135C42">
            <w:pPr>
              <w:jc w:val="both"/>
              <w:rPr>
                <w:color w:val="000000" w:themeColor="text1"/>
                <w:sz w:val="22"/>
                <w:szCs w:val="22"/>
              </w:rPr>
            </w:pPr>
          </w:p>
        </w:tc>
        <w:tc>
          <w:tcPr>
            <w:tcW w:w="1077" w:type="pct"/>
            <w:gridSpan w:val="3"/>
            <w:vMerge/>
            <w:tcBorders>
              <w:left w:val="single" w:sz="4" w:space="0" w:color="auto"/>
              <w:bottom w:val="single" w:sz="4" w:space="0" w:color="auto"/>
              <w:right w:val="single" w:sz="4" w:space="0" w:color="auto"/>
            </w:tcBorders>
          </w:tcPr>
          <w:p w14:paraId="07CDA8AF" w14:textId="77777777" w:rsidR="00135C42" w:rsidRPr="004350A9" w:rsidRDefault="00135C42">
            <w:pPr>
              <w:jc w:val="both"/>
              <w:rPr>
                <w:color w:val="000000" w:themeColor="text1"/>
                <w:sz w:val="22"/>
                <w:szCs w:val="22"/>
              </w:rPr>
            </w:pPr>
          </w:p>
        </w:tc>
        <w:tc>
          <w:tcPr>
            <w:tcW w:w="728" w:type="pct"/>
            <w:vMerge/>
            <w:tcBorders>
              <w:left w:val="single" w:sz="4" w:space="0" w:color="auto"/>
              <w:bottom w:val="single" w:sz="4" w:space="0" w:color="auto"/>
              <w:right w:val="single" w:sz="4" w:space="0" w:color="auto"/>
            </w:tcBorders>
          </w:tcPr>
          <w:p w14:paraId="77CCE9BC" w14:textId="77777777" w:rsidR="00135C42" w:rsidRPr="004350A9" w:rsidRDefault="00135C42">
            <w:pPr>
              <w:jc w:val="both"/>
              <w:rPr>
                <w:color w:val="000000" w:themeColor="text1"/>
                <w:sz w:val="22"/>
                <w:szCs w:val="22"/>
              </w:rPr>
            </w:pPr>
          </w:p>
        </w:tc>
      </w:tr>
      <w:tr w:rsidR="00135C42" w:rsidRPr="004350A9" w14:paraId="7056BE1B" w14:textId="77777777" w:rsidTr="00FA7C7E">
        <w:trPr>
          <w:trHeight w:val="221"/>
        </w:trPr>
        <w:tc>
          <w:tcPr>
            <w:tcW w:w="5000" w:type="pct"/>
            <w:gridSpan w:val="8"/>
            <w:tcBorders>
              <w:top w:val="single" w:sz="4" w:space="0" w:color="auto"/>
              <w:left w:val="single" w:sz="4" w:space="0" w:color="auto"/>
              <w:bottom w:val="single" w:sz="4" w:space="0" w:color="auto"/>
              <w:right w:val="single" w:sz="4" w:space="0" w:color="auto"/>
            </w:tcBorders>
          </w:tcPr>
          <w:p w14:paraId="40D617AA" w14:textId="77777777" w:rsidR="00135C42" w:rsidRPr="004350A9" w:rsidRDefault="00135C42" w:rsidP="00A4646C">
            <w:pPr>
              <w:jc w:val="both"/>
              <w:rPr>
                <w:b/>
                <w:bCs/>
                <w:color w:val="000000" w:themeColor="text1"/>
                <w:sz w:val="22"/>
                <w:szCs w:val="22"/>
              </w:rPr>
            </w:pPr>
            <w:r w:rsidRPr="004350A9">
              <w:rPr>
                <w:b/>
                <w:bCs/>
                <w:color w:val="000000" w:themeColor="text1"/>
                <w:sz w:val="22"/>
                <w:szCs w:val="22"/>
              </w:rPr>
              <w:t>In force of infection equation</w:t>
            </w:r>
          </w:p>
        </w:tc>
      </w:tr>
      <w:tr w:rsidR="00135C42" w:rsidRPr="004350A9" w14:paraId="06CA16B6" w14:textId="77777777" w:rsidTr="00FA7C7E">
        <w:trPr>
          <w:trHeight w:val="221"/>
        </w:trPr>
        <w:tc>
          <w:tcPr>
            <w:tcW w:w="519" w:type="pct"/>
            <w:tcBorders>
              <w:top w:val="single" w:sz="4" w:space="0" w:color="auto"/>
              <w:left w:val="single" w:sz="4" w:space="0" w:color="auto"/>
              <w:bottom w:val="single" w:sz="4" w:space="0" w:color="auto"/>
              <w:right w:val="single" w:sz="4" w:space="0" w:color="auto"/>
            </w:tcBorders>
            <w:hideMark/>
          </w:tcPr>
          <w:p w14:paraId="4AC7FA7C" w14:textId="77777777" w:rsidR="00135C42" w:rsidRPr="004350A9" w:rsidRDefault="00000000" w:rsidP="00A4646C">
            <w:pPr>
              <w:jc w:val="both"/>
              <w:rPr>
                <w:rFonts w:eastAsiaTheme="minorEastAsia"/>
                <w:color w:val="000000" w:themeColor="text1"/>
                <w:sz w:val="22"/>
                <w:szCs w:val="22"/>
              </w:rPr>
            </w:pPr>
            <m:oMathPara>
              <m:oMathParaPr>
                <m:jc m:val="left"/>
              </m:oMathParaPr>
              <m:oMath>
                <m:sSub>
                  <m:sSubPr>
                    <m:ctrlPr>
                      <w:rPr>
                        <w:rFonts w:ascii="Cambria Math" w:eastAsia="Calibri" w:hAnsi="Cambria Math"/>
                        <w:i/>
                        <w:color w:val="000000" w:themeColor="text1"/>
                        <w:sz w:val="22"/>
                        <w:szCs w:val="22"/>
                      </w:rPr>
                    </m:ctrlPr>
                  </m:sSubPr>
                  <m:e>
                    <m:r>
                      <w:rPr>
                        <w:rFonts w:ascii="Cambria Math" w:hAnsi="Cambria Math"/>
                        <w:color w:val="000000" w:themeColor="text1"/>
                        <w:sz w:val="22"/>
                        <w:szCs w:val="22"/>
                      </w:rPr>
                      <m:t>β</m:t>
                    </m:r>
                  </m:e>
                  <m:sub>
                    <m:r>
                      <w:rPr>
                        <w:rFonts w:ascii="Cambria Math" w:eastAsia="Calibri" w:hAnsi="Cambria Math"/>
                        <w:color w:val="000000" w:themeColor="text1"/>
                        <w:sz w:val="22"/>
                        <w:szCs w:val="22"/>
                      </w:rPr>
                      <m:t>r</m:t>
                    </m:r>
                  </m:sub>
                </m:sSub>
              </m:oMath>
            </m:oMathPara>
          </w:p>
        </w:tc>
        <w:tc>
          <w:tcPr>
            <w:tcW w:w="695" w:type="pct"/>
            <w:tcBorders>
              <w:top w:val="single" w:sz="4" w:space="0" w:color="auto"/>
              <w:left w:val="single" w:sz="4" w:space="0" w:color="auto"/>
              <w:bottom w:val="single" w:sz="4" w:space="0" w:color="auto"/>
              <w:right w:val="single" w:sz="4" w:space="0" w:color="auto"/>
            </w:tcBorders>
            <w:hideMark/>
          </w:tcPr>
          <w:p w14:paraId="74E13771" w14:textId="77777777" w:rsidR="00135C42" w:rsidRPr="004350A9" w:rsidRDefault="00135C42" w:rsidP="001D10D4">
            <w:pPr>
              <w:jc w:val="both"/>
              <w:rPr>
                <w:color w:val="000000" w:themeColor="text1"/>
                <w:sz w:val="22"/>
                <w:szCs w:val="22"/>
              </w:rPr>
            </w:pPr>
            <w:r w:rsidRPr="004350A9">
              <w:rPr>
                <w:color w:val="000000" w:themeColor="text1"/>
                <w:sz w:val="22"/>
                <w:szCs w:val="22"/>
              </w:rPr>
              <w:t>Probability of HIV transmission per sex act for group r</w:t>
            </w:r>
          </w:p>
        </w:tc>
        <w:tc>
          <w:tcPr>
            <w:tcW w:w="626" w:type="pct"/>
            <w:tcBorders>
              <w:top w:val="single" w:sz="4" w:space="0" w:color="auto"/>
              <w:left w:val="single" w:sz="4" w:space="0" w:color="auto"/>
              <w:right w:val="single" w:sz="4" w:space="0" w:color="auto"/>
            </w:tcBorders>
          </w:tcPr>
          <w:p w14:paraId="7F18E66E" w14:textId="77777777" w:rsidR="00135C42" w:rsidRPr="004350A9" w:rsidRDefault="00135C42" w:rsidP="00527179">
            <w:pPr>
              <w:jc w:val="both"/>
              <w:rPr>
                <w:color w:val="000000" w:themeColor="text1"/>
                <w:sz w:val="22"/>
                <w:szCs w:val="22"/>
              </w:rPr>
            </w:pPr>
            <w:r w:rsidRPr="004350A9">
              <w:rPr>
                <w:color w:val="000000" w:themeColor="text1"/>
                <w:sz w:val="22"/>
                <w:szCs w:val="22"/>
              </w:rPr>
              <w:t>Log-normal distribution</w:t>
            </w:r>
          </w:p>
        </w:tc>
        <w:tc>
          <w:tcPr>
            <w:tcW w:w="1355" w:type="pct"/>
            <w:tcBorders>
              <w:top w:val="single" w:sz="4" w:space="0" w:color="auto"/>
              <w:left w:val="single" w:sz="4" w:space="0" w:color="auto"/>
              <w:right w:val="single" w:sz="4" w:space="0" w:color="auto"/>
            </w:tcBorders>
          </w:tcPr>
          <w:p w14:paraId="794CF7E1" w14:textId="77777777" w:rsidR="00135C42" w:rsidRPr="004350A9" w:rsidRDefault="00135C42" w:rsidP="00527179">
            <w:pPr>
              <w:jc w:val="both"/>
              <w:rPr>
                <w:color w:val="000000" w:themeColor="text1"/>
                <w:sz w:val="22"/>
                <w:szCs w:val="22"/>
              </w:rPr>
            </w:pPr>
            <w:r w:rsidRPr="004350A9">
              <w:rPr>
                <w:color w:val="000000" w:themeColor="text1"/>
                <w:sz w:val="22"/>
                <w:szCs w:val="22"/>
              </w:rPr>
              <w:t xml:space="preserve">Despite that it is a probability, the beta distribution is hard to apply since the original data comes from meta-analysis and estimates the pooled probabilities using random effect model based on inverse-variance method. According to the methods used, the underlying assumption to derive the pooled probability estimate and confidence interval is that the logarithm of probabilities is normally distributed. </w:t>
            </w:r>
          </w:p>
        </w:tc>
        <w:tc>
          <w:tcPr>
            <w:tcW w:w="1077" w:type="pct"/>
            <w:gridSpan w:val="3"/>
            <w:tcBorders>
              <w:top w:val="single" w:sz="4" w:space="0" w:color="auto"/>
              <w:left w:val="single" w:sz="4" w:space="0" w:color="auto"/>
              <w:bottom w:val="single" w:sz="4" w:space="0" w:color="auto"/>
              <w:right w:val="single" w:sz="4" w:space="0" w:color="auto"/>
            </w:tcBorders>
          </w:tcPr>
          <w:p w14:paraId="18CE5E90" w14:textId="77777777" w:rsidR="00135C42" w:rsidRPr="004350A9" w:rsidRDefault="00135C42" w:rsidP="00527179">
            <w:pPr>
              <w:jc w:val="both"/>
              <w:rPr>
                <w:color w:val="000000" w:themeColor="text1"/>
                <w:sz w:val="22"/>
                <w:szCs w:val="22"/>
              </w:rPr>
            </w:pPr>
            <w:r w:rsidRPr="004350A9">
              <w:rPr>
                <w:color w:val="000000" w:themeColor="text1"/>
                <w:sz w:val="22"/>
                <w:szCs w:val="22"/>
              </w:rPr>
              <w:t>The model will require the mean and variance of the natural log of the probabilities of HIV transmission per sex act.</w:t>
            </w:r>
          </w:p>
        </w:tc>
        <w:tc>
          <w:tcPr>
            <w:tcW w:w="728" w:type="pct"/>
            <w:tcBorders>
              <w:top w:val="single" w:sz="4" w:space="0" w:color="auto"/>
              <w:left w:val="single" w:sz="4" w:space="0" w:color="auto"/>
              <w:bottom w:val="single" w:sz="4" w:space="0" w:color="auto"/>
              <w:right w:val="single" w:sz="4" w:space="0" w:color="auto"/>
            </w:tcBorders>
          </w:tcPr>
          <w:p w14:paraId="400E7C79" w14:textId="77777777" w:rsidR="00135C42" w:rsidRPr="004350A9" w:rsidRDefault="00135C42" w:rsidP="00E71320">
            <w:pPr>
              <w:jc w:val="both"/>
              <w:rPr>
                <w:color w:val="000000" w:themeColor="text1"/>
                <w:sz w:val="22"/>
                <w:szCs w:val="22"/>
              </w:rPr>
            </w:pPr>
            <w:r w:rsidRPr="004350A9">
              <w:rPr>
                <w:color w:val="000000" w:themeColor="text1"/>
                <w:sz w:val="22"/>
                <w:szCs w:val="22"/>
              </w:rPr>
              <w:t xml:space="preserve">The means and variances can be estimated from the point estimates and 95% confidence interval reported in the literature. </w:t>
            </w:r>
          </w:p>
        </w:tc>
      </w:tr>
      <w:tr w:rsidR="00135C42" w:rsidRPr="004350A9" w14:paraId="1440A097" w14:textId="77777777" w:rsidTr="00FA7C7E">
        <w:trPr>
          <w:trHeight w:val="2303"/>
        </w:trPr>
        <w:tc>
          <w:tcPr>
            <w:tcW w:w="519" w:type="pct"/>
            <w:tcBorders>
              <w:top w:val="single" w:sz="4" w:space="0" w:color="auto"/>
              <w:left w:val="single" w:sz="4" w:space="0" w:color="auto"/>
              <w:bottom w:val="single" w:sz="4" w:space="0" w:color="auto"/>
              <w:right w:val="single" w:sz="4" w:space="0" w:color="auto"/>
            </w:tcBorders>
            <w:hideMark/>
          </w:tcPr>
          <w:p w14:paraId="11D5F50C" w14:textId="77777777" w:rsidR="00135C42" w:rsidRPr="004350A9" w:rsidRDefault="00000000" w:rsidP="00A4646C">
            <w:pPr>
              <w:jc w:val="both"/>
              <w:rPr>
                <w:rFonts w:eastAsia="Calibri"/>
                <w:i/>
                <w:color w:val="000000" w:themeColor="text1"/>
                <w:sz w:val="22"/>
                <w:szCs w:val="22"/>
              </w:rPr>
            </w:pPr>
            <m:oMathPara>
              <m:oMathParaPr>
                <m:jc m:val="left"/>
              </m:oMathParaPr>
              <m:oMath>
                <m:sSub>
                  <m:sSubPr>
                    <m:ctrlPr>
                      <w:rPr>
                        <w:rFonts w:ascii="Cambria Math" w:eastAsia="Calibri" w:hAnsi="Cambria Math"/>
                        <w:i/>
                        <w:color w:val="000000" w:themeColor="text1"/>
                        <w:sz w:val="22"/>
                        <w:szCs w:val="22"/>
                      </w:rPr>
                    </m:ctrlPr>
                  </m:sSubPr>
                  <m:e>
                    <m:r>
                      <w:rPr>
                        <w:rFonts w:ascii="Cambria Math" w:eastAsia="Calibri" w:hAnsi="Cambria Math"/>
                        <w:color w:val="000000" w:themeColor="text1"/>
                        <w:sz w:val="22"/>
                        <w:szCs w:val="22"/>
                      </w:rPr>
                      <m:t>c</m:t>
                    </m:r>
                  </m:e>
                  <m:sub>
                    <m:r>
                      <w:rPr>
                        <w:rFonts w:ascii="Cambria Math" w:eastAsia="Calibri" w:hAnsi="Cambria Math"/>
                        <w:color w:val="000000" w:themeColor="text1"/>
                        <w:sz w:val="22"/>
                        <w:szCs w:val="22"/>
                      </w:rPr>
                      <m:t>r</m:t>
                    </m:r>
                  </m:sub>
                </m:sSub>
              </m:oMath>
            </m:oMathPara>
          </w:p>
        </w:tc>
        <w:tc>
          <w:tcPr>
            <w:tcW w:w="695" w:type="pct"/>
            <w:tcBorders>
              <w:top w:val="single" w:sz="4" w:space="0" w:color="auto"/>
              <w:left w:val="single" w:sz="4" w:space="0" w:color="auto"/>
              <w:bottom w:val="single" w:sz="4" w:space="0" w:color="auto"/>
              <w:right w:val="single" w:sz="4" w:space="0" w:color="auto"/>
            </w:tcBorders>
            <w:hideMark/>
          </w:tcPr>
          <w:p w14:paraId="58269849" w14:textId="77777777" w:rsidR="00135C42" w:rsidRPr="004350A9" w:rsidRDefault="00135C42" w:rsidP="001D10D4">
            <w:pPr>
              <w:jc w:val="both"/>
              <w:rPr>
                <w:rFonts w:eastAsiaTheme="minorEastAsia"/>
                <w:color w:val="000000" w:themeColor="text1"/>
                <w:sz w:val="22"/>
                <w:szCs w:val="22"/>
              </w:rPr>
            </w:pPr>
            <w:r w:rsidRPr="004350A9">
              <w:rPr>
                <w:rFonts w:eastAsiaTheme="minorEastAsia"/>
                <w:color w:val="000000" w:themeColor="text1"/>
                <w:sz w:val="22"/>
                <w:szCs w:val="22"/>
              </w:rPr>
              <w:t>Proportion of consistent condom use for group r</w:t>
            </w:r>
          </w:p>
        </w:tc>
        <w:tc>
          <w:tcPr>
            <w:tcW w:w="626" w:type="pct"/>
            <w:tcBorders>
              <w:left w:val="single" w:sz="4" w:space="0" w:color="auto"/>
              <w:bottom w:val="single" w:sz="4" w:space="0" w:color="auto"/>
              <w:right w:val="single" w:sz="4" w:space="0" w:color="auto"/>
            </w:tcBorders>
          </w:tcPr>
          <w:p w14:paraId="5BAD1AEF" w14:textId="77777777" w:rsidR="00135C42" w:rsidRPr="004350A9" w:rsidRDefault="00135C42" w:rsidP="00527179">
            <w:pPr>
              <w:jc w:val="both"/>
              <w:rPr>
                <w:color w:val="000000" w:themeColor="text1"/>
                <w:sz w:val="22"/>
                <w:szCs w:val="22"/>
              </w:rPr>
            </w:pPr>
            <w:r w:rsidRPr="004350A9">
              <w:rPr>
                <w:color w:val="000000" w:themeColor="text1"/>
                <w:sz w:val="22"/>
                <w:szCs w:val="22"/>
              </w:rPr>
              <w:t>Beta</w:t>
            </w:r>
          </w:p>
          <w:p w14:paraId="1AEF2AAD" w14:textId="77777777" w:rsidR="00135C42" w:rsidRPr="004350A9" w:rsidRDefault="00135C42" w:rsidP="00527179">
            <w:pPr>
              <w:jc w:val="both"/>
              <w:rPr>
                <w:color w:val="000000" w:themeColor="text1"/>
                <w:sz w:val="22"/>
                <w:szCs w:val="22"/>
              </w:rPr>
            </w:pPr>
          </w:p>
        </w:tc>
        <w:tc>
          <w:tcPr>
            <w:tcW w:w="1355" w:type="pct"/>
            <w:tcBorders>
              <w:left w:val="single" w:sz="4" w:space="0" w:color="auto"/>
              <w:bottom w:val="single" w:sz="4" w:space="0" w:color="auto"/>
              <w:right w:val="single" w:sz="4" w:space="0" w:color="auto"/>
            </w:tcBorders>
          </w:tcPr>
          <w:p w14:paraId="6444FF3E" w14:textId="77777777" w:rsidR="00135C42" w:rsidRPr="004350A9" w:rsidRDefault="00135C42" w:rsidP="00527179">
            <w:pPr>
              <w:jc w:val="both"/>
              <w:rPr>
                <w:color w:val="000000" w:themeColor="text1"/>
                <w:sz w:val="22"/>
                <w:szCs w:val="22"/>
              </w:rPr>
            </w:pPr>
            <w:r w:rsidRPr="004350A9">
              <w:rPr>
                <w:color w:val="000000" w:themeColor="text1"/>
                <w:sz w:val="22"/>
                <w:szCs w:val="22"/>
              </w:rPr>
              <w:t xml:space="preserve">The parameter is a probability bounded within the interval [0,1]. Beta distribution is suitable for probabilities and proportions not only because is defined on interval [0,1] and commonly used to calibrate probabilities but also because beta distribution is a standard result in statistics </w:t>
            </w:r>
          </w:p>
          <w:p w14:paraId="4600E9E8" w14:textId="77777777" w:rsidR="00135C42" w:rsidRPr="004350A9" w:rsidRDefault="00135C42" w:rsidP="00E71320">
            <w:pPr>
              <w:jc w:val="both"/>
              <w:rPr>
                <w:color w:val="000000" w:themeColor="text1"/>
                <w:sz w:val="22"/>
                <w:szCs w:val="22"/>
              </w:rPr>
            </w:pPr>
          </w:p>
        </w:tc>
        <w:tc>
          <w:tcPr>
            <w:tcW w:w="1077" w:type="pct"/>
            <w:gridSpan w:val="3"/>
            <w:tcBorders>
              <w:top w:val="single" w:sz="4" w:space="0" w:color="auto"/>
              <w:left w:val="single" w:sz="4" w:space="0" w:color="auto"/>
              <w:bottom w:val="single" w:sz="4" w:space="0" w:color="auto"/>
              <w:right w:val="single" w:sz="4" w:space="0" w:color="auto"/>
            </w:tcBorders>
          </w:tcPr>
          <w:p w14:paraId="2C1A30D7" w14:textId="77777777" w:rsidR="00135C42" w:rsidRPr="004350A9" w:rsidRDefault="00135C42" w:rsidP="00E71320">
            <w:pPr>
              <w:jc w:val="both"/>
              <w:rPr>
                <w:color w:val="000000" w:themeColor="text1"/>
                <w:sz w:val="22"/>
                <w:szCs w:val="22"/>
              </w:rPr>
            </w:pPr>
            <w:r w:rsidRPr="004350A9">
              <w:rPr>
                <w:color w:val="000000" w:themeColor="text1"/>
                <w:sz w:val="22"/>
                <w:szCs w:val="22"/>
              </w:rPr>
              <w:t xml:space="preserve">The shape parameters can be estimated via mean </w:t>
            </w:r>
            <m:oMath>
              <m:r>
                <w:rPr>
                  <w:rFonts w:ascii="Cambria Math" w:hAnsi="Cambria Math"/>
                  <w:color w:val="000000" w:themeColor="text1"/>
                  <w:sz w:val="22"/>
                  <w:szCs w:val="22"/>
                </w:rPr>
                <m:t>(μ)</m:t>
              </m:r>
            </m:oMath>
            <w:r w:rsidRPr="004350A9">
              <w:rPr>
                <w:color w:val="000000" w:themeColor="text1"/>
                <w:sz w:val="22"/>
                <w:szCs w:val="22"/>
              </w:rPr>
              <w:t xml:space="preserve">  and sample size </w:t>
            </w:r>
            <m:oMath>
              <m:r>
                <w:rPr>
                  <w:rFonts w:ascii="Cambria Math" w:hAnsi="Cambria Math"/>
                  <w:color w:val="000000" w:themeColor="text1"/>
                  <w:sz w:val="22"/>
                  <w:szCs w:val="22"/>
                </w:rPr>
                <m:t>(v)</m:t>
              </m:r>
            </m:oMath>
            <w:r w:rsidRPr="004350A9">
              <w:rPr>
                <w:color w:val="000000" w:themeColor="text1"/>
                <w:sz w:val="22"/>
                <w:szCs w:val="22"/>
              </w:rPr>
              <w:t>.</w:t>
            </w:r>
          </w:p>
          <w:p w14:paraId="03D06D7E" w14:textId="77777777" w:rsidR="00135C42" w:rsidRPr="004350A9" w:rsidRDefault="00135C42" w:rsidP="00E71320">
            <w:pPr>
              <w:jc w:val="both"/>
              <w:rPr>
                <w:color w:val="000000" w:themeColor="text1"/>
                <w:sz w:val="22"/>
                <w:szCs w:val="22"/>
              </w:rPr>
            </w:pPr>
            <m:oMathPara>
              <m:oMath>
                <m:r>
                  <w:rPr>
                    <w:rFonts w:ascii="Cambria Math" w:hAnsi="Cambria Math"/>
                    <w:color w:val="000000" w:themeColor="text1"/>
                    <w:sz w:val="22"/>
                    <w:szCs w:val="22"/>
                  </w:rPr>
                  <m:t>α=μv</m:t>
                </m:r>
              </m:oMath>
            </m:oMathPara>
          </w:p>
          <w:p w14:paraId="6E0535E4" w14:textId="77777777" w:rsidR="00135C42" w:rsidRPr="004350A9" w:rsidRDefault="00135C42" w:rsidP="00E71320">
            <w:pPr>
              <w:jc w:val="both"/>
              <w:rPr>
                <w:color w:val="000000" w:themeColor="text1"/>
                <w:sz w:val="22"/>
                <w:szCs w:val="22"/>
              </w:rPr>
            </w:pPr>
            <m:oMathPara>
              <m:oMath>
                <m:r>
                  <w:rPr>
                    <w:rFonts w:ascii="Cambria Math" w:hAnsi="Cambria Math"/>
                    <w:color w:val="000000" w:themeColor="text1"/>
                    <w:sz w:val="22"/>
                    <w:szCs w:val="22"/>
                  </w:rPr>
                  <m:t>β=(1-μ)v</m:t>
                </m:r>
              </m:oMath>
            </m:oMathPara>
          </w:p>
        </w:tc>
        <w:tc>
          <w:tcPr>
            <w:tcW w:w="728" w:type="pct"/>
            <w:tcBorders>
              <w:top w:val="single" w:sz="4" w:space="0" w:color="auto"/>
              <w:left w:val="single" w:sz="4" w:space="0" w:color="auto"/>
              <w:bottom w:val="single" w:sz="4" w:space="0" w:color="auto"/>
              <w:right w:val="single" w:sz="4" w:space="0" w:color="auto"/>
            </w:tcBorders>
          </w:tcPr>
          <w:p w14:paraId="58F151BB" w14:textId="77777777" w:rsidR="00135C42" w:rsidRPr="004350A9" w:rsidRDefault="00135C42" w:rsidP="002C3EFA">
            <w:pPr>
              <w:jc w:val="both"/>
              <w:rPr>
                <w:color w:val="000000" w:themeColor="text1"/>
                <w:sz w:val="22"/>
                <w:szCs w:val="22"/>
              </w:rPr>
            </w:pPr>
            <w:r w:rsidRPr="004350A9">
              <w:rPr>
                <w:color w:val="000000" w:themeColor="text1"/>
                <w:sz w:val="22"/>
                <w:szCs w:val="22"/>
              </w:rPr>
              <w:t xml:space="preserve">For the probabilities estimated from the survey data, we can easily derive the parameters. </w:t>
            </w:r>
          </w:p>
          <w:p w14:paraId="3CD94DF9" w14:textId="77777777" w:rsidR="00135C42" w:rsidRPr="004350A9" w:rsidRDefault="00135C42" w:rsidP="00550A15">
            <w:pPr>
              <w:jc w:val="both"/>
              <w:rPr>
                <w:color w:val="000000" w:themeColor="text1"/>
                <w:sz w:val="22"/>
                <w:szCs w:val="22"/>
              </w:rPr>
            </w:pPr>
          </w:p>
          <w:p w14:paraId="77911787" w14:textId="77777777" w:rsidR="00135C42" w:rsidRPr="004350A9" w:rsidRDefault="00135C42" w:rsidP="00550A15">
            <w:pPr>
              <w:jc w:val="both"/>
              <w:rPr>
                <w:color w:val="000000" w:themeColor="text1"/>
                <w:sz w:val="22"/>
                <w:szCs w:val="22"/>
              </w:rPr>
            </w:pPr>
            <w:r w:rsidRPr="004350A9">
              <w:rPr>
                <w:color w:val="000000" w:themeColor="text1"/>
                <w:sz w:val="22"/>
                <w:szCs w:val="22"/>
              </w:rPr>
              <w:t xml:space="preserve">For the probabilities reported in the literature the mean and sample size are reported. </w:t>
            </w:r>
          </w:p>
        </w:tc>
      </w:tr>
      <w:tr w:rsidR="00135C42" w:rsidRPr="004350A9" w14:paraId="19A1E91F" w14:textId="77777777" w:rsidTr="00FA7C7E">
        <w:trPr>
          <w:trHeight w:val="539"/>
        </w:trPr>
        <w:tc>
          <w:tcPr>
            <w:tcW w:w="519" w:type="pct"/>
            <w:tcBorders>
              <w:top w:val="single" w:sz="4" w:space="0" w:color="auto"/>
              <w:left w:val="single" w:sz="4" w:space="0" w:color="auto"/>
              <w:bottom w:val="single" w:sz="4" w:space="0" w:color="auto"/>
              <w:right w:val="single" w:sz="4" w:space="0" w:color="auto"/>
            </w:tcBorders>
          </w:tcPr>
          <w:p w14:paraId="0E5D6ECA" w14:textId="77777777" w:rsidR="00135C42" w:rsidRPr="003F2CC5" w:rsidRDefault="00000000" w:rsidP="00A4646C">
            <w:pPr>
              <w:jc w:val="both"/>
              <w:rPr>
                <w:rFonts w:eastAsia="DengXian"/>
                <w:color w:val="000000" w:themeColor="text1"/>
                <w:sz w:val="22"/>
                <w:szCs w:val="22"/>
              </w:rPr>
            </w:pPr>
            <m:oMathPara>
              <m:oMathParaPr>
                <m:jc m:val="left"/>
              </m:oMathParaPr>
              <m:oMath>
                <m:sSub>
                  <m:sSubPr>
                    <m:ctrlPr>
                      <w:rPr>
                        <w:rFonts w:ascii="Cambria Math" w:eastAsia="Calibri" w:hAnsi="Cambria Math"/>
                        <w:i/>
                        <w:color w:val="000000" w:themeColor="text1"/>
                        <w:sz w:val="22"/>
                        <w:szCs w:val="22"/>
                      </w:rPr>
                    </m:ctrlPr>
                  </m:sSubPr>
                  <m:e>
                    <m:r>
                      <w:rPr>
                        <w:rFonts w:ascii="Cambria Math" w:eastAsia="Calibri" w:hAnsi="Cambria Math"/>
                        <w:color w:val="000000" w:themeColor="text1"/>
                        <w:sz w:val="22"/>
                        <w:szCs w:val="22"/>
                      </w:rPr>
                      <m:t>η</m:t>
                    </m:r>
                  </m:e>
                  <m:sub>
                    <m:r>
                      <w:rPr>
                        <w:rFonts w:ascii="Cambria Math" w:eastAsia="Calibri" w:hAnsi="Cambria Math"/>
                        <w:color w:val="000000" w:themeColor="text1"/>
                        <w:sz w:val="22"/>
                        <w:szCs w:val="22"/>
                      </w:rPr>
                      <m:t>r</m:t>
                    </m:r>
                  </m:sub>
                </m:sSub>
              </m:oMath>
            </m:oMathPara>
          </w:p>
        </w:tc>
        <w:tc>
          <w:tcPr>
            <w:tcW w:w="695" w:type="pct"/>
            <w:tcBorders>
              <w:top w:val="single" w:sz="4" w:space="0" w:color="auto"/>
              <w:left w:val="single" w:sz="4" w:space="0" w:color="auto"/>
              <w:bottom w:val="single" w:sz="4" w:space="0" w:color="auto"/>
              <w:right w:val="single" w:sz="4" w:space="0" w:color="auto"/>
            </w:tcBorders>
          </w:tcPr>
          <w:p w14:paraId="316FFC1F" w14:textId="77777777" w:rsidR="00135C42" w:rsidRPr="003F2CC5" w:rsidRDefault="00135C42" w:rsidP="001D10D4">
            <w:pPr>
              <w:jc w:val="both"/>
              <w:rPr>
                <w:color w:val="000000" w:themeColor="text1"/>
                <w:sz w:val="22"/>
                <w:szCs w:val="22"/>
              </w:rPr>
            </w:pPr>
            <w:r w:rsidRPr="003F2CC5">
              <w:rPr>
                <w:rFonts w:eastAsiaTheme="minorEastAsia"/>
                <w:color w:val="000000" w:themeColor="text1"/>
                <w:sz w:val="22"/>
                <w:szCs w:val="22"/>
              </w:rPr>
              <w:t>Average number of sexual acts for group r</w:t>
            </w:r>
          </w:p>
        </w:tc>
        <w:tc>
          <w:tcPr>
            <w:tcW w:w="626" w:type="pct"/>
            <w:tcBorders>
              <w:top w:val="single" w:sz="4" w:space="0" w:color="auto"/>
              <w:left w:val="single" w:sz="4" w:space="0" w:color="auto"/>
              <w:right w:val="single" w:sz="4" w:space="0" w:color="auto"/>
            </w:tcBorders>
          </w:tcPr>
          <w:p w14:paraId="302808B4" w14:textId="77777777" w:rsidR="00135C42" w:rsidRPr="004350A9" w:rsidRDefault="00135C42" w:rsidP="00527179">
            <w:pPr>
              <w:jc w:val="both"/>
              <w:rPr>
                <w:color w:val="000000" w:themeColor="text1"/>
                <w:sz w:val="22"/>
                <w:szCs w:val="22"/>
              </w:rPr>
            </w:pPr>
            <w:r w:rsidRPr="004350A9">
              <w:rPr>
                <w:color w:val="000000" w:themeColor="text1"/>
                <w:sz w:val="22"/>
                <w:szCs w:val="22"/>
              </w:rPr>
              <w:t>Uniform distribution</w:t>
            </w:r>
          </w:p>
        </w:tc>
        <w:tc>
          <w:tcPr>
            <w:tcW w:w="1355" w:type="pct"/>
            <w:tcBorders>
              <w:top w:val="single" w:sz="4" w:space="0" w:color="auto"/>
              <w:left w:val="single" w:sz="4" w:space="0" w:color="auto"/>
              <w:right w:val="single" w:sz="4" w:space="0" w:color="auto"/>
            </w:tcBorders>
          </w:tcPr>
          <w:p w14:paraId="0AE2BA42" w14:textId="77777777" w:rsidR="00135C42" w:rsidRPr="004350A9" w:rsidRDefault="00135C42" w:rsidP="00527179">
            <w:pPr>
              <w:jc w:val="both"/>
              <w:rPr>
                <w:color w:val="000000" w:themeColor="text1"/>
                <w:sz w:val="22"/>
                <w:szCs w:val="22"/>
              </w:rPr>
            </w:pPr>
            <w:r w:rsidRPr="004350A9">
              <w:rPr>
                <w:color w:val="000000" w:themeColor="text1"/>
                <w:sz w:val="22"/>
                <w:szCs w:val="22"/>
              </w:rPr>
              <w:t xml:space="preserve">The data is reported using median and IQR instead of mean and variances. Despite that gamma distribution could fit the distribution of data better, it is unable to estimate the parameters in gamma distribution using the information reported in the literature, </w:t>
            </w:r>
          </w:p>
        </w:tc>
        <w:tc>
          <w:tcPr>
            <w:tcW w:w="1077" w:type="pct"/>
            <w:gridSpan w:val="3"/>
            <w:tcBorders>
              <w:top w:val="single" w:sz="4" w:space="0" w:color="auto"/>
              <w:left w:val="single" w:sz="4" w:space="0" w:color="auto"/>
              <w:right w:val="single" w:sz="4" w:space="0" w:color="auto"/>
            </w:tcBorders>
          </w:tcPr>
          <w:p w14:paraId="371039CA" w14:textId="77777777" w:rsidR="00135C42" w:rsidRPr="004350A9" w:rsidRDefault="00135C42" w:rsidP="00527179">
            <w:pPr>
              <w:jc w:val="both"/>
              <w:rPr>
                <w:color w:val="000000" w:themeColor="text1"/>
                <w:sz w:val="22"/>
                <w:szCs w:val="22"/>
              </w:rPr>
            </w:pPr>
            <w:r w:rsidRPr="004350A9">
              <w:rPr>
                <w:color w:val="000000" w:themeColor="text1"/>
                <w:sz w:val="22"/>
                <w:szCs w:val="22"/>
              </w:rPr>
              <w:t>The bounds will be used.</w:t>
            </w:r>
          </w:p>
        </w:tc>
        <w:tc>
          <w:tcPr>
            <w:tcW w:w="728" w:type="pct"/>
            <w:tcBorders>
              <w:top w:val="single" w:sz="4" w:space="0" w:color="auto"/>
              <w:left w:val="single" w:sz="4" w:space="0" w:color="auto"/>
              <w:right w:val="single" w:sz="4" w:space="0" w:color="auto"/>
            </w:tcBorders>
          </w:tcPr>
          <w:p w14:paraId="0485BCA0" w14:textId="77777777" w:rsidR="00135C42" w:rsidRPr="004350A9" w:rsidRDefault="00135C42" w:rsidP="00E71320">
            <w:pPr>
              <w:jc w:val="both"/>
              <w:rPr>
                <w:color w:val="000000" w:themeColor="text1"/>
                <w:sz w:val="22"/>
                <w:szCs w:val="22"/>
              </w:rPr>
            </w:pPr>
            <w:r w:rsidRPr="004350A9">
              <w:rPr>
                <w:color w:val="000000" w:themeColor="text1"/>
                <w:sz w:val="22"/>
                <w:szCs w:val="22"/>
              </w:rPr>
              <w:t xml:space="preserve">The bounds come from the literature.   </w:t>
            </w:r>
          </w:p>
        </w:tc>
      </w:tr>
      <w:tr w:rsidR="00135C42" w:rsidRPr="004350A9" w14:paraId="1922AF86" w14:textId="77777777" w:rsidTr="00FA7C7E">
        <w:trPr>
          <w:trHeight w:val="221"/>
        </w:trPr>
        <w:tc>
          <w:tcPr>
            <w:tcW w:w="519" w:type="pct"/>
            <w:tcBorders>
              <w:top w:val="single" w:sz="4" w:space="0" w:color="auto"/>
              <w:left w:val="single" w:sz="4" w:space="0" w:color="auto"/>
              <w:bottom w:val="single" w:sz="4" w:space="0" w:color="auto"/>
              <w:right w:val="single" w:sz="4" w:space="0" w:color="auto"/>
            </w:tcBorders>
            <w:hideMark/>
          </w:tcPr>
          <w:p w14:paraId="7378F711" w14:textId="77777777" w:rsidR="00135C42" w:rsidRPr="003F2CC5" w:rsidRDefault="00135C42" w:rsidP="00A4646C">
            <w:pPr>
              <w:jc w:val="both"/>
              <w:rPr>
                <w:rFonts w:eastAsia="Calibri"/>
                <w:color w:val="000000" w:themeColor="text1"/>
                <w:sz w:val="22"/>
                <w:szCs w:val="22"/>
              </w:rPr>
            </w:pPr>
            <m:oMathPara>
              <m:oMathParaPr>
                <m:jc m:val="left"/>
              </m:oMathParaPr>
              <m:oMath>
                <m:r>
                  <w:rPr>
                    <w:rFonts w:ascii="Cambria Math" w:eastAsia="Calibri" w:hAnsi="Cambria Math"/>
                    <w:color w:val="000000" w:themeColor="text1"/>
                    <w:sz w:val="22"/>
                    <w:szCs w:val="22"/>
                  </w:rPr>
                  <m:t>ε</m:t>
                </m:r>
              </m:oMath>
            </m:oMathPara>
          </w:p>
        </w:tc>
        <w:tc>
          <w:tcPr>
            <w:tcW w:w="695" w:type="pct"/>
            <w:tcBorders>
              <w:top w:val="single" w:sz="4" w:space="0" w:color="auto"/>
              <w:left w:val="single" w:sz="4" w:space="0" w:color="auto"/>
              <w:bottom w:val="single" w:sz="4" w:space="0" w:color="auto"/>
              <w:right w:val="single" w:sz="4" w:space="0" w:color="auto"/>
            </w:tcBorders>
            <w:hideMark/>
          </w:tcPr>
          <w:p w14:paraId="02AB38D9" w14:textId="77777777" w:rsidR="00135C42" w:rsidRPr="003F2CC5" w:rsidRDefault="00135C42" w:rsidP="001D10D4">
            <w:pPr>
              <w:jc w:val="both"/>
              <w:rPr>
                <w:rFonts w:eastAsiaTheme="minorEastAsia"/>
                <w:color w:val="000000" w:themeColor="text1"/>
                <w:sz w:val="22"/>
                <w:szCs w:val="22"/>
              </w:rPr>
            </w:pPr>
            <w:r w:rsidRPr="003F2CC5">
              <w:rPr>
                <w:rFonts w:eastAsiaTheme="minorEastAsia"/>
                <w:color w:val="000000" w:themeColor="text1"/>
                <w:sz w:val="22"/>
                <w:szCs w:val="22"/>
              </w:rPr>
              <w:t>Effectiveness of condom</w:t>
            </w:r>
          </w:p>
        </w:tc>
        <w:tc>
          <w:tcPr>
            <w:tcW w:w="626" w:type="pct"/>
            <w:vMerge w:val="restart"/>
            <w:tcBorders>
              <w:left w:val="single" w:sz="4" w:space="0" w:color="auto"/>
              <w:right w:val="single" w:sz="4" w:space="0" w:color="auto"/>
            </w:tcBorders>
          </w:tcPr>
          <w:p w14:paraId="7DB07F12" w14:textId="77777777" w:rsidR="00135C42" w:rsidRPr="004350A9" w:rsidRDefault="00135C42" w:rsidP="00527179">
            <w:pPr>
              <w:jc w:val="both"/>
              <w:rPr>
                <w:color w:val="000000" w:themeColor="text1"/>
                <w:sz w:val="22"/>
                <w:szCs w:val="22"/>
              </w:rPr>
            </w:pPr>
            <w:r w:rsidRPr="004350A9">
              <w:rPr>
                <w:color w:val="000000" w:themeColor="text1"/>
                <w:sz w:val="22"/>
                <w:szCs w:val="22"/>
              </w:rPr>
              <w:t xml:space="preserve">Uniform </w:t>
            </w:r>
          </w:p>
        </w:tc>
        <w:tc>
          <w:tcPr>
            <w:tcW w:w="1355" w:type="pct"/>
            <w:vMerge w:val="restart"/>
            <w:tcBorders>
              <w:left w:val="single" w:sz="4" w:space="0" w:color="auto"/>
              <w:right w:val="single" w:sz="4" w:space="0" w:color="auto"/>
            </w:tcBorders>
          </w:tcPr>
          <w:p w14:paraId="7707D61E" w14:textId="77777777" w:rsidR="00135C42" w:rsidRPr="004350A9" w:rsidRDefault="00135C42" w:rsidP="00527179">
            <w:pPr>
              <w:jc w:val="both"/>
              <w:rPr>
                <w:color w:val="000000" w:themeColor="text1"/>
                <w:sz w:val="22"/>
                <w:szCs w:val="22"/>
              </w:rPr>
            </w:pPr>
            <w:r w:rsidRPr="004350A9">
              <w:rPr>
                <w:color w:val="000000" w:themeColor="text1"/>
                <w:sz w:val="22"/>
                <w:szCs w:val="22"/>
              </w:rPr>
              <w:t xml:space="preserve">Despite that it is a probability, the data does not report the sample size or variance. The confidence interval reported is not symmetric suggesting a non-normal distribution. Thus, uniform distribution is used in this analysis. </w:t>
            </w:r>
          </w:p>
        </w:tc>
        <w:tc>
          <w:tcPr>
            <w:tcW w:w="1077" w:type="pct"/>
            <w:gridSpan w:val="3"/>
            <w:vMerge w:val="restart"/>
            <w:tcBorders>
              <w:left w:val="single" w:sz="4" w:space="0" w:color="auto"/>
              <w:right w:val="single" w:sz="4" w:space="0" w:color="auto"/>
            </w:tcBorders>
          </w:tcPr>
          <w:p w14:paraId="02AE2221" w14:textId="77777777" w:rsidR="00135C42" w:rsidRPr="004350A9" w:rsidRDefault="00135C42" w:rsidP="00527179">
            <w:pPr>
              <w:jc w:val="both"/>
              <w:rPr>
                <w:color w:val="000000" w:themeColor="text1"/>
                <w:sz w:val="22"/>
                <w:szCs w:val="22"/>
              </w:rPr>
            </w:pPr>
            <w:r w:rsidRPr="004350A9">
              <w:rPr>
                <w:color w:val="000000" w:themeColor="text1"/>
                <w:sz w:val="22"/>
                <w:szCs w:val="22"/>
              </w:rPr>
              <w:t xml:space="preserve">The bounds will be used. </w:t>
            </w:r>
          </w:p>
        </w:tc>
        <w:tc>
          <w:tcPr>
            <w:tcW w:w="728" w:type="pct"/>
            <w:vMerge w:val="restart"/>
            <w:tcBorders>
              <w:left w:val="single" w:sz="4" w:space="0" w:color="auto"/>
            </w:tcBorders>
          </w:tcPr>
          <w:p w14:paraId="6D600EBF" w14:textId="77777777" w:rsidR="00135C42" w:rsidRPr="004350A9" w:rsidRDefault="00135C42" w:rsidP="00E71320">
            <w:pPr>
              <w:jc w:val="both"/>
              <w:rPr>
                <w:color w:val="000000" w:themeColor="text1"/>
                <w:sz w:val="22"/>
                <w:szCs w:val="22"/>
              </w:rPr>
            </w:pPr>
            <w:r w:rsidRPr="004350A9">
              <w:rPr>
                <w:color w:val="000000" w:themeColor="text1"/>
                <w:sz w:val="22"/>
                <w:szCs w:val="22"/>
              </w:rPr>
              <w:t xml:space="preserve">The bounds come from the literature.   </w:t>
            </w:r>
          </w:p>
        </w:tc>
      </w:tr>
      <w:tr w:rsidR="00135C42" w:rsidRPr="004350A9" w14:paraId="6F542497" w14:textId="77777777" w:rsidTr="00FA7C7E">
        <w:trPr>
          <w:trHeight w:val="221"/>
        </w:trPr>
        <w:tc>
          <w:tcPr>
            <w:tcW w:w="519" w:type="pct"/>
            <w:tcBorders>
              <w:top w:val="single" w:sz="4" w:space="0" w:color="auto"/>
              <w:left w:val="single" w:sz="4" w:space="0" w:color="auto"/>
              <w:bottom w:val="single" w:sz="4" w:space="0" w:color="auto"/>
              <w:right w:val="single" w:sz="4" w:space="0" w:color="auto"/>
            </w:tcBorders>
            <w:hideMark/>
          </w:tcPr>
          <w:p w14:paraId="62B47514" w14:textId="77777777" w:rsidR="00135C42" w:rsidRPr="003F2CC5" w:rsidRDefault="00135C42" w:rsidP="00A4646C">
            <w:pPr>
              <w:jc w:val="both"/>
              <w:rPr>
                <w:rFonts w:eastAsia="Calibri"/>
                <w:color w:val="000000" w:themeColor="text1"/>
                <w:sz w:val="22"/>
                <w:szCs w:val="22"/>
              </w:rPr>
            </w:pPr>
            <m:oMathPara>
              <m:oMathParaPr>
                <m:jc m:val="left"/>
              </m:oMathParaPr>
              <m:oMath>
                <m:r>
                  <w:rPr>
                    <w:rFonts w:ascii="Cambria Math" w:eastAsia="Calibri" w:hAnsi="Cambria Math"/>
                    <w:color w:val="000000" w:themeColor="text1"/>
                    <w:sz w:val="22"/>
                    <w:szCs w:val="22"/>
                  </w:rPr>
                  <m:t>π</m:t>
                </m:r>
              </m:oMath>
            </m:oMathPara>
          </w:p>
        </w:tc>
        <w:tc>
          <w:tcPr>
            <w:tcW w:w="695" w:type="pct"/>
            <w:tcBorders>
              <w:top w:val="single" w:sz="4" w:space="0" w:color="auto"/>
              <w:left w:val="single" w:sz="4" w:space="0" w:color="auto"/>
              <w:bottom w:val="single" w:sz="4" w:space="0" w:color="auto"/>
              <w:right w:val="single" w:sz="4" w:space="0" w:color="auto"/>
            </w:tcBorders>
            <w:hideMark/>
          </w:tcPr>
          <w:p w14:paraId="3FFC7275" w14:textId="77777777" w:rsidR="00135C42" w:rsidRPr="003F2CC5" w:rsidRDefault="00135C42" w:rsidP="001D10D4">
            <w:pPr>
              <w:jc w:val="both"/>
              <w:rPr>
                <w:rFonts w:eastAsiaTheme="minorEastAsia"/>
                <w:color w:val="000000" w:themeColor="text1"/>
                <w:sz w:val="22"/>
                <w:szCs w:val="22"/>
              </w:rPr>
            </w:pPr>
            <w:r w:rsidRPr="003F2CC5">
              <w:rPr>
                <w:rFonts w:eastAsiaTheme="minorEastAsia"/>
                <w:color w:val="000000" w:themeColor="text1"/>
                <w:sz w:val="22"/>
                <w:szCs w:val="22"/>
              </w:rPr>
              <w:t>Effectiveness of viral suppression</w:t>
            </w:r>
          </w:p>
        </w:tc>
        <w:tc>
          <w:tcPr>
            <w:tcW w:w="626" w:type="pct"/>
            <w:vMerge/>
            <w:tcBorders>
              <w:left w:val="single" w:sz="4" w:space="0" w:color="auto"/>
              <w:bottom w:val="single" w:sz="4" w:space="0" w:color="auto"/>
              <w:right w:val="single" w:sz="4" w:space="0" w:color="auto"/>
            </w:tcBorders>
          </w:tcPr>
          <w:p w14:paraId="52BFC573" w14:textId="77777777" w:rsidR="00135C42" w:rsidRPr="004350A9" w:rsidRDefault="00135C42">
            <w:pPr>
              <w:jc w:val="both"/>
              <w:rPr>
                <w:color w:val="000000" w:themeColor="text1"/>
                <w:sz w:val="22"/>
                <w:szCs w:val="22"/>
              </w:rPr>
            </w:pPr>
          </w:p>
        </w:tc>
        <w:tc>
          <w:tcPr>
            <w:tcW w:w="1355" w:type="pct"/>
            <w:vMerge/>
            <w:tcBorders>
              <w:left w:val="single" w:sz="4" w:space="0" w:color="auto"/>
              <w:bottom w:val="single" w:sz="4" w:space="0" w:color="auto"/>
              <w:right w:val="single" w:sz="4" w:space="0" w:color="auto"/>
            </w:tcBorders>
          </w:tcPr>
          <w:p w14:paraId="2206A98A" w14:textId="77777777" w:rsidR="00135C42" w:rsidRPr="004350A9" w:rsidRDefault="00135C42">
            <w:pPr>
              <w:jc w:val="both"/>
              <w:rPr>
                <w:color w:val="000000" w:themeColor="text1"/>
                <w:sz w:val="22"/>
                <w:szCs w:val="22"/>
              </w:rPr>
            </w:pPr>
          </w:p>
        </w:tc>
        <w:tc>
          <w:tcPr>
            <w:tcW w:w="1077" w:type="pct"/>
            <w:gridSpan w:val="3"/>
            <w:vMerge/>
            <w:tcBorders>
              <w:left w:val="single" w:sz="4" w:space="0" w:color="auto"/>
              <w:bottom w:val="single" w:sz="4" w:space="0" w:color="auto"/>
              <w:right w:val="single" w:sz="4" w:space="0" w:color="auto"/>
            </w:tcBorders>
          </w:tcPr>
          <w:p w14:paraId="74A2E806" w14:textId="77777777" w:rsidR="00135C42" w:rsidRPr="004350A9" w:rsidRDefault="00135C42">
            <w:pPr>
              <w:jc w:val="both"/>
              <w:rPr>
                <w:color w:val="000000" w:themeColor="text1"/>
                <w:sz w:val="22"/>
                <w:szCs w:val="22"/>
              </w:rPr>
            </w:pPr>
          </w:p>
        </w:tc>
        <w:tc>
          <w:tcPr>
            <w:tcW w:w="728" w:type="pct"/>
            <w:vMerge/>
            <w:tcBorders>
              <w:left w:val="single" w:sz="4" w:space="0" w:color="auto"/>
              <w:bottom w:val="single" w:sz="4" w:space="0" w:color="auto"/>
            </w:tcBorders>
          </w:tcPr>
          <w:p w14:paraId="28AC26AB" w14:textId="77777777" w:rsidR="00135C42" w:rsidRPr="004350A9" w:rsidRDefault="00135C42">
            <w:pPr>
              <w:jc w:val="both"/>
              <w:rPr>
                <w:color w:val="000000" w:themeColor="text1"/>
                <w:sz w:val="22"/>
                <w:szCs w:val="22"/>
              </w:rPr>
            </w:pPr>
          </w:p>
        </w:tc>
      </w:tr>
      <w:tr w:rsidR="00135C42" w:rsidRPr="004350A9" w14:paraId="1AD6C627" w14:textId="77777777" w:rsidTr="00FA7C7E">
        <w:trPr>
          <w:gridAfter w:val="2"/>
          <w:wAfter w:w="742" w:type="pct"/>
          <w:trHeight w:val="221"/>
        </w:trPr>
        <w:tc>
          <w:tcPr>
            <w:tcW w:w="519" w:type="pct"/>
            <w:tcBorders>
              <w:top w:val="single" w:sz="4" w:space="0" w:color="auto"/>
              <w:left w:val="single" w:sz="4" w:space="0" w:color="auto"/>
              <w:bottom w:val="single" w:sz="4" w:space="0" w:color="auto"/>
            </w:tcBorders>
          </w:tcPr>
          <w:p w14:paraId="0A0CB716" w14:textId="77777777" w:rsidR="00135C42" w:rsidRPr="004350A9" w:rsidRDefault="00135C42" w:rsidP="00A4646C">
            <w:pPr>
              <w:rPr>
                <w:b/>
                <w:color w:val="000000" w:themeColor="text1"/>
                <w:sz w:val="22"/>
                <w:szCs w:val="22"/>
              </w:rPr>
            </w:pPr>
          </w:p>
        </w:tc>
        <w:tc>
          <w:tcPr>
            <w:tcW w:w="3554" w:type="pct"/>
            <w:gridSpan w:val="4"/>
            <w:tcBorders>
              <w:top w:val="single" w:sz="4" w:space="0" w:color="auto"/>
              <w:left w:val="single" w:sz="4" w:space="0" w:color="auto"/>
              <w:bottom w:val="single" w:sz="4" w:space="0" w:color="auto"/>
            </w:tcBorders>
          </w:tcPr>
          <w:p w14:paraId="24D86EC8" w14:textId="77777777" w:rsidR="00135C42" w:rsidRPr="004350A9" w:rsidRDefault="00135C42" w:rsidP="001D10D4">
            <w:pPr>
              <w:rPr>
                <w:sz w:val="22"/>
                <w:szCs w:val="22"/>
              </w:rPr>
            </w:pPr>
            <w:r w:rsidRPr="004350A9">
              <w:rPr>
                <w:rFonts w:eastAsiaTheme="minorEastAsia"/>
                <w:b/>
                <w:color w:val="000000" w:themeColor="text1"/>
                <w:sz w:val="22"/>
                <w:szCs w:val="22"/>
              </w:rPr>
              <w:t>Initial distribution</w:t>
            </w:r>
          </w:p>
        </w:tc>
        <w:tc>
          <w:tcPr>
            <w:tcW w:w="185" w:type="pct"/>
          </w:tcPr>
          <w:p w14:paraId="1E1EB371" w14:textId="77777777" w:rsidR="00135C42" w:rsidRPr="004350A9" w:rsidRDefault="00135C42" w:rsidP="00527179">
            <w:pPr>
              <w:rPr>
                <w:sz w:val="22"/>
                <w:szCs w:val="22"/>
              </w:rPr>
            </w:pPr>
          </w:p>
        </w:tc>
      </w:tr>
      <w:tr w:rsidR="00135C42" w:rsidRPr="004350A9" w14:paraId="20FAC010" w14:textId="77777777" w:rsidTr="00FA7C7E">
        <w:trPr>
          <w:trHeight w:val="242"/>
        </w:trPr>
        <w:tc>
          <w:tcPr>
            <w:tcW w:w="519" w:type="pct"/>
            <w:tcBorders>
              <w:top w:val="single" w:sz="4" w:space="0" w:color="auto"/>
              <w:left w:val="single" w:sz="4" w:space="0" w:color="auto"/>
              <w:bottom w:val="single" w:sz="4" w:space="0" w:color="auto"/>
              <w:right w:val="single" w:sz="4" w:space="0" w:color="auto"/>
            </w:tcBorders>
            <w:hideMark/>
          </w:tcPr>
          <w:p w14:paraId="3C7C8050" w14:textId="77777777" w:rsidR="00135C42" w:rsidRPr="004350A9" w:rsidRDefault="00135C42" w:rsidP="00A4646C">
            <w:pPr>
              <w:jc w:val="both"/>
              <w:rPr>
                <w:rFonts w:eastAsiaTheme="minorEastAsia"/>
                <w:color w:val="000000" w:themeColor="text1"/>
                <w:sz w:val="22"/>
                <w:szCs w:val="22"/>
              </w:rPr>
            </w:pPr>
            <m:oMathPara>
              <m:oMathParaPr>
                <m:jc m:val="left"/>
              </m:oMathParaPr>
              <m:oMath>
                <m:r>
                  <w:rPr>
                    <w:rFonts w:ascii="Cambria Math" w:eastAsiaTheme="minorEastAsia" w:hAnsi="Cambria Math"/>
                    <w:color w:val="000000" w:themeColor="text1"/>
                    <w:sz w:val="22"/>
                    <w:szCs w:val="22"/>
                  </w:rPr>
                  <m:t>P(diagnosed)</m:t>
                </m:r>
              </m:oMath>
            </m:oMathPara>
          </w:p>
        </w:tc>
        <w:tc>
          <w:tcPr>
            <w:tcW w:w="695" w:type="pct"/>
            <w:tcBorders>
              <w:top w:val="single" w:sz="4" w:space="0" w:color="auto"/>
              <w:left w:val="single" w:sz="4" w:space="0" w:color="auto"/>
              <w:bottom w:val="single" w:sz="4" w:space="0" w:color="auto"/>
              <w:right w:val="single" w:sz="4" w:space="0" w:color="auto"/>
            </w:tcBorders>
            <w:hideMark/>
          </w:tcPr>
          <w:p w14:paraId="0F53551B" w14:textId="77777777" w:rsidR="00135C42" w:rsidRPr="004350A9" w:rsidRDefault="00135C42" w:rsidP="001D10D4">
            <w:pPr>
              <w:pStyle w:val="BodyText"/>
              <w:spacing w:before="0" w:after="0"/>
              <w:jc w:val="both"/>
              <w:rPr>
                <w:rFonts w:eastAsiaTheme="minorEastAsia"/>
                <w:color w:val="000000" w:themeColor="text1"/>
                <w:sz w:val="22"/>
                <w:szCs w:val="22"/>
              </w:rPr>
            </w:pPr>
            <w:r w:rsidRPr="004350A9">
              <w:rPr>
                <w:color w:val="000000" w:themeColor="text1"/>
                <w:sz w:val="22"/>
                <w:szCs w:val="22"/>
              </w:rPr>
              <w:t>Proportion of population diagnosed for group r</w:t>
            </w:r>
          </w:p>
        </w:tc>
        <w:tc>
          <w:tcPr>
            <w:tcW w:w="626" w:type="pct"/>
            <w:vMerge w:val="restart"/>
            <w:tcBorders>
              <w:top w:val="single" w:sz="4" w:space="0" w:color="auto"/>
              <w:left w:val="single" w:sz="4" w:space="0" w:color="auto"/>
              <w:right w:val="single" w:sz="4" w:space="0" w:color="auto"/>
            </w:tcBorders>
          </w:tcPr>
          <w:p w14:paraId="0AF4B0B2" w14:textId="77777777" w:rsidR="00135C42" w:rsidRPr="004350A9" w:rsidRDefault="00135C42" w:rsidP="00527179">
            <w:pPr>
              <w:jc w:val="both"/>
              <w:rPr>
                <w:color w:val="000000" w:themeColor="text1"/>
                <w:sz w:val="22"/>
                <w:szCs w:val="22"/>
              </w:rPr>
            </w:pPr>
            <w:r w:rsidRPr="004350A9">
              <w:rPr>
                <w:color w:val="000000" w:themeColor="text1"/>
                <w:sz w:val="22"/>
                <w:szCs w:val="22"/>
              </w:rPr>
              <w:t>Beta</w:t>
            </w:r>
          </w:p>
          <w:p w14:paraId="682B65DE" w14:textId="77777777" w:rsidR="00135C42" w:rsidRPr="004350A9" w:rsidRDefault="00135C42" w:rsidP="00527179">
            <w:pPr>
              <w:pStyle w:val="BodyText"/>
              <w:spacing w:before="0" w:after="0"/>
              <w:jc w:val="both"/>
              <w:rPr>
                <w:color w:val="000000" w:themeColor="text1"/>
                <w:sz w:val="22"/>
                <w:szCs w:val="22"/>
              </w:rPr>
            </w:pPr>
          </w:p>
        </w:tc>
        <w:tc>
          <w:tcPr>
            <w:tcW w:w="1355" w:type="pct"/>
            <w:vMerge w:val="restart"/>
            <w:tcBorders>
              <w:top w:val="single" w:sz="4" w:space="0" w:color="auto"/>
              <w:left w:val="single" w:sz="4" w:space="0" w:color="auto"/>
              <w:right w:val="single" w:sz="4" w:space="0" w:color="auto"/>
            </w:tcBorders>
          </w:tcPr>
          <w:p w14:paraId="63EFE13E" w14:textId="77777777" w:rsidR="00135C42" w:rsidRPr="004350A9" w:rsidRDefault="00135C42" w:rsidP="00527179">
            <w:pPr>
              <w:jc w:val="both"/>
              <w:rPr>
                <w:color w:val="000000" w:themeColor="text1"/>
                <w:sz w:val="22"/>
                <w:szCs w:val="22"/>
              </w:rPr>
            </w:pPr>
            <w:r w:rsidRPr="004350A9">
              <w:rPr>
                <w:color w:val="000000" w:themeColor="text1"/>
                <w:sz w:val="22"/>
                <w:szCs w:val="22"/>
              </w:rPr>
              <w:t xml:space="preserve">The parameter is a probability bounded within the interval [0,1]. Beta distribution is suitable for probabilities and proportions since it is defined on interval [0,1] and is commonly used to calibrate probabilities. </w:t>
            </w:r>
          </w:p>
          <w:p w14:paraId="04A10170" w14:textId="77777777" w:rsidR="00135C42" w:rsidRPr="004350A9" w:rsidRDefault="00135C42" w:rsidP="00E71320">
            <w:pPr>
              <w:pStyle w:val="BodyText"/>
              <w:spacing w:before="0" w:after="0"/>
              <w:jc w:val="both"/>
              <w:rPr>
                <w:color w:val="000000" w:themeColor="text1"/>
                <w:sz w:val="22"/>
                <w:szCs w:val="22"/>
              </w:rPr>
            </w:pPr>
          </w:p>
        </w:tc>
        <w:tc>
          <w:tcPr>
            <w:tcW w:w="1077" w:type="pct"/>
            <w:gridSpan w:val="3"/>
            <w:vMerge w:val="restart"/>
            <w:tcBorders>
              <w:top w:val="single" w:sz="4" w:space="0" w:color="auto"/>
              <w:left w:val="single" w:sz="4" w:space="0" w:color="auto"/>
              <w:right w:val="single" w:sz="4" w:space="0" w:color="auto"/>
            </w:tcBorders>
          </w:tcPr>
          <w:p w14:paraId="2FC0C71B" w14:textId="77777777" w:rsidR="00135C42" w:rsidRPr="004350A9" w:rsidRDefault="00135C42" w:rsidP="00E71320">
            <w:pPr>
              <w:jc w:val="both"/>
              <w:rPr>
                <w:color w:val="000000" w:themeColor="text1"/>
                <w:sz w:val="22"/>
                <w:szCs w:val="22"/>
              </w:rPr>
            </w:pPr>
            <w:r w:rsidRPr="004350A9">
              <w:rPr>
                <w:color w:val="000000" w:themeColor="text1"/>
                <w:sz w:val="22"/>
                <w:szCs w:val="22"/>
              </w:rPr>
              <w:t xml:space="preserve">The shape parameters can be estimated via mean </w:t>
            </w:r>
            <m:oMath>
              <m:r>
                <w:rPr>
                  <w:rFonts w:ascii="Cambria Math" w:hAnsi="Cambria Math"/>
                  <w:color w:val="000000" w:themeColor="text1"/>
                  <w:sz w:val="22"/>
                  <w:szCs w:val="22"/>
                </w:rPr>
                <m:t>(μ)</m:t>
              </m:r>
            </m:oMath>
            <w:r w:rsidRPr="004350A9">
              <w:rPr>
                <w:color w:val="000000" w:themeColor="text1"/>
                <w:sz w:val="22"/>
                <w:szCs w:val="22"/>
              </w:rPr>
              <w:t xml:space="preserve">  and sample size </w:t>
            </w:r>
            <m:oMath>
              <m:r>
                <w:rPr>
                  <w:rFonts w:ascii="Cambria Math" w:hAnsi="Cambria Math"/>
                  <w:color w:val="000000" w:themeColor="text1"/>
                  <w:sz w:val="22"/>
                  <w:szCs w:val="22"/>
                </w:rPr>
                <m:t>(v)</m:t>
              </m:r>
            </m:oMath>
            <w:r w:rsidRPr="004350A9">
              <w:rPr>
                <w:color w:val="000000" w:themeColor="text1"/>
                <w:sz w:val="22"/>
                <w:szCs w:val="22"/>
              </w:rPr>
              <w:t>.</w:t>
            </w:r>
          </w:p>
          <w:p w14:paraId="11A3311A" w14:textId="77777777" w:rsidR="00135C42" w:rsidRPr="004350A9" w:rsidRDefault="00135C42" w:rsidP="00E71320">
            <w:pPr>
              <w:jc w:val="both"/>
              <w:rPr>
                <w:color w:val="000000" w:themeColor="text1"/>
                <w:sz w:val="22"/>
                <w:szCs w:val="22"/>
              </w:rPr>
            </w:pPr>
            <m:oMathPara>
              <m:oMath>
                <m:r>
                  <w:rPr>
                    <w:rFonts w:ascii="Cambria Math" w:hAnsi="Cambria Math"/>
                    <w:color w:val="000000" w:themeColor="text1"/>
                    <w:sz w:val="22"/>
                    <w:szCs w:val="22"/>
                  </w:rPr>
                  <m:t>α=μv</m:t>
                </m:r>
              </m:oMath>
            </m:oMathPara>
          </w:p>
          <w:p w14:paraId="3C9F6133" w14:textId="77777777" w:rsidR="00135C42" w:rsidRPr="004350A9" w:rsidRDefault="00135C42" w:rsidP="00E71320">
            <w:pPr>
              <w:jc w:val="both"/>
              <w:rPr>
                <w:color w:val="000000" w:themeColor="text1"/>
                <w:sz w:val="22"/>
                <w:szCs w:val="22"/>
              </w:rPr>
            </w:pPr>
            <m:oMathPara>
              <m:oMath>
                <m:r>
                  <w:rPr>
                    <w:rFonts w:ascii="Cambria Math" w:hAnsi="Cambria Math"/>
                    <w:color w:val="000000" w:themeColor="text1"/>
                    <w:sz w:val="22"/>
                    <w:szCs w:val="22"/>
                  </w:rPr>
                  <m:t>β=(1-μ)v</m:t>
                </m:r>
              </m:oMath>
            </m:oMathPara>
          </w:p>
        </w:tc>
        <w:tc>
          <w:tcPr>
            <w:tcW w:w="728" w:type="pct"/>
            <w:vMerge w:val="restart"/>
            <w:tcBorders>
              <w:top w:val="single" w:sz="4" w:space="0" w:color="auto"/>
              <w:left w:val="single" w:sz="4" w:space="0" w:color="auto"/>
              <w:right w:val="single" w:sz="4" w:space="0" w:color="auto"/>
            </w:tcBorders>
          </w:tcPr>
          <w:p w14:paraId="4960C88E" w14:textId="77777777" w:rsidR="00135C42" w:rsidRPr="004350A9" w:rsidRDefault="00135C42" w:rsidP="002C3EFA">
            <w:pPr>
              <w:jc w:val="both"/>
              <w:rPr>
                <w:color w:val="000000" w:themeColor="text1"/>
                <w:sz w:val="22"/>
                <w:szCs w:val="22"/>
              </w:rPr>
            </w:pPr>
            <w:r w:rsidRPr="004350A9">
              <w:rPr>
                <w:color w:val="000000" w:themeColor="text1"/>
                <w:sz w:val="22"/>
                <w:szCs w:val="22"/>
              </w:rPr>
              <w:t xml:space="preserve">The original data does not report the variances but reported the sample size to derive the estimates, which might be used. </w:t>
            </w:r>
          </w:p>
        </w:tc>
      </w:tr>
      <w:tr w:rsidR="00135C42" w:rsidRPr="004350A9" w14:paraId="6916A10D" w14:textId="77777777" w:rsidTr="00FA7C7E">
        <w:trPr>
          <w:trHeight w:val="257"/>
        </w:trPr>
        <w:tc>
          <w:tcPr>
            <w:tcW w:w="519" w:type="pct"/>
            <w:tcBorders>
              <w:top w:val="single" w:sz="4" w:space="0" w:color="auto"/>
              <w:left w:val="single" w:sz="4" w:space="0" w:color="auto"/>
              <w:bottom w:val="single" w:sz="4" w:space="0" w:color="auto"/>
              <w:right w:val="single" w:sz="4" w:space="0" w:color="auto"/>
            </w:tcBorders>
            <w:hideMark/>
          </w:tcPr>
          <w:p w14:paraId="4EA6DC6F" w14:textId="77777777" w:rsidR="00135C42" w:rsidRPr="004350A9" w:rsidRDefault="00135C42" w:rsidP="00A4646C">
            <w:pPr>
              <w:jc w:val="both"/>
              <w:rPr>
                <w:rFonts w:eastAsiaTheme="minorEastAsia"/>
                <w:b/>
                <w:color w:val="000000" w:themeColor="text1"/>
                <w:sz w:val="22"/>
                <w:szCs w:val="22"/>
              </w:rPr>
            </w:pPr>
            <m:oMathPara>
              <m:oMathParaPr>
                <m:jc m:val="left"/>
              </m:oMathParaPr>
              <m:oMath>
                <m:r>
                  <w:rPr>
                    <w:rFonts w:ascii="Cambria Math" w:eastAsiaTheme="minorEastAsia" w:hAnsi="Cambria Math"/>
                    <w:color w:val="000000" w:themeColor="text1"/>
                    <w:sz w:val="22"/>
                    <w:szCs w:val="22"/>
                  </w:rPr>
                  <m:t>P(on ART)</m:t>
                </m:r>
              </m:oMath>
            </m:oMathPara>
          </w:p>
        </w:tc>
        <w:tc>
          <w:tcPr>
            <w:tcW w:w="695" w:type="pct"/>
            <w:tcBorders>
              <w:top w:val="single" w:sz="4" w:space="0" w:color="auto"/>
              <w:left w:val="single" w:sz="4" w:space="0" w:color="auto"/>
              <w:bottom w:val="single" w:sz="4" w:space="0" w:color="auto"/>
              <w:right w:val="single" w:sz="4" w:space="0" w:color="auto"/>
            </w:tcBorders>
            <w:hideMark/>
          </w:tcPr>
          <w:p w14:paraId="7263781F" w14:textId="77777777" w:rsidR="00135C42" w:rsidRPr="004350A9" w:rsidRDefault="00135C42" w:rsidP="001D10D4">
            <w:pPr>
              <w:jc w:val="both"/>
              <w:rPr>
                <w:rFonts w:eastAsiaTheme="minorEastAsia"/>
                <w:bCs/>
                <w:color w:val="000000" w:themeColor="text1"/>
                <w:sz w:val="22"/>
                <w:szCs w:val="22"/>
              </w:rPr>
            </w:pPr>
            <w:r w:rsidRPr="004350A9">
              <w:rPr>
                <w:rFonts w:eastAsiaTheme="minorEastAsia"/>
                <w:bCs/>
                <w:color w:val="000000" w:themeColor="text1"/>
                <w:sz w:val="22"/>
                <w:szCs w:val="22"/>
              </w:rPr>
              <w:t>Proportion of population on ART for group r</w:t>
            </w:r>
          </w:p>
        </w:tc>
        <w:tc>
          <w:tcPr>
            <w:tcW w:w="626" w:type="pct"/>
            <w:vMerge/>
            <w:tcBorders>
              <w:left w:val="single" w:sz="4" w:space="0" w:color="auto"/>
              <w:right w:val="single" w:sz="4" w:space="0" w:color="auto"/>
            </w:tcBorders>
          </w:tcPr>
          <w:p w14:paraId="6D042961" w14:textId="77777777" w:rsidR="00135C42" w:rsidRPr="004350A9" w:rsidRDefault="00135C42">
            <w:pPr>
              <w:jc w:val="both"/>
              <w:rPr>
                <w:color w:val="000000" w:themeColor="text1"/>
                <w:sz w:val="22"/>
                <w:szCs w:val="22"/>
              </w:rPr>
            </w:pPr>
          </w:p>
        </w:tc>
        <w:tc>
          <w:tcPr>
            <w:tcW w:w="1355" w:type="pct"/>
            <w:vMerge/>
            <w:tcBorders>
              <w:left w:val="single" w:sz="4" w:space="0" w:color="auto"/>
              <w:right w:val="single" w:sz="4" w:space="0" w:color="auto"/>
            </w:tcBorders>
          </w:tcPr>
          <w:p w14:paraId="53B472A3" w14:textId="77777777" w:rsidR="00135C42" w:rsidRPr="004350A9" w:rsidRDefault="00135C42">
            <w:pPr>
              <w:jc w:val="both"/>
              <w:rPr>
                <w:color w:val="000000" w:themeColor="text1"/>
                <w:sz w:val="22"/>
                <w:szCs w:val="22"/>
              </w:rPr>
            </w:pPr>
          </w:p>
        </w:tc>
        <w:tc>
          <w:tcPr>
            <w:tcW w:w="1077" w:type="pct"/>
            <w:gridSpan w:val="3"/>
            <w:vMerge/>
            <w:tcBorders>
              <w:left w:val="single" w:sz="4" w:space="0" w:color="auto"/>
              <w:right w:val="single" w:sz="4" w:space="0" w:color="auto"/>
            </w:tcBorders>
          </w:tcPr>
          <w:p w14:paraId="4C9EAF8E" w14:textId="77777777" w:rsidR="00135C42" w:rsidRPr="004350A9" w:rsidRDefault="00135C42">
            <w:pPr>
              <w:jc w:val="both"/>
              <w:rPr>
                <w:color w:val="000000" w:themeColor="text1"/>
                <w:sz w:val="22"/>
                <w:szCs w:val="22"/>
              </w:rPr>
            </w:pPr>
          </w:p>
        </w:tc>
        <w:tc>
          <w:tcPr>
            <w:tcW w:w="728" w:type="pct"/>
            <w:vMerge/>
            <w:tcBorders>
              <w:left w:val="single" w:sz="4" w:space="0" w:color="auto"/>
              <w:right w:val="single" w:sz="4" w:space="0" w:color="auto"/>
            </w:tcBorders>
          </w:tcPr>
          <w:p w14:paraId="7EC1BA57" w14:textId="77777777" w:rsidR="00135C42" w:rsidRPr="004350A9" w:rsidRDefault="00135C42">
            <w:pPr>
              <w:jc w:val="both"/>
              <w:rPr>
                <w:color w:val="000000" w:themeColor="text1"/>
                <w:sz w:val="22"/>
                <w:szCs w:val="22"/>
              </w:rPr>
            </w:pPr>
          </w:p>
        </w:tc>
      </w:tr>
      <w:tr w:rsidR="00135C42" w:rsidRPr="004350A9" w14:paraId="323190FC" w14:textId="77777777" w:rsidTr="00FA7C7E">
        <w:trPr>
          <w:trHeight w:val="257"/>
        </w:trPr>
        <w:tc>
          <w:tcPr>
            <w:tcW w:w="519" w:type="pct"/>
            <w:tcBorders>
              <w:top w:val="single" w:sz="4" w:space="0" w:color="auto"/>
              <w:left w:val="single" w:sz="4" w:space="0" w:color="auto"/>
              <w:bottom w:val="single" w:sz="4" w:space="0" w:color="auto"/>
              <w:right w:val="single" w:sz="4" w:space="0" w:color="auto"/>
            </w:tcBorders>
          </w:tcPr>
          <w:p w14:paraId="242D5CE5" w14:textId="77777777" w:rsidR="00135C42" w:rsidRPr="004350A9" w:rsidRDefault="00135C42" w:rsidP="00A4646C">
            <w:pPr>
              <w:jc w:val="both"/>
              <w:rPr>
                <w:rFonts w:eastAsiaTheme="minorEastAsia"/>
                <w:color w:val="000000" w:themeColor="text1"/>
                <w:sz w:val="22"/>
                <w:szCs w:val="22"/>
              </w:rPr>
            </w:pPr>
            <m:oMathPara>
              <m:oMathParaPr>
                <m:jc m:val="left"/>
              </m:oMathParaPr>
              <m:oMath>
                <m:r>
                  <w:rPr>
                    <w:rFonts w:ascii="Cambria Math" w:eastAsiaTheme="minorEastAsia" w:hAnsi="Cambria Math"/>
                    <w:color w:val="000000" w:themeColor="text1"/>
                    <w:sz w:val="22"/>
                    <w:szCs w:val="22"/>
                  </w:rPr>
                  <m:t xml:space="preserve">P(on ART </m:t>
                </m:r>
              </m:oMath>
            </m:oMathPara>
          </w:p>
          <w:p w14:paraId="7B51899D" w14:textId="77777777" w:rsidR="00135C42" w:rsidRPr="004350A9" w:rsidRDefault="00135C42" w:rsidP="001D10D4">
            <w:pPr>
              <w:jc w:val="both"/>
              <w:rPr>
                <w:rFonts w:eastAsiaTheme="minorEastAsia"/>
                <w:color w:val="000000" w:themeColor="text1"/>
                <w:sz w:val="22"/>
                <w:szCs w:val="22"/>
              </w:rPr>
            </w:pPr>
            <m:oMathPara>
              <m:oMathParaPr>
                <m:jc m:val="left"/>
              </m:oMathParaPr>
              <m:oMath>
                <m:r>
                  <w:rPr>
                    <w:rFonts w:ascii="Cambria Math" w:eastAsiaTheme="minorEastAsia" w:hAnsi="Cambria Math"/>
                    <w:color w:val="000000" w:themeColor="text1"/>
                    <w:sz w:val="22"/>
                    <w:szCs w:val="22"/>
                  </w:rPr>
                  <m:t xml:space="preserve">not </m:t>
                </m:r>
              </m:oMath>
            </m:oMathPara>
          </w:p>
          <w:p w14:paraId="021956BB" w14:textId="77777777" w:rsidR="00135C42" w:rsidRPr="004350A9" w:rsidRDefault="00135C42" w:rsidP="00527179">
            <w:pPr>
              <w:jc w:val="both"/>
              <w:rPr>
                <w:rFonts w:eastAsiaTheme="minorEastAsia"/>
                <w:color w:val="000000" w:themeColor="text1"/>
                <w:sz w:val="22"/>
                <w:szCs w:val="22"/>
              </w:rPr>
            </w:pPr>
            <m:oMathPara>
              <m:oMathParaPr>
                <m:jc m:val="left"/>
              </m:oMathParaPr>
              <m:oMath>
                <m:r>
                  <w:rPr>
                    <w:rFonts w:ascii="Cambria Math" w:eastAsiaTheme="minorEastAsia" w:hAnsi="Cambria Math"/>
                    <w:color w:val="000000" w:themeColor="text1"/>
                    <w:sz w:val="22"/>
                    <w:szCs w:val="22"/>
                  </w:rPr>
                  <m:t>suppressed)</m:t>
                </m:r>
              </m:oMath>
            </m:oMathPara>
          </w:p>
        </w:tc>
        <w:tc>
          <w:tcPr>
            <w:tcW w:w="695" w:type="pct"/>
            <w:tcBorders>
              <w:top w:val="single" w:sz="4" w:space="0" w:color="auto"/>
              <w:left w:val="single" w:sz="4" w:space="0" w:color="auto"/>
              <w:bottom w:val="single" w:sz="4" w:space="0" w:color="auto"/>
              <w:right w:val="single" w:sz="4" w:space="0" w:color="auto"/>
            </w:tcBorders>
          </w:tcPr>
          <w:p w14:paraId="2120FFCE" w14:textId="77777777" w:rsidR="00135C42" w:rsidRPr="004350A9" w:rsidRDefault="00135C42" w:rsidP="00527179">
            <w:pPr>
              <w:jc w:val="both"/>
              <w:rPr>
                <w:color w:val="000000" w:themeColor="text1"/>
                <w:sz w:val="22"/>
                <w:szCs w:val="22"/>
              </w:rPr>
            </w:pPr>
            <w:r w:rsidRPr="004350A9">
              <w:rPr>
                <w:color w:val="000000" w:themeColor="text1"/>
                <w:sz w:val="22"/>
                <w:szCs w:val="22"/>
              </w:rPr>
              <w:t>Proportion of population on ART but virally not suppressed for group r</w:t>
            </w:r>
          </w:p>
        </w:tc>
        <w:tc>
          <w:tcPr>
            <w:tcW w:w="626" w:type="pct"/>
            <w:vMerge/>
            <w:tcBorders>
              <w:left w:val="single" w:sz="4" w:space="0" w:color="auto"/>
              <w:right w:val="single" w:sz="4" w:space="0" w:color="auto"/>
            </w:tcBorders>
          </w:tcPr>
          <w:p w14:paraId="0A023A56" w14:textId="77777777" w:rsidR="00135C42" w:rsidRPr="004350A9" w:rsidRDefault="00135C42">
            <w:pPr>
              <w:jc w:val="both"/>
              <w:rPr>
                <w:color w:val="000000" w:themeColor="text1"/>
                <w:sz w:val="22"/>
                <w:szCs w:val="22"/>
              </w:rPr>
            </w:pPr>
          </w:p>
        </w:tc>
        <w:tc>
          <w:tcPr>
            <w:tcW w:w="1355" w:type="pct"/>
            <w:vMerge/>
            <w:tcBorders>
              <w:left w:val="single" w:sz="4" w:space="0" w:color="auto"/>
              <w:right w:val="single" w:sz="4" w:space="0" w:color="auto"/>
            </w:tcBorders>
          </w:tcPr>
          <w:p w14:paraId="1284BE13" w14:textId="77777777" w:rsidR="00135C42" w:rsidRPr="004350A9" w:rsidRDefault="00135C42">
            <w:pPr>
              <w:jc w:val="both"/>
              <w:rPr>
                <w:color w:val="000000" w:themeColor="text1"/>
                <w:sz w:val="22"/>
                <w:szCs w:val="22"/>
              </w:rPr>
            </w:pPr>
          </w:p>
        </w:tc>
        <w:tc>
          <w:tcPr>
            <w:tcW w:w="1077" w:type="pct"/>
            <w:gridSpan w:val="3"/>
            <w:vMerge/>
            <w:tcBorders>
              <w:left w:val="single" w:sz="4" w:space="0" w:color="auto"/>
              <w:right w:val="single" w:sz="4" w:space="0" w:color="auto"/>
            </w:tcBorders>
          </w:tcPr>
          <w:p w14:paraId="097CA7A9" w14:textId="77777777" w:rsidR="00135C42" w:rsidRPr="004350A9" w:rsidRDefault="00135C42">
            <w:pPr>
              <w:jc w:val="both"/>
              <w:rPr>
                <w:color w:val="000000" w:themeColor="text1"/>
                <w:sz w:val="22"/>
                <w:szCs w:val="22"/>
              </w:rPr>
            </w:pPr>
          </w:p>
        </w:tc>
        <w:tc>
          <w:tcPr>
            <w:tcW w:w="728" w:type="pct"/>
            <w:vMerge/>
            <w:tcBorders>
              <w:left w:val="single" w:sz="4" w:space="0" w:color="auto"/>
              <w:right w:val="single" w:sz="4" w:space="0" w:color="auto"/>
            </w:tcBorders>
          </w:tcPr>
          <w:p w14:paraId="0E38C02F" w14:textId="77777777" w:rsidR="00135C42" w:rsidRPr="004350A9" w:rsidRDefault="00135C42">
            <w:pPr>
              <w:jc w:val="both"/>
              <w:rPr>
                <w:color w:val="000000" w:themeColor="text1"/>
                <w:sz w:val="22"/>
                <w:szCs w:val="22"/>
              </w:rPr>
            </w:pPr>
          </w:p>
        </w:tc>
      </w:tr>
      <w:tr w:rsidR="00135C42" w:rsidRPr="004350A9" w14:paraId="4135DD76" w14:textId="77777777" w:rsidTr="00FA7C7E">
        <w:trPr>
          <w:trHeight w:val="257"/>
        </w:trPr>
        <w:tc>
          <w:tcPr>
            <w:tcW w:w="519" w:type="pct"/>
            <w:tcBorders>
              <w:top w:val="single" w:sz="4" w:space="0" w:color="auto"/>
              <w:left w:val="single" w:sz="4" w:space="0" w:color="auto"/>
              <w:bottom w:val="single" w:sz="4" w:space="0" w:color="auto"/>
              <w:right w:val="single" w:sz="4" w:space="0" w:color="auto"/>
            </w:tcBorders>
          </w:tcPr>
          <w:p w14:paraId="3293D915" w14:textId="77777777" w:rsidR="00135C42" w:rsidRPr="004350A9" w:rsidRDefault="00135C42" w:rsidP="00A4646C">
            <w:pPr>
              <w:jc w:val="both"/>
              <w:rPr>
                <w:rFonts w:eastAsia="DengXian"/>
                <w:color w:val="000000" w:themeColor="text1"/>
                <w:sz w:val="22"/>
                <w:szCs w:val="22"/>
              </w:rPr>
            </w:pPr>
            <m:oMathPara>
              <m:oMath>
                <m:r>
                  <w:rPr>
                    <w:rFonts w:ascii="Cambria Math" w:eastAsiaTheme="minorEastAsia" w:hAnsi="Cambria Math"/>
                    <w:color w:val="000000" w:themeColor="text1"/>
                    <w:sz w:val="22"/>
                    <w:szCs w:val="22"/>
                  </w:rPr>
                  <m:t>P(loss)</m:t>
                </m:r>
              </m:oMath>
            </m:oMathPara>
          </w:p>
        </w:tc>
        <w:tc>
          <w:tcPr>
            <w:tcW w:w="695" w:type="pct"/>
            <w:tcBorders>
              <w:top w:val="single" w:sz="4" w:space="0" w:color="auto"/>
              <w:left w:val="single" w:sz="4" w:space="0" w:color="auto"/>
              <w:bottom w:val="single" w:sz="4" w:space="0" w:color="auto"/>
              <w:right w:val="single" w:sz="4" w:space="0" w:color="auto"/>
            </w:tcBorders>
          </w:tcPr>
          <w:p w14:paraId="6CFBC3AE" w14:textId="77777777" w:rsidR="00135C42" w:rsidRPr="004350A9" w:rsidRDefault="00135C42" w:rsidP="001D10D4">
            <w:pPr>
              <w:jc w:val="both"/>
              <w:rPr>
                <w:color w:val="000000" w:themeColor="text1"/>
                <w:sz w:val="22"/>
                <w:szCs w:val="22"/>
              </w:rPr>
            </w:pPr>
            <w:r w:rsidRPr="004350A9">
              <w:rPr>
                <w:color w:val="000000" w:themeColor="text1"/>
                <w:sz w:val="22"/>
                <w:szCs w:val="22"/>
              </w:rPr>
              <w:t>Proportion of population loss to follow-up for group r</w:t>
            </w:r>
          </w:p>
        </w:tc>
        <w:tc>
          <w:tcPr>
            <w:tcW w:w="626" w:type="pct"/>
            <w:vMerge/>
            <w:tcBorders>
              <w:left w:val="single" w:sz="4" w:space="0" w:color="auto"/>
              <w:right w:val="single" w:sz="4" w:space="0" w:color="auto"/>
            </w:tcBorders>
          </w:tcPr>
          <w:p w14:paraId="118EEE3D" w14:textId="77777777" w:rsidR="00135C42" w:rsidRPr="004350A9" w:rsidRDefault="00135C42">
            <w:pPr>
              <w:jc w:val="both"/>
              <w:rPr>
                <w:color w:val="000000" w:themeColor="text1"/>
                <w:sz w:val="22"/>
                <w:szCs w:val="22"/>
              </w:rPr>
            </w:pPr>
          </w:p>
        </w:tc>
        <w:tc>
          <w:tcPr>
            <w:tcW w:w="1355" w:type="pct"/>
            <w:vMerge/>
            <w:tcBorders>
              <w:left w:val="single" w:sz="4" w:space="0" w:color="auto"/>
              <w:right w:val="single" w:sz="4" w:space="0" w:color="auto"/>
            </w:tcBorders>
          </w:tcPr>
          <w:p w14:paraId="33564FBC" w14:textId="77777777" w:rsidR="00135C42" w:rsidRPr="004350A9" w:rsidRDefault="00135C42">
            <w:pPr>
              <w:jc w:val="both"/>
              <w:rPr>
                <w:color w:val="000000" w:themeColor="text1"/>
                <w:sz w:val="22"/>
                <w:szCs w:val="22"/>
              </w:rPr>
            </w:pPr>
          </w:p>
        </w:tc>
        <w:tc>
          <w:tcPr>
            <w:tcW w:w="1077" w:type="pct"/>
            <w:gridSpan w:val="3"/>
            <w:vMerge/>
            <w:tcBorders>
              <w:left w:val="single" w:sz="4" w:space="0" w:color="auto"/>
              <w:right w:val="single" w:sz="4" w:space="0" w:color="auto"/>
            </w:tcBorders>
          </w:tcPr>
          <w:p w14:paraId="113DB445" w14:textId="77777777" w:rsidR="00135C42" w:rsidRPr="004350A9" w:rsidRDefault="00135C42">
            <w:pPr>
              <w:jc w:val="both"/>
              <w:rPr>
                <w:color w:val="000000" w:themeColor="text1"/>
                <w:sz w:val="22"/>
                <w:szCs w:val="22"/>
              </w:rPr>
            </w:pPr>
          </w:p>
        </w:tc>
        <w:tc>
          <w:tcPr>
            <w:tcW w:w="728" w:type="pct"/>
            <w:vMerge/>
            <w:tcBorders>
              <w:left w:val="single" w:sz="4" w:space="0" w:color="auto"/>
              <w:right w:val="single" w:sz="4" w:space="0" w:color="auto"/>
            </w:tcBorders>
          </w:tcPr>
          <w:p w14:paraId="07396DCC" w14:textId="77777777" w:rsidR="00135C42" w:rsidRPr="004350A9" w:rsidRDefault="00135C42">
            <w:pPr>
              <w:jc w:val="both"/>
              <w:rPr>
                <w:color w:val="000000" w:themeColor="text1"/>
                <w:sz w:val="22"/>
                <w:szCs w:val="22"/>
              </w:rPr>
            </w:pPr>
          </w:p>
        </w:tc>
      </w:tr>
      <w:tr w:rsidR="00135C42" w:rsidRPr="004350A9" w14:paraId="3E209804" w14:textId="77777777" w:rsidTr="00FA7C7E">
        <w:trPr>
          <w:trHeight w:val="257"/>
        </w:trPr>
        <w:tc>
          <w:tcPr>
            <w:tcW w:w="519" w:type="pct"/>
            <w:tcBorders>
              <w:top w:val="single" w:sz="4" w:space="0" w:color="auto"/>
              <w:left w:val="single" w:sz="4" w:space="0" w:color="auto"/>
              <w:bottom w:val="single" w:sz="4" w:space="0" w:color="auto"/>
              <w:right w:val="single" w:sz="4" w:space="0" w:color="auto"/>
            </w:tcBorders>
          </w:tcPr>
          <w:p w14:paraId="4A7DD41B" w14:textId="77777777" w:rsidR="00135C42" w:rsidRPr="004350A9" w:rsidRDefault="00135C42" w:rsidP="00A4646C">
            <w:pPr>
              <w:jc w:val="both"/>
              <w:rPr>
                <w:rFonts w:eastAsia="DengXian"/>
                <w:color w:val="000000" w:themeColor="text1"/>
                <w:sz w:val="22"/>
                <w:szCs w:val="22"/>
              </w:rPr>
            </w:pPr>
            <m:oMathPara>
              <m:oMath>
                <m:r>
                  <w:rPr>
                    <w:rFonts w:ascii="Cambria Math" w:eastAsiaTheme="minorEastAsia" w:hAnsi="Cambria Math"/>
                    <w:color w:val="000000" w:themeColor="text1"/>
                    <w:sz w:val="22"/>
                    <w:szCs w:val="22"/>
                  </w:rPr>
                  <m:t>P(linked)</m:t>
                </m:r>
              </m:oMath>
            </m:oMathPara>
          </w:p>
        </w:tc>
        <w:tc>
          <w:tcPr>
            <w:tcW w:w="695" w:type="pct"/>
            <w:tcBorders>
              <w:top w:val="single" w:sz="4" w:space="0" w:color="auto"/>
              <w:left w:val="single" w:sz="4" w:space="0" w:color="auto"/>
              <w:bottom w:val="single" w:sz="4" w:space="0" w:color="auto"/>
              <w:right w:val="single" w:sz="4" w:space="0" w:color="auto"/>
            </w:tcBorders>
          </w:tcPr>
          <w:p w14:paraId="583EDA49" w14:textId="77777777" w:rsidR="00135C42" w:rsidRPr="004350A9" w:rsidRDefault="00135C42" w:rsidP="001D10D4">
            <w:pPr>
              <w:jc w:val="both"/>
              <w:rPr>
                <w:color w:val="000000" w:themeColor="text1"/>
                <w:sz w:val="22"/>
                <w:szCs w:val="22"/>
              </w:rPr>
            </w:pPr>
            <w:r w:rsidRPr="004350A9">
              <w:rPr>
                <w:color w:val="000000" w:themeColor="text1"/>
                <w:sz w:val="22"/>
                <w:szCs w:val="22"/>
              </w:rPr>
              <w:t>Proportion of population linked for group r</w:t>
            </w:r>
          </w:p>
        </w:tc>
        <w:tc>
          <w:tcPr>
            <w:tcW w:w="626" w:type="pct"/>
            <w:vMerge/>
            <w:tcBorders>
              <w:left w:val="single" w:sz="4" w:space="0" w:color="auto"/>
              <w:bottom w:val="single" w:sz="4" w:space="0" w:color="auto"/>
              <w:right w:val="single" w:sz="4" w:space="0" w:color="auto"/>
            </w:tcBorders>
          </w:tcPr>
          <w:p w14:paraId="7E49117C" w14:textId="77777777" w:rsidR="00135C42" w:rsidRPr="004350A9" w:rsidRDefault="00135C42">
            <w:pPr>
              <w:jc w:val="both"/>
              <w:rPr>
                <w:color w:val="000000" w:themeColor="text1"/>
                <w:sz w:val="22"/>
                <w:szCs w:val="22"/>
              </w:rPr>
            </w:pPr>
          </w:p>
        </w:tc>
        <w:tc>
          <w:tcPr>
            <w:tcW w:w="1355" w:type="pct"/>
            <w:vMerge/>
            <w:tcBorders>
              <w:left w:val="single" w:sz="4" w:space="0" w:color="auto"/>
              <w:bottom w:val="single" w:sz="4" w:space="0" w:color="auto"/>
              <w:right w:val="single" w:sz="4" w:space="0" w:color="auto"/>
            </w:tcBorders>
          </w:tcPr>
          <w:p w14:paraId="5430C29F" w14:textId="77777777" w:rsidR="00135C42" w:rsidRPr="004350A9" w:rsidRDefault="00135C42">
            <w:pPr>
              <w:jc w:val="both"/>
              <w:rPr>
                <w:color w:val="000000" w:themeColor="text1"/>
                <w:sz w:val="22"/>
                <w:szCs w:val="22"/>
              </w:rPr>
            </w:pPr>
          </w:p>
        </w:tc>
        <w:tc>
          <w:tcPr>
            <w:tcW w:w="1077" w:type="pct"/>
            <w:gridSpan w:val="3"/>
            <w:vMerge/>
            <w:tcBorders>
              <w:left w:val="single" w:sz="4" w:space="0" w:color="auto"/>
              <w:bottom w:val="single" w:sz="4" w:space="0" w:color="auto"/>
              <w:right w:val="single" w:sz="4" w:space="0" w:color="auto"/>
            </w:tcBorders>
          </w:tcPr>
          <w:p w14:paraId="6DA74246" w14:textId="77777777" w:rsidR="00135C42" w:rsidRPr="004350A9" w:rsidRDefault="00135C42">
            <w:pPr>
              <w:jc w:val="both"/>
              <w:rPr>
                <w:color w:val="000000" w:themeColor="text1"/>
                <w:sz w:val="22"/>
                <w:szCs w:val="22"/>
              </w:rPr>
            </w:pPr>
          </w:p>
        </w:tc>
        <w:tc>
          <w:tcPr>
            <w:tcW w:w="728" w:type="pct"/>
            <w:vMerge/>
            <w:tcBorders>
              <w:left w:val="single" w:sz="4" w:space="0" w:color="auto"/>
              <w:bottom w:val="single" w:sz="4" w:space="0" w:color="auto"/>
              <w:right w:val="single" w:sz="4" w:space="0" w:color="auto"/>
            </w:tcBorders>
          </w:tcPr>
          <w:p w14:paraId="44A66294" w14:textId="77777777" w:rsidR="00135C42" w:rsidRPr="004350A9" w:rsidRDefault="00135C42">
            <w:pPr>
              <w:jc w:val="both"/>
              <w:rPr>
                <w:color w:val="000000" w:themeColor="text1"/>
                <w:sz w:val="22"/>
                <w:szCs w:val="22"/>
              </w:rPr>
            </w:pPr>
          </w:p>
        </w:tc>
      </w:tr>
      <w:tr w:rsidR="00135C42" w:rsidRPr="004350A9" w14:paraId="1D25CDF7" w14:textId="77777777" w:rsidTr="00FA7C7E">
        <w:trPr>
          <w:trHeight w:val="257"/>
        </w:trPr>
        <w:tc>
          <w:tcPr>
            <w:tcW w:w="519" w:type="pct"/>
            <w:tcBorders>
              <w:top w:val="single" w:sz="4" w:space="0" w:color="auto"/>
              <w:left w:val="single" w:sz="4" w:space="0" w:color="auto"/>
              <w:bottom w:val="single" w:sz="4" w:space="0" w:color="auto"/>
              <w:right w:val="single" w:sz="4" w:space="0" w:color="auto"/>
            </w:tcBorders>
          </w:tcPr>
          <w:p w14:paraId="0374998A" w14:textId="77777777" w:rsidR="00135C42" w:rsidRPr="004350A9" w:rsidRDefault="00135C42" w:rsidP="00A4646C">
            <w:pPr>
              <w:jc w:val="both"/>
              <w:rPr>
                <w:rFonts w:eastAsia="DengXian"/>
                <w:color w:val="000000" w:themeColor="text1"/>
                <w:sz w:val="22"/>
                <w:szCs w:val="22"/>
              </w:rPr>
            </w:pPr>
            <w:r w:rsidRPr="004350A9">
              <w:rPr>
                <w:rFonts w:eastAsia="DengXian"/>
                <w:color w:val="000000" w:themeColor="text1"/>
                <w:sz w:val="22"/>
                <w:szCs w:val="22"/>
              </w:rPr>
              <w:lastRenderedPageBreak/>
              <w:t>Distribution of CD4 strata</w:t>
            </w:r>
          </w:p>
        </w:tc>
        <w:tc>
          <w:tcPr>
            <w:tcW w:w="695" w:type="pct"/>
            <w:tcBorders>
              <w:top w:val="single" w:sz="4" w:space="0" w:color="auto"/>
              <w:left w:val="single" w:sz="4" w:space="0" w:color="auto"/>
              <w:bottom w:val="single" w:sz="4" w:space="0" w:color="auto"/>
              <w:right w:val="single" w:sz="4" w:space="0" w:color="auto"/>
            </w:tcBorders>
          </w:tcPr>
          <w:p w14:paraId="2B32EC92" w14:textId="77777777" w:rsidR="00135C42" w:rsidRPr="004350A9" w:rsidRDefault="00135C42" w:rsidP="001D10D4">
            <w:pPr>
              <w:jc w:val="both"/>
              <w:rPr>
                <w:color w:val="000000" w:themeColor="text1"/>
                <w:sz w:val="22"/>
                <w:szCs w:val="22"/>
              </w:rPr>
            </w:pPr>
            <w:r w:rsidRPr="004350A9">
              <w:rPr>
                <w:color w:val="000000" w:themeColor="text1"/>
                <w:sz w:val="22"/>
                <w:szCs w:val="22"/>
              </w:rPr>
              <w:t>Proportions of population in each CD4 stratum for group r</w:t>
            </w:r>
          </w:p>
        </w:tc>
        <w:tc>
          <w:tcPr>
            <w:tcW w:w="626" w:type="pct"/>
            <w:tcBorders>
              <w:top w:val="single" w:sz="4" w:space="0" w:color="auto"/>
              <w:left w:val="single" w:sz="4" w:space="0" w:color="auto"/>
              <w:bottom w:val="single" w:sz="4" w:space="0" w:color="auto"/>
              <w:right w:val="single" w:sz="4" w:space="0" w:color="auto"/>
            </w:tcBorders>
          </w:tcPr>
          <w:p w14:paraId="5BAA61AC" w14:textId="77777777" w:rsidR="00135C42" w:rsidRPr="004350A9" w:rsidRDefault="00135C42" w:rsidP="00527179">
            <w:pPr>
              <w:jc w:val="both"/>
              <w:rPr>
                <w:color w:val="000000" w:themeColor="text1"/>
                <w:sz w:val="22"/>
                <w:szCs w:val="22"/>
              </w:rPr>
            </w:pPr>
            <w:r w:rsidRPr="004350A9">
              <w:rPr>
                <w:color w:val="000000" w:themeColor="text1"/>
                <w:sz w:val="22"/>
                <w:szCs w:val="22"/>
              </w:rPr>
              <w:t xml:space="preserve">Grid search </w:t>
            </w:r>
          </w:p>
        </w:tc>
        <w:tc>
          <w:tcPr>
            <w:tcW w:w="1355" w:type="pct"/>
            <w:tcBorders>
              <w:top w:val="single" w:sz="4" w:space="0" w:color="auto"/>
              <w:left w:val="single" w:sz="4" w:space="0" w:color="auto"/>
              <w:bottom w:val="single" w:sz="4" w:space="0" w:color="auto"/>
              <w:right w:val="single" w:sz="4" w:space="0" w:color="auto"/>
            </w:tcBorders>
          </w:tcPr>
          <w:p w14:paraId="3271EC03" w14:textId="77777777" w:rsidR="00135C42" w:rsidRPr="004350A9" w:rsidRDefault="00135C42" w:rsidP="00527179">
            <w:pPr>
              <w:jc w:val="both"/>
              <w:rPr>
                <w:color w:val="000000" w:themeColor="text1"/>
                <w:sz w:val="22"/>
                <w:szCs w:val="22"/>
              </w:rPr>
            </w:pPr>
            <w:r w:rsidRPr="004350A9">
              <w:rPr>
                <w:color w:val="000000" w:themeColor="text1"/>
                <w:sz w:val="22"/>
                <w:szCs w:val="22"/>
              </w:rPr>
              <w:t>I am proposing grid search for the distribution of CD4 strata since the four probabilities are associated with each other and follows certain patterns (</w:t>
            </w:r>
            <w:proofErr w:type="gramStart"/>
            <w:r w:rsidRPr="004350A9">
              <w:rPr>
                <w:color w:val="000000" w:themeColor="text1"/>
                <w:sz w:val="22"/>
                <w:szCs w:val="22"/>
              </w:rPr>
              <w:t>i.e.</w:t>
            </w:r>
            <w:proofErr w:type="gramEnd"/>
            <w:r w:rsidRPr="004350A9">
              <w:rPr>
                <w:color w:val="000000" w:themeColor="text1"/>
                <w:sz w:val="22"/>
                <w:szCs w:val="22"/>
              </w:rPr>
              <w:t xml:space="preserve"> most people will be in earlier stage of HIV disease)</w:t>
            </w:r>
          </w:p>
        </w:tc>
        <w:tc>
          <w:tcPr>
            <w:tcW w:w="1077" w:type="pct"/>
            <w:gridSpan w:val="3"/>
            <w:tcBorders>
              <w:top w:val="single" w:sz="4" w:space="0" w:color="auto"/>
              <w:left w:val="single" w:sz="4" w:space="0" w:color="auto"/>
              <w:bottom w:val="single" w:sz="4" w:space="0" w:color="auto"/>
              <w:right w:val="single" w:sz="4" w:space="0" w:color="auto"/>
            </w:tcBorders>
          </w:tcPr>
          <w:p w14:paraId="5777F17A" w14:textId="77777777" w:rsidR="00135C42" w:rsidRPr="004350A9" w:rsidRDefault="00135C42" w:rsidP="00527179">
            <w:pPr>
              <w:jc w:val="both"/>
              <w:rPr>
                <w:color w:val="000000" w:themeColor="text1"/>
                <w:sz w:val="22"/>
                <w:szCs w:val="22"/>
              </w:rPr>
            </w:pPr>
          </w:p>
        </w:tc>
        <w:tc>
          <w:tcPr>
            <w:tcW w:w="728" w:type="pct"/>
            <w:tcBorders>
              <w:top w:val="single" w:sz="4" w:space="0" w:color="auto"/>
              <w:left w:val="single" w:sz="4" w:space="0" w:color="auto"/>
              <w:bottom w:val="single" w:sz="4" w:space="0" w:color="auto"/>
              <w:right w:val="single" w:sz="4" w:space="0" w:color="auto"/>
            </w:tcBorders>
          </w:tcPr>
          <w:p w14:paraId="2F77AC9D" w14:textId="77777777" w:rsidR="00135C42" w:rsidRPr="004350A9" w:rsidRDefault="00135C42" w:rsidP="00E71320">
            <w:pPr>
              <w:jc w:val="both"/>
              <w:rPr>
                <w:color w:val="000000" w:themeColor="text1"/>
                <w:sz w:val="22"/>
                <w:szCs w:val="22"/>
              </w:rPr>
            </w:pPr>
          </w:p>
        </w:tc>
      </w:tr>
    </w:tbl>
    <w:p w14:paraId="4E5B48C8" w14:textId="77777777" w:rsidR="00135C42" w:rsidRPr="004350A9" w:rsidRDefault="00135C42" w:rsidP="00A4646C">
      <w:pPr>
        <w:rPr>
          <w:sz w:val="22"/>
          <w:szCs w:val="22"/>
        </w:rPr>
      </w:pPr>
    </w:p>
    <w:p w14:paraId="7423D1E5" w14:textId="22BDACBB" w:rsidR="00267D51" w:rsidRPr="008307C2" w:rsidRDefault="00267D51" w:rsidP="001D10D4">
      <w:pPr>
        <w:widowControl w:val="0"/>
        <w:autoSpaceDE w:val="0"/>
        <w:autoSpaceDN w:val="0"/>
        <w:adjustRightInd w:val="0"/>
        <w:jc w:val="both"/>
        <w:rPr>
          <w:b/>
          <w:sz w:val="22"/>
        </w:rPr>
      </w:pPr>
    </w:p>
    <w:sectPr w:rsidR="00267D51" w:rsidRPr="008307C2" w:rsidSect="00550A15">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pril D Kimmel" w:date="2021-06-16T12:58:00Z" w:initials="ADK">
    <w:p w14:paraId="6994EC54" w14:textId="13E07CEE" w:rsidR="00930C35" w:rsidRDefault="00930C35">
      <w:pPr>
        <w:pStyle w:val="CommentText"/>
      </w:pPr>
      <w:r>
        <w:rPr>
          <w:rStyle w:val="CommentReference"/>
        </w:rPr>
        <w:annotationRef/>
      </w:r>
      <w:r>
        <w:t>Hyperlinks pending</w:t>
      </w:r>
    </w:p>
  </w:comment>
  <w:comment w:id="1" w:author="Zhongzhe (Portia) Pan" w:date="2021-09-05T23:52:00Z" w:initials="ZP">
    <w:p w14:paraId="410D2D17" w14:textId="0B977995" w:rsidR="00352CE1" w:rsidRDefault="00352CE1">
      <w:pPr>
        <w:pStyle w:val="CommentText"/>
      </w:pPr>
      <w:r>
        <w:rPr>
          <w:rStyle w:val="CommentReference"/>
        </w:rPr>
        <w:annotationRef/>
      </w:r>
      <w:r>
        <w:t xml:space="preserve">Hyperlinks updated. </w:t>
      </w:r>
    </w:p>
  </w:comment>
  <w:comment w:id="4" w:author="April D Kimmel" w:date="2021-06-16T16:54:00Z" w:initials="ADK">
    <w:p w14:paraId="714CF9C6" w14:textId="7DCC513C" w:rsidR="008E1E92" w:rsidRDefault="008E1E92">
      <w:pPr>
        <w:pStyle w:val="CommentText"/>
      </w:pPr>
      <w:r>
        <w:rPr>
          <w:rStyle w:val="CommentReference"/>
        </w:rPr>
        <w:annotationRef/>
      </w:r>
      <w:r>
        <w:t>Need a summary table of model inputs and their sources, as well as way to indicate whether data analysis is required. (</w:t>
      </w:r>
      <w:r>
        <w:t>may be self-evident from the source)</w:t>
      </w:r>
    </w:p>
  </w:comment>
  <w:comment w:id="5" w:author="Zhongzhe (Portia) Pan" w:date="2021-09-13T18:25:00Z" w:initials="ZP">
    <w:p w14:paraId="50D3362E" w14:textId="5BB6ACB5" w:rsidR="00956614" w:rsidRDefault="00956614">
      <w:pPr>
        <w:pStyle w:val="CommentText"/>
      </w:pPr>
      <w:r>
        <w:rPr>
          <w:rStyle w:val="CommentReference"/>
        </w:rPr>
        <w:annotationRef/>
      </w:r>
      <w:r>
        <w:t xml:space="preserve">I tried to integrate the information in Table 3. Let’s see if it works. </w:t>
      </w:r>
    </w:p>
  </w:comment>
  <w:comment w:id="13" w:author="April D Kimmel" w:date="2021-06-16T12:32:00Z" w:initials="ADK">
    <w:p w14:paraId="6C4B84B2" w14:textId="10EDBFF1" w:rsidR="00930C35" w:rsidRDefault="00930C35">
      <w:pPr>
        <w:pStyle w:val="CommentText"/>
      </w:pPr>
      <w:r>
        <w:rPr>
          <w:rStyle w:val="CommentReference"/>
        </w:rPr>
        <w:annotationRef/>
      </w:r>
      <w:r>
        <w:t>Portia, this does not support the rationale, IMO.</w:t>
      </w:r>
    </w:p>
  </w:comment>
  <w:comment w:id="14" w:author="Zhongzhe (Portia) Pan" w:date="2021-09-06T00:21:00Z" w:initials="ZP">
    <w:p w14:paraId="13991A08" w14:textId="725B95E4" w:rsidR="008C4818" w:rsidRDefault="008C4818">
      <w:pPr>
        <w:pStyle w:val="CommentText"/>
      </w:pPr>
      <w:r>
        <w:rPr>
          <w:rStyle w:val="CommentReference"/>
        </w:rPr>
        <w:annotationRef/>
      </w:r>
      <w:r>
        <w:t xml:space="preserve">Revised. </w:t>
      </w:r>
    </w:p>
  </w:comment>
  <w:comment w:id="28" w:author="April D Kimmel" w:date="2021-06-16T09:20:00Z" w:initials="ADK">
    <w:p w14:paraId="23C8E303" w14:textId="13CC3038" w:rsidR="00930C35" w:rsidRDefault="00930C35">
      <w:pPr>
        <w:pStyle w:val="CommentText"/>
      </w:pPr>
      <w:r>
        <w:rPr>
          <w:rStyle w:val="CommentReference"/>
        </w:rPr>
        <w:annotationRef/>
      </w:r>
      <w:r>
        <w:t>Please include justification</w:t>
      </w:r>
    </w:p>
  </w:comment>
  <w:comment w:id="29" w:author="Zhongzhe (Portia) Pan" w:date="2021-09-06T00:34:00Z" w:initials="ZP">
    <w:p w14:paraId="0A703E32" w14:textId="5433C6D8" w:rsidR="000D0825" w:rsidRDefault="000D0825">
      <w:pPr>
        <w:pStyle w:val="CommentText"/>
      </w:pPr>
      <w:r>
        <w:rPr>
          <w:rStyle w:val="CommentReference"/>
        </w:rPr>
        <w:annotationRef/>
      </w:r>
      <w:r>
        <w:t xml:space="preserve">I dig into Deo’s folder but could not find the reason why we classify it as urban rural instead of Kigali and Other regions. I tried to summarize myself. Please help with this. </w:t>
      </w:r>
    </w:p>
  </w:comment>
  <w:comment w:id="31" w:author="April D Kimmel" w:date="2021-04-08T10:17:00Z" w:initials="ADK">
    <w:p w14:paraId="05CBA4FE" w14:textId="36302EE2" w:rsidR="00930C35" w:rsidRDefault="00930C35">
      <w:r>
        <w:rPr>
          <w:rStyle w:val="Heading2Char"/>
        </w:rPr>
        <w:annotationRef/>
      </w:r>
      <w:r>
        <w:t>Can you add a few references for this? Optima does this, I recall. We did look at this early on.</w:t>
      </w:r>
    </w:p>
  </w:comment>
  <w:comment w:id="32" w:author="April D Kimmel" w:date="2021-06-01T13:16:00Z" w:initials="ADK">
    <w:p w14:paraId="2E7D92B2" w14:textId="70AAD946" w:rsidR="00930C35" w:rsidRDefault="00930C35">
      <w:pPr>
        <w:pStyle w:val="CommentText"/>
      </w:pPr>
      <w:r>
        <w:rPr>
          <w:rStyle w:val="CommentReference"/>
        </w:rPr>
        <w:annotationRef/>
      </w:r>
      <w:r>
        <w:t>Add 1-2 more references to support the claim</w:t>
      </w:r>
    </w:p>
  </w:comment>
  <w:comment w:id="41" w:author="Zhongzhe (Portia) Pan" w:date="2021-08-16T11:10:00Z" w:initials="ZP">
    <w:p w14:paraId="68F12AB2" w14:textId="26B72D57" w:rsidR="00FF7A3B" w:rsidRDefault="00FF7A3B">
      <w:pPr>
        <w:pStyle w:val="CommentText"/>
      </w:pPr>
      <w:r>
        <w:rPr>
          <w:rStyle w:val="CommentReference"/>
        </w:rPr>
        <w:annotationRef/>
      </w:r>
      <w:r>
        <w:t xml:space="preserve">Note that I deleted the assumption that the probability of transmission does not differ by direction. The previous assumption is made for men and women regardless of risk. In parameterization, we extract the probability of transmission by different risk groups, which will lead to difference in probabilities by direction. </w:t>
      </w:r>
    </w:p>
  </w:comment>
  <w:comment w:id="47" w:author="April D Kimmel" w:date="2021-06-09T11:17:00Z" w:initials="ADK">
    <w:p w14:paraId="13ED113A" w14:textId="77777777" w:rsidR="00930C35" w:rsidRDefault="00930C35" w:rsidP="00E447D3">
      <w:pPr>
        <w:pStyle w:val="CommentText"/>
      </w:pPr>
      <w:r>
        <w:rPr>
          <w:rStyle w:val="CommentReference"/>
        </w:rPr>
        <w:annotationRef/>
      </w:r>
      <w:r>
        <w:t>Why is this a separate section?? (</w:t>
      </w:r>
      <w:r>
        <w:t xml:space="preserve">and as importantly, presented here after death well after the force of infection section which it informs) </w:t>
      </w:r>
    </w:p>
    <w:p w14:paraId="08BA94EC" w14:textId="77777777" w:rsidR="00930C35" w:rsidRDefault="00930C35" w:rsidP="00E447D3">
      <w:pPr>
        <w:pStyle w:val="CommentText"/>
      </w:pPr>
    </w:p>
    <w:p w14:paraId="78EFD3B5" w14:textId="77777777" w:rsidR="00930C35" w:rsidRDefault="00930C35" w:rsidP="00E447D3">
      <w:pPr>
        <w:pStyle w:val="CommentText"/>
      </w:pPr>
      <w:r>
        <w:t xml:space="preserve">It should be integrated in the force of infection section. </w:t>
      </w:r>
    </w:p>
  </w:comment>
  <w:comment w:id="48" w:author="Zhongzhe (Portia) Pan" w:date="2021-06-15T04:14:00Z" w:initials="ZP">
    <w:p w14:paraId="2399CCE1" w14:textId="16F65C97" w:rsidR="00930C35" w:rsidRDefault="00930C35" w:rsidP="00E447D3">
      <w:pPr>
        <w:pStyle w:val="CommentText"/>
      </w:pPr>
      <w:r>
        <w:rPr>
          <w:rStyle w:val="CommentReference"/>
        </w:rPr>
        <w:annotationRef/>
      </w:r>
      <w:r>
        <w:t xml:space="preserve">I move them up to the force of infection section. However, I am not fully convinced to put them here since they are estimates of parameter inputs. Let’s discuss later if it should be in a sub-heading called parameters for force of infection. </w:t>
      </w:r>
    </w:p>
  </w:comment>
  <w:comment w:id="49" w:author="April D Kimmel" w:date="2021-06-15T20:32:00Z" w:initials="ADK">
    <w:p w14:paraId="6747BAB1" w14:textId="5482AADE" w:rsidR="00930C35" w:rsidRDefault="00930C35">
      <w:pPr>
        <w:pStyle w:val="CommentText"/>
      </w:pPr>
      <w:r>
        <w:rPr>
          <w:rStyle w:val="CommentReference"/>
        </w:rPr>
        <w:annotationRef/>
      </w:r>
      <w:r>
        <w:t>Happy to discuss. There is obviously a lot of information in this document. It would benefit from a table of contents to help orient the reader. It would likely help us to determine if sections should be re-organized.</w:t>
      </w:r>
    </w:p>
  </w:comment>
  <w:comment w:id="55" w:author="Microsoft Office User" w:date="2021-04-08T20:23:00Z" w:initials="MOU">
    <w:p w14:paraId="13001158" w14:textId="77777777" w:rsidR="00930C35" w:rsidRDefault="00930C35" w:rsidP="00E447D3">
      <w:r>
        <w:rPr>
          <w:rStyle w:val="Heading2Char"/>
        </w:rPr>
        <w:annotationRef/>
      </w:r>
      <w:r>
        <w:t xml:space="preserve">Note that the probability of HIV transmission from male-to-female for high-risk population is extremely low, which does not make logical sense. When calibrating the model, we might change the based probabilities using data from other source or calibrated probabilities. </w:t>
      </w:r>
    </w:p>
  </w:comment>
  <w:comment w:id="57" w:author="April D Kimmel" w:date="2021-06-15T20:38:00Z" w:initials="ADK">
    <w:p w14:paraId="114ACCD3" w14:textId="5811878A" w:rsidR="00930C35" w:rsidRDefault="00930C35">
      <w:pPr>
        <w:pStyle w:val="CommentText"/>
      </w:pPr>
      <w:r>
        <w:rPr>
          <w:rStyle w:val="CommentReference"/>
        </w:rPr>
        <w:annotationRef/>
      </w:r>
      <w:r>
        <w:t>Include reference</w:t>
      </w:r>
    </w:p>
  </w:comment>
  <w:comment w:id="58" w:author="April D Kimmel" w:date="2021-06-15T20:39:00Z" w:initials="ADK">
    <w:p w14:paraId="33898FAD" w14:textId="34F9D61C" w:rsidR="00930C35" w:rsidRDefault="00930C35">
      <w:pPr>
        <w:pStyle w:val="CommentText"/>
      </w:pPr>
      <w:r>
        <w:rPr>
          <w:rStyle w:val="CommentReference"/>
        </w:rPr>
        <w:annotationRef/>
      </w:r>
      <w:r>
        <w:t>Include references.</w:t>
      </w:r>
    </w:p>
  </w:comment>
  <w:comment w:id="60" w:author="April D Kimmel" w:date="2021-06-15T20:41:00Z" w:initials="ADK">
    <w:p w14:paraId="6725F694" w14:textId="77777777" w:rsidR="00930C35" w:rsidRDefault="00930C35" w:rsidP="002E50FA">
      <w:pPr>
        <w:pStyle w:val="CommentText"/>
        <w:numPr>
          <w:ilvl w:val="0"/>
          <w:numId w:val="34"/>
        </w:numPr>
      </w:pPr>
      <w:r>
        <w:rPr>
          <w:rStyle w:val="CommentReference"/>
        </w:rPr>
        <w:annotationRef/>
      </w:r>
      <w:r>
        <w:t xml:space="preserve"> Include a reference to Table 5 somewhere in this section.</w:t>
      </w:r>
    </w:p>
    <w:p w14:paraId="0B32CD7D" w14:textId="3CC0207D" w:rsidR="00930C35" w:rsidRDefault="00930C35" w:rsidP="002E50FA">
      <w:pPr>
        <w:pStyle w:val="CommentText"/>
        <w:numPr>
          <w:ilvl w:val="0"/>
          <w:numId w:val="34"/>
        </w:numPr>
      </w:pPr>
      <w:r>
        <w:t xml:space="preserve"> Include analytic decision sub-section, consistent with other sections.</w:t>
      </w:r>
    </w:p>
  </w:comment>
  <w:comment w:id="61" w:author="April D Kimmel" w:date="2021-06-15T20:40:00Z" w:initials="ADK">
    <w:p w14:paraId="12DB3C70" w14:textId="67D990DD" w:rsidR="00930C35" w:rsidRDefault="00930C35">
      <w:pPr>
        <w:pStyle w:val="CommentText"/>
      </w:pPr>
      <w:r>
        <w:rPr>
          <w:rStyle w:val="CommentReference"/>
        </w:rPr>
        <w:annotationRef/>
      </w:r>
      <w:r>
        <w:t>Confirm accuracy</w:t>
      </w:r>
    </w:p>
  </w:comment>
  <w:comment w:id="69" w:author="April D Kimmel" w:date="2021-06-16T09:25:00Z" w:initials="ADK">
    <w:p w14:paraId="5FEF4F1E" w14:textId="7C4AB1D7" w:rsidR="00930C35" w:rsidRDefault="00930C35">
      <w:pPr>
        <w:pStyle w:val="CommentText"/>
      </w:pPr>
      <w:r>
        <w:rPr>
          <w:rStyle w:val="CommentReference"/>
        </w:rPr>
        <w:annotationRef/>
      </w:r>
      <w:r>
        <w:t>Please restructure this table similar to the other ones.</w:t>
      </w:r>
    </w:p>
  </w:comment>
  <w:comment w:id="70" w:author="Zhongzhe (Portia) Pan" w:date="2021-08-22T01:25:00Z" w:initials="ZP">
    <w:p w14:paraId="3EBA9D7E" w14:textId="6C5642FF" w:rsidR="00F71ADB" w:rsidRDefault="00F71ADB">
      <w:pPr>
        <w:pStyle w:val="CommentText"/>
      </w:pPr>
      <w:r>
        <w:rPr>
          <w:rStyle w:val="CommentReference"/>
        </w:rPr>
        <w:annotationRef/>
      </w:r>
      <w:r>
        <w:t xml:space="preserve">Restructured as the HIV diagnosis table. </w:t>
      </w:r>
    </w:p>
  </w:comment>
  <w:comment w:id="71" w:author="April D Kimmel" w:date="2021-06-09T10:17:00Z" w:initials="ADK">
    <w:p w14:paraId="5F7938FA" w14:textId="77777777" w:rsidR="00F71ADB" w:rsidRDefault="00F71ADB" w:rsidP="00F71ADB">
      <w:pPr>
        <w:pStyle w:val="CommentText"/>
      </w:pPr>
      <w:r>
        <w:rPr>
          <w:rStyle w:val="CommentReference"/>
        </w:rPr>
        <w:annotationRef/>
      </w:r>
      <w:r>
        <w:t>I don’t understand this column. These represent the DHS data years from which you are parameterizing your model. But while important information, should this table not report the data sources (and years) from which the inputs are derived AND, more importantly, the model years to which you will apply your estimates.</w:t>
      </w:r>
    </w:p>
  </w:comment>
  <w:comment w:id="72" w:author="April D Kimmel" w:date="2021-06-16T09:24:00Z" w:initials="ADK">
    <w:p w14:paraId="562FB55E" w14:textId="5036C34D" w:rsidR="00F71ADB" w:rsidRDefault="00F71ADB" w:rsidP="00F71ADB">
      <w:pPr>
        <w:pStyle w:val="CommentText"/>
      </w:pPr>
      <w:r>
        <w:rPr>
          <w:rStyle w:val="CommentReference"/>
        </w:rPr>
        <w:annotationRef/>
      </w:r>
      <w:r>
        <w:t>Please address the reported estimates here.</w:t>
      </w:r>
    </w:p>
  </w:comment>
  <w:comment w:id="75" w:author="April D Kimmel" w:date="2021-06-16T09:26:00Z" w:initials="ADK">
    <w:p w14:paraId="27FC6629" w14:textId="22434B2F" w:rsidR="00930C35" w:rsidRDefault="00930C35">
      <w:pPr>
        <w:pStyle w:val="CommentText"/>
      </w:pPr>
      <w:r>
        <w:rPr>
          <w:rStyle w:val="CommentReference"/>
        </w:rPr>
        <w:annotationRef/>
      </w:r>
      <w:r>
        <w:t>Please fix numbering. Shouldn’t this be 6.4? (</w:t>
      </w:r>
      <w:r>
        <w:t>versus 6.277)</w:t>
      </w:r>
    </w:p>
  </w:comment>
  <w:comment w:id="76" w:author="April D Kimmel" w:date="2021-06-09T11:22:00Z" w:initials="ADK">
    <w:p w14:paraId="152B662C" w14:textId="77777777" w:rsidR="00930C35" w:rsidRDefault="00930C35" w:rsidP="00E447D3">
      <w:pPr>
        <w:pStyle w:val="CommentText"/>
      </w:pPr>
      <w:r>
        <w:rPr>
          <w:rStyle w:val="CommentReference"/>
        </w:rPr>
        <w:annotationRef/>
      </w:r>
      <w:r>
        <w:t>Effectiveness in terms of what?</w:t>
      </w:r>
    </w:p>
  </w:comment>
  <w:comment w:id="77" w:author="April D Kimmel" w:date="2021-06-09T11:22:00Z" w:initials="ADK">
    <w:p w14:paraId="3CFB5843" w14:textId="77777777" w:rsidR="00930C35" w:rsidRDefault="00930C35" w:rsidP="00E447D3">
      <w:pPr>
        <w:pStyle w:val="CommentText"/>
      </w:pPr>
      <w:r>
        <w:rPr>
          <w:rStyle w:val="CommentReference"/>
        </w:rPr>
        <w:annotationRef/>
      </w:r>
      <w:r>
        <w:t>Same comment as above – this is a sub-section not a separate section.</w:t>
      </w:r>
    </w:p>
  </w:comment>
  <w:comment w:id="78" w:author="April D Kimmel" w:date="2021-06-16T09:33:00Z" w:initials="ADK">
    <w:p w14:paraId="5F8805F6" w14:textId="40FBF67F" w:rsidR="00930C35" w:rsidRDefault="00930C35">
      <w:pPr>
        <w:pStyle w:val="CommentText"/>
      </w:pPr>
      <w:r>
        <w:rPr>
          <w:rStyle w:val="CommentReference"/>
        </w:rPr>
        <w:annotationRef/>
      </w:r>
      <w:r>
        <w:t>Why do you define it this way when later below it is based on effectiveness of viral suppression? If this statement holds, then it needs to be clear how you are using the effectiveness parameter in the force of infection expression.</w:t>
      </w:r>
    </w:p>
  </w:comment>
  <w:comment w:id="79" w:author="April D Kimmel" w:date="2021-06-16T09:25:00Z" w:initials="ADK">
    <w:p w14:paraId="589587EE" w14:textId="7461AAB3" w:rsidR="00930C35" w:rsidRDefault="00930C35">
      <w:pPr>
        <w:pStyle w:val="CommentText"/>
      </w:pPr>
      <w:r>
        <w:rPr>
          <w:rStyle w:val="CommentReference"/>
        </w:rPr>
        <w:annotationRef/>
      </w:r>
      <w:r>
        <w:t>I thought the final decision was &lt;200 copies/mL</w:t>
      </w:r>
    </w:p>
  </w:comment>
  <w:comment w:id="80" w:author="Zhongzhe (Portia) Pan" w:date="2021-08-22T01:26:00Z" w:initials="ZP">
    <w:p w14:paraId="445523E0" w14:textId="34230902" w:rsidR="00F71ADB" w:rsidRDefault="00F71ADB">
      <w:pPr>
        <w:pStyle w:val="CommentText"/>
      </w:pPr>
      <w:r>
        <w:rPr>
          <w:rStyle w:val="CommentReference"/>
        </w:rPr>
        <w:annotationRef/>
      </w:r>
      <w:r>
        <w:t>It is changed to be consistent with the definition in the model so that it is consistent with the Rwanda clinical guideline.</w:t>
      </w:r>
    </w:p>
  </w:comment>
  <w:comment w:id="81" w:author="Zhongzhe (Portia) Pan" w:date="2021-08-22T01:37:00Z" w:initials="ZP">
    <w:p w14:paraId="35E6C151" w14:textId="2E74BAB2" w:rsidR="00F71ADB" w:rsidRDefault="00F71ADB">
      <w:pPr>
        <w:pStyle w:val="CommentText"/>
      </w:pPr>
      <w:r>
        <w:rPr>
          <w:rStyle w:val="CommentReference"/>
        </w:rPr>
        <w:annotationRef/>
      </w:r>
      <w:r>
        <w:t xml:space="preserve">I integrated the limitation section to the other sections. Let’s see if it is feasible. </w:t>
      </w:r>
    </w:p>
  </w:comment>
  <w:comment w:id="83" w:author="April D Kimmel" w:date="2021-06-16T10:19:00Z" w:initials="ADK">
    <w:p w14:paraId="0264CD55" w14:textId="3CABCD2E" w:rsidR="00930C35" w:rsidRDefault="00930C35">
      <w:pPr>
        <w:pStyle w:val="CommentText"/>
      </w:pPr>
      <w:r>
        <w:rPr>
          <w:rStyle w:val="CommentReference"/>
        </w:rPr>
        <w:annotationRef/>
      </w:r>
      <w:r>
        <w:t>Please fix numbering</w:t>
      </w:r>
    </w:p>
  </w:comment>
  <w:comment w:id="85" w:author="April D Kimmel" w:date="2021-04-09T08:28:00Z" w:initials="ADK">
    <w:p w14:paraId="1E3AD2A4" w14:textId="2E606A13" w:rsidR="00930C35" w:rsidRDefault="00930C35">
      <w:r>
        <w:rPr>
          <w:rStyle w:val="Heading2Char"/>
        </w:rPr>
        <w:annotationRef/>
      </w:r>
      <w:r>
        <w:t>References need to be inserted throughout.</w:t>
      </w:r>
    </w:p>
  </w:comment>
  <w:comment w:id="86" w:author="April D Kimmel" w:date="2021-06-16T10:22:00Z" w:initials="ADK">
    <w:p w14:paraId="0ADA3F71" w14:textId="063ED01E" w:rsidR="00930C35" w:rsidRDefault="00930C35">
      <w:pPr>
        <w:pStyle w:val="CommentText"/>
      </w:pPr>
      <w:r>
        <w:rPr>
          <w:rStyle w:val="CommentReference"/>
        </w:rPr>
        <w:annotationRef/>
      </w:r>
      <w:r>
        <w:t>Was this done?</w:t>
      </w:r>
    </w:p>
  </w:comment>
  <w:comment w:id="87" w:author="Zhongzhe (Portia) Pan" w:date="2021-09-13T10:06:00Z" w:initials="ZP">
    <w:p w14:paraId="456F9CA0" w14:textId="43AB5077" w:rsidR="00497512" w:rsidRDefault="00497512">
      <w:pPr>
        <w:pStyle w:val="CommentText"/>
      </w:pPr>
      <w:r>
        <w:rPr>
          <w:rStyle w:val="CommentReference"/>
        </w:rPr>
        <w:annotationRef/>
      </w:r>
      <w:r>
        <w:t xml:space="preserve">Yes. </w:t>
      </w:r>
    </w:p>
  </w:comment>
  <w:comment w:id="90" w:author="April D Kimmel" w:date="2021-06-08T16:00:00Z" w:initials="ADK">
    <w:p w14:paraId="06AF3521" w14:textId="50863C76" w:rsidR="00930C35" w:rsidRDefault="00930C35">
      <w:pPr>
        <w:pStyle w:val="CommentText"/>
      </w:pPr>
      <w:r>
        <w:rPr>
          <w:rStyle w:val="CommentReference"/>
        </w:rPr>
        <w:annotationRef/>
      </w:r>
      <w:r>
        <w:t>This section is still really hard to follow. Can you create a figure to show how these are data come together with a defined process to instantiate the model?</w:t>
      </w:r>
    </w:p>
  </w:comment>
  <w:comment w:id="91" w:author="Zhongzhe (Portia) Pan" w:date="2021-06-15T07:05:00Z" w:initials="ZP">
    <w:p w14:paraId="13F507C1" w14:textId="1691F875" w:rsidR="00930C35" w:rsidRDefault="00930C35">
      <w:pPr>
        <w:pStyle w:val="CommentText"/>
      </w:pPr>
      <w:r>
        <w:rPr>
          <w:rStyle w:val="CommentReference"/>
        </w:rPr>
        <w:annotationRef/>
      </w:r>
      <w:r>
        <w:t>I am not sure what do you mean by the figure. May discuss later.</w:t>
      </w:r>
    </w:p>
  </w:comment>
  <w:comment w:id="92" w:author="Zhongzhe (Portia) Pan" w:date="2021-06-14T23:09:00Z" w:initials="ZP">
    <w:p w14:paraId="457F9A5C" w14:textId="34CB12A5" w:rsidR="00930C35" w:rsidRDefault="00930C35">
      <w:pPr>
        <w:pStyle w:val="CommentText"/>
      </w:pPr>
      <w:r>
        <w:rPr>
          <w:rStyle w:val="CommentReference"/>
        </w:rPr>
        <w:annotationRef/>
      </w:r>
      <w:r>
        <w:t xml:space="preserve">Instead of using the header as “size of low/high-risk sub-population”, I revised it to a more general heading since it describes the data and how it is presented. The assumptions made to estimate the size of sub-population is moved to the next section. </w:t>
      </w:r>
    </w:p>
  </w:comment>
  <w:comment w:id="104" w:author="April D Kimmel" w:date="2021-06-16T10:24:00Z" w:initials="ADK">
    <w:p w14:paraId="3F8E9BCC" w14:textId="2FF63197" w:rsidR="00930C35" w:rsidRDefault="00930C35">
      <w:pPr>
        <w:pStyle w:val="CommentText"/>
      </w:pPr>
      <w:r>
        <w:rPr>
          <w:rStyle w:val="CommentReference"/>
        </w:rPr>
        <w:annotationRef/>
      </w:r>
      <w:r>
        <w:t>Can you make clear what you mean by ‘sub-population’?</w:t>
      </w:r>
    </w:p>
  </w:comment>
  <w:comment w:id="111" w:author="April D Kimmel" w:date="2021-06-08T15:59:00Z" w:initials="ADK">
    <w:p w14:paraId="3C21BBA1" w14:textId="2CDE9E56" w:rsidR="00930C35" w:rsidRDefault="00930C35">
      <w:pPr>
        <w:pStyle w:val="CommentText"/>
      </w:pPr>
      <w:r>
        <w:rPr>
          <w:rStyle w:val="CommentReference"/>
        </w:rPr>
        <w:annotationRef/>
      </w:r>
      <w:r>
        <w:t>Flagging for calibration purposes.</w:t>
      </w:r>
    </w:p>
  </w:comment>
  <w:comment w:id="128" w:author="April D Kimmel" w:date="2021-06-08T16:02:00Z" w:initials="ADK">
    <w:p w14:paraId="56F3C47D" w14:textId="30369807" w:rsidR="00930C35" w:rsidRDefault="00930C35">
      <w:pPr>
        <w:pStyle w:val="CommentText"/>
      </w:pPr>
      <w:r>
        <w:rPr>
          <w:rStyle w:val="CommentReference"/>
        </w:rPr>
        <w:annotationRef/>
      </w:r>
      <w:r>
        <w:t>I did not understand the data or approach until later in the document when describing the approach for estimating the probability of diagnosis. All the detail that is later in the document is left out here.</w:t>
      </w:r>
    </w:p>
  </w:comment>
  <w:comment w:id="129" w:author="Zhongzhe (Portia) Pan" w:date="2021-06-15T00:55:00Z" w:initials="ZP">
    <w:p w14:paraId="5E2FDCEB" w14:textId="46DA35EE" w:rsidR="00930C35" w:rsidRDefault="00930C35">
      <w:pPr>
        <w:pStyle w:val="CommentText"/>
      </w:pPr>
      <w:r>
        <w:rPr>
          <w:rStyle w:val="CommentReference"/>
        </w:rPr>
        <w:annotationRef/>
      </w:r>
      <w:r>
        <w:t xml:space="preserve">For now, I would direct the reader to the later section. We might want to discuss the sequence of sections to make it easier to read. </w:t>
      </w:r>
    </w:p>
  </w:comment>
  <w:comment w:id="130" w:author="April D Kimmel" w:date="2021-06-16T10:27:00Z" w:initials="ADK">
    <w:p w14:paraId="3CD17699" w14:textId="56DB0948" w:rsidR="00930C35" w:rsidRDefault="00930C35">
      <w:pPr>
        <w:pStyle w:val="CommentText"/>
      </w:pPr>
      <w:r>
        <w:rPr>
          <w:rStyle w:val="CommentReference"/>
        </w:rPr>
        <w:annotationRef/>
      </w:r>
      <w:r>
        <w:t>I would present the information first or refer to an appendix. To discuss.</w:t>
      </w:r>
    </w:p>
  </w:comment>
  <w:comment w:id="131" w:author="Zhongzhe (Portia) Pan" w:date="2021-08-02T17:23:00Z" w:initials="ZP">
    <w:p w14:paraId="7E18A746" w14:textId="04163F86" w:rsidR="00EF37F5" w:rsidRDefault="00EF37F5">
      <w:pPr>
        <w:pStyle w:val="CommentText"/>
      </w:pPr>
      <w:r>
        <w:rPr>
          <w:rStyle w:val="CommentReference"/>
        </w:rPr>
        <w:annotationRef/>
      </w:r>
      <w:r>
        <w:t>Included</w:t>
      </w:r>
      <w:r w:rsidR="0050500E">
        <w:t xml:space="preserve"> the description. </w:t>
      </w:r>
    </w:p>
  </w:comment>
  <w:comment w:id="134" w:author="April D Kimmel" w:date="2021-06-01T14:11:00Z" w:initials="ADK">
    <w:p w14:paraId="2C269977" w14:textId="5287EBBC" w:rsidR="00930C35" w:rsidRDefault="00930C35">
      <w:pPr>
        <w:pStyle w:val="CommentText"/>
      </w:pPr>
      <w:r>
        <w:rPr>
          <w:rStyle w:val="CommentReference"/>
        </w:rPr>
        <w:annotationRef/>
      </w:r>
      <w:r>
        <w:t xml:space="preserve">I am not understanding this assumption at all. Do you mean that the test result </w:t>
      </w:r>
      <w:r>
        <w:t>supercedes reporting of HIV status?</w:t>
      </w:r>
    </w:p>
  </w:comment>
  <w:comment w:id="135" w:author="Zhongzhe (Portia) Pan" w:date="2021-06-15T00:34:00Z" w:initials="ZP">
    <w:p w14:paraId="0109B874" w14:textId="4CD37296" w:rsidR="00930C35" w:rsidRDefault="00930C35">
      <w:pPr>
        <w:pStyle w:val="CommentText"/>
      </w:pPr>
      <w:r>
        <w:rPr>
          <w:rStyle w:val="CommentReference"/>
        </w:rPr>
        <w:annotationRef/>
      </w:r>
      <w:r>
        <w:t>This assumption assumes that individuals who are found HIV+ by DHS and ever received HIV testing are diagnosed.</w:t>
      </w:r>
    </w:p>
  </w:comment>
  <w:comment w:id="136" w:author="April D Kimmel" w:date="2021-06-16T10:29:00Z" w:initials="ADK">
    <w:p w14:paraId="68475EAC" w14:textId="2C183A10" w:rsidR="00930C35" w:rsidRDefault="00930C35">
      <w:pPr>
        <w:pStyle w:val="CommentText"/>
      </w:pPr>
      <w:r>
        <w:rPr>
          <w:rStyle w:val="CommentReference"/>
        </w:rPr>
        <w:annotationRef/>
      </w:r>
      <w:r>
        <w:t xml:space="preserve">Need to make clear the assumptions about the data in order to parameterize the model and assumptions about the model. This is muddied here, so we will need to revisit in future iterations. </w:t>
      </w:r>
    </w:p>
  </w:comment>
  <w:comment w:id="137" w:author="April D Kimmel" w:date="2021-06-01T14:25:00Z" w:initials="ADK">
    <w:p w14:paraId="3C5BC0E0" w14:textId="208F85CE" w:rsidR="00930C35" w:rsidRDefault="00930C35">
      <w:pPr>
        <w:pStyle w:val="CommentText"/>
      </w:pPr>
      <w:r>
        <w:rPr>
          <w:rStyle w:val="CommentReference"/>
        </w:rPr>
        <w:annotationRef/>
      </w:r>
      <w:r>
        <w:t xml:space="preserve">Are you accounting for competing risks and data quality in this approach? For as much time as we put into LTFU estimation, this seems very simplistic. </w:t>
      </w:r>
    </w:p>
  </w:comment>
  <w:comment w:id="138" w:author="Zhongzhe (Portia) Pan" w:date="2021-06-14T23:42:00Z" w:initials="ZP">
    <w:p w14:paraId="085C4184" w14:textId="0C5F44E0" w:rsidR="00930C35" w:rsidRDefault="00930C35">
      <w:pPr>
        <w:pStyle w:val="CommentText"/>
      </w:pPr>
      <w:r>
        <w:rPr>
          <w:rStyle w:val="CommentReference"/>
        </w:rPr>
        <w:annotationRef/>
      </w:r>
      <w:r>
        <w:t xml:space="preserve">I include the phrase stating the we will adjust for the misclassification. I don’t think we are adjusting for the competing risk since we are simply estimating the proportion of individuals who are LTFU. </w:t>
      </w:r>
    </w:p>
  </w:comment>
  <w:comment w:id="139" w:author="April D Kimmel" w:date="2021-06-16T10:31:00Z" w:initials="ADK">
    <w:p w14:paraId="06D33CDF" w14:textId="70FE3802" w:rsidR="00930C35" w:rsidRDefault="00930C35">
      <w:pPr>
        <w:pStyle w:val="CommentText"/>
      </w:pPr>
      <w:r>
        <w:rPr>
          <w:rStyle w:val="CommentReference"/>
        </w:rPr>
        <w:annotationRef/>
      </w:r>
      <w:r>
        <w:t xml:space="preserve">Needs to be addressed. The LTFU estimates will likely be biased based solely on the data quality. </w:t>
      </w:r>
    </w:p>
  </w:comment>
  <w:comment w:id="140" w:author="Zhongzhe (Portia) Pan" w:date="2021-07-24T17:34:00Z" w:initials="ZP">
    <w:p w14:paraId="2E90E0B9" w14:textId="1F4623CD" w:rsidR="00AB0EFD" w:rsidRDefault="00AB0EFD">
      <w:pPr>
        <w:pStyle w:val="CommentText"/>
      </w:pPr>
      <w:r>
        <w:rPr>
          <w:rStyle w:val="CommentReference"/>
        </w:rPr>
        <w:annotationRef/>
      </w:r>
      <w:r>
        <w:t xml:space="preserve">I involve the adjustment to misclassification. My question is whether we need the competing risks model. We are not estimating the probability of LTFU within a given time period here. Instead, the purpose of the estimation is to estimate the total proportion of patients who are currently LTFU. </w:t>
      </w:r>
    </w:p>
  </w:comment>
  <w:comment w:id="141" w:author="April D Kimmel" w:date="2021-06-01T14:27:00Z" w:initials="ADK">
    <w:p w14:paraId="4755F9A1" w14:textId="2A154D18" w:rsidR="00930C35" w:rsidRDefault="00930C35">
      <w:pPr>
        <w:pStyle w:val="CommentText"/>
      </w:pPr>
      <w:r>
        <w:rPr>
          <w:rStyle w:val="CommentReference"/>
        </w:rPr>
        <w:annotationRef/>
      </w:r>
      <w:r>
        <w:t xml:space="preserve">We will ultimately want to revisit this assumption. There are other predictors of viral suppression that could feasibly be used. We can use this for now, however. </w:t>
      </w:r>
    </w:p>
  </w:comment>
  <w:comment w:id="142" w:author="April D Kimmel" w:date="2021-06-01T14:48:00Z" w:initials="ADK">
    <w:p w14:paraId="306EE119" w14:textId="0ACD3918" w:rsidR="00930C35" w:rsidRDefault="00930C35">
      <w:pPr>
        <w:pStyle w:val="CommentText"/>
      </w:pPr>
      <w:r>
        <w:rPr>
          <w:rStyle w:val="CommentReference"/>
        </w:rPr>
        <w:annotationRef/>
      </w:r>
      <w:r>
        <w:t>A big assumption. It is likely to bias the distribution downward (i.e., more weighted toward those who are sicker).</w:t>
      </w:r>
    </w:p>
  </w:comment>
  <w:comment w:id="143" w:author="Zhongzhe (Portia) Pan" w:date="2021-07-24T17:42:00Z" w:initials="ZP">
    <w:p w14:paraId="24477503" w14:textId="05426281" w:rsidR="00F96CC0" w:rsidRDefault="00F96CC0">
      <w:pPr>
        <w:pStyle w:val="CommentText"/>
      </w:pPr>
      <w:r>
        <w:rPr>
          <w:rStyle w:val="CommentReference"/>
        </w:rPr>
        <w:annotationRef/>
      </w:r>
      <w:r>
        <w:t xml:space="preserve">I found a paper examining the </w:t>
      </w:r>
      <w:r w:rsidR="00620C5C">
        <w:t xml:space="preserve">CD4 </w:t>
      </w:r>
      <w:r w:rsidR="00620C5C">
        <w:t xml:space="preserve">distirbution in Rwanda among FSW and female who received VCT, which might be another source for the distribution. </w:t>
      </w:r>
    </w:p>
  </w:comment>
  <w:comment w:id="150" w:author="April D Kimmel" w:date="2021-06-09T10:07:00Z" w:initials="ADK">
    <w:p w14:paraId="25EB77D8" w14:textId="22EBB0CF" w:rsidR="00930C35" w:rsidRDefault="00930C35">
      <w:pPr>
        <w:pStyle w:val="CommentText"/>
      </w:pPr>
      <w:r>
        <w:rPr>
          <w:rStyle w:val="CommentReference"/>
        </w:rPr>
        <w:annotationRef/>
      </w:r>
      <w:r>
        <w:t>Why express as a percentage? (</w:t>
      </w:r>
      <w:r>
        <w:t>applies throughout)</w:t>
      </w:r>
    </w:p>
  </w:comment>
  <w:comment w:id="151" w:author="April D Kimmel" w:date="2021-06-16T10:35:00Z" w:initials="ADK">
    <w:p w14:paraId="63B785D5" w14:textId="3020F9DA" w:rsidR="00930C35" w:rsidRDefault="00930C35">
      <w:pPr>
        <w:pStyle w:val="CommentText"/>
      </w:pPr>
      <w:r>
        <w:rPr>
          <w:rStyle w:val="CommentReference"/>
        </w:rPr>
        <w:annotationRef/>
      </w:r>
      <w:r>
        <w:t>Table is still too big</w:t>
      </w:r>
    </w:p>
  </w:comment>
  <w:comment w:id="160" w:author="April D Kimmel" w:date="2021-06-01T16:12:00Z" w:initials="ADK">
    <w:p w14:paraId="2C0B3680" w14:textId="77777777" w:rsidR="00930C35" w:rsidRDefault="00930C35" w:rsidP="00675361">
      <w:pPr>
        <w:pStyle w:val="CommentText"/>
      </w:pPr>
      <w:r>
        <w:rPr>
          <w:rStyle w:val="CommentReference"/>
        </w:rPr>
        <w:annotationRef/>
      </w:r>
      <w:r>
        <w:t>Test or be diagnosed?</w:t>
      </w:r>
    </w:p>
  </w:comment>
  <w:comment w:id="161" w:author="Zhongzhe (Portia) Pan" w:date="2021-06-15T07:18:00Z" w:initials="ZP">
    <w:p w14:paraId="0D5DCE75" w14:textId="30EBE4AA" w:rsidR="00930C35" w:rsidRDefault="00930C35">
      <w:pPr>
        <w:pStyle w:val="CommentText"/>
      </w:pPr>
      <w:r>
        <w:rPr>
          <w:rStyle w:val="CommentReference"/>
        </w:rPr>
        <w:annotationRef/>
      </w:r>
      <w:r>
        <w:t>Have no access to Lancet HIV even through VCU library. I’ll try find the paper and confirm it later.</w:t>
      </w:r>
    </w:p>
  </w:comment>
  <w:comment w:id="166" w:author="April D Kimmel" w:date="2021-06-09T10:17:00Z" w:initials="ADK">
    <w:p w14:paraId="5DC674DE" w14:textId="66A765FE" w:rsidR="00906F6E" w:rsidRDefault="00906F6E">
      <w:pPr>
        <w:pStyle w:val="CommentText"/>
      </w:pPr>
      <w:r>
        <w:rPr>
          <w:rStyle w:val="CommentReference"/>
        </w:rPr>
        <w:annotationRef/>
      </w:r>
      <w:r>
        <w:t>I don’t understand this column. These represent the DHS data years from which you are parameterizing your model. But while important information, should this table not report the data sources (and years) from which the inputs are derived AND, more importantly, the model years to which you will apply your estimates.</w:t>
      </w:r>
    </w:p>
  </w:comment>
  <w:comment w:id="167" w:author="April D Kimmel" w:date="2021-06-16T10:42:00Z" w:initials="ADK">
    <w:p w14:paraId="3D077C95" w14:textId="04079193" w:rsidR="00906F6E" w:rsidRDefault="00906F6E">
      <w:pPr>
        <w:pStyle w:val="CommentText"/>
      </w:pPr>
      <w:r>
        <w:rPr>
          <w:rStyle w:val="CommentReference"/>
        </w:rPr>
        <w:annotationRef/>
      </w:r>
      <w:r>
        <w:t xml:space="preserve">I think still important to indicate which year of data is used to parameterize the model. </w:t>
      </w:r>
    </w:p>
  </w:comment>
  <w:comment w:id="172" w:author="April D Kimmel" w:date="2021-06-08T16:23:00Z" w:initials="ADK">
    <w:p w14:paraId="2FD00B7A" w14:textId="6CEC35B5" w:rsidR="00930C35" w:rsidRDefault="00930C35">
      <w:pPr>
        <w:pStyle w:val="CommentText"/>
      </w:pPr>
      <w:r>
        <w:rPr>
          <w:rStyle w:val="CommentReference"/>
        </w:rPr>
        <w:annotationRef/>
      </w:r>
      <w:r>
        <w:t>Where is the section on the data source(s)? Assumptions?</w:t>
      </w:r>
    </w:p>
  </w:comment>
  <w:comment w:id="173" w:author="April D Kimmel" w:date="2021-06-09T09:22:00Z" w:initials="ADK">
    <w:p w14:paraId="01D42F36" w14:textId="04284900" w:rsidR="00930C35" w:rsidRDefault="00930C35">
      <w:pPr>
        <w:pStyle w:val="CommentText"/>
      </w:pPr>
      <w:r>
        <w:rPr>
          <w:rStyle w:val="CommentReference"/>
        </w:rPr>
        <w:annotationRef/>
      </w:r>
      <w:r>
        <w:t>This section is not structured as the others are. There should be consistency across sections.</w:t>
      </w:r>
    </w:p>
  </w:comment>
  <w:comment w:id="174" w:author="April D Kimmel" w:date="2021-06-09T11:00:00Z" w:initials="ADK">
    <w:p w14:paraId="0153F629" w14:textId="57EF4B35" w:rsidR="00930C35" w:rsidRDefault="00930C35">
      <w:pPr>
        <w:pStyle w:val="CommentText"/>
      </w:pPr>
      <w:r>
        <w:rPr>
          <w:rStyle w:val="CommentReference"/>
        </w:rPr>
        <w:annotationRef/>
      </w:r>
      <w:r>
        <w:t>Also: FYI that ‘natural history’ is a synonym for ‘disease progression’ so it is redundant to say both.</w:t>
      </w:r>
    </w:p>
  </w:comment>
  <w:comment w:id="175" w:author="April D Kimmel" w:date="2021-06-16T10:43:00Z" w:initials="ADK">
    <w:p w14:paraId="6DBE045C" w14:textId="3BD3099F" w:rsidR="00930C35" w:rsidRDefault="00930C35">
      <w:pPr>
        <w:pStyle w:val="CommentText"/>
      </w:pPr>
      <w:r>
        <w:rPr>
          <w:rStyle w:val="CommentReference"/>
        </w:rPr>
        <w:annotationRef/>
      </w:r>
      <w:r>
        <w:t>Why is this here?</w:t>
      </w:r>
    </w:p>
  </w:comment>
  <w:comment w:id="176" w:author="Zhongzhe (Portia) Pan" w:date="2021-06-21T11:01:00Z" w:initials="ZP">
    <w:p w14:paraId="1612F69B" w14:textId="32A2DB32" w:rsidR="00DD6E5B" w:rsidRDefault="00DD6E5B">
      <w:pPr>
        <w:pStyle w:val="CommentText"/>
      </w:pPr>
      <w:r>
        <w:rPr>
          <w:rStyle w:val="CommentReference"/>
        </w:rPr>
        <w:annotationRef/>
      </w:r>
      <w:r>
        <w:t xml:space="preserve">I put it here hoping that it worked as the data source for estimating the weights for misclassification between censor date and competing risks date. If we do not count for the competing risks, I would say that we won’t include the adjustment. </w:t>
      </w:r>
    </w:p>
  </w:comment>
  <w:comment w:id="177" w:author="Zhongzhe (Portia) Pan" w:date="2021-06-22T14:25:00Z" w:initials="ZP">
    <w:p w14:paraId="7D3C235D" w14:textId="5CBDF392" w:rsidR="00D410A2" w:rsidRDefault="00D410A2" w:rsidP="00D410A2">
      <w:pPr>
        <w:pStyle w:val="CommentText"/>
      </w:pPr>
      <w:r>
        <w:rPr>
          <w:rStyle w:val="CommentReference"/>
        </w:rPr>
        <w:annotationRef/>
      </w:r>
      <w:r>
        <w:t>Adapt what has been done using the trend in CD4? Highlight the estimation procedure. [put in the comment for consistency with other estimation procedures, but can also use prior estimates from an adaption of original approach (incidence density analysis).]</w:t>
      </w:r>
    </w:p>
  </w:comment>
  <w:comment w:id="178" w:author="April D Kimmel" w:date="2021-06-16T13:31:00Z" w:initials="ADK">
    <w:p w14:paraId="14184E7A" w14:textId="36CA0701" w:rsidR="00930C35" w:rsidRDefault="00930C35">
      <w:pPr>
        <w:pStyle w:val="CommentText"/>
      </w:pPr>
      <w:r>
        <w:rPr>
          <w:rStyle w:val="CommentReference"/>
        </w:rPr>
        <w:annotationRef/>
      </w:r>
      <w:r>
        <w:t>Portia, I do not recall discussing this approach. For LTFU, yes. But we also did so for disease progression?</w:t>
      </w:r>
    </w:p>
  </w:comment>
  <w:comment w:id="179" w:author="Zhongzhe (Portia) Pan" w:date="2021-06-21T09:46:00Z" w:initials="ZP">
    <w:p w14:paraId="13D9E9A3" w14:textId="1BD6AF62" w:rsidR="00DD6E5B" w:rsidRDefault="00DD6E5B">
      <w:pPr>
        <w:pStyle w:val="CommentText"/>
      </w:pPr>
      <w:r>
        <w:rPr>
          <w:rStyle w:val="CommentReference"/>
        </w:rPr>
        <w:annotationRef/>
      </w:r>
      <w:r>
        <w:t>We did not dive into the approach when writing this up. For disease progression, death and ART initiation are the competing risks (</w:t>
      </w:r>
      <w:r>
        <w:t>i.e. the probability of disease progression would be 0 when died/initiated ART)</w:t>
      </w:r>
    </w:p>
  </w:comment>
  <w:comment w:id="180" w:author="April D Kimmel" w:date="2021-06-16T13:30:00Z" w:initials="ADK">
    <w:p w14:paraId="3A1F79F5" w14:textId="3F6B57E9" w:rsidR="00930C35" w:rsidRDefault="00930C35">
      <w:pPr>
        <w:pStyle w:val="CommentText"/>
      </w:pPr>
      <w:r>
        <w:rPr>
          <w:rStyle w:val="CommentReference"/>
        </w:rPr>
        <w:annotationRef/>
      </w:r>
      <w:r>
        <w:t>Do you mean CD4 stratum?</w:t>
      </w:r>
    </w:p>
  </w:comment>
  <w:comment w:id="181" w:author="Zhongzhe (Portia) Pan" w:date="2021-06-21T17:04:00Z" w:initials="ZP">
    <w:p w14:paraId="2D940513" w14:textId="6F60F7F6" w:rsidR="00A61A5A" w:rsidRDefault="00A61A5A">
      <w:pPr>
        <w:pStyle w:val="CommentText"/>
      </w:pPr>
      <w:r>
        <w:rPr>
          <w:rStyle w:val="CommentReference"/>
        </w:rPr>
        <w:annotationRef/>
      </w:r>
      <w:r>
        <w:t xml:space="preserve">I would keep it as disease progression since it is the outcome we are measuring. </w:t>
      </w:r>
    </w:p>
  </w:comment>
  <w:comment w:id="182" w:author="April D Kimmel" w:date="2021-06-08T16:45:00Z" w:initials="ADK">
    <w:p w14:paraId="655869DA" w14:textId="5B69532F" w:rsidR="00930C35" w:rsidRDefault="00930C35">
      <w:pPr>
        <w:pStyle w:val="CommentText"/>
      </w:pPr>
      <w:r>
        <w:rPr>
          <w:rStyle w:val="CommentReference"/>
        </w:rPr>
        <w:annotationRef/>
      </w:r>
      <w:r>
        <w:t>What is ‘closer’?</w:t>
      </w:r>
    </w:p>
  </w:comment>
  <w:comment w:id="183" w:author="April D Kimmel" w:date="2021-06-16T10:44:00Z" w:initials="ADK">
    <w:p w14:paraId="2A24DA7A" w14:textId="739577FF" w:rsidR="00930C35" w:rsidRDefault="00930C35">
      <w:pPr>
        <w:pStyle w:val="CommentText"/>
      </w:pPr>
      <w:r>
        <w:rPr>
          <w:rStyle w:val="CommentReference"/>
        </w:rPr>
        <w:annotationRef/>
      </w:r>
      <w:r>
        <w:t>Still unclear. What does ‘database closer’ mean? Are you referring to database ‘closure’? (i.e., for the censor date)</w:t>
      </w:r>
    </w:p>
  </w:comment>
  <w:comment w:id="184" w:author="Zhongzhe (Portia) Pan" w:date="2021-06-21T09:45:00Z" w:initials="ZP">
    <w:p w14:paraId="6E444FF2" w14:textId="65D768BC" w:rsidR="00DD6E5B" w:rsidRDefault="00DD6E5B">
      <w:pPr>
        <w:pStyle w:val="CommentText"/>
      </w:pPr>
      <w:r>
        <w:rPr>
          <w:rStyle w:val="CommentReference"/>
        </w:rPr>
        <w:annotationRef/>
      </w:r>
      <w:r>
        <w:t>It should be ‘database closure’.</w:t>
      </w:r>
    </w:p>
  </w:comment>
  <w:comment w:id="191" w:author="April D Kimmel" w:date="2021-06-09T11:03:00Z" w:initials="ADK">
    <w:p w14:paraId="5B9A2E83" w14:textId="29E16A49" w:rsidR="00930C35" w:rsidRDefault="00930C35">
      <w:pPr>
        <w:pStyle w:val="CommentText"/>
      </w:pPr>
      <w:r>
        <w:rPr>
          <w:rStyle w:val="CommentReference"/>
        </w:rPr>
        <w:annotationRef/>
      </w:r>
      <w:r>
        <w:t>What is going on with these headers?</w:t>
      </w:r>
    </w:p>
  </w:comment>
  <w:comment w:id="192" w:author="Zhongzhe (Portia) Pan" w:date="2021-06-15T03:10:00Z" w:initials="ZP">
    <w:p w14:paraId="3BE00DF0" w14:textId="2A6B2373" w:rsidR="00930C35" w:rsidRDefault="00930C35">
      <w:pPr>
        <w:pStyle w:val="CommentText"/>
      </w:pPr>
      <w:r>
        <w:rPr>
          <w:rStyle w:val="CommentReference"/>
        </w:rPr>
        <w:annotationRef/>
      </w:r>
      <w:r>
        <w:t>Would you please explain?</w:t>
      </w:r>
    </w:p>
  </w:comment>
  <w:comment w:id="193" w:author="April D Kimmel" w:date="2021-06-16T10:49:00Z" w:initials="ADK">
    <w:p w14:paraId="5CDC6663" w14:textId="06A90AC9" w:rsidR="00930C35" w:rsidRDefault="00930C35">
      <w:pPr>
        <w:pStyle w:val="CommentText"/>
      </w:pPr>
      <w:r>
        <w:rPr>
          <w:rStyle w:val="CommentReference"/>
        </w:rPr>
        <w:annotationRef/>
      </w:r>
      <w:r>
        <w:t>The headers were all incorrectly specified. I’ve fixed.</w:t>
      </w:r>
    </w:p>
  </w:comment>
  <w:comment w:id="194" w:author="April D Kimmel" w:date="2021-06-08T16:55:00Z" w:initials="ADK">
    <w:p w14:paraId="1AD2FCB0" w14:textId="004C37B2" w:rsidR="00930C35" w:rsidRDefault="00930C35">
      <w:pPr>
        <w:pStyle w:val="CommentText"/>
      </w:pPr>
      <w:r>
        <w:rPr>
          <w:rStyle w:val="CommentReference"/>
        </w:rPr>
        <w:annotationRef/>
      </w:r>
      <w:r>
        <w:t>Same as above. The data sources are not described here, the reader is simply told the parameter value.</w:t>
      </w:r>
    </w:p>
  </w:comment>
  <w:comment w:id="195" w:author="April D Kimmel" w:date="2021-06-09T09:26:00Z" w:initials="ADK">
    <w:p w14:paraId="190B599A" w14:textId="0C19830A" w:rsidR="00930C35" w:rsidRDefault="00930C35">
      <w:pPr>
        <w:pStyle w:val="CommentText"/>
      </w:pPr>
      <w:r>
        <w:rPr>
          <w:rStyle w:val="CommentReference"/>
        </w:rPr>
        <w:annotationRef/>
      </w:r>
      <w:r>
        <w:t>Study design?</w:t>
      </w:r>
    </w:p>
  </w:comment>
  <w:comment w:id="196" w:author="Zhongzhe (Portia) Pan" w:date="2021-06-15T07:19:00Z" w:initials="ZP">
    <w:p w14:paraId="6C3C4971" w14:textId="0C6A8BEE" w:rsidR="00930C35" w:rsidRDefault="00930C35">
      <w:pPr>
        <w:pStyle w:val="CommentText"/>
      </w:pPr>
      <w:r>
        <w:rPr>
          <w:rStyle w:val="CommentReference"/>
        </w:rPr>
        <w:annotationRef/>
      </w:r>
      <w:r>
        <w:t xml:space="preserve">Similar to above. Surprisingly, I could not get access to the paper. </w:t>
      </w:r>
    </w:p>
  </w:comment>
  <w:comment w:id="197" w:author="April D Kimmel" w:date="2021-06-16T10:52:00Z" w:initials="ADK">
    <w:p w14:paraId="4A603198" w14:textId="70FECF67" w:rsidR="00930C35" w:rsidRDefault="00930C35">
      <w:pPr>
        <w:pStyle w:val="CommentText"/>
      </w:pPr>
      <w:r>
        <w:rPr>
          <w:rStyle w:val="CommentReference"/>
        </w:rPr>
        <w:annotationRef/>
      </w:r>
      <w:r>
        <w:t>Please report to VCU libraries and inquire if VCU should have a subscription.</w:t>
      </w:r>
    </w:p>
  </w:comment>
  <w:comment w:id="205" w:author="April D Kimmel" w:date="2021-06-16T13:35:00Z" w:initials="ADK">
    <w:p w14:paraId="32DBFA33" w14:textId="429ACD64" w:rsidR="00930C35" w:rsidRDefault="00930C35">
      <w:pPr>
        <w:pStyle w:val="CommentText"/>
      </w:pPr>
      <w:r>
        <w:rPr>
          <w:rStyle w:val="CommentReference"/>
        </w:rPr>
        <w:annotationRef/>
      </w:r>
      <w:r>
        <w:t>Why is this in LTFU?</w:t>
      </w:r>
    </w:p>
  </w:comment>
  <w:comment w:id="206" w:author="April D Kimmel" w:date="2021-06-16T10:43:00Z" w:initials="ADK">
    <w:p w14:paraId="20CDC6EC" w14:textId="77777777" w:rsidR="00925B9D" w:rsidRDefault="00925B9D" w:rsidP="00925B9D">
      <w:pPr>
        <w:pStyle w:val="CommentText"/>
      </w:pPr>
      <w:r>
        <w:rPr>
          <w:rStyle w:val="CommentReference"/>
        </w:rPr>
        <w:annotationRef/>
      </w:r>
      <w:r>
        <w:t>Why is this here?</w:t>
      </w:r>
    </w:p>
  </w:comment>
  <w:comment w:id="207" w:author="Zhongzhe (Portia) Pan" w:date="2021-06-21T11:01:00Z" w:initials="ZP">
    <w:p w14:paraId="11551AF0" w14:textId="77777777" w:rsidR="00925B9D" w:rsidRDefault="00925B9D" w:rsidP="00925B9D">
      <w:pPr>
        <w:pStyle w:val="CommentText"/>
      </w:pPr>
      <w:r>
        <w:rPr>
          <w:rStyle w:val="CommentReference"/>
        </w:rPr>
        <w:annotationRef/>
      </w:r>
      <w:r>
        <w:t xml:space="preserve">I put it here hoping that it worked as the data source for estimating the weights for misclassification between censor date and competing risks date. If we do not count for the competing risks, I would say that we won’t include the adjustment. </w:t>
      </w:r>
    </w:p>
  </w:comment>
  <w:comment w:id="208" w:author="April D Kimmel" w:date="2021-06-16T11:21:00Z" w:initials="ADK">
    <w:p w14:paraId="7016E7BB" w14:textId="1755A748" w:rsidR="00930C35" w:rsidRDefault="00930C35">
      <w:pPr>
        <w:pStyle w:val="CommentText"/>
      </w:pPr>
      <w:r>
        <w:rPr>
          <w:rStyle w:val="CommentReference"/>
        </w:rPr>
        <w:annotationRef/>
      </w:r>
      <w:r>
        <w:t>What relevance does this assumption have to the parameter inputs? Not clear to me</w:t>
      </w:r>
    </w:p>
  </w:comment>
  <w:comment w:id="209" w:author="Zhongzhe (Portia) Pan" w:date="2021-06-28T21:39:00Z" w:initials="ZP">
    <w:p w14:paraId="78D41C1E" w14:textId="64D71B63" w:rsidR="00925B9D" w:rsidRDefault="00925B9D">
      <w:pPr>
        <w:pStyle w:val="CommentText"/>
      </w:pPr>
      <w:r>
        <w:rPr>
          <w:rStyle w:val="CommentReference"/>
        </w:rPr>
        <w:annotationRef/>
      </w:r>
      <w:r>
        <w:t xml:space="preserve">The assumption would partially affect the starting date for patients who are on ART and suppressed. </w:t>
      </w:r>
    </w:p>
  </w:comment>
  <w:comment w:id="210" w:author="April D Kimmel" w:date="2021-06-16T11:18:00Z" w:initials="ADK">
    <w:p w14:paraId="6E22D287" w14:textId="796D4E9A" w:rsidR="00930C35" w:rsidRDefault="00930C35">
      <w:pPr>
        <w:pStyle w:val="CommentText"/>
      </w:pPr>
      <w:r>
        <w:rPr>
          <w:rStyle w:val="CommentReference"/>
        </w:rPr>
        <w:annotationRef/>
      </w:r>
      <w:r>
        <w:t xml:space="preserve">Awkward phrasing and unclear. I think you are referring to some data limitation issues here? If so, please be explicit. </w:t>
      </w:r>
    </w:p>
  </w:comment>
  <w:comment w:id="211" w:author="Zhongzhe (Portia) Pan" w:date="2021-07-06T14:45:00Z" w:initials="ZP">
    <w:p w14:paraId="69234F53" w14:textId="5E15C284" w:rsidR="00925E46" w:rsidRDefault="00925E46">
      <w:pPr>
        <w:pStyle w:val="CommentText"/>
      </w:pPr>
      <w:r>
        <w:rPr>
          <w:rStyle w:val="CommentReference"/>
        </w:rPr>
        <w:annotationRef/>
      </w:r>
      <w:r>
        <w:t xml:space="preserve">Expand the example. </w:t>
      </w:r>
    </w:p>
  </w:comment>
  <w:comment w:id="212" w:author="April D Kimmel" w:date="2021-06-16T11:19:00Z" w:initials="ADK">
    <w:p w14:paraId="716D760F" w14:textId="6A4646D0" w:rsidR="00930C35" w:rsidRDefault="00930C35">
      <w:pPr>
        <w:pStyle w:val="CommentText"/>
      </w:pPr>
      <w:r>
        <w:rPr>
          <w:rStyle w:val="CommentReference"/>
        </w:rPr>
        <w:annotationRef/>
      </w:r>
      <w:r>
        <w:t>Risk or risks?</w:t>
      </w:r>
    </w:p>
  </w:comment>
  <w:comment w:id="218" w:author="April D Kimmel" w:date="2021-06-09T11:07:00Z" w:initials="ADK">
    <w:p w14:paraId="0B9F7E70" w14:textId="77777777" w:rsidR="00925B9D" w:rsidRDefault="00925B9D">
      <w:pPr>
        <w:pStyle w:val="CommentText"/>
      </w:pPr>
      <w:r>
        <w:rPr>
          <w:rStyle w:val="CommentReference"/>
        </w:rPr>
        <w:annotationRef/>
      </w:r>
      <w:r>
        <w:t>Relevance?</w:t>
      </w:r>
    </w:p>
  </w:comment>
  <w:comment w:id="279" w:author="April D Kimmel" w:date="2021-06-16T11:28:00Z" w:initials="ADK">
    <w:p w14:paraId="2C638475" w14:textId="6B249AC2" w:rsidR="00930C35" w:rsidRDefault="00930C35">
      <w:pPr>
        <w:pStyle w:val="CommentText"/>
      </w:pPr>
      <w:r>
        <w:rPr>
          <w:rStyle w:val="CommentReference"/>
        </w:rPr>
        <w:annotationRef/>
      </w:r>
      <w:r>
        <w:t>This is reported differently in the force of infection section, I believe.</w:t>
      </w:r>
    </w:p>
  </w:comment>
  <w:comment w:id="278" w:author="Zhongzhe (Portia) Pan" w:date="2021-06-29T00:20:00Z" w:initials="ZP">
    <w:p w14:paraId="0FE45545" w14:textId="0A7DF222" w:rsidR="00925B9D" w:rsidRPr="00925B9D" w:rsidRDefault="00925B9D">
      <w:pPr>
        <w:pStyle w:val="CommentText"/>
        <w:rPr>
          <w:rFonts w:ascii="MS Mincho" w:eastAsia="MS Mincho" w:hAnsi="MS Mincho" w:cs="MS Mincho"/>
        </w:rPr>
      </w:pPr>
      <w:r>
        <w:rPr>
          <w:rStyle w:val="CommentReference"/>
        </w:rPr>
        <w:annotationRef/>
      </w:r>
      <w:r>
        <w:t>The guideline defined virological failure as two consecutive viral load tests &gt;1000 copies/ml. If I remember it correctly, define the viral failure as only 1 test with HIV RNA &gt;1000 copies to account for the data quality issue. (</w:t>
      </w:r>
      <w:r>
        <w:t xml:space="preserve">not sure if it should be included in the assumption section) </w:t>
      </w:r>
    </w:p>
  </w:comment>
  <w:comment w:id="280" w:author="April D Kimmel" w:date="2021-06-16T11:29:00Z" w:initials="ADK">
    <w:p w14:paraId="0E88B555" w14:textId="129F7DBC" w:rsidR="00930C35" w:rsidRDefault="00930C35">
      <w:pPr>
        <w:pStyle w:val="CommentText"/>
      </w:pPr>
      <w:r>
        <w:rPr>
          <w:rStyle w:val="CommentReference"/>
        </w:rPr>
        <w:annotationRef/>
      </w:r>
      <w:r>
        <w:t>Why is this here?</w:t>
      </w:r>
    </w:p>
  </w:comment>
  <w:comment w:id="283" w:author="April D Kimmel" w:date="2021-06-16T11:18:00Z" w:initials="ADK">
    <w:p w14:paraId="0FE09DFF" w14:textId="77777777" w:rsidR="00A644DC" w:rsidRDefault="00A644DC" w:rsidP="00A644DC">
      <w:pPr>
        <w:pStyle w:val="CommentText"/>
      </w:pPr>
      <w:r>
        <w:rPr>
          <w:rStyle w:val="CommentReference"/>
        </w:rPr>
        <w:annotationRef/>
      </w:r>
      <w:r>
        <w:t xml:space="preserve">Awkward phrasing and unclear. I think you are referring to some data limitation issues here? If so, please be explicit. </w:t>
      </w:r>
    </w:p>
  </w:comment>
  <w:comment w:id="284" w:author="Zhongzhe (Portia) Pan" w:date="2021-07-06T14:45:00Z" w:initials="ZP">
    <w:p w14:paraId="3719E780" w14:textId="77777777" w:rsidR="00A644DC" w:rsidRDefault="00A644DC" w:rsidP="00A644DC">
      <w:pPr>
        <w:pStyle w:val="CommentText"/>
      </w:pPr>
      <w:r>
        <w:rPr>
          <w:rStyle w:val="CommentReference"/>
        </w:rPr>
        <w:annotationRef/>
      </w:r>
      <w:r>
        <w:t xml:space="preserve">Expand the example. </w:t>
      </w:r>
    </w:p>
  </w:comment>
  <w:comment w:id="285" w:author="April D Kimmel" w:date="2021-06-09T17:39:00Z" w:initials="ADK">
    <w:p w14:paraId="59EB8681" w14:textId="772EDF85" w:rsidR="00930C35" w:rsidRDefault="00930C35">
      <w:pPr>
        <w:pStyle w:val="CommentText"/>
      </w:pPr>
      <w:r>
        <w:rPr>
          <w:rStyle w:val="CommentReference"/>
        </w:rPr>
        <w:annotationRef/>
      </w:r>
      <w:r>
        <w:t>What is ‘closer’?</w:t>
      </w:r>
    </w:p>
  </w:comment>
  <w:comment w:id="286" w:author="April D Kimmel" w:date="2021-06-16T11:29:00Z" w:initials="ADK">
    <w:p w14:paraId="0BA75A76" w14:textId="75BEC3D8" w:rsidR="00930C35" w:rsidRDefault="00930C35">
      <w:pPr>
        <w:pStyle w:val="CommentText"/>
      </w:pPr>
      <w:r>
        <w:rPr>
          <w:rStyle w:val="CommentReference"/>
        </w:rPr>
        <w:annotationRef/>
      </w:r>
      <w:r>
        <w:t>Do you mean database ‘closure’?</w:t>
      </w:r>
    </w:p>
  </w:comment>
  <w:comment w:id="293" w:author="April D Kimmel" w:date="2021-06-16T11:30:00Z" w:initials="ADK">
    <w:p w14:paraId="65C3AC72" w14:textId="70ACE0C4" w:rsidR="00930C35" w:rsidRDefault="00930C35">
      <w:pPr>
        <w:pStyle w:val="CommentText"/>
      </w:pPr>
      <w:r>
        <w:rPr>
          <w:rStyle w:val="CommentReference"/>
        </w:rPr>
        <w:annotationRef/>
      </w:r>
      <w:r>
        <w:t xml:space="preserve">Again – unclear what is actually being reported here. Are these monthly probabilities of being </w:t>
      </w:r>
      <w:r>
        <w:t>On ART, Suppressed conditional on linked to care? If so, please state that. The title and headings are unclear.</w:t>
      </w:r>
    </w:p>
  </w:comment>
  <w:comment w:id="296" w:author="April D Kimmel" w:date="2021-06-16T11:18:00Z" w:initials="ADK">
    <w:p w14:paraId="449F881D" w14:textId="77777777" w:rsidR="00207668" w:rsidRDefault="00207668" w:rsidP="00207668">
      <w:pPr>
        <w:pStyle w:val="CommentText"/>
      </w:pPr>
      <w:r>
        <w:rPr>
          <w:rStyle w:val="CommentReference"/>
        </w:rPr>
        <w:annotationRef/>
      </w:r>
      <w:r>
        <w:t xml:space="preserve">Awkward phrasing and unclear. I think you are referring to some data limitation issues here? If so, please be explicit. </w:t>
      </w:r>
    </w:p>
  </w:comment>
  <w:comment w:id="297" w:author="Zhongzhe (Portia) Pan" w:date="2021-07-06T14:45:00Z" w:initials="ZP">
    <w:p w14:paraId="3735A4DD" w14:textId="77777777" w:rsidR="00207668" w:rsidRDefault="00207668" w:rsidP="00207668">
      <w:pPr>
        <w:pStyle w:val="CommentText"/>
      </w:pPr>
      <w:r>
        <w:rPr>
          <w:rStyle w:val="CommentReference"/>
        </w:rPr>
        <w:annotationRef/>
      </w:r>
      <w:r>
        <w:t xml:space="preserve">Expand the example. </w:t>
      </w:r>
    </w:p>
  </w:comment>
  <w:comment w:id="298" w:author="April D Kimmel" w:date="2021-06-09T17:39:00Z" w:initials="ADK">
    <w:p w14:paraId="2DDE8B10" w14:textId="77777777" w:rsidR="00DB3CCF" w:rsidRDefault="00DB3CCF" w:rsidP="00DB3CCF">
      <w:pPr>
        <w:pStyle w:val="CommentText"/>
      </w:pPr>
      <w:r>
        <w:rPr>
          <w:rStyle w:val="CommentReference"/>
        </w:rPr>
        <w:annotationRef/>
      </w:r>
      <w:r>
        <w:t>What is ‘closer’?</w:t>
      </w:r>
    </w:p>
  </w:comment>
  <w:comment w:id="299" w:author="April D Kimmel" w:date="2021-06-16T11:29:00Z" w:initials="ADK">
    <w:p w14:paraId="4D89BC7A" w14:textId="77777777" w:rsidR="00DB3CCF" w:rsidRDefault="00DB3CCF" w:rsidP="00DB3CCF">
      <w:pPr>
        <w:pStyle w:val="CommentText"/>
      </w:pPr>
      <w:r>
        <w:rPr>
          <w:rStyle w:val="CommentReference"/>
        </w:rPr>
        <w:annotationRef/>
      </w:r>
      <w:r>
        <w:t>Do you mean database ‘closure’?</w:t>
      </w:r>
    </w:p>
  </w:comment>
  <w:comment w:id="307" w:author="Zhongzhe (Portia) Pan" w:date="2021-07-24T15:48:00Z" w:initials="ZP">
    <w:p w14:paraId="53D968F5" w14:textId="5B67C4C3" w:rsidR="006D6912" w:rsidRDefault="006D6912">
      <w:pPr>
        <w:pStyle w:val="CommentText"/>
      </w:pPr>
      <w:r>
        <w:rPr>
          <w:rStyle w:val="CommentReference"/>
        </w:rPr>
        <w:annotationRef/>
      </w:r>
      <w:r>
        <w:rPr>
          <w:rFonts w:hint="eastAsia"/>
        </w:rPr>
        <w:t>K</w:t>
      </w:r>
      <w:r>
        <w:t xml:space="preserve">-M model can be an option when we actually run the analysis, depending on how much the clinic- or site- would affect the outcomes. </w:t>
      </w:r>
    </w:p>
  </w:comment>
  <w:comment w:id="313" w:author="April D Kimmel" w:date="2021-06-16T11:33:00Z" w:initials="ADK">
    <w:p w14:paraId="712F8BCA" w14:textId="1AE3ADD7" w:rsidR="00FB6B71" w:rsidRDefault="00FB6B71">
      <w:pPr>
        <w:pStyle w:val="CommentText"/>
      </w:pPr>
      <w:r>
        <w:rPr>
          <w:rStyle w:val="CommentReference"/>
        </w:rPr>
        <w:annotationRef/>
      </w:r>
      <w:r>
        <w:t>Why is this not consolidated with others? Are you applying a multiplier here?</w:t>
      </w:r>
    </w:p>
  </w:comment>
  <w:comment w:id="314" w:author="Zhongzhe (Portia) Pan" w:date="2021-07-12T11:32:00Z" w:initials="ZP">
    <w:p w14:paraId="0F5DFD37" w14:textId="01F125C8" w:rsidR="00FB6B71" w:rsidRDefault="00FB6B71">
      <w:pPr>
        <w:pStyle w:val="CommentText"/>
      </w:pPr>
      <w:r>
        <w:rPr>
          <w:rStyle w:val="CommentReference"/>
        </w:rPr>
        <w:annotationRef/>
      </w:r>
      <w:r>
        <w:t xml:space="preserve">Multiplier will not be applied to On ART and not suppressed since it will be estimated directly from the data. </w:t>
      </w:r>
    </w:p>
  </w:comment>
  <w:comment w:id="318" w:author="Pan Zhongzhe" w:date="2020-12-14T11:53:00Z" w:initials="PZ">
    <w:p w14:paraId="1B44504D" w14:textId="77777777" w:rsidR="00930C35" w:rsidRDefault="00930C35" w:rsidP="00D75179">
      <w:r>
        <w:rPr>
          <w:rStyle w:val="Heading2Char"/>
        </w:rPr>
        <w:annotationRef/>
      </w:r>
      <w:r>
        <w:t>In addition to the external calibration described in the document, we might include the internal model calibration. Internal calibration examines the agreement between the observed and projected outcome within the data we use to estimate parameter inputs (</w:t>
      </w:r>
      <w:r>
        <w:t xml:space="preserve">e.g. </w:t>
      </w:r>
      <w:r>
        <w:t xml:space="preserve">IeDEA data). </w:t>
      </w:r>
    </w:p>
  </w:comment>
  <w:comment w:id="319" w:author="April D Kimmel" w:date="2021-06-16T11:38:00Z" w:initials="ADK">
    <w:p w14:paraId="55E998FE" w14:textId="0F322067" w:rsidR="00930C35" w:rsidRDefault="00930C35">
      <w:pPr>
        <w:pStyle w:val="CommentText"/>
      </w:pPr>
      <w:r>
        <w:rPr>
          <w:rStyle w:val="CommentReference"/>
        </w:rPr>
        <w:annotationRef/>
      </w:r>
      <w:r>
        <w:t>Yes.</w:t>
      </w:r>
    </w:p>
  </w:comment>
  <w:comment w:id="321" w:author="April D Kimmel" w:date="2021-06-16T11:39:00Z" w:initials="ADK">
    <w:p w14:paraId="1E1CECA0" w14:textId="68556976" w:rsidR="00930C35" w:rsidRDefault="00930C35">
      <w:pPr>
        <w:pStyle w:val="CommentText"/>
      </w:pPr>
      <w:r>
        <w:rPr>
          <w:rStyle w:val="CommentReference"/>
        </w:rPr>
        <w:annotationRef/>
      </w:r>
      <w:r>
        <w:t>Unclear</w:t>
      </w:r>
    </w:p>
  </w:comment>
  <w:comment w:id="337" w:author="April D Kimmel" w:date="2021-06-09T17:58:00Z" w:initials="ADK">
    <w:p w14:paraId="3B2B8239" w14:textId="77777777" w:rsidR="00930C35" w:rsidRDefault="00930C35" w:rsidP="00D75179">
      <w:pPr>
        <w:pStyle w:val="CommentText"/>
      </w:pPr>
      <w:r>
        <w:rPr>
          <w:rStyle w:val="CommentReference"/>
        </w:rPr>
        <w:annotationRef/>
      </w:r>
      <w:r>
        <w:t>Please. Include commas.</w:t>
      </w:r>
    </w:p>
  </w:comment>
  <w:comment w:id="344" w:author="April D Kimmel" w:date="2021-06-09T11:29:00Z" w:initials="ADK">
    <w:p w14:paraId="74FF0BD5" w14:textId="77777777" w:rsidR="00930C35" w:rsidRDefault="00930C35" w:rsidP="001856A1">
      <w:pPr>
        <w:pStyle w:val="CommentText"/>
      </w:pPr>
      <w:r>
        <w:rPr>
          <w:rStyle w:val="CommentReference"/>
        </w:rPr>
        <w:annotationRef/>
      </w:r>
      <w:r>
        <w:t>Indicate when this would be used and why.</w:t>
      </w:r>
    </w:p>
  </w:comment>
  <w:comment w:id="347" w:author="Pan Zhongzhe" w:date="2020-12-14T12:53:00Z" w:initials="PZ">
    <w:p w14:paraId="7CF28AF3" w14:textId="77777777" w:rsidR="00930C35" w:rsidRDefault="00930C35" w:rsidP="00260B6D">
      <w:r>
        <w:rPr>
          <w:rStyle w:val="Heading2Char"/>
        </w:rPr>
        <w:annotationRef/>
      </w:r>
      <w:r>
        <w:t xml:space="preserve">Unless we can get individual-level data. During the internal calibration process, which is not described in this document, the Bayesian calibration may apply. </w:t>
      </w:r>
    </w:p>
  </w:comment>
  <w:comment w:id="352" w:author="April D Kimmel" w:date="2021-06-16T11:59:00Z" w:initials="ADK">
    <w:p w14:paraId="10209EA6" w14:textId="446C4E3A" w:rsidR="00930C35" w:rsidRDefault="00930C35">
      <w:pPr>
        <w:pStyle w:val="CommentText"/>
      </w:pPr>
      <w:r>
        <w:rPr>
          <w:rStyle w:val="CommentReference"/>
        </w:rPr>
        <w:annotationRef/>
      </w:r>
      <w:r>
        <w:t>Provide link and accompanying document.</w:t>
      </w:r>
    </w:p>
  </w:comment>
  <w:comment w:id="353" w:author="Zhongzhe (Portia) Pan" w:date="2021-09-13T16:46:00Z" w:initials="ZP">
    <w:p w14:paraId="28728500" w14:textId="0CC29F54" w:rsidR="00DD48C3" w:rsidRDefault="00DD48C3">
      <w:pPr>
        <w:pStyle w:val="CommentText"/>
      </w:pPr>
      <w:r>
        <w:rPr>
          <w:rStyle w:val="CommentReference"/>
        </w:rPr>
        <w:annotationRef/>
      </w:r>
      <w:r>
        <w:t xml:space="preserve">Link provided. The link shall be updated when moving to different folder. </w:t>
      </w:r>
    </w:p>
  </w:comment>
  <w:comment w:id="354" w:author="April D Kimmel" w:date="2021-06-16T15:20:00Z" w:initials="ADK">
    <w:p w14:paraId="4E5AC10C" w14:textId="613EF18B" w:rsidR="00930C35" w:rsidRDefault="00930C35">
      <w:pPr>
        <w:pStyle w:val="CommentText"/>
      </w:pPr>
      <w:r>
        <w:rPr>
          <w:rStyle w:val="CommentReference"/>
        </w:rPr>
        <w:annotationRef/>
      </w:r>
      <w:r>
        <w:t>To revisit</w:t>
      </w:r>
    </w:p>
  </w:comment>
  <w:comment w:id="355" w:author="Zhongzhe (Portia) Pan" w:date="2021-09-13T16:50:00Z" w:initials="ZP">
    <w:p w14:paraId="49CA032A" w14:textId="11A22E78" w:rsidR="00DD48C3" w:rsidRDefault="00DD48C3">
      <w:pPr>
        <w:pStyle w:val="CommentText"/>
      </w:pPr>
      <w:r>
        <w:rPr>
          <w:rStyle w:val="CommentReference"/>
        </w:rPr>
        <w:annotationRef/>
      </w:r>
      <w:r>
        <w:t xml:space="preserve">Hyperlink added. The link shall be updated when move to a different folder. </w:t>
      </w:r>
    </w:p>
  </w:comment>
  <w:comment w:id="388" w:author="Zhongzhe (Portia) Pan" w:date="2021-09-14T15:24:00Z" w:initials="ZP">
    <w:p w14:paraId="3F169432" w14:textId="015DEF57" w:rsidR="00C860B1" w:rsidRDefault="00C860B1">
      <w:pPr>
        <w:pStyle w:val="CommentText"/>
      </w:pPr>
      <w:r>
        <w:rPr>
          <w:rStyle w:val="CommentReference"/>
        </w:rPr>
        <w:annotationRef/>
      </w:r>
      <w:r>
        <w:t xml:space="preserve">Figure out all the pathway to codes. </w:t>
      </w:r>
    </w:p>
  </w:comment>
  <w:comment w:id="389" w:author="Zhongzhe (Portia) Pan" w:date="2021-09-15T13:18:00Z" w:initials="ZP">
    <w:p w14:paraId="2FAAC097" w14:textId="6CAC9C77" w:rsidR="008A3C77" w:rsidRDefault="008A3C77">
      <w:pPr>
        <w:pStyle w:val="CommentText"/>
      </w:pPr>
      <w:r>
        <w:rPr>
          <w:rStyle w:val="CommentReference"/>
        </w:rPr>
        <w:annotationRef/>
      </w:r>
      <w:r>
        <w:t>I could not find it in Deo’s folder and I am reaching out to</w:t>
      </w:r>
      <w:r w:rsidR="001A05DB">
        <w:t xml:space="preserve"> Deo and</w:t>
      </w:r>
      <w:r>
        <w:t xml:space="preserve"> see if he can show me where the code is. </w:t>
      </w:r>
    </w:p>
  </w:comment>
  <w:comment w:id="400" w:author="April D Kimmel" w:date="2021-06-09T11:38:00Z" w:initials="ADK">
    <w:p w14:paraId="44A4860D" w14:textId="4AED692A" w:rsidR="00930C35" w:rsidRDefault="00930C35">
      <w:pPr>
        <w:pStyle w:val="CommentText"/>
      </w:pPr>
      <w:r>
        <w:rPr>
          <w:rStyle w:val="CommentReference"/>
        </w:rPr>
        <w:annotationRef/>
      </w:r>
      <w:r>
        <w:t>Indicate that appropriateness of a linear trend will be assessed.</w:t>
      </w:r>
    </w:p>
  </w:comment>
  <w:comment w:id="412" w:author="Pan Zhongzhe" w:date="2020-12-08T15:35:00Z" w:initials="PZ">
    <w:p w14:paraId="0F9A20DA" w14:textId="77777777" w:rsidR="00280B0C" w:rsidRDefault="00280B0C" w:rsidP="00280B0C">
      <w:pPr>
        <w:pStyle w:val="CommentText"/>
      </w:pPr>
      <w:r>
        <w:rPr>
          <w:rStyle w:val="CommentReference"/>
          <w:rFonts w:eastAsiaTheme="minorHAnsi"/>
        </w:rPr>
        <w:annotationRef/>
      </w:r>
      <w:r>
        <w:t>May be helpful for internal calibration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94EC54" w15:done="1"/>
  <w15:commentEx w15:paraId="410D2D17" w15:paraIdParent="6994EC54" w15:done="1"/>
  <w15:commentEx w15:paraId="714CF9C6" w15:done="0"/>
  <w15:commentEx w15:paraId="50D3362E" w15:paraIdParent="714CF9C6" w15:done="0"/>
  <w15:commentEx w15:paraId="6C4B84B2" w15:done="0"/>
  <w15:commentEx w15:paraId="13991A08" w15:paraIdParent="6C4B84B2" w15:done="0"/>
  <w15:commentEx w15:paraId="23C8E303" w15:done="0"/>
  <w15:commentEx w15:paraId="0A703E32" w15:paraIdParent="23C8E303" w15:done="0"/>
  <w15:commentEx w15:paraId="05CBA4FE" w15:done="1"/>
  <w15:commentEx w15:paraId="2E7D92B2" w15:paraIdParent="05CBA4FE" w15:done="1"/>
  <w15:commentEx w15:paraId="68F12AB2" w15:done="0"/>
  <w15:commentEx w15:paraId="78EFD3B5" w15:done="1"/>
  <w15:commentEx w15:paraId="2399CCE1" w15:paraIdParent="78EFD3B5" w15:done="1"/>
  <w15:commentEx w15:paraId="6747BAB1" w15:paraIdParent="78EFD3B5" w15:done="1"/>
  <w15:commentEx w15:paraId="13001158" w15:done="1"/>
  <w15:commentEx w15:paraId="114ACCD3" w15:done="1"/>
  <w15:commentEx w15:paraId="33898FAD" w15:done="1"/>
  <w15:commentEx w15:paraId="0B32CD7D" w15:done="1"/>
  <w15:commentEx w15:paraId="12DB3C70" w15:done="1"/>
  <w15:commentEx w15:paraId="5FEF4F1E" w15:done="0"/>
  <w15:commentEx w15:paraId="3EBA9D7E" w15:paraIdParent="5FEF4F1E" w15:done="0"/>
  <w15:commentEx w15:paraId="5F7938FA" w15:done="1"/>
  <w15:commentEx w15:paraId="562FB55E" w15:done="1"/>
  <w15:commentEx w15:paraId="27FC6629" w15:done="1"/>
  <w15:commentEx w15:paraId="152B662C" w15:done="1"/>
  <w15:commentEx w15:paraId="3CFB5843" w15:paraIdParent="152B662C" w15:done="1"/>
  <w15:commentEx w15:paraId="5F8805F6" w15:done="0"/>
  <w15:commentEx w15:paraId="589587EE" w15:done="0"/>
  <w15:commentEx w15:paraId="445523E0" w15:paraIdParent="589587EE" w15:done="0"/>
  <w15:commentEx w15:paraId="35E6C151" w15:done="0"/>
  <w15:commentEx w15:paraId="0264CD55" w15:done="1"/>
  <w15:commentEx w15:paraId="1E3AD2A4" w15:done="0"/>
  <w15:commentEx w15:paraId="0ADA3F71" w15:paraIdParent="1E3AD2A4" w15:done="0"/>
  <w15:commentEx w15:paraId="456F9CA0" w15:paraIdParent="1E3AD2A4" w15:done="0"/>
  <w15:commentEx w15:paraId="06AF3521" w15:done="1"/>
  <w15:commentEx w15:paraId="13F507C1" w15:paraIdParent="06AF3521" w15:done="1"/>
  <w15:commentEx w15:paraId="457F9A5C" w15:done="1"/>
  <w15:commentEx w15:paraId="3F8E9BCC" w15:done="1"/>
  <w15:commentEx w15:paraId="3C21BBA1" w15:done="0"/>
  <w15:commentEx w15:paraId="56F3C47D" w15:done="0"/>
  <w15:commentEx w15:paraId="5E2FDCEB" w15:paraIdParent="56F3C47D" w15:done="0"/>
  <w15:commentEx w15:paraId="3CD17699" w15:paraIdParent="56F3C47D" w15:done="0"/>
  <w15:commentEx w15:paraId="7E18A746" w15:paraIdParent="56F3C47D" w15:done="0"/>
  <w15:commentEx w15:paraId="2C269977" w15:done="0"/>
  <w15:commentEx w15:paraId="0109B874" w15:paraIdParent="2C269977" w15:done="0"/>
  <w15:commentEx w15:paraId="68475EAC" w15:paraIdParent="2C269977" w15:done="0"/>
  <w15:commentEx w15:paraId="3C5BC0E0" w15:done="0"/>
  <w15:commentEx w15:paraId="085C4184" w15:paraIdParent="3C5BC0E0" w15:done="0"/>
  <w15:commentEx w15:paraId="06D33CDF" w15:paraIdParent="3C5BC0E0" w15:done="0"/>
  <w15:commentEx w15:paraId="2E90E0B9" w15:paraIdParent="3C5BC0E0" w15:done="0"/>
  <w15:commentEx w15:paraId="4755F9A1" w15:done="0"/>
  <w15:commentEx w15:paraId="306EE119" w15:done="0"/>
  <w15:commentEx w15:paraId="24477503" w15:paraIdParent="306EE119" w15:done="0"/>
  <w15:commentEx w15:paraId="25EB77D8" w15:done="1"/>
  <w15:commentEx w15:paraId="63B785D5" w15:paraIdParent="25EB77D8" w15:done="0"/>
  <w15:commentEx w15:paraId="2C0B3680" w15:done="0"/>
  <w15:commentEx w15:paraId="0D5DCE75" w15:paraIdParent="2C0B3680" w15:done="0"/>
  <w15:commentEx w15:paraId="5DC674DE" w15:done="1"/>
  <w15:commentEx w15:paraId="3D077C95" w15:paraIdParent="5DC674DE" w15:done="0"/>
  <w15:commentEx w15:paraId="2FD00B7A" w15:done="1"/>
  <w15:commentEx w15:paraId="01D42F36" w15:paraIdParent="2FD00B7A" w15:done="1"/>
  <w15:commentEx w15:paraId="0153F629" w15:paraIdParent="2FD00B7A" w15:done="1"/>
  <w15:commentEx w15:paraId="6DBE045C" w15:done="0"/>
  <w15:commentEx w15:paraId="1612F69B" w15:paraIdParent="6DBE045C" w15:done="0"/>
  <w15:commentEx w15:paraId="7D3C235D" w15:done="0"/>
  <w15:commentEx w15:paraId="14184E7A" w15:done="0"/>
  <w15:commentEx w15:paraId="13D9E9A3" w15:paraIdParent="14184E7A" w15:done="0"/>
  <w15:commentEx w15:paraId="3A1F79F5" w15:done="0"/>
  <w15:commentEx w15:paraId="2D940513" w15:paraIdParent="3A1F79F5" w15:done="0"/>
  <w15:commentEx w15:paraId="655869DA" w15:done="1"/>
  <w15:commentEx w15:paraId="2A24DA7A" w15:paraIdParent="655869DA" w15:done="1"/>
  <w15:commentEx w15:paraId="6E444FF2" w15:paraIdParent="655869DA" w15:done="0"/>
  <w15:commentEx w15:paraId="5B9A2E83" w15:done="1"/>
  <w15:commentEx w15:paraId="3BE00DF0" w15:paraIdParent="5B9A2E83" w15:done="1"/>
  <w15:commentEx w15:paraId="5CDC6663" w15:paraIdParent="5B9A2E83" w15:done="1"/>
  <w15:commentEx w15:paraId="1AD2FCB0" w15:done="0"/>
  <w15:commentEx w15:paraId="190B599A" w15:done="0"/>
  <w15:commentEx w15:paraId="6C3C4971" w15:paraIdParent="190B599A" w15:done="0"/>
  <w15:commentEx w15:paraId="4A603198" w15:paraIdParent="190B599A" w15:done="0"/>
  <w15:commentEx w15:paraId="32DBFA33" w15:done="0"/>
  <w15:commentEx w15:paraId="20CDC6EC" w15:done="0"/>
  <w15:commentEx w15:paraId="11551AF0" w15:paraIdParent="20CDC6EC" w15:done="0"/>
  <w15:commentEx w15:paraId="7016E7BB" w15:done="0"/>
  <w15:commentEx w15:paraId="78D41C1E" w15:paraIdParent="7016E7BB" w15:done="0"/>
  <w15:commentEx w15:paraId="6E22D287" w15:done="0"/>
  <w15:commentEx w15:paraId="69234F53" w15:done="0"/>
  <w15:commentEx w15:paraId="716D760F" w15:done="1"/>
  <w15:commentEx w15:paraId="0B9F7E70" w15:done="1"/>
  <w15:commentEx w15:paraId="2C638475" w15:done="0"/>
  <w15:commentEx w15:paraId="0FE45545" w15:done="0"/>
  <w15:commentEx w15:paraId="0E88B555" w15:done="1"/>
  <w15:commentEx w15:paraId="0FE09DFF" w15:done="0"/>
  <w15:commentEx w15:paraId="3719E780" w15:done="0"/>
  <w15:commentEx w15:paraId="59EB8681" w15:done="1"/>
  <w15:commentEx w15:paraId="0BA75A76" w15:paraIdParent="59EB8681" w15:done="1"/>
  <w15:commentEx w15:paraId="65C3AC72" w15:done="0"/>
  <w15:commentEx w15:paraId="449F881D" w15:done="0"/>
  <w15:commentEx w15:paraId="3735A4DD" w15:done="0"/>
  <w15:commentEx w15:paraId="2DDE8B10" w15:done="1"/>
  <w15:commentEx w15:paraId="4D89BC7A" w15:paraIdParent="2DDE8B10" w15:done="1"/>
  <w15:commentEx w15:paraId="53D968F5" w15:done="0"/>
  <w15:commentEx w15:paraId="712F8BCA" w15:done="0"/>
  <w15:commentEx w15:paraId="0F5DFD37" w15:paraIdParent="712F8BCA" w15:done="0"/>
  <w15:commentEx w15:paraId="1B44504D" w15:done="0"/>
  <w15:commentEx w15:paraId="55E998FE" w15:paraIdParent="1B44504D" w15:done="0"/>
  <w15:commentEx w15:paraId="1E1CECA0" w15:done="0"/>
  <w15:commentEx w15:paraId="3B2B8239" w15:done="1"/>
  <w15:commentEx w15:paraId="74FF0BD5" w15:done="1"/>
  <w15:commentEx w15:paraId="7CF28AF3" w15:done="0"/>
  <w15:commentEx w15:paraId="10209EA6" w15:done="0"/>
  <w15:commentEx w15:paraId="28728500" w15:paraIdParent="10209EA6" w15:done="0"/>
  <w15:commentEx w15:paraId="4E5AC10C" w15:done="0"/>
  <w15:commentEx w15:paraId="49CA032A" w15:paraIdParent="4E5AC10C" w15:done="0"/>
  <w15:commentEx w15:paraId="3F169432" w15:done="0"/>
  <w15:commentEx w15:paraId="2FAAC097" w15:done="0"/>
  <w15:commentEx w15:paraId="44A4860D" w15:done="0"/>
  <w15:commentEx w15:paraId="0F9A2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473E5" w16cex:dateUtc="2021-06-16T16:58:00Z"/>
  <w16cex:commentExtensible w16cex:durableId="24DFD6D4" w16cex:dateUtc="2021-09-06T03:52:00Z"/>
  <w16cex:commentExtensible w16cex:durableId="2474AB4B" w16cex:dateUtc="2021-06-16T20:54:00Z"/>
  <w16cex:commentExtensible w16cex:durableId="24EA161E" w16cex:dateUtc="2021-09-13T22:25:00Z"/>
  <w16cex:commentExtensible w16cex:durableId="24746DCC" w16cex:dateUtc="2021-06-16T16:32:00Z"/>
  <w16cex:commentExtensible w16cex:durableId="24DFDDA2" w16cex:dateUtc="2021-09-06T04:21:00Z"/>
  <w16cex:commentExtensible w16cex:durableId="247440C1" w16cex:dateUtc="2021-06-16T13:20:00Z"/>
  <w16cex:commentExtensible w16cex:durableId="24DFE09A" w16cex:dateUtc="2021-09-06T04:34:00Z"/>
  <w16cex:commentExtensible w16cex:durableId="241956A4" w16cex:dateUtc="2021-04-08T14:17:00Z"/>
  <w16cex:commentExtensible w16cex:durableId="2460B193" w16cex:dateUtc="2021-06-01T17:16:00Z"/>
  <w16cex:commentExtensible w16cex:durableId="24C4C63E" w16cex:dateUtc="2021-08-16T15:10:00Z"/>
  <w16cex:commentExtensible w16cex:durableId="2472A999" w16cex:dateUtc="2021-06-09T15:17:00Z"/>
  <w16cex:commentExtensible w16cex:durableId="2472A998" w16cex:dateUtc="2021-06-15T08:14:00Z"/>
  <w16cex:commentExtensible w16cex:durableId="24738CD0" w16cex:dateUtc="2021-06-16T00:32:00Z"/>
  <w16cex:commentExtensible w16cex:durableId="2472A996" w16cex:dateUtc="2021-04-09T00:23:00Z"/>
  <w16cex:commentExtensible w16cex:durableId="24738E5B" w16cex:dateUtc="2021-06-16T00:38:00Z"/>
  <w16cex:commentExtensible w16cex:durableId="24738E67" w16cex:dateUtc="2021-06-16T00:39:00Z"/>
  <w16cex:commentExtensible w16cex:durableId="24738F15" w16cex:dateUtc="2021-06-16T00:41:00Z"/>
  <w16cex:commentExtensible w16cex:durableId="24738ED6" w16cex:dateUtc="2021-06-16T00:40:00Z"/>
  <w16cex:commentExtensible w16cex:durableId="247441FB" w16cex:dateUtc="2021-06-16T13:25:00Z"/>
  <w16cex:commentExtensible w16cex:durableId="24CC25FA" w16cex:dateUtc="2021-08-22T05:25:00Z"/>
  <w16cex:commentExtensible w16cex:durableId="24CC248E" w16cex:dateUtc="2021-06-09T14:17:00Z"/>
  <w16cex:commentExtensible w16cex:durableId="247441D8" w16cex:dateUtc="2021-06-16T13:24:00Z"/>
  <w16cex:commentExtensible w16cex:durableId="2474423A" w16cex:dateUtc="2021-06-16T13:26:00Z"/>
  <w16cex:commentExtensible w16cex:durableId="2472A993" w16cex:dateUtc="2021-06-09T15:22:00Z"/>
  <w16cex:commentExtensible w16cex:durableId="2472A992" w16cex:dateUtc="2021-06-09T15:22:00Z"/>
  <w16cex:commentExtensible w16cex:durableId="247443D8" w16cex:dateUtc="2021-06-16T13:33:00Z"/>
  <w16cex:commentExtensible w16cex:durableId="24744212" w16cex:dateUtc="2021-06-16T13:25:00Z"/>
  <w16cex:commentExtensible w16cex:durableId="24CC262B" w16cex:dateUtc="2021-08-22T05:26:00Z"/>
  <w16cex:commentExtensible w16cex:durableId="24CC28DF" w16cex:dateUtc="2021-08-22T05:37:00Z"/>
  <w16cex:commentExtensible w16cex:durableId="24744EAF" w16cex:dateUtc="2021-06-16T14:19:00Z"/>
  <w16cex:commentExtensible w16cex:durableId="241A8EB5" w16cex:dateUtc="2021-04-09T12:28:00Z"/>
  <w16cex:commentExtensible w16cex:durableId="24744F55" w16cex:dateUtc="2021-06-16T14:22:00Z"/>
  <w16cex:commentExtensible w16cex:durableId="24E9A13F" w16cex:dateUtc="2021-09-13T14:06:00Z"/>
  <w16cex:commentExtensible w16cex:durableId="246A1295" w16cex:dateUtc="2021-06-08T20:00:00Z"/>
  <w16cex:commentExtensible w16cex:durableId="2472CFD1" w16cex:dateUtc="2021-06-15T11:05:00Z"/>
  <w16cex:commentExtensible w16cex:durableId="24726016" w16cex:dateUtc="2021-06-15T03:09:00Z"/>
  <w16cex:commentExtensible w16cex:durableId="24744FD5" w16cex:dateUtc="2021-06-16T14:24:00Z"/>
  <w16cex:commentExtensible w16cex:durableId="246A125D" w16cex:dateUtc="2021-06-08T19:59:00Z"/>
  <w16cex:commentExtensible w16cex:durableId="246A1319" w16cex:dateUtc="2021-06-08T20:02:00Z"/>
  <w16cex:commentExtensible w16cex:durableId="247278E8" w16cex:dateUtc="2021-06-15T04:55:00Z"/>
  <w16cex:commentExtensible w16cex:durableId="2474508C" w16cex:dateUtc="2021-06-16T14:27:00Z"/>
  <w16cex:commentExtensible w16cex:durableId="24B2A898" w16cex:dateUtc="2021-08-02T21:23:00Z"/>
  <w16cex:commentExtensible w16cex:durableId="2460BE81" w16cex:dateUtc="2021-06-01T18:11:00Z"/>
  <w16cex:commentExtensible w16cex:durableId="24727404" w16cex:dateUtc="2021-06-15T04:34:00Z"/>
  <w16cex:commentExtensible w16cex:durableId="247450FC" w16cex:dateUtc="2021-06-16T14:29:00Z"/>
  <w16cex:commentExtensible w16cex:durableId="2460C1BC" w16cex:dateUtc="2021-06-01T18:25:00Z"/>
  <w16cex:commentExtensible w16cex:durableId="247267F6" w16cex:dateUtc="2021-06-15T03:42:00Z"/>
  <w16cex:commentExtensible w16cex:durableId="24745189" w16cex:dateUtc="2021-06-16T14:31:00Z"/>
  <w16cex:commentExtensible w16cex:durableId="24A6CDA7" w16cex:dateUtc="2021-07-24T21:34:00Z"/>
  <w16cex:commentExtensible w16cex:durableId="2460C26C" w16cex:dateUtc="2021-06-01T18:27:00Z"/>
  <w16cex:commentExtensible w16cex:durableId="2460C746" w16cex:dateUtc="2021-06-01T18:48:00Z"/>
  <w16cex:commentExtensible w16cex:durableId="24A6CF91" w16cex:dateUtc="2021-07-24T21:42:00Z"/>
  <w16cex:commentExtensible w16cex:durableId="246B1159" w16cex:dateUtc="2021-06-09T14:07:00Z"/>
  <w16cex:commentExtensible w16cex:durableId="24745256" w16cex:dateUtc="2021-06-16T14:35:00Z"/>
  <w16cex:commentExtensible w16cex:durableId="2460DB0A" w16cex:dateUtc="2021-06-01T20:12:00Z"/>
  <w16cex:commentExtensible w16cex:durableId="2472D2D4" w16cex:dateUtc="2021-06-15T11:18:00Z"/>
  <w16cex:commentExtensible w16cex:durableId="246B13C7" w16cex:dateUtc="2021-06-09T14:17:00Z"/>
  <w16cex:commentExtensible w16cex:durableId="247453FB" w16cex:dateUtc="2021-06-16T14:42:00Z"/>
  <w16cex:commentExtensible w16cex:durableId="246A17FB" w16cex:dateUtc="2021-06-08T20:23:00Z"/>
  <w16cex:commentExtensible w16cex:durableId="246B06D0" w16cex:dateUtc="2021-06-09T13:22:00Z"/>
  <w16cex:commentExtensible w16cex:durableId="246B1DDE" w16cex:dateUtc="2021-06-09T15:00:00Z"/>
  <w16cex:commentExtensible w16cex:durableId="2474545A" w16cex:dateUtc="2021-06-16T14:43:00Z"/>
  <w16cex:commentExtensible w16cex:durableId="247AEFFE" w16cex:dateUtc="2021-06-21T15:01:00Z"/>
  <w16cex:commentExtensible w16cex:durableId="247C713C" w16cex:dateUtc="2021-06-22T18:25:00Z"/>
  <w16cex:commentExtensible w16cex:durableId="24747BA1" w16cex:dateUtc="2021-06-16T17:31:00Z"/>
  <w16cex:commentExtensible w16cex:durableId="247ADE6E" w16cex:dateUtc="2021-06-21T13:46:00Z"/>
  <w16cex:commentExtensible w16cex:durableId="24747B89" w16cex:dateUtc="2021-06-16T17:30:00Z"/>
  <w16cex:commentExtensible w16cex:durableId="247B4532" w16cex:dateUtc="2021-06-21T21:04:00Z"/>
  <w16cex:commentExtensible w16cex:durableId="246A1D27" w16cex:dateUtc="2021-06-08T20:45:00Z"/>
  <w16cex:commentExtensible w16cex:durableId="2474548F" w16cex:dateUtc="2021-06-16T14:44:00Z"/>
  <w16cex:commentExtensible w16cex:durableId="247ADE47" w16cex:dateUtc="2021-06-21T13:45:00Z"/>
  <w16cex:commentExtensible w16cex:durableId="246B1E9C" w16cex:dateUtc="2021-06-09T15:03:00Z"/>
  <w16cex:commentExtensible w16cex:durableId="247298BB" w16cex:dateUtc="2021-06-15T07:10:00Z"/>
  <w16cex:commentExtensible w16cex:durableId="247455B7" w16cex:dateUtc="2021-06-16T14:49:00Z"/>
  <w16cex:commentExtensible w16cex:durableId="246A1F82" w16cex:dateUtc="2021-06-08T20:55:00Z"/>
  <w16cex:commentExtensible w16cex:durableId="246B07AD" w16cex:dateUtc="2021-06-09T13:26:00Z"/>
  <w16cex:commentExtensible w16cex:durableId="2472D31B" w16cex:dateUtc="2021-06-15T11:19:00Z"/>
  <w16cex:commentExtensible w16cex:durableId="2474568B" w16cex:dateUtc="2021-06-16T14:52:00Z"/>
  <w16cex:commentExtensible w16cex:durableId="24747C91" w16cex:dateUtc="2021-06-16T17:35:00Z"/>
  <w16cex:commentExtensible w16cex:durableId="2484EED3" w16cex:dateUtc="2021-06-16T14:43:00Z"/>
  <w16cex:commentExtensible w16cex:durableId="2484EED2" w16cex:dateUtc="2021-06-21T15:01:00Z"/>
  <w16cex:commentExtensible w16cex:durableId="24745D39" w16cex:dateUtc="2021-06-16T15:21:00Z"/>
  <w16cex:commentExtensible w16cex:durableId="2484C019" w16cex:dateUtc="2021-06-29T01:39:00Z"/>
  <w16cex:commentExtensible w16cex:durableId="24745C95" w16cex:dateUtc="2021-06-16T15:18:00Z"/>
  <w16cex:commentExtensible w16cex:durableId="248EEAF2" w16cex:dateUtc="2021-07-06T18:45:00Z"/>
  <w16cex:commentExtensible w16cex:durableId="24745CB0" w16cex:dateUtc="2021-06-16T15:19:00Z"/>
  <w16cex:commentExtensible w16cex:durableId="246B1F6D" w16cex:dateUtc="2021-06-09T15:07:00Z"/>
  <w16cex:commentExtensible w16cex:durableId="24745ED3" w16cex:dateUtc="2021-06-16T15:28:00Z"/>
  <w16cex:commentExtensible w16cex:durableId="2484E5B6" w16cex:dateUtc="2021-06-29T04:20:00Z"/>
  <w16cex:commentExtensible w16cex:durableId="24745EFE" w16cex:dateUtc="2021-06-16T15:29:00Z"/>
  <w16cex:commentExtensible w16cex:durableId="2496BD38" w16cex:dateUtc="2021-06-16T15:18:00Z"/>
  <w16cex:commentExtensible w16cex:durableId="2496BD37" w16cex:dateUtc="2021-07-06T18:45:00Z"/>
  <w16cex:commentExtensible w16cex:durableId="246B7B59" w16cex:dateUtc="2021-06-09T21:39:00Z"/>
  <w16cex:commentExtensible w16cex:durableId="24745F19" w16cex:dateUtc="2021-06-16T15:29:00Z"/>
  <w16cex:commentExtensible w16cex:durableId="24745F66" w16cex:dateUtc="2021-06-16T15:30:00Z"/>
  <w16cex:commentExtensible w16cex:durableId="24A14DAB" w16cex:dateUtc="2021-06-16T15:18:00Z"/>
  <w16cex:commentExtensible w16cex:durableId="24A14DAA" w16cex:dateUtc="2021-07-06T18:45:00Z"/>
  <w16cex:commentExtensible w16cex:durableId="248D79F3" w16cex:dateUtc="2021-06-09T21:39:00Z"/>
  <w16cex:commentExtensible w16cex:durableId="248D79F2" w16cex:dateUtc="2021-06-16T15:29:00Z"/>
  <w16cex:commentExtensible w16cex:durableId="24A6B519" w16cex:dateUtc="2021-07-24T19:48:00Z"/>
  <w16cex:commentExtensible w16cex:durableId="24746027" w16cex:dateUtc="2021-06-16T15:33:00Z"/>
  <w16cex:commentExtensible w16cex:durableId="2496A6B4" w16cex:dateUtc="2021-07-12T15:32:00Z"/>
  <w16cex:commentExtensible w16cex:durableId="2472BF77" w16cex:dateUtc="2020-12-14T16:53:00Z"/>
  <w16cex:commentExtensible w16cex:durableId="24746122" w16cex:dateUtc="2021-06-16T15:38:00Z"/>
  <w16cex:commentExtensible w16cex:durableId="24746173" w16cex:dateUtc="2021-06-16T15:39:00Z"/>
  <w16cex:commentExtensible w16cex:durableId="2472BFF9" w16cex:dateUtc="2021-06-09T21:58:00Z"/>
  <w16cex:commentExtensible w16cex:durableId="246B24B6" w16cex:dateUtc="2021-06-09T15:29:00Z"/>
  <w16cex:commentExtensible w16cex:durableId="2381DED7" w16cex:dateUtc="2020-12-14T17:53:00Z"/>
  <w16cex:commentExtensible w16cex:durableId="24746612" w16cex:dateUtc="2021-06-16T15:59:00Z"/>
  <w16cex:commentExtensible w16cex:durableId="24E9FEE3" w16cex:dateUtc="2021-09-13T20:46:00Z"/>
  <w16cex:commentExtensible w16cex:durableId="24749539" w16cex:dateUtc="2021-06-16T19:20:00Z"/>
  <w16cex:commentExtensible w16cex:durableId="24E9FFD1" w16cex:dateUtc="2021-09-13T20:50:00Z"/>
  <w16cex:commentExtensible w16cex:durableId="24EB3D1B" w16cex:dateUtc="2021-09-14T19:24:00Z"/>
  <w16cex:commentExtensible w16cex:durableId="24EC711D" w16cex:dateUtc="2021-09-15T17:18:00Z"/>
  <w16cex:commentExtensible w16cex:durableId="246B26C5" w16cex:dateUtc="2021-06-09T15:38:00Z"/>
  <w16cex:commentExtensible w16cex:durableId="237A1BDB" w16cex:dateUtc="2020-12-08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94EC54" w16cid:durableId="247473E5"/>
  <w16cid:commentId w16cid:paraId="410D2D17" w16cid:durableId="24DFD6D4"/>
  <w16cid:commentId w16cid:paraId="714CF9C6" w16cid:durableId="2474AB4B"/>
  <w16cid:commentId w16cid:paraId="50D3362E" w16cid:durableId="24EA161E"/>
  <w16cid:commentId w16cid:paraId="6C4B84B2" w16cid:durableId="24746DCC"/>
  <w16cid:commentId w16cid:paraId="13991A08" w16cid:durableId="24DFDDA2"/>
  <w16cid:commentId w16cid:paraId="23C8E303" w16cid:durableId="247440C1"/>
  <w16cid:commentId w16cid:paraId="0A703E32" w16cid:durableId="24DFE09A"/>
  <w16cid:commentId w16cid:paraId="05CBA4FE" w16cid:durableId="241956A4"/>
  <w16cid:commentId w16cid:paraId="2E7D92B2" w16cid:durableId="2460B193"/>
  <w16cid:commentId w16cid:paraId="68F12AB2" w16cid:durableId="24C4C63E"/>
  <w16cid:commentId w16cid:paraId="78EFD3B5" w16cid:durableId="2472A999"/>
  <w16cid:commentId w16cid:paraId="2399CCE1" w16cid:durableId="2472A998"/>
  <w16cid:commentId w16cid:paraId="6747BAB1" w16cid:durableId="24738CD0"/>
  <w16cid:commentId w16cid:paraId="13001158" w16cid:durableId="2472A996"/>
  <w16cid:commentId w16cid:paraId="114ACCD3" w16cid:durableId="24738E5B"/>
  <w16cid:commentId w16cid:paraId="33898FAD" w16cid:durableId="24738E67"/>
  <w16cid:commentId w16cid:paraId="0B32CD7D" w16cid:durableId="24738F15"/>
  <w16cid:commentId w16cid:paraId="12DB3C70" w16cid:durableId="24738ED6"/>
  <w16cid:commentId w16cid:paraId="5FEF4F1E" w16cid:durableId="247441FB"/>
  <w16cid:commentId w16cid:paraId="3EBA9D7E" w16cid:durableId="24CC25FA"/>
  <w16cid:commentId w16cid:paraId="5F7938FA" w16cid:durableId="24CC248E"/>
  <w16cid:commentId w16cid:paraId="562FB55E" w16cid:durableId="247441D8"/>
  <w16cid:commentId w16cid:paraId="27FC6629" w16cid:durableId="2474423A"/>
  <w16cid:commentId w16cid:paraId="152B662C" w16cid:durableId="2472A993"/>
  <w16cid:commentId w16cid:paraId="3CFB5843" w16cid:durableId="2472A992"/>
  <w16cid:commentId w16cid:paraId="5F8805F6" w16cid:durableId="247443D8"/>
  <w16cid:commentId w16cid:paraId="589587EE" w16cid:durableId="24744212"/>
  <w16cid:commentId w16cid:paraId="445523E0" w16cid:durableId="24CC262B"/>
  <w16cid:commentId w16cid:paraId="35E6C151" w16cid:durableId="24CC28DF"/>
  <w16cid:commentId w16cid:paraId="0264CD55" w16cid:durableId="24744EAF"/>
  <w16cid:commentId w16cid:paraId="1E3AD2A4" w16cid:durableId="241A8EB5"/>
  <w16cid:commentId w16cid:paraId="0ADA3F71" w16cid:durableId="24744F55"/>
  <w16cid:commentId w16cid:paraId="456F9CA0" w16cid:durableId="24E9A13F"/>
  <w16cid:commentId w16cid:paraId="06AF3521" w16cid:durableId="246A1295"/>
  <w16cid:commentId w16cid:paraId="13F507C1" w16cid:durableId="2472CFD1"/>
  <w16cid:commentId w16cid:paraId="457F9A5C" w16cid:durableId="24726016"/>
  <w16cid:commentId w16cid:paraId="3F8E9BCC" w16cid:durableId="24744FD5"/>
  <w16cid:commentId w16cid:paraId="3C21BBA1" w16cid:durableId="246A125D"/>
  <w16cid:commentId w16cid:paraId="56F3C47D" w16cid:durableId="246A1319"/>
  <w16cid:commentId w16cid:paraId="5E2FDCEB" w16cid:durableId="247278E8"/>
  <w16cid:commentId w16cid:paraId="3CD17699" w16cid:durableId="2474508C"/>
  <w16cid:commentId w16cid:paraId="7E18A746" w16cid:durableId="24B2A898"/>
  <w16cid:commentId w16cid:paraId="2C269977" w16cid:durableId="2460BE81"/>
  <w16cid:commentId w16cid:paraId="0109B874" w16cid:durableId="24727404"/>
  <w16cid:commentId w16cid:paraId="68475EAC" w16cid:durableId="247450FC"/>
  <w16cid:commentId w16cid:paraId="3C5BC0E0" w16cid:durableId="2460C1BC"/>
  <w16cid:commentId w16cid:paraId="085C4184" w16cid:durableId="247267F6"/>
  <w16cid:commentId w16cid:paraId="06D33CDF" w16cid:durableId="24745189"/>
  <w16cid:commentId w16cid:paraId="2E90E0B9" w16cid:durableId="24A6CDA7"/>
  <w16cid:commentId w16cid:paraId="4755F9A1" w16cid:durableId="2460C26C"/>
  <w16cid:commentId w16cid:paraId="306EE119" w16cid:durableId="2460C746"/>
  <w16cid:commentId w16cid:paraId="24477503" w16cid:durableId="24A6CF91"/>
  <w16cid:commentId w16cid:paraId="25EB77D8" w16cid:durableId="246B1159"/>
  <w16cid:commentId w16cid:paraId="63B785D5" w16cid:durableId="24745256"/>
  <w16cid:commentId w16cid:paraId="2C0B3680" w16cid:durableId="2460DB0A"/>
  <w16cid:commentId w16cid:paraId="0D5DCE75" w16cid:durableId="2472D2D4"/>
  <w16cid:commentId w16cid:paraId="5DC674DE" w16cid:durableId="246B13C7"/>
  <w16cid:commentId w16cid:paraId="3D077C95" w16cid:durableId="247453FB"/>
  <w16cid:commentId w16cid:paraId="2FD00B7A" w16cid:durableId="246A17FB"/>
  <w16cid:commentId w16cid:paraId="01D42F36" w16cid:durableId="246B06D0"/>
  <w16cid:commentId w16cid:paraId="0153F629" w16cid:durableId="246B1DDE"/>
  <w16cid:commentId w16cid:paraId="6DBE045C" w16cid:durableId="2474545A"/>
  <w16cid:commentId w16cid:paraId="1612F69B" w16cid:durableId="247AEFFE"/>
  <w16cid:commentId w16cid:paraId="7D3C235D" w16cid:durableId="247C713C"/>
  <w16cid:commentId w16cid:paraId="14184E7A" w16cid:durableId="24747BA1"/>
  <w16cid:commentId w16cid:paraId="13D9E9A3" w16cid:durableId="247ADE6E"/>
  <w16cid:commentId w16cid:paraId="3A1F79F5" w16cid:durableId="24747B89"/>
  <w16cid:commentId w16cid:paraId="2D940513" w16cid:durableId="247B4532"/>
  <w16cid:commentId w16cid:paraId="655869DA" w16cid:durableId="246A1D27"/>
  <w16cid:commentId w16cid:paraId="2A24DA7A" w16cid:durableId="2474548F"/>
  <w16cid:commentId w16cid:paraId="6E444FF2" w16cid:durableId="247ADE47"/>
  <w16cid:commentId w16cid:paraId="5B9A2E83" w16cid:durableId="246B1E9C"/>
  <w16cid:commentId w16cid:paraId="3BE00DF0" w16cid:durableId="247298BB"/>
  <w16cid:commentId w16cid:paraId="5CDC6663" w16cid:durableId="247455B7"/>
  <w16cid:commentId w16cid:paraId="1AD2FCB0" w16cid:durableId="246A1F82"/>
  <w16cid:commentId w16cid:paraId="190B599A" w16cid:durableId="246B07AD"/>
  <w16cid:commentId w16cid:paraId="6C3C4971" w16cid:durableId="2472D31B"/>
  <w16cid:commentId w16cid:paraId="4A603198" w16cid:durableId="2474568B"/>
  <w16cid:commentId w16cid:paraId="32DBFA33" w16cid:durableId="24747C91"/>
  <w16cid:commentId w16cid:paraId="20CDC6EC" w16cid:durableId="2484EED3"/>
  <w16cid:commentId w16cid:paraId="11551AF0" w16cid:durableId="2484EED2"/>
  <w16cid:commentId w16cid:paraId="7016E7BB" w16cid:durableId="24745D39"/>
  <w16cid:commentId w16cid:paraId="78D41C1E" w16cid:durableId="2484C019"/>
  <w16cid:commentId w16cid:paraId="6E22D287" w16cid:durableId="24745C95"/>
  <w16cid:commentId w16cid:paraId="69234F53" w16cid:durableId="248EEAF2"/>
  <w16cid:commentId w16cid:paraId="716D760F" w16cid:durableId="24745CB0"/>
  <w16cid:commentId w16cid:paraId="0B9F7E70" w16cid:durableId="246B1F6D"/>
  <w16cid:commentId w16cid:paraId="2C638475" w16cid:durableId="24745ED3"/>
  <w16cid:commentId w16cid:paraId="0FE45545" w16cid:durableId="2484E5B6"/>
  <w16cid:commentId w16cid:paraId="0E88B555" w16cid:durableId="24745EFE"/>
  <w16cid:commentId w16cid:paraId="0FE09DFF" w16cid:durableId="2496BD38"/>
  <w16cid:commentId w16cid:paraId="3719E780" w16cid:durableId="2496BD37"/>
  <w16cid:commentId w16cid:paraId="59EB8681" w16cid:durableId="246B7B59"/>
  <w16cid:commentId w16cid:paraId="0BA75A76" w16cid:durableId="24745F19"/>
  <w16cid:commentId w16cid:paraId="65C3AC72" w16cid:durableId="24745F66"/>
  <w16cid:commentId w16cid:paraId="449F881D" w16cid:durableId="24A14DAB"/>
  <w16cid:commentId w16cid:paraId="3735A4DD" w16cid:durableId="24A14DAA"/>
  <w16cid:commentId w16cid:paraId="2DDE8B10" w16cid:durableId="248D79F3"/>
  <w16cid:commentId w16cid:paraId="4D89BC7A" w16cid:durableId="248D79F2"/>
  <w16cid:commentId w16cid:paraId="53D968F5" w16cid:durableId="24A6B519"/>
  <w16cid:commentId w16cid:paraId="712F8BCA" w16cid:durableId="24746027"/>
  <w16cid:commentId w16cid:paraId="0F5DFD37" w16cid:durableId="2496A6B4"/>
  <w16cid:commentId w16cid:paraId="1B44504D" w16cid:durableId="2472BF77"/>
  <w16cid:commentId w16cid:paraId="55E998FE" w16cid:durableId="24746122"/>
  <w16cid:commentId w16cid:paraId="1E1CECA0" w16cid:durableId="24746173"/>
  <w16cid:commentId w16cid:paraId="3B2B8239" w16cid:durableId="2472BFF9"/>
  <w16cid:commentId w16cid:paraId="74FF0BD5" w16cid:durableId="246B24B6"/>
  <w16cid:commentId w16cid:paraId="7CF28AF3" w16cid:durableId="2381DED7"/>
  <w16cid:commentId w16cid:paraId="10209EA6" w16cid:durableId="24746612"/>
  <w16cid:commentId w16cid:paraId="28728500" w16cid:durableId="24E9FEE3"/>
  <w16cid:commentId w16cid:paraId="4E5AC10C" w16cid:durableId="24749539"/>
  <w16cid:commentId w16cid:paraId="49CA032A" w16cid:durableId="24E9FFD1"/>
  <w16cid:commentId w16cid:paraId="3F169432" w16cid:durableId="24EB3D1B"/>
  <w16cid:commentId w16cid:paraId="2FAAC097" w16cid:durableId="24EC711D"/>
  <w16cid:commentId w16cid:paraId="44A4860D" w16cid:durableId="246B26C5"/>
  <w16cid:commentId w16cid:paraId="0F9A20DA" w16cid:durableId="237A1B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12D10" w14:textId="77777777" w:rsidR="00732BEA" w:rsidRDefault="00732BEA">
      <w:r>
        <w:separator/>
      </w:r>
    </w:p>
  </w:endnote>
  <w:endnote w:type="continuationSeparator" w:id="0">
    <w:p w14:paraId="5442E8F8" w14:textId="77777777" w:rsidR="00732BEA" w:rsidRDefault="00732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712925"/>
      <w:docPartObj>
        <w:docPartGallery w:val="Page Numbers (Bottom of Page)"/>
        <w:docPartUnique/>
      </w:docPartObj>
    </w:sdtPr>
    <w:sdtEndPr>
      <w:rPr>
        <w:noProof/>
        <w:sz w:val="20"/>
        <w:szCs w:val="20"/>
      </w:rPr>
    </w:sdtEndPr>
    <w:sdtContent>
      <w:p w14:paraId="29033978" w14:textId="768EB4F1" w:rsidR="00930C35" w:rsidRPr="00303804" w:rsidRDefault="00930C35">
        <w:pPr>
          <w:jc w:val="right"/>
          <w:rPr>
            <w:sz w:val="20"/>
            <w:szCs w:val="20"/>
          </w:rPr>
        </w:pPr>
        <w:r w:rsidRPr="00303804">
          <w:rPr>
            <w:sz w:val="20"/>
            <w:szCs w:val="20"/>
          </w:rPr>
          <w:fldChar w:fldCharType="begin"/>
        </w:r>
        <w:r w:rsidRPr="00303804">
          <w:rPr>
            <w:sz w:val="20"/>
            <w:szCs w:val="20"/>
          </w:rPr>
          <w:instrText xml:space="preserve"> PAGE   \* MERGEFORMAT </w:instrText>
        </w:r>
        <w:r w:rsidRPr="00303804">
          <w:rPr>
            <w:sz w:val="20"/>
            <w:szCs w:val="20"/>
          </w:rPr>
          <w:fldChar w:fldCharType="separate"/>
        </w:r>
        <w:r w:rsidRPr="00303804">
          <w:rPr>
            <w:noProof/>
            <w:sz w:val="20"/>
            <w:szCs w:val="20"/>
          </w:rPr>
          <w:t>15</w:t>
        </w:r>
        <w:r w:rsidRPr="00303804">
          <w:rPr>
            <w:noProof/>
            <w:sz w:val="20"/>
            <w:szCs w:val="20"/>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135832"/>
      <w:docPartObj>
        <w:docPartGallery w:val="Page Numbers (Bottom of Page)"/>
        <w:docPartUnique/>
      </w:docPartObj>
    </w:sdtPr>
    <w:sdtContent>
      <w:p w14:paraId="5D8A9634" w14:textId="77777777" w:rsidR="00930C35" w:rsidRDefault="00930C35" w:rsidP="00F926AD">
        <w:pPr>
          <w:framePr w:wrap="none" w:vAnchor="text" w:hAnchor="margin" w:xAlign="right" w:y="1"/>
        </w:pPr>
        <w:r>
          <w:fldChar w:fldCharType="begin"/>
        </w:r>
        <w:r>
          <w:instrText xml:space="preserve"> PAGE </w:instrText>
        </w:r>
        <w:r>
          <w:fldChar w:fldCharType="end"/>
        </w:r>
      </w:p>
    </w:sdtContent>
  </w:sdt>
  <w:p w14:paraId="28B141FA" w14:textId="77777777" w:rsidR="00930C35" w:rsidRDefault="00930C35" w:rsidP="00F926AD">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25526"/>
      <w:docPartObj>
        <w:docPartGallery w:val="Page Numbers (Bottom of Page)"/>
        <w:docPartUnique/>
      </w:docPartObj>
    </w:sdtPr>
    <w:sdtContent>
      <w:p w14:paraId="3E6EF069" w14:textId="77777777" w:rsidR="00930C35" w:rsidRDefault="00930C35" w:rsidP="00C71B92">
        <w:pPr>
          <w:framePr w:wrap="none" w:vAnchor="text" w:hAnchor="margin" w:xAlign="right" w:y="1"/>
        </w:pPr>
        <w:r>
          <w:fldChar w:fldCharType="begin"/>
        </w:r>
        <w:r>
          <w:instrText xml:space="preserve"> PAGE </w:instrText>
        </w:r>
        <w:r>
          <w:fldChar w:fldCharType="end"/>
        </w:r>
      </w:p>
    </w:sdtContent>
  </w:sdt>
  <w:p w14:paraId="4109B4C0" w14:textId="77777777" w:rsidR="00930C35" w:rsidRDefault="00930C35" w:rsidP="00C71B9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335284"/>
      <w:docPartObj>
        <w:docPartGallery w:val="Page Numbers (Bottom of Page)"/>
        <w:docPartUnique/>
      </w:docPartObj>
    </w:sdtPr>
    <w:sdtContent>
      <w:p w14:paraId="6E08C1D5" w14:textId="77777777" w:rsidR="00930C35" w:rsidRDefault="00930C35" w:rsidP="0078139D">
        <w:pPr>
          <w:framePr w:wrap="none" w:vAnchor="text" w:hAnchor="margin" w:xAlign="right" w:y="1"/>
        </w:pPr>
        <w:r>
          <w:fldChar w:fldCharType="begin"/>
        </w:r>
        <w:r>
          <w:instrText xml:space="preserve"> PAGE </w:instrText>
        </w:r>
        <w:r>
          <w:fldChar w:fldCharType="end"/>
        </w:r>
      </w:p>
    </w:sdtContent>
  </w:sdt>
  <w:p w14:paraId="6100F399" w14:textId="77777777" w:rsidR="00930C35" w:rsidRDefault="00930C35" w:rsidP="0078139D">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616122"/>
      <w:docPartObj>
        <w:docPartGallery w:val="Page Numbers (Bottom of Page)"/>
        <w:docPartUnique/>
      </w:docPartObj>
    </w:sdtPr>
    <w:sdtContent>
      <w:p w14:paraId="28EFE326" w14:textId="77777777" w:rsidR="00930C35" w:rsidRDefault="00930C35" w:rsidP="00EE2060">
        <w:pPr>
          <w:framePr w:wrap="none" w:vAnchor="text" w:hAnchor="margin" w:xAlign="right" w:y="1"/>
        </w:pPr>
        <w:r>
          <w:fldChar w:fldCharType="begin"/>
        </w:r>
        <w:r>
          <w:instrText xml:space="preserve"> PAGE </w:instrText>
        </w:r>
        <w:r>
          <w:fldChar w:fldCharType="end"/>
        </w:r>
      </w:p>
    </w:sdtContent>
  </w:sdt>
  <w:p w14:paraId="15E9E50D" w14:textId="77777777" w:rsidR="00930C35" w:rsidRDefault="00930C35" w:rsidP="00EE2060">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290362"/>
      <w:docPartObj>
        <w:docPartGallery w:val="Page Numbers (Bottom of Page)"/>
        <w:docPartUnique/>
      </w:docPartObj>
    </w:sdtPr>
    <w:sdtContent>
      <w:p w14:paraId="2E597930" w14:textId="77777777" w:rsidR="003C7D23" w:rsidRDefault="003C7D23" w:rsidP="0078139D">
        <w:pPr>
          <w:framePr w:wrap="none" w:vAnchor="text" w:hAnchor="margin" w:xAlign="right" w:y="1"/>
        </w:pPr>
        <w:r>
          <w:fldChar w:fldCharType="begin"/>
        </w:r>
        <w:r>
          <w:instrText xml:space="preserve"> PAGE </w:instrText>
        </w:r>
        <w:r>
          <w:fldChar w:fldCharType="end"/>
        </w:r>
      </w:p>
    </w:sdtContent>
  </w:sdt>
  <w:p w14:paraId="398ADF4F" w14:textId="77777777" w:rsidR="003C7D23" w:rsidRDefault="003C7D23" w:rsidP="0078139D">
    <w:pP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394631"/>
      <w:docPartObj>
        <w:docPartGallery w:val="Page Numbers (Bottom of Page)"/>
        <w:docPartUnique/>
      </w:docPartObj>
    </w:sdtPr>
    <w:sdtContent>
      <w:p w14:paraId="0C4E7012" w14:textId="77777777" w:rsidR="00DB3CCF" w:rsidRDefault="00DB3CCF" w:rsidP="0078139D">
        <w:pPr>
          <w:framePr w:wrap="none" w:vAnchor="text" w:hAnchor="margin" w:xAlign="right" w:y="1"/>
        </w:pPr>
        <w:r>
          <w:fldChar w:fldCharType="begin"/>
        </w:r>
        <w:r>
          <w:instrText xml:space="preserve"> PAGE </w:instrText>
        </w:r>
        <w:r>
          <w:fldChar w:fldCharType="end"/>
        </w:r>
      </w:p>
    </w:sdtContent>
  </w:sdt>
  <w:p w14:paraId="382E0F32" w14:textId="77777777" w:rsidR="00DB3CCF" w:rsidRDefault="00DB3CCF" w:rsidP="0078139D">
    <w:pP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239137"/>
      <w:docPartObj>
        <w:docPartGallery w:val="Page Numbers (Bottom of Page)"/>
        <w:docPartUnique/>
      </w:docPartObj>
    </w:sdtPr>
    <w:sdtContent>
      <w:p w14:paraId="50AB733E" w14:textId="77777777" w:rsidR="00930C35" w:rsidRDefault="00930C35" w:rsidP="00EE2060">
        <w:pPr>
          <w:framePr w:wrap="none" w:vAnchor="text" w:hAnchor="margin" w:xAlign="right" w:y="1"/>
        </w:pPr>
        <w:r>
          <w:fldChar w:fldCharType="begin"/>
        </w:r>
        <w:r>
          <w:instrText xml:space="preserve"> PAGE </w:instrText>
        </w:r>
        <w:r>
          <w:fldChar w:fldCharType="end"/>
        </w:r>
      </w:p>
    </w:sdtContent>
  </w:sdt>
  <w:p w14:paraId="5C70E7FD" w14:textId="77777777" w:rsidR="00930C35" w:rsidRDefault="00930C35" w:rsidP="00EE2060">
    <w:pP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613012"/>
      <w:docPartObj>
        <w:docPartGallery w:val="Page Numbers (Bottom of Page)"/>
        <w:docPartUnique/>
      </w:docPartObj>
    </w:sdtPr>
    <w:sdtEndPr>
      <w:rPr>
        <w:noProof/>
        <w:sz w:val="20"/>
        <w:szCs w:val="20"/>
      </w:rPr>
    </w:sdtEndPr>
    <w:sdtContent>
      <w:p w14:paraId="6433ACEE" w14:textId="5B08A027" w:rsidR="00930C35" w:rsidRPr="008741B0" w:rsidRDefault="00930C35">
        <w:pPr>
          <w:pStyle w:val="Footer"/>
          <w:jc w:val="right"/>
          <w:rPr>
            <w:sz w:val="20"/>
            <w:szCs w:val="20"/>
          </w:rPr>
        </w:pPr>
        <w:r w:rsidRPr="008741B0">
          <w:rPr>
            <w:sz w:val="20"/>
            <w:szCs w:val="20"/>
          </w:rPr>
          <w:fldChar w:fldCharType="begin"/>
        </w:r>
        <w:r w:rsidRPr="008741B0">
          <w:rPr>
            <w:sz w:val="20"/>
            <w:szCs w:val="20"/>
          </w:rPr>
          <w:instrText xml:space="preserve"> PAGE   \* MERGEFORMAT </w:instrText>
        </w:r>
        <w:r w:rsidRPr="008741B0">
          <w:rPr>
            <w:sz w:val="20"/>
            <w:szCs w:val="20"/>
          </w:rPr>
          <w:fldChar w:fldCharType="separate"/>
        </w:r>
        <w:r w:rsidRPr="008741B0">
          <w:rPr>
            <w:noProof/>
            <w:sz w:val="20"/>
            <w:szCs w:val="20"/>
          </w:rPr>
          <w:t>2</w:t>
        </w:r>
        <w:r w:rsidRPr="008741B0">
          <w:rPr>
            <w:noProof/>
            <w:sz w:val="20"/>
            <w:szCs w:val="20"/>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1353"/>
      <w:docPartObj>
        <w:docPartGallery w:val="Page Numbers (Bottom of Page)"/>
        <w:docPartUnique/>
      </w:docPartObj>
    </w:sdtPr>
    <w:sdtContent>
      <w:p w14:paraId="2237802C" w14:textId="77777777" w:rsidR="00930C35" w:rsidRDefault="00930C35" w:rsidP="00B11104">
        <w:pPr>
          <w:framePr w:wrap="none" w:vAnchor="text" w:hAnchor="margin" w:xAlign="right" w:y="1"/>
        </w:pPr>
        <w:r>
          <w:fldChar w:fldCharType="begin"/>
        </w:r>
        <w:r>
          <w:instrText xml:space="preserve"> PAGE </w:instrText>
        </w:r>
        <w:r>
          <w:fldChar w:fldCharType="end"/>
        </w:r>
      </w:p>
    </w:sdtContent>
  </w:sdt>
  <w:p w14:paraId="463CCA7C" w14:textId="77777777" w:rsidR="00930C35" w:rsidRDefault="00930C35" w:rsidP="00B11104">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E8A0A" w14:textId="77777777" w:rsidR="00732BEA" w:rsidRDefault="00732BEA">
      <w:r>
        <w:separator/>
      </w:r>
    </w:p>
  </w:footnote>
  <w:footnote w:type="continuationSeparator" w:id="0">
    <w:p w14:paraId="2D851C9A" w14:textId="77777777" w:rsidR="00732BEA" w:rsidRDefault="00732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DCEC" w14:textId="39202A17" w:rsidR="00930C35" w:rsidRDefault="00732BEA">
    <w:pPr>
      <w:pStyle w:val="Header"/>
    </w:pPr>
    <w:r>
      <w:rPr>
        <w:noProof/>
      </w:rPr>
      <w:pict w14:anchorId="19444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51" o:spid="_x0000_s1093" type="#_x0000_t136" alt="" style="position:absolute;margin-left:0;margin-top:0;width:412.4pt;height:247.4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229E4" w14:textId="18F7ED6A" w:rsidR="00930C35" w:rsidRDefault="00732BEA">
    <w:pPr>
      <w:pStyle w:val="Header"/>
    </w:pPr>
    <w:r>
      <w:rPr>
        <w:noProof/>
      </w:rPr>
      <w:pict w14:anchorId="2FA3DD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60" o:spid="_x0000_s1084" type="#_x0000_t136" alt="" style="position:absolute;margin-left:0;margin-top:0;width:412.4pt;height:247.4pt;rotation:315;z-index:-25163673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9735" w14:textId="44A4AAB9" w:rsidR="00930C35" w:rsidRPr="00410278" w:rsidRDefault="00732BEA" w:rsidP="00410278">
    <w:pPr>
      <w:pStyle w:val="Header"/>
      <w:jc w:val="right"/>
      <w:rPr>
        <w:sz w:val="20"/>
        <w:szCs w:val="20"/>
      </w:rPr>
    </w:pPr>
    <w:r>
      <w:rPr>
        <w:noProof/>
      </w:rPr>
      <w:pict w14:anchorId="298BB4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61" o:spid="_x0000_s1083" type="#_x0000_t136" alt="" style="position:absolute;left:0;text-align:left;margin-left:0;margin-top:0;width:412.4pt;height:247.4pt;rotation:315;z-index:-25163468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sz w:val="20"/>
        <w:szCs w:val="20"/>
      </w:rPr>
      <w:t>Sub-population and mixing</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ACE3" w14:textId="065575B4" w:rsidR="00930C35" w:rsidRDefault="00732BEA">
    <w:pPr>
      <w:pStyle w:val="Header"/>
    </w:pPr>
    <w:r>
      <w:rPr>
        <w:noProof/>
      </w:rPr>
      <w:pict w14:anchorId="6819B8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59" o:spid="_x0000_s1082" type="#_x0000_t136" alt="" style="position:absolute;margin-left:0;margin-top:0;width:412.4pt;height:247.4pt;rotation:315;z-index:-2516387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5A25" w14:textId="006BA8C6" w:rsidR="00930C35" w:rsidRDefault="00732BEA">
    <w:pPr>
      <w:pStyle w:val="Header"/>
    </w:pPr>
    <w:r>
      <w:rPr>
        <w:noProof/>
      </w:rPr>
      <w:pict w14:anchorId="6FE044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63" o:spid="_x0000_s1081" type="#_x0000_t136" alt="" style="position:absolute;margin-left:0;margin-top:0;width:412.4pt;height:247.4pt;rotation:315;z-index:-2516305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33E5" w14:textId="34E8EED3" w:rsidR="00930C35" w:rsidRPr="00410278" w:rsidRDefault="00732BEA" w:rsidP="00410278">
    <w:pPr>
      <w:pStyle w:val="Header"/>
      <w:jc w:val="right"/>
      <w:rPr>
        <w:sz w:val="20"/>
        <w:szCs w:val="20"/>
      </w:rPr>
    </w:pPr>
    <w:r>
      <w:rPr>
        <w:noProof/>
      </w:rPr>
      <w:pict w14:anchorId="4E8BD4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64" o:spid="_x0000_s1080" type="#_x0000_t136" alt="" style="position:absolute;left:0;text-align:left;margin-left:0;margin-top:0;width:412.4pt;height:247.4pt;rotation:315;z-index:-2516285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sz w:val="20"/>
        <w:szCs w:val="20"/>
      </w:rPr>
      <w:t>System of equations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0A982" w14:textId="649DF262" w:rsidR="00930C35" w:rsidRDefault="00732BEA">
    <w:pPr>
      <w:pStyle w:val="Header"/>
    </w:pPr>
    <w:r>
      <w:rPr>
        <w:noProof/>
      </w:rPr>
      <w:pict w14:anchorId="55EB55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62" o:spid="_x0000_s1079" type="#_x0000_t136" alt="" style="position:absolute;margin-left:0;margin-top:0;width:412.4pt;height:247.4pt;rotation:315;z-index:-2516326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CDE13" w14:textId="7933AF98" w:rsidR="00930C35" w:rsidRDefault="00732BEA">
    <w:pPr>
      <w:pStyle w:val="Header"/>
    </w:pPr>
    <w:r>
      <w:rPr>
        <w:noProof/>
      </w:rPr>
      <w:pict w14:anchorId="2F1DF2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66" o:spid="_x0000_s1078" type="#_x0000_t136" alt="" style="position:absolute;margin-left:0;margin-top:0;width:412.4pt;height:247.4pt;rotation:315;z-index:-25162444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6ABD" w14:textId="1D3CADDA" w:rsidR="00930C35" w:rsidRPr="00410278" w:rsidRDefault="00732BEA" w:rsidP="00410278">
    <w:pPr>
      <w:pStyle w:val="Header"/>
      <w:jc w:val="right"/>
      <w:rPr>
        <w:sz w:val="20"/>
        <w:szCs w:val="20"/>
      </w:rPr>
    </w:pPr>
    <w:r>
      <w:rPr>
        <w:noProof/>
      </w:rPr>
      <w:pict w14:anchorId="12C196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67" o:spid="_x0000_s1077" type="#_x0000_t136" alt="" style="position:absolute;left:0;text-align:left;margin-left:0;margin-top:0;width:412.4pt;height:247.4pt;rotation:315;z-index:-25162240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sz w:val="20"/>
        <w:szCs w:val="20"/>
      </w:rPr>
      <w:t>Force of infection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6583" w14:textId="6ADE4177" w:rsidR="00930C35" w:rsidRDefault="00732BEA">
    <w:pPr>
      <w:pStyle w:val="Header"/>
    </w:pPr>
    <w:r>
      <w:rPr>
        <w:noProof/>
      </w:rPr>
      <w:pict w14:anchorId="2CFDB2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65" o:spid="_x0000_s1076" type="#_x0000_t136" alt="" style="position:absolute;margin-left:0;margin-top:0;width:412.4pt;height:247.4pt;rotation:315;z-index:-25162649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A63B9" w14:textId="34A3AC2E" w:rsidR="00930C35" w:rsidRDefault="00732BEA">
    <w:pPr>
      <w:pStyle w:val="Header"/>
    </w:pPr>
    <w:r>
      <w:rPr>
        <w:noProof/>
      </w:rPr>
      <w:pict w14:anchorId="6674ED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69" o:spid="_x0000_s1075" type="#_x0000_t136" alt="" style="position:absolute;margin-left:0;margin-top:0;width:412.4pt;height:247.4pt;rotation:315;z-index:-25161830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20DA8" w14:textId="7553348D" w:rsidR="00930C35" w:rsidRPr="00410278" w:rsidRDefault="00732BEA" w:rsidP="00410278">
    <w:pPr>
      <w:pStyle w:val="Header"/>
      <w:jc w:val="right"/>
      <w:rPr>
        <w:sz w:val="20"/>
        <w:szCs w:val="20"/>
      </w:rPr>
    </w:pPr>
    <w:r>
      <w:rPr>
        <w:noProof/>
      </w:rPr>
      <w:pict w14:anchorId="36D13A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52" o:spid="_x0000_s1092" type="#_x0000_t136" alt="" style="position:absolute;left:0;text-align:left;margin-left:0;margin-top:0;width:412.4pt;height:247.4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sz w:val="20"/>
        <w:szCs w:val="20"/>
      </w:rPr>
      <w:t>Contents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9ADDE" w14:textId="691AC9CE" w:rsidR="00930C35" w:rsidRPr="00410278" w:rsidRDefault="00732BEA" w:rsidP="00410278">
    <w:pPr>
      <w:pStyle w:val="Header"/>
      <w:jc w:val="right"/>
      <w:rPr>
        <w:sz w:val="20"/>
        <w:szCs w:val="20"/>
      </w:rPr>
    </w:pPr>
    <w:r>
      <w:rPr>
        <w:noProof/>
      </w:rPr>
      <w:pict w14:anchorId="70AD63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70" o:spid="_x0000_s1074" type="#_x0000_t136" alt="" style="position:absolute;left:0;text-align:left;margin-left:0;margin-top:0;width:412.4pt;height:247.4pt;rotation:315;z-index:-25161625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sz w:val="20"/>
        <w:szCs w:val="20"/>
      </w:rPr>
      <w:t>Force of infection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995E" w14:textId="56C34CD7" w:rsidR="00930C35" w:rsidRDefault="00732BEA">
    <w:pPr>
      <w:pStyle w:val="Header"/>
    </w:pPr>
    <w:r>
      <w:rPr>
        <w:noProof/>
      </w:rPr>
      <w:pict w14:anchorId="79C8B0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68" o:spid="_x0000_s1073" type="#_x0000_t136" alt="" style="position:absolute;margin-left:0;margin-top:0;width:412.4pt;height:247.4pt;rotation:315;z-index:-2516203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30B3F" w14:textId="76AE170A" w:rsidR="00930C35" w:rsidRDefault="00732BEA">
    <w:pPr>
      <w:pStyle w:val="Header"/>
    </w:pPr>
    <w:r>
      <w:rPr>
        <w:noProof/>
      </w:rPr>
      <w:pict w14:anchorId="738567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72" o:spid="_x0000_s1072" type="#_x0000_t136" alt="" style="position:absolute;margin-left:0;margin-top:0;width:412.4pt;height:247.4pt;rotation:315;z-index:-2516121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AE61D" w14:textId="7D9C89F9" w:rsidR="00930C35" w:rsidRDefault="00732BEA" w:rsidP="00CE536B">
    <w:pPr>
      <w:jc w:val="right"/>
      <w:rPr>
        <w:sz w:val="20"/>
        <w:szCs w:val="20"/>
      </w:rPr>
    </w:pPr>
    <w:r>
      <w:rPr>
        <w:noProof/>
      </w:rPr>
      <w:pict w14:anchorId="74C09A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73" o:spid="_x0000_s1071" type="#_x0000_t136" alt="" style="position:absolute;left:0;text-align:left;margin-left:0;margin-top:0;width:412.4pt;height:247.4pt;rotation:315;z-index:-25161011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sz w:val="20"/>
        <w:szCs w:val="20"/>
      </w:rPr>
      <w:t>Parameter inputs</w:t>
    </w:r>
  </w:p>
  <w:p w14:paraId="0E157DC9" w14:textId="17DEEBEF" w:rsidR="00930C35" w:rsidRPr="00CE536B" w:rsidRDefault="00930C35" w:rsidP="00CE536B">
    <w:pPr>
      <w:jc w:val="right"/>
      <w:rPr>
        <w:sz w:val="20"/>
        <w:szCs w:val="20"/>
      </w:rPr>
    </w:pPr>
    <w:r>
      <w:rPr>
        <w:sz w:val="20"/>
        <w:szCs w:val="20"/>
      </w:rPr>
      <w:t>(Initial population)</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E6F57" w14:textId="198BCF21" w:rsidR="00930C35" w:rsidRDefault="00732BEA">
    <w:pPr>
      <w:pStyle w:val="Header"/>
    </w:pPr>
    <w:r>
      <w:rPr>
        <w:noProof/>
      </w:rPr>
      <w:pict w14:anchorId="2903ED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71" o:spid="_x0000_s1070" type="#_x0000_t136" alt="" style="position:absolute;margin-left:0;margin-top:0;width:412.4pt;height:247.4pt;rotation:315;z-index:-2516142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07C54" w14:textId="75EF1055" w:rsidR="00930C35" w:rsidRDefault="00732BEA">
    <w:pPr>
      <w:pStyle w:val="Header"/>
    </w:pPr>
    <w:r>
      <w:rPr>
        <w:noProof/>
      </w:rPr>
      <w:pict w14:anchorId="21379B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75" o:spid="_x0000_s1069" type="#_x0000_t136" alt="" style="position:absolute;margin-left:0;margin-top:0;width:412.4pt;height:247.4pt;rotation:315;z-index:-2516060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EEEB9" w14:textId="0587EE2F" w:rsidR="00930C35" w:rsidRDefault="00732BEA" w:rsidP="00CE536B">
    <w:pPr>
      <w:jc w:val="right"/>
      <w:rPr>
        <w:sz w:val="20"/>
        <w:szCs w:val="20"/>
      </w:rPr>
    </w:pPr>
    <w:r>
      <w:rPr>
        <w:noProof/>
      </w:rPr>
      <w:pict w14:anchorId="38E1B6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76" o:spid="_x0000_s1068" type="#_x0000_t136" alt="" style="position:absolute;left:0;text-align:left;margin-left:0;margin-top:0;width:412.4pt;height:247.4pt;rotation:315;z-index:-2516039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sz w:val="20"/>
        <w:szCs w:val="20"/>
      </w:rPr>
      <w:t>Parameter inputs</w:t>
    </w:r>
  </w:p>
  <w:p w14:paraId="12292C1E" w14:textId="1922241F" w:rsidR="00930C35" w:rsidRPr="00CE536B" w:rsidRDefault="00930C35" w:rsidP="00CE536B">
    <w:pPr>
      <w:jc w:val="right"/>
      <w:rPr>
        <w:sz w:val="20"/>
        <w:szCs w:val="20"/>
      </w:rPr>
    </w:pPr>
    <w:r>
      <w:rPr>
        <w:sz w:val="20"/>
        <w:szCs w:val="20"/>
      </w:rPr>
      <w:t>(Susceptible population growth)</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67D" w14:textId="4F21E6A2" w:rsidR="00930C35" w:rsidRDefault="00732BEA">
    <w:pPr>
      <w:pStyle w:val="Header"/>
    </w:pPr>
    <w:r>
      <w:rPr>
        <w:noProof/>
      </w:rPr>
      <w:pict w14:anchorId="2AB17A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74" o:spid="_x0000_s1067" type="#_x0000_t136" alt="" style="position:absolute;margin-left:0;margin-top:0;width:412.4pt;height:247.4pt;rotation:315;z-index:-25160806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D675" w14:textId="19678418" w:rsidR="00930C35" w:rsidRDefault="00732BEA">
    <w:pPr>
      <w:pStyle w:val="Header"/>
    </w:pPr>
    <w:r>
      <w:rPr>
        <w:noProof/>
      </w:rPr>
      <w:pict w14:anchorId="07B959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78" o:spid="_x0000_s1066" type="#_x0000_t136" alt="" style="position:absolute;margin-left:0;margin-top:0;width:412.4pt;height:247.4pt;rotation:315;z-index:-2515998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D379C" w14:textId="48C8C246" w:rsidR="00930C35" w:rsidRDefault="00732BEA" w:rsidP="00CE536B">
    <w:pPr>
      <w:jc w:val="right"/>
      <w:rPr>
        <w:sz w:val="20"/>
        <w:szCs w:val="20"/>
      </w:rPr>
    </w:pPr>
    <w:r>
      <w:rPr>
        <w:noProof/>
      </w:rPr>
      <w:pict w14:anchorId="419AD2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79" o:spid="_x0000_s1065" type="#_x0000_t136" alt="" style="position:absolute;left:0;text-align:left;margin-left:0;margin-top:0;width:412.4pt;height:247.4pt;rotation:315;z-index:-2515978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sz w:val="20"/>
        <w:szCs w:val="20"/>
      </w:rPr>
      <w:t>Parameter inputs</w:t>
    </w:r>
  </w:p>
  <w:p w14:paraId="020B4660" w14:textId="5BC75413" w:rsidR="00930C35" w:rsidRPr="00CE536B" w:rsidRDefault="00930C35" w:rsidP="00CE536B">
    <w:pPr>
      <w:jc w:val="right"/>
      <w:rPr>
        <w:sz w:val="20"/>
        <w:szCs w:val="20"/>
      </w:rPr>
    </w:pPr>
    <w:r>
      <w:rPr>
        <w:sz w:val="20"/>
        <w:szCs w:val="20"/>
      </w:rPr>
      <w:t>(HIV diagnosis)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30773" w14:textId="29897EBA" w:rsidR="00930C35" w:rsidRDefault="00732BEA">
    <w:r>
      <w:rPr>
        <w:noProof/>
      </w:rPr>
      <w:pict w14:anchorId="58170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50" o:spid="_x0000_s1091" type="#_x0000_t136" alt="" style="position:absolute;margin-left:0;margin-top:0;width:412.4pt;height:247.4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t>Country: Rwanda</w:t>
    </w:r>
    <w:r w:rsidR="00930C35">
      <w:tab/>
    </w:r>
    <w:r w:rsidR="00930C35">
      <w:tab/>
      <w:t xml:space="preserve">Model documentation </w:t>
    </w:r>
    <w:r w:rsidR="00930C35" w:rsidRPr="00F9480A">
      <w:t>21.0</w:t>
    </w:r>
    <w:r w:rsidR="002E52A6">
      <w:t>9</w:t>
    </w:r>
    <w:r w:rsidR="00930C35" w:rsidRPr="00F9480A">
      <w:t>.</w:t>
    </w:r>
    <w:r w:rsidR="00DE708A">
      <w:t>13</w:t>
    </w:r>
    <w:r w:rsidR="00930C35" w:rsidRPr="00F9480A">
      <w:tab/>
    </w:r>
    <w:r w:rsidR="00930C35" w:rsidRPr="00F9480A">
      <w:tab/>
      <w:t>Model version 5.2</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149F7" w14:textId="3C3B9511" w:rsidR="00930C35" w:rsidRDefault="00732BEA">
    <w:pPr>
      <w:pStyle w:val="Header"/>
    </w:pPr>
    <w:r>
      <w:rPr>
        <w:noProof/>
      </w:rPr>
      <w:pict w14:anchorId="19ED56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77" o:spid="_x0000_s1064" type="#_x0000_t136" alt="" style="position:absolute;margin-left:0;margin-top:0;width:412.4pt;height:247.4pt;rotation:315;z-index:-2516019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D462" w14:textId="5631B056" w:rsidR="00930C35" w:rsidRDefault="00732BEA">
    <w:pPr>
      <w:pStyle w:val="Header"/>
    </w:pPr>
    <w:r>
      <w:rPr>
        <w:noProof/>
      </w:rPr>
      <w:pict w14:anchorId="6ACA60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81" o:spid="_x0000_s1063" type="#_x0000_t136" alt="" style="position:absolute;margin-left:0;margin-top:0;width:412.4pt;height:247.4pt;rotation:315;z-index:-251593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FBD8A" w14:textId="02983050" w:rsidR="00930C35" w:rsidRPr="000A43E5" w:rsidRDefault="00732BEA" w:rsidP="000A43E5">
    <w:pPr>
      <w:jc w:val="right"/>
      <w:rPr>
        <w:bCs/>
        <w:sz w:val="20"/>
        <w:szCs w:val="20"/>
      </w:rPr>
    </w:pPr>
    <w:r>
      <w:rPr>
        <w:noProof/>
      </w:rPr>
      <w:pict w14:anchorId="7E9773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82" o:spid="_x0000_s1062" type="#_x0000_t136" alt="" style="position:absolute;left:0;text-align:left;margin-left:0;margin-top:0;width:412.4pt;height:247.4pt;rotation:315;z-index:-251591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sidRPr="000A43E5">
      <w:rPr>
        <w:bCs/>
        <w:sz w:val="20"/>
        <w:szCs w:val="20"/>
      </w:rPr>
      <w:t>Parameter inputs</w:t>
    </w:r>
  </w:p>
  <w:p w14:paraId="22EED3A5" w14:textId="37F02328" w:rsidR="00930C35" w:rsidRPr="000A43E5" w:rsidRDefault="00930C35" w:rsidP="000A43E5">
    <w:pPr>
      <w:jc w:val="right"/>
      <w:rPr>
        <w:sz w:val="20"/>
        <w:szCs w:val="20"/>
      </w:rPr>
    </w:pPr>
    <w:r w:rsidRPr="000A43E5">
      <w:rPr>
        <w:sz w:val="20"/>
        <w:szCs w:val="20"/>
      </w:rPr>
      <w:t>(Natural history)</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6B33B" w14:textId="52699B40" w:rsidR="00930C35" w:rsidRDefault="00732BEA">
    <w:pPr>
      <w:pStyle w:val="Header"/>
    </w:pPr>
    <w:r>
      <w:rPr>
        <w:noProof/>
      </w:rPr>
      <w:pict w14:anchorId="5B0BE7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80" o:spid="_x0000_s1061" type="#_x0000_t136" alt="" style="position:absolute;margin-left:0;margin-top:0;width:412.4pt;height:247.4pt;rotation:315;z-index:-2515957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7E6AF" w14:textId="6DF0A463" w:rsidR="00930C35" w:rsidRDefault="00732BEA">
    <w:pPr>
      <w:pStyle w:val="Header"/>
    </w:pPr>
    <w:r>
      <w:rPr>
        <w:noProof/>
      </w:rPr>
      <w:pict w14:anchorId="32CD01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84" o:spid="_x0000_s1060" type="#_x0000_t136" alt="" style="position:absolute;margin-left:0;margin-top:0;width:412.4pt;height:247.4pt;rotation:315;z-index:-251587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BB03D" w14:textId="26055929" w:rsidR="00930C35" w:rsidRDefault="00732BEA" w:rsidP="000A43E5">
    <w:pPr>
      <w:jc w:val="right"/>
      <w:rPr>
        <w:bCs/>
        <w:sz w:val="20"/>
        <w:szCs w:val="20"/>
      </w:rPr>
    </w:pPr>
    <w:r>
      <w:rPr>
        <w:noProof/>
      </w:rPr>
      <w:pict w14:anchorId="4520AA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85" o:spid="_x0000_s1059" type="#_x0000_t136" alt="" style="position:absolute;left:0;text-align:left;margin-left:0;margin-top:0;width:412.4pt;height:247.4pt;rotation:315;z-index:-25158553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bCs/>
        <w:sz w:val="20"/>
        <w:szCs w:val="20"/>
      </w:rPr>
      <w:t>Parameter inputs</w:t>
    </w:r>
  </w:p>
  <w:p w14:paraId="3E5C1929" w14:textId="6467D8B7" w:rsidR="00930C35" w:rsidRPr="000A43E5" w:rsidRDefault="00930C35" w:rsidP="000A43E5">
    <w:pPr>
      <w:jc w:val="right"/>
      <w:rPr>
        <w:sz w:val="20"/>
        <w:szCs w:val="20"/>
      </w:rPr>
    </w:pPr>
    <w:r>
      <w:rPr>
        <w:sz w:val="20"/>
        <w:szCs w:val="20"/>
      </w:rPr>
      <w:t>(Linked to care)</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B44ED" w14:textId="7E72A236" w:rsidR="00930C35" w:rsidRDefault="00732BEA">
    <w:pPr>
      <w:pStyle w:val="Header"/>
    </w:pPr>
    <w:r>
      <w:rPr>
        <w:noProof/>
      </w:rPr>
      <w:pict w14:anchorId="7844C8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83" o:spid="_x0000_s1058" type="#_x0000_t136" alt="" style="position:absolute;margin-left:0;margin-top:0;width:412.4pt;height:247.4pt;rotation:315;z-index:-251589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AB68" w14:textId="73426AAF" w:rsidR="00930C35" w:rsidRDefault="00732BEA">
    <w:pPr>
      <w:pStyle w:val="Header"/>
    </w:pPr>
    <w:r>
      <w:rPr>
        <w:noProof/>
      </w:rPr>
      <w:pict w14:anchorId="4A1058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87" o:spid="_x0000_s1057" type="#_x0000_t136" alt="" style="position:absolute;margin-left:0;margin-top:0;width:412.4pt;height:247.4pt;rotation:315;z-index:-2515814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F6E35" w14:textId="1552C046" w:rsidR="00930C35" w:rsidRDefault="00732BEA" w:rsidP="000A43E5">
    <w:pPr>
      <w:jc w:val="right"/>
      <w:rPr>
        <w:bCs/>
        <w:sz w:val="20"/>
        <w:szCs w:val="20"/>
      </w:rPr>
    </w:pPr>
    <w:r>
      <w:rPr>
        <w:noProof/>
      </w:rPr>
      <w:pict w14:anchorId="21E692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88" o:spid="_x0000_s1056" type="#_x0000_t136" alt="" style="position:absolute;left:0;text-align:left;margin-left:0;margin-top:0;width:412.4pt;height:247.4pt;rotation:315;z-index:-2515793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bCs/>
        <w:sz w:val="20"/>
        <w:szCs w:val="20"/>
      </w:rPr>
      <w:t>Parameter inputs</w:t>
    </w:r>
  </w:p>
  <w:p w14:paraId="6D33ABA9" w14:textId="02F15306" w:rsidR="00930C35" w:rsidRPr="000A43E5" w:rsidRDefault="00930C35" w:rsidP="000A43E5">
    <w:pPr>
      <w:jc w:val="right"/>
      <w:rPr>
        <w:sz w:val="20"/>
        <w:szCs w:val="20"/>
      </w:rPr>
    </w:pPr>
    <w:r>
      <w:rPr>
        <w:sz w:val="20"/>
        <w:szCs w:val="20"/>
      </w:rPr>
      <w:t>(Lost to follow-up)</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3BC77" w14:textId="1708BC8E" w:rsidR="00930C35" w:rsidRDefault="00732BEA">
    <w:pPr>
      <w:pStyle w:val="Header"/>
    </w:pPr>
    <w:r>
      <w:rPr>
        <w:noProof/>
      </w:rPr>
      <w:pict w14:anchorId="1C34F3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86" o:spid="_x0000_s1055" type="#_x0000_t136" alt="" style="position:absolute;margin-left:0;margin-top:0;width:412.4pt;height:247.4pt;rotation:315;z-index:-25158348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3532C" w14:textId="2B6AD9E7" w:rsidR="00930C35" w:rsidRDefault="00732BEA">
    <w:pPr>
      <w:pStyle w:val="Header"/>
    </w:pPr>
    <w:r>
      <w:rPr>
        <w:noProof/>
      </w:rPr>
      <w:pict w14:anchorId="229884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54" o:spid="_x0000_s1090" type="#_x0000_t136" alt="" style="position:absolute;margin-left:0;margin-top:0;width:412.4pt;height:247.4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36B9C" w14:textId="77777777" w:rsidR="003C7D23" w:rsidRDefault="00732BEA">
    <w:pPr>
      <w:pStyle w:val="Header"/>
    </w:pPr>
    <w:r>
      <w:rPr>
        <w:noProof/>
      </w:rPr>
      <w:pict w14:anchorId="631AC0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4" type="#_x0000_t136" alt="" style="position:absolute;margin-left:0;margin-top:0;width:412.4pt;height:247.4pt;rotation:315;z-index:-2515148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3A95F" w14:textId="77777777" w:rsidR="003C7D23" w:rsidRPr="000A43E5" w:rsidRDefault="00732BEA" w:rsidP="000A43E5">
    <w:pPr>
      <w:jc w:val="right"/>
      <w:rPr>
        <w:bCs/>
        <w:sz w:val="20"/>
        <w:szCs w:val="20"/>
      </w:rPr>
    </w:pPr>
    <w:r>
      <w:rPr>
        <w:noProof/>
      </w:rPr>
      <w:pict w14:anchorId="0F7C2B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3" type="#_x0000_t136" alt="" style="position:absolute;left:0;text-align:left;margin-left:0;margin-top:0;width:412.4pt;height:247.4pt;rotation:315;z-index:-25151385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3C7D23" w:rsidRPr="000A43E5">
      <w:rPr>
        <w:bCs/>
        <w:sz w:val="20"/>
        <w:szCs w:val="20"/>
      </w:rPr>
      <w:t>Parameter inputs</w:t>
    </w:r>
  </w:p>
  <w:p w14:paraId="519567B8" w14:textId="77777777" w:rsidR="003C7D23" w:rsidRPr="000A43E5" w:rsidRDefault="003C7D23" w:rsidP="000A43E5">
    <w:pPr>
      <w:jc w:val="right"/>
      <w:rPr>
        <w:sz w:val="20"/>
        <w:szCs w:val="20"/>
      </w:rPr>
    </w:pPr>
    <w:r w:rsidRPr="000A43E5">
      <w:rPr>
        <w:sz w:val="20"/>
        <w:szCs w:val="20"/>
      </w:rPr>
      <w:t>(Natural history)</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F2FBB" w14:textId="77777777" w:rsidR="003C7D23" w:rsidRDefault="00732BEA">
    <w:pPr>
      <w:pStyle w:val="Header"/>
    </w:pPr>
    <w:r>
      <w:rPr>
        <w:noProof/>
      </w:rPr>
      <w:pict w14:anchorId="7656ED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2" type="#_x0000_t136" alt="" style="position:absolute;margin-left:0;margin-top:0;width:412.4pt;height:247.4pt;rotation:315;z-index:-25151590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B27CE" w14:textId="51FD18AC" w:rsidR="00930C35" w:rsidRDefault="00732BEA">
    <w:pPr>
      <w:pStyle w:val="Header"/>
    </w:pPr>
    <w:r>
      <w:rPr>
        <w:noProof/>
      </w:rPr>
      <w:pict w14:anchorId="3E0232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93" o:spid="_x0000_s1051" type="#_x0000_t136" alt="" style="position:absolute;margin-left:0;margin-top:0;width:412.4pt;height:247.4pt;rotation:315;z-index:-2515691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55CD1" w14:textId="1C140C91" w:rsidR="00930C35" w:rsidRDefault="00732BEA" w:rsidP="000A43E5">
    <w:pPr>
      <w:jc w:val="right"/>
      <w:rPr>
        <w:bCs/>
        <w:sz w:val="20"/>
        <w:szCs w:val="20"/>
      </w:rPr>
    </w:pPr>
    <w:r>
      <w:rPr>
        <w:noProof/>
      </w:rPr>
      <w:pict w14:anchorId="522C82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94" o:spid="_x0000_s1050" type="#_x0000_t136" alt="" style="position:absolute;left:0;text-align:left;margin-left:0;margin-top:0;width:412.4pt;height:247.4pt;rotation:315;z-index:-25156710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bCs/>
        <w:sz w:val="20"/>
        <w:szCs w:val="20"/>
      </w:rPr>
      <w:t>Parameter inputs</w:t>
    </w:r>
  </w:p>
  <w:p w14:paraId="54169BF6" w14:textId="7C7373FF" w:rsidR="00930C35" w:rsidRPr="000A43E5" w:rsidRDefault="00930C35" w:rsidP="000A43E5">
    <w:pPr>
      <w:jc w:val="right"/>
      <w:rPr>
        <w:sz w:val="20"/>
        <w:szCs w:val="20"/>
      </w:rPr>
    </w:pPr>
    <w:r>
      <w:rPr>
        <w:sz w:val="20"/>
        <w:szCs w:val="20"/>
      </w:rPr>
      <w:t>(On ART, Suppressed)</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8D03" w14:textId="5C7E7296" w:rsidR="00930C35" w:rsidRDefault="00732BEA">
    <w:pPr>
      <w:pStyle w:val="Header"/>
    </w:pPr>
    <w:r>
      <w:rPr>
        <w:noProof/>
      </w:rPr>
      <w:pict w14:anchorId="3C2F48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92" o:spid="_x0000_s1049" type="#_x0000_t136" alt="" style="position:absolute;margin-left:0;margin-top:0;width:412.4pt;height:247.4pt;rotation:315;z-index:-25157120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F5E7D" w14:textId="77777777" w:rsidR="00DB3CCF" w:rsidRDefault="00732BEA">
    <w:pPr>
      <w:pStyle w:val="Header"/>
    </w:pPr>
    <w:r>
      <w:rPr>
        <w:noProof/>
      </w:rPr>
      <w:pict w14:anchorId="24DE90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8" type="#_x0000_t136" alt="" style="position:absolute;margin-left:0;margin-top:0;width:412.4pt;height:247.4pt;rotation:315;z-index:-2515107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39514" w14:textId="77777777" w:rsidR="00DB3CCF" w:rsidRPr="000A43E5" w:rsidRDefault="00732BEA" w:rsidP="000A43E5">
    <w:pPr>
      <w:jc w:val="right"/>
      <w:rPr>
        <w:bCs/>
        <w:sz w:val="20"/>
        <w:szCs w:val="20"/>
      </w:rPr>
    </w:pPr>
    <w:r>
      <w:rPr>
        <w:noProof/>
      </w:rPr>
      <w:pict w14:anchorId="49AA9B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7" type="#_x0000_t136" alt="" style="position:absolute;left:0;text-align:left;margin-left:0;margin-top:0;width:412.4pt;height:247.4pt;rotation:315;z-index:-2515097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DB3CCF" w:rsidRPr="000A43E5">
      <w:rPr>
        <w:bCs/>
        <w:sz w:val="20"/>
        <w:szCs w:val="20"/>
      </w:rPr>
      <w:t>Parameter inputs</w:t>
    </w:r>
  </w:p>
  <w:p w14:paraId="5FEAEBB7" w14:textId="77777777" w:rsidR="00DB3CCF" w:rsidRPr="000A43E5" w:rsidRDefault="00DB3CCF" w:rsidP="000A43E5">
    <w:pPr>
      <w:jc w:val="right"/>
      <w:rPr>
        <w:sz w:val="20"/>
        <w:szCs w:val="20"/>
      </w:rPr>
    </w:pPr>
    <w:r w:rsidRPr="000A43E5">
      <w:rPr>
        <w:sz w:val="20"/>
        <w:szCs w:val="20"/>
      </w:rPr>
      <w:t>(Natural history)</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925F7" w14:textId="77777777" w:rsidR="00DB3CCF" w:rsidRDefault="00732BEA">
    <w:pPr>
      <w:pStyle w:val="Header"/>
    </w:pPr>
    <w:r>
      <w:rPr>
        <w:noProof/>
      </w:rPr>
      <w:pict w14:anchorId="5CA773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6" type="#_x0000_t136" alt="" style="position:absolute;margin-left:0;margin-top:0;width:412.4pt;height:247.4pt;rotation:315;z-index:-2515118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91038" w14:textId="6903BE74" w:rsidR="00930C35" w:rsidRDefault="00732BEA">
    <w:pPr>
      <w:pStyle w:val="Header"/>
    </w:pPr>
    <w:r>
      <w:rPr>
        <w:noProof/>
      </w:rPr>
      <w:pict w14:anchorId="28A02B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99" o:spid="_x0000_s1045" type="#_x0000_t136" alt="" style="position:absolute;margin-left:0;margin-top:0;width:412.4pt;height:247.4pt;rotation:315;z-index:-25155686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E62BC" w14:textId="1ACF6B8E" w:rsidR="00930C35" w:rsidRPr="00410278" w:rsidRDefault="00732BEA" w:rsidP="00410278">
    <w:pPr>
      <w:pStyle w:val="Header"/>
      <w:jc w:val="right"/>
      <w:rPr>
        <w:sz w:val="20"/>
        <w:szCs w:val="20"/>
      </w:rPr>
    </w:pPr>
    <w:r>
      <w:rPr>
        <w:noProof/>
      </w:rPr>
      <w:pict w14:anchorId="22844B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55" o:spid="_x0000_s1089" type="#_x0000_t136" alt="" style="position:absolute;left:0;text-align:left;margin-left:0;margin-top:0;width:412.4pt;height:247.4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sz w:val="20"/>
        <w:szCs w:val="20"/>
      </w:rPr>
      <w:t>Overview</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F949" w14:textId="071FE246" w:rsidR="00930C35" w:rsidRDefault="00732BEA">
    <w:pPr>
      <w:pStyle w:val="Header"/>
    </w:pPr>
    <w:r>
      <w:rPr>
        <w:noProof/>
      </w:rPr>
      <w:pict w14:anchorId="351404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00" o:spid="_x0000_s1044" type="#_x0000_t136" alt="" style="position:absolute;margin-left:0;margin-top:0;width:412.4pt;height:247.4pt;rotation:315;z-index:-2515548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85DBA" w14:textId="6AD450E5" w:rsidR="00930C35" w:rsidRDefault="00732BEA">
    <w:pPr>
      <w:pStyle w:val="Header"/>
    </w:pPr>
    <w:r>
      <w:rPr>
        <w:noProof/>
      </w:rPr>
      <w:pict w14:anchorId="3EC2D2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98" o:spid="_x0000_s1043" type="#_x0000_t136" alt="" style="position:absolute;margin-left:0;margin-top:0;width:412.4pt;height:247.4pt;rotation:315;z-index:-25155891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E8D0" w14:textId="0B834228" w:rsidR="00930C35" w:rsidRDefault="00732BEA">
    <w:pPr>
      <w:pStyle w:val="Header"/>
    </w:pPr>
    <w:r>
      <w:rPr>
        <w:noProof/>
      </w:rPr>
      <w:pict w14:anchorId="62CBD3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02" o:spid="_x0000_s1042" type="#_x0000_t136" alt="" style="position:absolute;margin-left:0;margin-top:0;width:412.4pt;height:247.4pt;rotation:315;z-index:-2515507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83A27" w14:textId="7A0C5791" w:rsidR="00930C35" w:rsidRDefault="00732BEA" w:rsidP="000A43E5">
    <w:pPr>
      <w:jc w:val="right"/>
      <w:rPr>
        <w:sz w:val="20"/>
        <w:szCs w:val="20"/>
      </w:rPr>
    </w:pPr>
    <w:r>
      <w:rPr>
        <w:noProof/>
      </w:rPr>
      <w:pict w14:anchorId="137DB0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03" o:spid="_x0000_s1041" type="#_x0000_t136" alt="" style="position:absolute;left:0;text-align:left;margin-left:0;margin-top:0;width:412.4pt;height:247.4pt;rotation:315;z-index:-2515486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sz w:val="20"/>
        <w:szCs w:val="20"/>
      </w:rPr>
      <w:t>Parameter inputs</w:t>
    </w:r>
  </w:p>
  <w:p w14:paraId="5D5E7B8B" w14:textId="7270EC8B" w:rsidR="00930C35" w:rsidRPr="000A43E5" w:rsidRDefault="00930C35" w:rsidP="000A43E5">
    <w:pPr>
      <w:jc w:val="right"/>
      <w:rPr>
        <w:sz w:val="20"/>
        <w:szCs w:val="20"/>
      </w:rPr>
    </w:pPr>
    <w:r>
      <w:rPr>
        <w:sz w:val="20"/>
        <w:szCs w:val="20"/>
      </w:rPr>
      <w:t>(Death)</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1477" w14:textId="104AE5CB" w:rsidR="00930C35" w:rsidRDefault="00732BEA">
    <w:pPr>
      <w:pStyle w:val="Header"/>
    </w:pPr>
    <w:r>
      <w:rPr>
        <w:noProof/>
      </w:rPr>
      <w:pict w14:anchorId="324B08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01" o:spid="_x0000_s1040" type="#_x0000_t136" alt="" style="position:absolute;margin-left:0;margin-top:0;width:412.4pt;height:247.4pt;rotation:315;z-index:-2515527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9057B" w14:textId="24709B5C" w:rsidR="00930C35" w:rsidRDefault="00732BEA">
    <w:pPr>
      <w:pStyle w:val="Header"/>
    </w:pPr>
    <w:r>
      <w:rPr>
        <w:noProof/>
      </w:rPr>
      <w:pict w14:anchorId="5B9B3C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05" o:spid="_x0000_s1039" type="#_x0000_t136" alt="" style="position:absolute;margin-left:0;margin-top:0;width:412.4pt;height:247.4pt;rotation:315;z-index:-2515445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29C8" w14:textId="449A2296" w:rsidR="00930C35" w:rsidRDefault="00732BEA" w:rsidP="000A43E5">
    <w:pPr>
      <w:jc w:val="right"/>
      <w:rPr>
        <w:sz w:val="20"/>
        <w:szCs w:val="20"/>
      </w:rPr>
    </w:pPr>
    <w:r>
      <w:rPr>
        <w:noProof/>
      </w:rPr>
      <w:pict w14:anchorId="107962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06" o:spid="_x0000_s1038" type="#_x0000_t136" alt="" style="position:absolute;left:0;text-align:left;margin-left:0;margin-top:0;width:412.4pt;height:247.4pt;rotation:315;z-index:-2515425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sz w:val="20"/>
        <w:szCs w:val="20"/>
      </w:rPr>
      <w:t>Calibration</w:t>
    </w:r>
  </w:p>
  <w:p w14:paraId="6B8E17E9" w14:textId="77777777" w:rsidR="00930C35" w:rsidRPr="000A43E5" w:rsidRDefault="00930C35" w:rsidP="000A43E5">
    <w:pPr>
      <w:jc w:val="right"/>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BD5D" w14:textId="318166D6" w:rsidR="00930C35" w:rsidRDefault="00732BEA">
    <w:pPr>
      <w:pStyle w:val="Header"/>
    </w:pPr>
    <w:r>
      <w:rPr>
        <w:noProof/>
      </w:rPr>
      <w:pict w14:anchorId="67C38B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04" o:spid="_x0000_s1037" type="#_x0000_t136" alt="" style="position:absolute;margin-left:0;margin-top:0;width:412.4pt;height:247.4pt;rotation:315;z-index:-2515466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A925" w14:textId="7D6B4AD4" w:rsidR="00930C35" w:rsidRDefault="00732BEA">
    <w:pPr>
      <w:pStyle w:val="Header"/>
    </w:pPr>
    <w:r>
      <w:rPr>
        <w:noProof/>
      </w:rPr>
      <w:pict w14:anchorId="3C6F9E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08" o:spid="_x0000_s1036" type="#_x0000_t136" alt="" style="position:absolute;margin-left:0;margin-top:0;width:412.4pt;height:247.4pt;rotation:315;z-index:-2515384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12AAA" w14:textId="568F05A3" w:rsidR="00930C35" w:rsidRDefault="00732BEA">
    <w:pPr>
      <w:pStyle w:val="Header"/>
    </w:pPr>
    <w:r>
      <w:rPr>
        <w:noProof/>
      </w:rPr>
      <w:pict w14:anchorId="460BB3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09" o:spid="_x0000_s1035" type="#_x0000_t136" alt="" style="position:absolute;margin-left:0;margin-top:0;width:412.4pt;height:247.4pt;rotation:315;z-index:-2515363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B625" w14:textId="7D50BAEA" w:rsidR="00930C35" w:rsidRDefault="00732BEA">
    <w:r>
      <w:rPr>
        <w:noProof/>
      </w:rPr>
      <w:pict w14:anchorId="2D98D8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53" o:spid="_x0000_s1088" type="#_x0000_t136" alt="" style="position:absolute;margin-left:0;margin-top:0;width:412.4pt;height:247.4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t>Country: Rwanda</w:t>
    </w:r>
    <w:r w:rsidR="00930C35">
      <w:tab/>
    </w:r>
    <w:r w:rsidR="00930C35">
      <w:tab/>
      <w:t xml:space="preserve">Model documentation </w:t>
    </w:r>
    <w:r w:rsidR="00930C35" w:rsidRPr="003F2480">
      <w:rPr>
        <w:highlight w:val="yellow"/>
      </w:rPr>
      <w:t>2</w:t>
    </w:r>
    <w:r w:rsidR="00930C35">
      <w:rPr>
        <w:highlight w:val="yellow"/>
      </w:rPr>
      <w:t>1</w:t>
    </w:r>
    <w:r w:rsidR="00930C35" w:rsidRPr="003F2480">
      <w:rPr>
        <w:highlight w:val="yellow"/>
      </w:rPr>
      <w:t>.</w:t>
    </w:r>
    <w:r w:rsidR="00930C35">
      <w:rPr>
        <w:highlight w:val="yellow"/>
      </w:rPr>
      <w:t>06</w:t>
    </w:r>
    <w:r w:rsidR="00930C35" w:rsidRPr="003F2480">
      <w:rPr>
        <w:highlight w:val="yellow"/>
      </w:rPr>
      <w:t>.</w:t>
    </w:r>
    <w:r w:rsidR="00930C35">
      <w:t>014</w:t>
    </w:r>
    <w:r w:rsidR="00930C35">
      <w:tab/>
    </w:r>
    <w:r w:rsidR="00930C35">
      <w:tab/>
      <w:t xml:space="preserve">Model version </w:t>
    </w:r>
    <w:r w:rsidR="00930C35">
      <w:rPr>
        <w:highlight w:val="yellow"/>
      </w:rPr>
      <w:t>5</w:t>
    </w:r>
    <w:r w:rsidR="00930C35">
      <w:t>.2</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FD83" w14:textId="1C9FA7BD" w:rsidR="00930C35" w:rsidRDefault="00732BEA">
    <w:pPr>
      <w:pStyle w:val="Header"/>
    </w:pPr>
    <w:r>
      <w:rPr>
        <w:noProof/>
      </w:rPr>
      <w:pict w14:anchorId="26A529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07" o:spid="_x0000_s1034" type="#_x0000_t136" alt="" style="position:absolute;margin-left:0;margin-top:0;width:412.4pt;height:247.4pt;rotation:315;z-index:-2515404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C5869" w14:textId="1453C4BF" w:rsidR="00930C35" w:rsidRDefault="00732BEA">
    <w:pPr>
      <w:pStyle w:val="Header"/>
    </w:pPr>
    <w:r>
      <w:rPr>
        <w:noProof/>
      </w:rPr>
      <w:pict w14:anchorId="571241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11" o:spid="_x0000_s1033" type="#_x0000_t136" alt="" style="position:absolute;margin-left:0;margin-top:0;width:412.4pt;height:247.4pt;rotation:315;z-index:-25153228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266D" w14:textId="6DAB7A35" w:rsidR="00930C35" w:rsidRDefault="00732BEA" w:rsidP="000A43E5">
    <w:pPr>
      <w:jc w:val="right"/>
      <w:rPr>
        <w:sz w:val="20"/>
        <w:szCs w:val="20"/>
      </w:rPr>
    </w:pPr>
    <w:r>
      <w:rPr>
        <w:noProof/>
      </w:rPr>
      <w:pict w14:anchorId="2E49F6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12" o:spid="_x0000_s1032" type="#_x0000_t136" alt="" style="position:absolute;left:0;text-align:left;margin-left:0;margin-top:0;width:412.4pt;height:247.4pt;rotation:315;z-index:-251530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sz w:val="20"/>
        <w:szCs w:val="20"/>
      </w:rPr>
      <w:t>Model code</w:t>
    </w:r>
  </w:p>
  <w:p w14:paraId="466AE383" w14:textId="77777777" w:rsidR="00930C35" w:rsidRPr="000A43E5" w:rsidRDefault="00930C35" w:rsidP="000A43E5">
    <w:pPr>
      <w:jc w:val="right"/>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4F138" w14:textId="4E6A454F" w:rsidR="00930C35" w:rsidRDefault="00732BEA">
    <w:pPr>
      <w:pStyle w:val="Header"/>
    </w:pPr>
    <w:r>
      <w:rPr>
        <w:noProof/>
      </w:rPr>
      <w:pict w14:anchorId="52574E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10" o:spid="_x0000_s1031" type="#_x0000_t136" alt="" style="position:absolute;margin-left:0;margin-top:0;width:412.4pt;height:247.4pt;rotation:315;z-index:-25153433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5E204" w14:textId="4ECC0052" w:rsidR="00930C35" w:rsidRDefault="00732BEA">
    <w:pPr>
      <w:pStyle w:val="Header"/>
    </w:pPr>
    <w:r>
      <w:rPr>
        <w:noProof/>
      </w:rPr>
      <w:pict w14:anchorId="161CB2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14" o:spid="_x0000_s1030" type="#_x0000_t136" alt="" style="position:absolute;margin-left:0;margin-top:0;width:412.4pt;height:247.4pt;rotation:315;z-index:-2515261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A36A" w14:textId="2998D681" w:rsidR="00930C35" w:rsidRDefault="00732BEA" w:rsidP="000A43E5">
    <w:pPr>
      <w:jc w:val="right"/>
      <w:rPr>
        <w:sz w:val="20"/>
        <w:szCs w:val="20"/>
      </w:rPr>
    </w:pPr>
    <w:r>
      <w:rPr>
        <w:noProof/>
      </w:rPr>
      <w:pict w14:anchorId="53D213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15" o:spid="_x0000_s1029" type="#_x0000_t136" alt="" style="position:absolute;left:0;text-align:left;margin-left:0;margin-top:0;width:412.4pt;height:247.4pt;rotation:315;z-index:-25152409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sz w:val="20"/>
        <w:szCs w:val="20"/>
      </w:rPr>
      <w:t>References</w:t>
    </w:r>
  </w:p>
  <w:p w14:paraId="54FEBEBF" w14:textId="77777777" w:rsidR="00930C35" w:rsidRPr="000A43E5" w:rsidRDefault="00930C35" w:rsidP="000A43E5">
    <w:pPr>
      <w:jc w:val="right"/>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6791" w14:textId="4F612AEE" w:rsidR="00930C35" w:rsidRDefault="00732BEA">
    <w:pPr>
      <w:pStyle w:val="Header"/>
    </w:pPr>
    <w:r>
      <w:rPr>
        <w:noProof/>
      </w:rPr>
      <w:pict w14:anchorId="0A3050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13" o:spid="_x0000_s1028" type="#_x0000_t136" alt="" style="position:absolute;margin-left:0;margin-top:0;width:412.4pt;height:247.4pt;rotation:315;z-index:-251528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308E6" w14:textId="00700164" w:rsidR="00930C35" w:rsidRDefault="00732BEA">
    <w:pPr>
      <w:pStyle w:val="Header"/>
    </w:pPr>
    <w:r>
      <w:rPr>
        <w:noProof/>
      </w:rPr>
      <w:pict w14:anchorId="637613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17" o:spid="_x0000_s1027" type="#_x0000_t136" alt="" style="position:absolute;margin-left:0;margin-top:0;width:412.4pt;height:247.4pt;rotation:315;z-index:-25152000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ED02" w14:textId="72819D4D" w:rsidR="00930C35" w:rsidRDefault="00732BEA" w:rsidP="000A43E5">
    <w:pPr>
      <w:jc w:val="right"/>
      <w:rPr>
        <w:sz w:val="20"/>
        <w:szCs w:val="20"/>
      </w:rPr>
    </w:pPr>
    <w:r>
      <w:rPr>
        <w:noProof/>
      </w:rPr>
      <w:pict w14:anchorId="5544C4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18" o:spid="_x0000_s1026" type="#_x0000_t136" alt="" style="position:absolute;left:0;text-align:left;margin-left:0;margin-top:0;width:412.4pt;height:247.4pt;rotation:315;z-index:-2515179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sz w:val="20"/>
        <w:szCs w:val="20"/>
      </w:rPr>
      <w:t>Appendix</w:t>
    </w:r>
  </w:p>
  <w:p w14:paraId="3CAE3E85" w14:textId="77777777" w:rsidR="00930C35" w:rsidRPr="000A43E5" w:rsidRDefault="00930C35" w:rsidP="000A43E5">
    <w:pPr>
      <w:jc w:val="right"/>
      <w:rPr>
        <w:sz w:val="20"/>
        <w:szCs w:val="20"/>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F8FB" w14:textId="46B3790F" w:rsidR="00930C35" w:rsidRDefault="00732BEA">
    <w:pPr>
      <w:pStyle w:val="Header"/>
    </w:pPr>
    <w:r>
      <w:rPr>
        <w:noProof/>
      </w:rPr>
      <w:pict w14:anchorId="642B66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316" o:spid="_x0000_s1025" type="#_x0000_t136" alt="" style="position:absolute;margin-left:0;margin-top:0;width:412.4pt;height:247.4pt;rotation:315;z-index:-25152204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95BB5" w14:textId="12E40B45" w:rsidR="00930C35" w:rsidRDefault="00732BEA">
    <w:pPr>
      <w:pStyle w:val="Header"/>
    </w:pPr>
    <w:r>
      <w:rPr>
        <w:noProof/>
      </w:rPr>
      <w:pict w14:anchorId="6A824A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57" o:spid="_x0000_s1087" type="#_x0000_t136" alt="" style="position:absolute;margin-left:0;margin-top:0;width:412.4pt;height:247.4pt;rotation:315;z-index:-2516428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CB215" w14:textId="1D1FA1A4" w:rsidR="00930C35" w:rsidRPr="00410278" w:rsidRDefault="00732BEA" w:rsidP="00410278">
    <w:pPr>
      <w:pStyle w:val="Header"/>
      <w:jc w:val="right"/>
      <w:rPr>
        <w:sz w:val="20"/>
        <w:szCs w:val="20"/>
      </w:rPr>
    </w:pPr>
    <w:r>
      <w:rPr>
        <w:noProof/>
      </w:rPr>
      <w:pict w14:anchorId="7CD67A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58" o:spid="_x0000_s1086" type="#_x0000_t136" alt="" style="position:absolute;left:0;text-align:left;margin-left:0;margin-top:0;width:412.4pt;height:247.4pt;rotation:315;z-index:-2516408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rPr>
        <w:sz w:val="20"/>
        <w:szCs w:val="20"/>
      </w:rPr>
      <w:t>Model structure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9367A" w14:textId="60FD1BA7" w:rsidR="00930C35" w:rsidRDefault="00732BEA">
    <w:r>
      <w:rPr>
        <w:noProof/>
      </w:rPr>
      <w:pict w14:anchorId="2388CB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2416256" o:spid="_x0000_s1085" type="#_x0000_t136" alt="" style="position:absolute;margin-left:0;margin-top:0;width:412.4pt;height:247.4pt;rotation:315;z-index:-2516449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930C35">
      <w:t>Model structure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48F"/>
    <w:multiLevelType w:val="hybridMultilevel"/>
    <w:tmpl w:val="FAF06A1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251E8B"/>
    <w:multiLevelType w:val="hybridMultilevel"/>
    <w:tmpl w:val="E58A7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8610BC"/>
    <w:multiLevelType w:val="multilevel"/>
    <w:tmpl w:val="D1E02328"/>
    <w:lvl w:ilvl="0">
      <w:start w:val="1"/>
      <w:numFmt w:val="decimal"/>
      <w:pStyle w:val="Heading1"/>
      <w:lvlText w:val="%1"/>
      <w:lvlJc w:val="left"/>
      <w:pPr>
        <w:ind w:left="432" w:hanging="432"/>
      </w:pPr>
      <w:rPr>
        <w:rFonts w:hint="default"/>
        <w:b/>
        <w:bCs w:val="0"/>
      </w:rPr>
    </w:lvl>
    <w:lvl w:ilvl="1">
      <w:start w:val="1"/>
      <w:numFmt w:val="decimal"/>
      <w:pStyle w:val="Heading2"/>
      <w:lvlText w:val="%1.%2"/>
      <w:lvlJc w:val="left"/>
      <w:pPr>
        <w:ind w:left="576" w:hanging="576"/>
      </w:pPr>
      <w:rPr>
        <w:rFonts w:hint="default"/>
        <w:b/>
        <w:bCs/>
        <w:i w:val="0"/>
        <w:iCs w:val="0"/>
        <w:color w:val="000000" w:themeColor="text1"/>
        <w:sz w:val="24"/>
        <w:szCs w:val="24"/>
      </w:rPr>
    </w:lvl>
    <w:lvl w:ilvl="2">
      <w:start w:val="1"/>
      <w:numFmt w:val="decimal"/>
      <w:pStyle w:val="Heading3"/>
      <w:lvlText w:val="%1.%2.%3"/>
      <w:lvlJc w:val="left"/>
      <w:pPr>
        <w:ind w:left="720" w:hanging="720"/>
      </w:pPr>
      <w:rPr>
        <w:rFonts w:ascii="Times New Roman" w:hAnsi="Times New Roman" w:cs="Times New Roman" w:hint="default"/>
        <w:b/>
        <w:bCs/>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66C1115"/>
    <w:multiLevelType w:val="hybridMultilevel"/>
    <w:tmpl w:val="19C26E24"/>
    <w:lvl w:ilvl="0" w:tplc="28DCD1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C7489"/>
    <w:multiLevelType w:val="hybridMultilevel"/>
    <w:tmpl w:val="D110F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85456"/>
    <w:multiLevelType w:val="hybridMultilevel"/>
    <w:tmpl w:val="45E82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300F6A"/>
    <w:multiLevelType w:val="hybridMultilevel"/>
    <w:tmpl w:val="0A081428"/>
    <w:lvl w:ilvl="0" w:tplc="6C28C0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3350DE"/>
    <w:multiLevelType w:val="multilevel"/>
    <w:tmpl w:val="0092307A"/>
    <w:lvl w:ilvl="0">
      <w:start w:val="1"/>
      <w:numFmt w:val="lowerLetter"/>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left"/>
      <w:pPr>
        <w:ind w:left="720" w:hanging="360"/>
      </w:pPr>
      <w:rPr>
        <w:rFonts w:hint="default"/>
      </w:rPr>
    </w:lvl>
    <w:lvl w:ilvl="3">
      <w:start w:val="1"/>
      <w:numFmt w:val="decimal"/>
      <w:lvlText w:val="(%4)"/>
      <w:lvlJc w:val="left"/>
      <w:pPr>
        <w:ind w:left="108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160" w:hanging="360"/>
      </w:pPr>
      <w:rPr>
        <w:rFonts w:hint="default"/>
      </w:rPr>
    </w:lvl>
    <w:lvl w:ilvl="7">
      <w:start w:val="1"/>
      <w:numFmt w:val="lowerLetter"/>
      <w:lvlText w:val="%8."/>
      <w:lvlJc w:val="left"/>
      <w:pPr>
        <w:ind w:left="2520" w:hanging="360"/>
      </w:pPr>
      <w:rPr>
        <w:rFonts w:hint="default"/>
      </w:rPr>
    </w:lvl>
    <w:lvl w:ilvl="8">
      <w:start w:val="1"/>
      <w:numFmt w:val="lowerRoman"/>
      <w:lvlText w:val="%9."/>
      <w:lvlJc w:val="left"/>
      <w:pPr>
        <w:ind w:left="2880" w:hanging="360"/>
      </w:pPr>
      <w:rPr>
        <w:rFonts w:hint="default"/>
      </w:rPr>
    </w:lvl>
  </w:abstractNum>
  <w:abstractNum w:abstractNumId="8" w15:restartNumberingAfterBreak="0">
    <w:nsid w:val="181D45BC"/>
    <w:multiLevelType w:val="hybridMultilevel"/>
    <w:tmpl w:val="1B3AD5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892036"/>
    <w:multiLevelType w:val="hybridMultilevel"/>
    <w:tmpl w:val="01B6FCD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F4306768">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0E2490A"/>
    <w:multiLevelType w:val="multilevel"/>
    <w:tmpl w:val="04090025"/>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1" w15:restartNumberingAfterBreak="0">
    <w:nsid w:val="241876AD"/>
    <w:multiLevelType w:val="hybridMultilevel"/>
    <w:tmpl w:val="80388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65B3D5B"/>
    <w:multiLevelType w:val="hybridMultilevel"/>
    <w:tmpl w:val="F266CBD4"/>
    <w:lvl w:ilvl="0" w:tplc="ADB0ED1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46606E"/>
    <w:multiLevelType w:val="hybridMultilevel"/>
    <w:tmpl w:val="BF386B80"/>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7633D8A"/>
    <w:multiLevelType w:val="hybridMultilevel"/>
    <w:tmpl w:val="D444B4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12753F"/>
    <w:multiLevelType w:val="hybridMultilevel"/>
    <w:tmpl w:val="7EEA3CF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99330C1"/>
    <w:multiLevelType w:val="hybridMultilevel"/>
    <w:tmpl w:val="4798F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8446C4"/>
    <w:multiLevelType w:val="hybridMultilevel"/>
    <w:tmpl w:val="3F422E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AF5C2B"/>
    <w:multiLevelType w:val="hybridMultilevel"/>
    <w:tmpl w:val="9D1004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FF676A"/>
    <w:multiLevelType w:val="hybridMultilevel"/>
    <w:tmpl w:val="5DF618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3A86271"/>
    <w:multiLevelType w:val="hybridMultilevel"/>
    <w:tmpl w:val="BDD41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37FB6036"/>
    <w:multiLevelType w:val="hybridMultilevel"/>
    <w:tmpl w:val="C61229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0C4EF3"/>
    <w:multiLevelType w:val="hybridMultilevel"/>
    <w:tmpl w:val="0CFC8C5C"/>
    <w:lvl w:ilvl="0" w:tplc="28DCD11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6D3A21"/>
    <w:multiLevelType w:val="multilevel"/>
    <w:tmpl w:val="0092307A"/>
    <w:lvl w:ilvl="0">
      <w:start w:val="1"/>
      <w:numFmt w:val="lowerLetter"/>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left"/>
      <w:pPr>
        <w:ind w:left="720" w:hanging="360"/>
      </w:pPr>
      <w:rPr>
        <w:rFonts w:hint="default"/>
      </w:rPr>
    </w:lvl>
    <w:lvl w:ilvl="3">
      <w:start w:val="1"/>
      <w:numFmt w:val="decimal"/>
      <w:lvlText w:val="(%4)"/>
      <w:lvlJc w:val="left"/>
      <w:pPr>
        <w:ind w:left="108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160" w:hanging="360"/>
      </w:pPr>
      <w:rPr>
        <w:rFonts w:hint="default"/>
      </w:rPr>
    </w:lvl>
    <w:lvl w:ilvl="7">
      <w:start w:val="1"/>
      <w:numFmt w:val="lowerLetter"/>
      <w:lvlText w:val="%8."/>
      <w:lvlJc w:val="left"/>
      <w:pPr>
        <w:ind w:left="2520" w:hanging="360"/>
      </w:pPr>
      <w:rPr>
        <w:rFonts w:hint="default"/>
      </w:rPr>
    </w:lvl>
    <w:lvl w:ilvl="8">
      <w:start w:val="1"/>
      <w:numFmt w:val="lowerRoman"/>
      <w:lvlText w:val="%9."/>
      <w:lvlJc w:val="left"/>
      <w:pPr>
        <w:ind w:left="2880" w:hanging="360"/>
      </w:pPr>
      <w:rPr>
        <w:rFonts w:hint="default"/>
      </w:rPr>
    </w:lvl>
  </w:abstractNum>
  <w:abstractNum w:abstractNumId="24" w15:restartNumberingAfterBreak="0">
    <w:nsid w:val="3DD307B9"/>
    <w:multiLevelType w:val="hybridMultilevel"/>
    <w:tmpl w:val="D84A3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DEA6AAE"/>
    <w:multiLevelType w:val="hybridMultilevel"/>
    <w:tmpl w:val="C4D839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E4D5E81"/>
    <w:multiLevelType w:val="hybridMultilevel"/>
    <w:tmpl w:val="97503D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F5908D6"/>
    <w:multiLevelType w:val="multilevel"/>
    <w:tmpl w:val="AB8CB914"/>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3264F1B"/>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FC2AE1"/>
    <w:multiLevelType w:val="hybridMultilevel"/>
    <w:tmpl w:val="28D85268"/>
    <w:lvl w:ilvl="0" w:tplc="421CB64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75D0002"/>
    <w:multiLevelType w:val="hybridMultilevel"/>
    <w:tmpl w:val="2A428D82"/>
    <w:lvl w:ilvl="0" w:tplc="0DE42EB4">
      <w:start w:val="2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2333EE"/>
    <w:multiLevelType w:val="hybridMultilevel"/>
    <w:tmpl w:val="C1929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48D30043"/>
    <w:multiLevelType w:val="hybridMultilevel"/>
    <w:tmpl w:val="64DA6A3A"/>
    <w:lvl w:ilvl="0" w:tplc="7C961F8E">
      <w:start w:val="6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494A13"/>
    <w:multiLevelType w:val="hybridMultilevel"/>
    <w:tmpl w:val="1C903C7E"/>
    <w:lvl w:ilvl="0" w:tplc="2A10F936">
      <w:start w:val="1"/>
      <w:numFmt w:val="lowerLetter"/>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A2A748E"/>
    <w:multiLevelType w:val="multilevel"/>
    <w:tmpl w:val="0092307A"/>
    <w:lvl w:ilvl="0">
      <w:start w:val="1"/>
      <w:numFmt w:val="lowerLetter"/>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left"/>
      <w:pPr>
        <w:ind w:left="720" w:hanging="360"/>
      </w:pPr>
      <w:rPr>
        <w:rFonts w:hint="default"/>
      </w:rPr>
    </w:lvl>
    <w:lvl w:ilvl="3">
      <w:start w:val="1"/>
      <w:numFmt w:val="decimal"/>
      <w:lvlText w:val="(%4)"/>
      <w:lvlJc w:val="left"/>
      <w:pPr>
        <w:ind w:left="108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160" w:hanging="360"/>
      </w:pPr>
      <w:rPr>
        <w:rFonts w:hint="default"/>
      </w:rPr>
    </w:lvl>
    <w:lvl w:ilvl="7">
      <w:start w:val="1"/>
      <w:numFmt w:val="lowerLetter"/>
      <w:lvlText w:val="%8."/>
      <w:lvlJc w:val="left"/>
      <w:pPr>
        <w:ind w:left="2520" w:hanging="360"/>
      </w:pPr>
      <w:rPr>
        <w:rFonts w:hint="default"/>
      </w:rPr>
    </w:lvl>
    <w:lvl w:ilvl="8">
      <w:start w:val="1"/>
      <w:numFmt w:val="lowerRoman"/>
      <w:lvlText w:val="%9."/>
      <w:lvlJc w:val="left"/>
      <w:pPr>
        <w:ind w:left="2880" w:hanging="360"/>
      </w:pPr>
      <w:rPr>
        <w:rFonts w:hint="default"/>
      </w:rPr>
    </w:lvl>
  </w:abstractNum>
  <w:abstractNum w:abstractNumId="35" w15:restartNumberingAfterBreak="0">
    <w:nsid w:val="4DEA5D98"/>
    <w:multiLevelType w:val="multilevel"/>
    <w:tmpl w:val="AB8CB914"/>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4FCF7CFA"/>
    <w:multiLevelType w:val="hybridMultilevel"/>
    <w:tmpl w:val="BBDEC1D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FFD5D2D"/>
    <w:multiLevelType w:val="hybridMultilevel"/>
    <w:tmpl w:val="D444B4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4AF7217"/>
    <w:multiLevelType w:val="hybridMultilevel"/>
    <w:tmpl w:val="3974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800E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A7801E6"/>
    <w:multiLevelType w:val="hybridMultilevel"/>
    <w:tmpl w:val="07A247CA"/>
    <w:lvl w:ilvl="0" w:tplc="7C961F8E">
      <w:start w:val="6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7B2A13"/>
    <w:multiLevelType w:val="hybridMultilevel"/>
    <w:tmpl w:val="9FD4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CF8552F"/>
    <w:multiLevelType w:val="hybridMultilevel"/>
    <w:tmpl w:val="CCD6DE5E"/>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9D0CA8"/>
    <w:multiLevelType w:val="hybridMultilevel"/>
    <w:tmpl w:val="E668D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14F543C"/>
    <w:multiLevelType w:val="hybridMultilevel"/>
    <w:tmpl w:val="7B247B74"/>
    <w:lvl w:ilvl="0" w:tplc="7B18C826">
      <w:start w:val="1"/>
      <w:numFmt w:val="bullet"/>
      <w:lvlText w:val=""/>
      <w:lvlJc w:val="left"/>
      <w:pPr>
        <w:ind w:left="720" w:hanging="360"/>
      </w:pPr>
      <w:rPr>
        <w:rFonts w:ascii="Symbol" w:hAnsi="Symbol" w:hint="default"/>
        <w:strike w:val="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FA782E"/>
    <w:multiLevelType w:val="hybridMultilevel"/>
    <w:tmpl w:val="063EF32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6" w15:restartNumberingAfterBreak="0">
    <w:nsid w:val="684E3533"/>
    <w:multiLevelType w:val="hybridMultilevel"/>
    <w:tmpl w:val="6A744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D935EC7"/>
    <w:multiLevelType w:val="hybridMultilevel"/>
    <w:tmpl w:val="737CEB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05D63DC"/>
    <w:multiLevelType w:val="hybridMultilevel"/>
    <w:tmpl w:val="99F4C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1ED540C"/>
    <w:multiLevelType w:val="multilevel"/>
    <w:tmpl w:val="5204CC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73BB2085"/>
    <w:multiLevelType w:val="hybridMultilevel"/>
    <w:tmpl w:val="6B38A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6376942"/>
    <w:multiLevelType w:val="hybridMultilevel"/>
    <w:tmpl w:val="A180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F02ADC"/>
    <w:multiLevelType w:val="multilevel"/>
    <w:tmpl w:val="0092307A"/>
    <w:lvl w:ilvl="0">
      <w:start w:val="1"/>
      <w:numFmt w:val="lowerLetter"/>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left"/>
      <w:pPr>
        <w:ind w:left="720" w:hanging="360"/>
      </w:pPr>
      <w:rPr>
        <w:rFonts w:hint="default"/>
      </w:rPr>
    </w:lvl>
    <w:lvl w:ilvl="3">
      <w:start w:val="1"/>
      <w:numFmt w:val="decimal"/>
      <w:lvlText w:val="(%4)"/>
      <w:lvlJc w:val="left"/>
      <w:pPr>
        <w:ind w:left="108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160" w:hanging="360"/>
      </w:pPr>
      <w:rPr>
        <w:rFonts w:hint="default"/>
      </w:rPr>
    </w:lvl>
    <w:lvl w:ilvl="7">
      <w:start w:val="1"/>
      <w:numFmt w:val="lowerLetter"/>
      <w:lvlText w:val="%8."/>
      <w:lvlJc w:val="left"/>
      <w:pPr>
        <w:ind w:left="2520" w:hanging="360"/>
      </w:pPr>
      <w:rPr>
        <w:rFonts w:hint="default"/>
      </w:rPr>
    </w:lvl>
    <w:lvl w:ilvl="8">
      <w:start w:val="1"/>
      <w:numFmt w:val="lowerRoman"/>
      <w:lvlText w:val="%9."/>
      <w:lvlJc w:val="left"/>
      <w:pPr>
        <w:ind w:left="2880" w:hanging="360"/>
      </w:pPr>
      <w:rPr>
        <w:rFonts w:hint="default"/>
      </w:rPr>
    </w:lvl>
  </w:abstractNum>
  <w:abstractNum w:abstractNumId="53" w15:restartNumberingAfterBreak="0">
    <w:nsid w:val="7F537AAD"/>
    <w:multiLevelType w:val="hybridMultilevel"/>
    <w:tmpl w:val="16E84A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F570B6B"/>
    <w:multiLevelType w:val="hybridMultilevel"/>
    <w:tmpl w:val="6058A04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687516679">
    <w:abstractNumId w:val="19"/>
  </w:num>
  <w:num w:numId="2" w16cid:durableId="1955206315">
    <w:abstractNumId w:val="20"/>
  </w:num>
  <w:num w:numId="3" w16cid:durableId="832184910">
    <w:abstractNumId w:val="31"/>
  </w:num>
  <w:num w:numId="4" w16cid:durableId="500849953">
    <w:abstractNumId w:val="54"/>
  </w:num>
  <w:num w:numId="5" w16cid:durableId="1721707982">
    <w:abstractNumId w:val="35"/>
  </w:num>
  <w:num w:numId="6" w16cid:durableId="733309565">
    <w:abstractNumId w:val="14"/>
  </w:num>
  <w:num w:numId="7" w16cid:durableId="1368217802">
    <w:abstractNumId w:val="27"/>
  </w:num>
  <w:num w:numId="8" w16cid:durableId="2038191222">
    <w:abstractNumId w:val="15"/>
  </w:num>
  <w:num w:numId="9" w16cid:durableId="576401790">
    <w:abstractNumId w:val="4"/>
  </w:num>
  <w:num w:numId="10" w16cid:durableId="585041272">
    <w:abstractNumId w:val="48"/>
  </w:num>
  <w:num w:numId="11" w16cid:durableId="905071866">
    <w:abstractNumId w:val="37"/>
  </w:num>
  <w:num w:numId="12" w16cid:durableId="1095247245">
    <w:abstractNumId w:val="44"/>
  </w:num>
  <w:num w:numId="13" w16cid:durableId="1615165960">
    <w:abstractNumId w:val="47"/>
  </w:num>
  <w:num w:numId="14" w16cid:durableId="1595430850">
    <w:abstractNumId w:val="24"/>
  </w:num>
  <w:num w:numId="15" w16cid:durableId="1672373955">
    <w:abstractNumId w:val="13"/>
  </w:num>
  <w:num w:numId="16" w16cid:durableId="421728310">
    <w:abstractNumId w:val="9"/>
  </w:num>
  <w:num w:numId="17" w16cid:durableId="1809471187">
    <w:abstractNumId w:val="11"/>
  </w:num>
  <w:num w:numId="18" w16cid:durableId="1442382848">
    <w:abstractNumId w:val="26"/>
  </w:num>
  <w:num w:numId="19" w16cid:durableId="1466586183">
    <w:abstractNumId w:val="12"/>
  </w:num>
  <w:num w:numId="20" w16cid:durableId="531498870">
    <w:abstractNumId w:val="51"/>
  </w:num>
  <w:num w:numId="21" w16cid:durableId="1357464625">
    <w:abstractNumId w:val="38"/>
  </w:num>
  <w:num w:numId="22" w16cid:durableId="381901844">
    <w:abstractNumId w:val="42"/>
  </w:num>
  <w:num w:numId="23" w16cid:durableId="1692605667">
    <w:abstractNumId w:val="5"/>
  </w:num>
  <w:num w:numId="24" w16cid:durableId="188882599">
    <w:abstractNumId w:val="21"/>
  </w:num>
  <w:num w:numId="25" w16cid:durableId="1253320299">
    <w:abstractNumId w:val="53"/>
  </w:num>
  <w:num w:numId="26" w16cid:durableId="131488277">
    <w:abstractNumId w:val="28"/>
  </w:num>
  <w:num w:numId="27" w16cid:durableId="1414008158">
    <w:abstractNumId w:val="43"/>
  </w:num>
  <w:num w:numId="28" w16cid:durableId="1385444035">
    <w:abstractNumId w:val="18"/>
  </w:num>
  <w:num w:numId="29" w16cid:durableId="991641873">
    <w:abstractNumId w:val="10"/>
  </w:num>
  <w:num w:numId="30" w16cid:durableId="614405500">
    <w:abstractNumId w:val="7"/>
  </w:num>
  <w:num w:numId="31" w16cid:durableId="1225139254">
    <w:abstractNumId w:val="52"/>
  </w:num>
  <w:num w:numId="32" w16cid:durableId="1865630915">
    <w:abstractNumId w:val="23"/>
  </w:num>
  <w:num w:numId="33" w16cid:durableId="2120105739">
    <w:abstractNumId w:val="2"/>
  </w:num>
  <w:num w:numId="34" w16cid:durableId="2099515834">
    <w:abstractNumId w:val="50"/>
  </w:num>
  <w:num w:numId="35" w16cid:durableId="998847379">
    <w:abstractNumId w:val="2"/>
    <w:lvlOverride w:ilvl="0"/>
    <w:lvlOverride w:ilvl="1">
      <w:startOverride w:val="276"/>
    </w:lvlOverride>
  </w:num>
  <w:num w:numId="36" w16cid:durableId="823929392">
    <w:abstractNumId w:val="22"/>
  </w:num>
  <w:num w:numId="37" w16cid:durableId="590429832">
    <w:abstractNumId w:val="3"/>
  </w:num>
  <w:num w:numId="38" w16cid:durableId="1176725384">
    <w:abstractNumId w:val="6"/>
  </w:num>
  <w:num w:numId="39" w16cid:durableId="1909805355">
    <w:abstractNumId w:val="40"/>
  </w:num>
  <w:num w:numId="40" w16cid:durableId="1799949068">
    <w:abstractNumId w:val="29"/>
  </w:num>
  <w:num w:numId="41" w16cid:durableId="1615208629">
    <w:abstractNumId w:val="49"/>
  </w:num>
  <w:num w:numId="42" w16cid:durableId="1350330851">
    <w:abstractNumId w:val="39"/>
  </w:num>
  <w:num w:numId="43" w16cid:durableId="1941331988">
    <w:abstractNumId w:val="17"/>
  </w:num>
  <w:num w:numId="44" w16cid:durableId="535197717">
    <w:abstractNumId w:val="0"/>
  </w:num>
  <w:num w:numId="45" w16cid:durableId="1930194200">
    <w:abstractNumId w:val="45"/>
  </w:num>
  <w:num w:numId="46" w16cid:durableId="774864403">
    <w:abstractNumId w:val="25"/>
  </w:num>
  <w:num w:numId="47" w16cid:durableId="1485195310">
    <w:abstractNumId w:val="8"/>
  </w:num>
  <w:num w:numId="48" w16cid:durableId="1376932699">
    <w:abstractNumId w:val="32"/>
  </w:num>
  <w:num w:numId="49" w16cid:durableId="417796376">
    <w:abstractNumId w:val="36"/>
  </w:num>
  <w:num w:numId="50" w16cid:durableId="1199318166">
    <w:abstractNumId w:val="41"/>
  </w:num>
  <w:num w:numId="51" w16cid:durableId="246691156">
    <w:abstractNumId w:val="46"/>
  </w:num>
  <w:num w:numId="52" w16cid:durableId="2054306075">
    <w:abstractNumId w:val="33"/>
  </w:num>
  <w:num w:numId="53" w16cid:durableId="1049768799">
    <w:abstractNumId w:val="34"/>
  </w:num>
  <w:num w:numId="54" w16cid:durableId="1301695421">
    <w:abstractNumId w:val="16"/>
  </w:num>
  <w:num w:numId="55" w16cid:durableId="255673115">
    <w:abstractNumId w:val="1"/>
  </w:num>
  <w:num w:numId="56" w16cid:durableId="397169943">
    <w:abstractNumId w:val="3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ril D Kimmel">
    <w15:presenceInfo w15:providerId="None" w15:userId="April D Kimmel"/>
  </w15:person>
  <w15:person w15:author="Zhongzhe (Portia) Pan">
    <w15:presenceInfo w15:providerId="None" w15:userId="Zhongzhe (Portia) Pan"/>
  </w15:person>
  <w15:person w15:author="Microsoft Office User">
    <w15:presenceInfo w15:providerId="None" w15:userId="Microsoft Office User"/>
  </w15:person>
  <w15:person w15:author="Pan Zhongzhe">
    <w15:presenceInfo w15:providerId="Windows Live" w15:userId="c52b976a5e365e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C5"/>
    <w:rsid w:val="00002999"/>
    <w:rsid w:val="00003FBC"/>
    <w:rsid w:val="00004FAE"/>
    <w:rsid w:val="00006848"/>
    <w:rsid w:val="00007938"/>
    <w:rsid w:val="00011E41"/>
    <w:rsid w:val="00012EEC"/>
    <w:rsid w:val="00013340"/>
    <w:rsid w:val="000139AC"/>
    <w:rsid w:val="00013C9E"/>
    <w:rsid w:val="00017409"/>
    <w:rsid w:val="00026202"/>
    <w:rsid w:val="0003118A"/>
    <w:rsid w:val="000327BF"/>
    <w:rsid w:val="00034033"/>
    <w:rsid w:val="0003541D"/>
    <w:rsid w:val="00035872"/>
    <w:rsid w:val="00036C3E"/>
    <w:rsid w:val="00037C14"/>
    <w:rsid w:val="000425B5"/>
    <w:rsid w:val="00044274"/>
    <w:rsid w:val="0004612D"/>
    <w:rsid w:val="00046AFC"/>
    <w:rsid w:val="00047AFD"/>
    <w:rsid w:val="00050905"/>
    <w:rsid w:val="000516FC"/>
    <w:rsid w:val="00055107"/>
    <w:rsid w:val="00055965"/>
    <w:rsid w:val="00055C0F"/>
    <w:rsid w:val="00056D8E"/>
    <w:rsid w:val="000574EE"/>
    <w:rsid w:val="00062D2C"/>
    <w:rsid w:val="0006580F"/>
    <w:rsid w:val="00066521"/>
    <w:rsid w:val="000667D1"/>
    <w:rsid w:val="00070B0C"/>
    <w:rsid w:val="00073A6F"/>
    <w:rsid w:val="00077C8D"/>
    <w:rsid w:val="00081C41"/>
    <w:rsid w:val="00082869"/>
    <w:rsid w:val="00085A16"/>
    <w:rsid w:val="00087AD5"/>
    <w:rsid w:val="000931EA"/>
    <w:rsid w:val="000938D7"/>
    <w:rsid w:val="00097E3F"/>
    <w:rsid w:val="000A43E5"/>
    <w:rsid w:val="000A5DBD"/>
    <w:rsid w:val="000B174A"/>
    <w:rsid w:val="000B1907"/>
    <w:rsid w:val="000B506F"/>
    <w:rsid w:val="000B5381"/>
    <w:rsid w:val="000C0476"/>
    <w:rsid w:val="000C0907"/>
    <w:rsid w:val="000C0C05"/>
    <w:rsid w:val="000D0145"/>
    <w:rsid w:val="000D0825"/>
    <w:rsid w:val="000D4762"/>
    <w:rsid w:val="000D7866"/>
    <w:rsid w:val="000E172D"/>
    <w:rsid w:val="000E173E"/>
    <w:rsid w:val="000E1A66"/>
    <w:rsid w:val="000E29D2"/>
    <w:rsid w:val="000E4260"/>
    <w:rsid w:val="000E4DD6"/>
    <w:rsid w:val="000E59D9"/>
    <w:rsid w:val="000E5CD2"/>
    <w:rsid w:val="000E7E75"/>
    <w:rsid w:val="000F0BE3"/>
    <w:rsid w:val="000F1C47"/>
    <w:rsid w:val="000F2B8A"/>
    <w:rsid w:val="000F31B6"/>
    <w:rsid w:val="000F7EBA"/>
    <w:rsid w:val="001036DE"/>
    <w:rsid w:val="00105842"/>
    <w:rsid w:val="00105A8C"/>
    <w:rsid w:val="00105F57"/>
    <w:rsid w:val="00106ADC"/>
    <w:rsid w:val="00111265"/>
    <w:rsid w:val="0011190E"/>
    <w:rsid w:val="00111C9D"/>
    <w:rsid w:val="001122B5"/>
    <w:rsid w:val="00112D5F"/>
    <w:rsid w:val="00113014"/>
    <w:rsid w:val="00114935"/>
    <w:rsid w:val="00120161"/>
    <w:rsid w:val="00120429"/>
    <w:rsid w:val="00122CDD"/>
    <w:rsid w:val="001250C9"/>
    <w:rsid w:val="001258EB"/>
    <w:rsid w:val="00135C42"/>
    <w:rsid w:val="00136354"/>
    <w:rsid w:val="0014101F"/>
    <w:rsid w:val="00142FE1"/>
    <w:rsid w:val="0014413B"/>
    <w:rsid w:val="00150CE3"/>
    <w:rsid w:val="00153978"/>
    <w:rsid w:val="001570B0"/>
    <w:rsid w:val="00160359"/>
    <w:rsid w:val="00160F35"/>
    <w:rsid w:val="00167C8B"/>
    <w:rsid w:val="00172214"/>
    <w:rsid w:val="00172A1E"/>
    <w:rsid w:val="00172A66"/>
    <w:rsid w:val="0017306C"/>
    <w:rsid w:val="00173B1A"/>
    <w:rsid w:val="00174C89"/>
    <w:rsid w:val="00176A69"/>
    <w:rsid w:val="00176EBF"/>
    <w:rsid w:val="00177CC0"/>
    <w:rsid w:val="00180D28"/>
    <w:rsid w:val="0018213B"/>
    <w:rsid w:val="001837C3"/>
    <w:rsid w:val="001839CB"/>
    <w:rsid w:val="001856A1"/>
    <w:rsid w:val="001859B9"/>
    <w:rsid w:val="0018680A"/>
    <w:rsid w:val="00191569"/>
    <w:rsid w:val="001A05DB"/>
    <w:rsid w:val="001A2BF6"/>
    <w:rsid w:val="001A4FE2"/>
    <w:rsid w:val="001A68F4"/>
    <w:rsid w:val="001A69C4"/>
    <w:rsid w:val="001A7DC2"/>
    <w:rsid w:val="001B03E1"/>
    <w:rsid w:val="001B17BB"/>
    <w:rsid w:val="001B1E53"/>
    <w:rsid w:val="001B2887"/>
    <w:rsid w:val="001B38AF"/>
    <w:rsid w:val="001B44BA"/>
    <w:rsid w:val="001B528E"/>
    <w:rsid w:val="001B6172"/>
    <w:rsid w:val="001C1519"/>
    <w:rsid w:val="001C2F48"/>
    <w:rsid w:val="001C48D5"/>
    <w:rsid w:val="001D0AA8"/>
    <w:rsid w:val="001D10D4"/>
    <w:rsid w:val="001D38FF"/>
    <w:rsid w:val="001E49BE"/>
    <w:rsid w:val="001E6395"/>
    <w:rsid w:val="001F3344"/>
    <w:rsid w:val="001F3542"/>
    <w:rsid w:val="001F4269"/>
    <w:rsid w:val="00200ED7"/>
    <w:rsid w:val="00204344"/>
    <w:rsid w:val="0020566E"/>
    <w:rsid w:val="00207494"/>
    <w:rsid w:val="00207668"/>
    <w:rsid w:val="00207BAF"/>
    <w:rsid w:val="00212455"/>
    <w:rsid w:val="00212A6F"/>
    <w:rsid w:val="00212E43"/>
    <w:rsid w:val="00217AB8"/>
    <w:rsid w:val="00221629"/>
    <w:rsid w:val="00223EEB"/>
    <w:rsid w:val="00227BBC"/>
    <w:rsid w:val="00233D1C"/>
    <w:rsid w:val="00234EA2"/>
    <w:rsid w:val="00237AEE"/>
    <w:rsid w:val="00237F63"/>
    <w:rsid w:val="00242711"/>
    <w:rsid w:val="00243102"/>
    <w:rsid w:val="00247D71"/>
    <w:rsid w:val="00247DDC"/>
    <w:rsid w:val="002502D0"/>
    <w:rsid w:val="00252310"/>
    <w:rsid w:val="00252851"/>
    <w:rsid w:val="00257FB0"/>
    <w:rsid w:val="00260448"/>
    <w:rsid w:val="00260B6D"/>
    <w:rsid w:val="002640E0"/>
    <w:rsid w:val="0026463A"/>
    <w:rsid w:val="00267D51"/>
    <w:rsid w:val="00270BEB"/>
    <w:rsid w:val="00272927"/>
    <w:rsid w:val="002731F9"/>
    <w:rsid w:val="0027341B"/>
    <w:rsid w:val="00275E75"/>
    <w:rsid w:val="00276DE8"/>
    <w:rsid w:val="00280096"/>
    <w:rsid w:val="00280B0C"/>
    <w:rsid w:val="00281D16"/>
    <w:rsid w:val="00285945"/>
    <w:rsid w:val="00285E99"/>
    <w:rsid w:val="002864F2"/>
    <w:rsid w:val="00287EEB"/>
    <w:rsid w:val="002914CF"/>
    <w:rsid w:val="0029188B"/>
    <w:rsid w:val="00293E41"/>
    <w:rsid w:val="00297B7E"/>
    <w:rsid w:val="002A014A"/>
    <w:rsid w:val="002A1882"/>
    <w:rsid w:val="002A436E"/>
    <w:rsid w:val="002A719E"/>
    <w:rsid w:val="002B1A5C"/>
    <w:rsid w:val="002B3CC8"/>
    <w:rsid w:val="002B4DBD"/>
    <w:rsid w:val="002B7CF7"/>
    <w:rsid w:val="002C3285"/>
    <w:rsid w:val="002C3EFA"/>
    <w:rsid w:val="002C5990"/>
    <w:rsid w:val="002D6988"/>
    <w:rsid w:val="002E1452"/>
    <w:rsid w:val="002E3870"/>
    <w:rsid w:val="002E50FA"/>
    <w:rsid w:val="002E52A6"/>
    <w:rsid w:val="002E57B0"/>
    <w:rsid w:val="002E6DB3"/>
    <w:rsid w:val="002E7661"/>
    <w:rsid w:val="002F0556"/>
    <w:rsid w:val="002F11FB"/>
    <w:rsid w:val="002F2D08"/>
    <w:rsid w:val="002F34FC"/>
    <w:rsid w:val="002F4C4F"/>
    <w:rsid w:val="002F56EB"/>
    <w:rsid w:val="002F5853"/>
    <w:rsid w:val="002F6ADE"/>
    <w:rsid w:val="0030080E"/>
    <w:rsid w:val="00303804"/>
    <w:rsid w:val="003048A5"/>
    <w:rsid w:val="00305917"/>
    <w:rsid w:val="00305975"/>
    <w:rsid w:val="003060F6"/>
    <w:rsid w:val="00307CA8"/>
    <w:rsid w:val="00310367"/>
    <w:rsid w:val="00320BDC"/>
    <w:rsid w:val="00325005"/>
    <w:rsid w:val="0033305B"/>
    <w:rsid w:val="0033570B"/>
    <w:rsid w:val="003410A3"/>
    <w:rsid w:val="0034491A"/>
    <w:rsid w:val="00350CBF"/>
    <w:rsid w:val="00352CE1"/>
    <w:rsid w:val="00353F28"/>
    <w:rsid w:val="003544BB"/>
    <w:rsid w:val="003556D5"/>
    <w:rsid w:val="003569D4"/>
    <w:rsid w:val="00356BEC"/>
    <w:rsid w:val="00361459"/>
    <w:rsid w:val="00365209"/>
    <w:rsid w:val="00373553"/>
    <w:rsid w:val="003739F3"/>
    <w:rsid w:val="00377579"/>
    <w:rsid w:val="00380DD2"/>
    <w:rsid w:val="003924A7"/>
    <w:rsid w:val="00392AA9"/>
    <w:rsid w:val="00395665"/>
    <w:rsid w:val="003A1840"/>
    <w:rsid w:val="003A1BBC"/>
    <w:rsid w:val="003A2524"/>
    <w:rsid w:val="003A7468"/>
    <w:rsid w:val="003B2507"/>
    <w:rsid w:val="003B5967"/>
    <w:rsid w:val="003B6AAD"/>
    <w:rsid w:val="003C1B8C"/>
    <w:rsid w:val="003C2569"/>
    <w:rsid w:val="003C686E"/>
    <w:rsid w:val="003C7D23"/>
    <w:rsid w:val="003D10C6"/>
    <w:rsid w:val="003D6975"/>
    <w:rsid w:val="003D7015"/>
    <w:rsid w:val="003E250A"/>
    <w:rsid w:val="003E2EB7"/>
    <w:rsid w:val="003E7228"/>
    <w:rsid w:val="003E749C"/>
    <w:rsid w:val="003F165C"/>
    <w:rsid w:val="003F2480"/>
    <w:rsid w:val="003F2CC5"/>
    <w:rsid w:val="003F3D07"/>
    <w:rsid w:val="004034E6"/>
    <w:rsid w:val="00406005"/>
    <w:rsid w:val="00407C08"/>
    <w:rsid w:val="00410278"/>
    <w:rsid w:val="00415F0B"/>
    <w:rsid w:val="00422CE5"/>
    <w:rsid w:val="0042544F"/>
    <w:rsid w:val="00426FCD"/>
    <w:rsid w:val="00430E37"/>
    <w:rsid w:val="00434F5B"/>
    <w:rsid w:val="00436EFD"/>
    <w:rsid w:val="00437D0E"/>
    <w:rsid w:val="00440C2E"/>
    <w:rsid w:val="00442E5B"/>
    <w:rsid w:val="00445AFD"/>
    <w:rsid w:val="004523BF"/>
    <w:rsid w:val="004523FA"/>
    <w:rsid w:val="00464588"/>
    <w:rsid w:val="004701D1"/>
    <w:rsid w:val="0047024A"/>
    <w:rsid w:val="0047060F"/>
    <w:rsid w:val="004724C0"/>
    <w:rsid w:val="00473A23"/>
    <w:rsid w:val="0047506C"/>
    <w:rsid w:val="004802AE"/>
    <w:rsid w:val="00480FF8"/>
    <w:rsid w:val="0048260F"/>
    <w:rsid w:val="00482CB8"/>
    <w:rsid w:val="004834C8"/>
    <w:rsid w:val="00493DE0"/>
    <w:rsid w:val="00495065"/>
    <w:rsid w:val="00497512"/>
    <w:rsid w:val="004A0989"/>
    <w:rsid w:val="004A09F9"/>
    <w:rsid w:val="004A155D"/>
    <w:rsid w:val="004A2821"/>
    <w:rsid w:val="004A33EE"/>
    <w:rsid w:val="004A63C8"/>
    <w:rsid w:val="004A6EE5"/>
    <w:rsid w:val="004B1819"/>
    <w:rsid w:val="004C04D1"/>
    <w:rsid w:val="004C0CD3"/>
    <w:rsid w:val="004C4DD0"/>
    <w:rsid w:val="004C6CA9"/>
    <w:rsid w:val="004C6F87"/>
    <w:rsid w:val="004D294B"/>
    <w:rsid w:val="004D3F3B"/>
    <w:rsid w:val="004D598A"/>
    <w:rsid w:val="004D63E7"/>
    <w:rsid w:val="004D6B17"/>
    <w:rsid w:val="004E0627"/>
    <w:rsid w:val="004E2B2D"/>
    <w:rsid w:val="004E3B71"/>
    <w:rsid w:val="004E4436"/>
    <w:rsid w:val="004E4B9E"/>
    <w:rsid w:val="004E64E3"/>
    <w:rsid w:val="004F6186"/>
    <w:rsid w:val="00500586"/>
    <w:rsid w:val="0050135C"/>
    <w:rsid w:val="005049EB"/>
    <w:rsid w:val="0050500E"/>
    <w:rsid w:val="00510203"/>
    <w:rsid w:val="0051032A"/>
    <w:rsid w:val="00512AFB"/>
    <w:rsid w:val="00514130"/>
    <w:rsid w:val="00515013"/>
    <w:rsid w:val="0051684B"/>
    <w:rsid w:val="00520956"/>
    <w:rsid w:val="00520A5F"/>
    <w:rsid w:val="00521C57"/>
    <w:rsid w:val="005220C4"/>
    <w:rsid w:val="00526D45"/>
    <w:rsid w:val="00527179"/>
    <w:rsid w:val="00537264"/>
    <w:rsid w:val="005412F2"/>
    <w:rsid w:val="005429E8"/>
    <w:rsid w:val="00544F6F"/>
    <w:rsid w:val="00545B71"/>
    <w:rsid w:val="0054705D"/>
    <w:rsid w:val="005473CD"/>
    <w:rsid w:val="00547DCE"/>
    <w:rsid w:val="00550A15"/>
    <w:rsid w:val="00551651"/>
    <w:rsid w:val="00556D9E"/>
    <w:rsid w:val="005637A1"/>
    <w:rsid w:val="00563D8C"/>
    <w:rsid w:val="00564136"/>
    <w:rsid w:val="00565009"/>
    <w:rsid w:val="00565FC1"/>
    <w:rsid w:val="0057054B"/>
    <w:rsid w:val="00572D89"/>
    <w:rsid w:val="00577C94"/>
    <w:rsid w:val="00580BE8"/>
    <w:rsid w:val="00581FE9"/>
    <w:rsid w:val="00582340"/>
    <w:rsid w:val="00583539"/>
    <w:rsid w:val="00587989"/>
    <w:rsid w:val="00591AD1"/>
    <w:rsid w:val="00592C48"/>
    <w:rsid w:val="00594B9B"/>
    <w:rsid w:val="00595A8C"/>
    <w:rsid w:val="00596193"/>
    <w:rsid w:val="0059715E"/>
    <w:rsid w:val="0059745E"/>
    <w:rsid w:val="005A0419"/>
    <w:rsid w:val="005A3EF5"/>
    <w:rsid w:val="005A470A"/>
    <w:rsid w:val="005A63A0"/>
    <w:rsid w:val="005A74BB"/>
    <w:rsid w:val="005B0790"/>
    <w:rsid w:val="005B13AA"/>
    <w:rsid w:val="005B218A"/>
    <w:rsid w:val="005B2C14"/>
    <w:rsid w:val="005B353A"/>
    <w:rsid w:val="005C03CD"/>
    <w:rsid w:val="005C2583"/>
    <w:rsid w:val="005C4541"/>
    <w:rsid w:val="005C4E4C"/>
    <w:rsid w:val="005C65C9"/>
    <w:rsid w:val="005C77CC"/>
    <w:rsid w:val="005D04B2"/>
    <w:rsid w:val="005D1EA9"/>
    <w:rsid w:val="005D24E3"/>
    <w:rsid w:val="005D3666"/>
    <w:rsid w:val="005D6147"/>
    <w:rsid w:val="005E2585"/>
    <w:rsid w:val="005E46B8"/>
    <w:rsid w:val="005E4F4E"/>
    <w:rsid w:val="005E7705"/>
    <w:rsid w:val="005F155E"/>
    <w:rsid w:val="005F168D"/>
    <w:rsid w:val="005F361E"/>
    <w:rsid w:val="005F3A3C"/>
    <w:rsid w:val="005F4847"/>
    <w:rsid w:val="005F48C4"/>
    <w:rsid w:val="005F66A3"/>
    <w:rsid w:val="005F6C02"/>
    <w:rsid w:val="005F71D9"/>
    <w:rsid w:val="005F7B0F"/>
    <w:rsid w:val="006019B6"/>
    <w:rsid w:val="0060239D"/>
    <w:rsid w:val="00602E93"/>
    <w:rsid w:val="00607F77"/>
    <w:rsid w:val="006103E9"/>
    <w:rsid w:val="00610A49"/>
    <w:rsid w:val="00611562"/>
    <w:rsid w:val="00611F27"/>
    <w:rsid w:val="006147F6"/>
    <w:rsid w:val="00615E45"/>
    <w:rsid w:val="00620C5C"/>
    <w:rsid w:val="00622BD4"/>
    <w:rsid w:val="00626DD9"/>
    <w:rsid w:val="006323A7"/>
    <w:rsid w:val="006347D4"/>
    <w:rsid w:val="00635765"/>
    <w:rsid w:val="00635F4A"/>
    <w:rsid w:val="00637B01"/>
    <w:rsid w:val="006448DB"/>
    <w:rsid w:val="006452B8"/>
    <w:rsid w:val="00655579"/>
    <w:rsid w:val="00657222"/>
    <w:rsid w:val="0066054A"/>
    <w:rsid w:val="006651D3"/>
    <w:rsid w:val="00665C6D"/>
    <w:rsid w:val="00666C17"/>
    <w:rsid w:val="00667D4D"/>
    <w:rsid w:val="006709C2"/>
    <w:rsid w:val="00675361"/>
    <w:rsid w:val="006833F0"/>
    <w:rsid w:val="006839EF"/>
    <w:rsid w:val="00684F5D"/>
    <w:rsid w:val="00690FD5"/>
    <w:rsid w:val="0069310C"/>
    <w:rsid w:val="00694E01"/>
    <w:rsid w:val="006973EB"/>
    <w:rsid w:val="006A02D8"/>
    <w:rsid w:val="006A0C41"/>
    <w:rsid w:val="006B1550"/>
    <w:rsid w:val="006B1E94"/>
    <w:rsid w:val="006B4502"/>
    <w:rsid w:val="006B70CA"/>
    <w:rsid w:val="006B7B37"/>
    <w:rsid w:val="006C27B2"/>
    <w:rsid w:val="006D15A0"/>
    <w:rsid w:val="006D6912"/>
    <w:rsid w:val="006E094D"/>
    <w:rsid w:val="006E3188"/>
    <w:rsid w:val="006F4ED4"/>
    <w:rsid w:val="00703BB7"/>
    <w:rsid w:val="007050FB"/>
    <w:rsid w:val="00706050"/>
    <w:rsid w:val="0070607C"/>
    <w:rsid w:val="00706A21"/>
    <w:rsid w:val="00707326"/>
    <w:rsid w:val="00710211"/>
    <w:rsid w:val="0071033E"/>
    <w:rsid w:val="0071083B"/>
    <w:rsid w:val="007118DC"/>
    <w:rsid w:val="00712734"/>
    <w:rsid w:val="00713CB9"/>
    <w:rsid w:val="00725271"/>
    <w:rsid w:val="00726BDF"/>
    <w:rsid w:val="007301D4"/>
    <w:rsid w:val="007305C9"/>
    <w:rsid w:val="00731DAB"/>
    <w:rsid w:val="00732BEA"/>
    <w:rsid w:val="00733E03"/>
    <w:rsid w:val="007359C8"/>
    <w:rsid w:val="00741F50"/>
    <w:rsid w:val="00745C3B"/>
    <w:rsid w:val="00746B2A"/>
    <w:rsid w:val="007527CC"/>
    <w:rsid w:val="00760016"/>
    <w:rsid w:val="00760D08"/>
    <w:rsid w:val="007656A9"/>
    <w:rsid w:val="00771CD1"/>
    <w:rsid w:val="00773FDC"/>
    <w:rsid w:val="00774D19"/>
    <w:rsid w:val="00775558"/>
    <w:rsid w:val="00776649"/>
    <w:rsid w:val="0078139D"/>
    <w:rsid w:val="00782D23"/>
    <w:rsid w:val="007848A2"/>
    <w:rsid w:val="00785276"/>
    <w:rsid w:val="00791C5E"/>
    <w:rsid w:val="007921AB"/>
    <w:rsid w:val="00796CD2"/>
    <w:rsid w:val="00796F8A"/>
    <w:rsid w:val="007A273E"/>
    <w:rsid w:val="007B0122"/>
    <w:rsid w:val="007B102E"/>
    <w:rsid w:val="007B1E4C"/>
    <w:rsid w:val="007B32D0"/>
    <w:rsid w:val="007B596E"/>
    <w:rsid w:val="007B6167"/>
    <w:rsid w:val="007B7663"/>
    <w:rsid w:val="007B7A76"/>
    <w:rsid w:val="007C05EA"/>
    <w:rsid w:val="007C1743"/>
    <w:rsid w:val="007C2C05"/>
    <w:rsid w:val="007C460C"/>
    <w:rsid w:val="007C5425"/>
    <w:rsid w:val="007C637C"/>
    <w:rsid w:val="007C6643"/>
    <w:rsid w:val="007C7BF7"/>
    <w:rsid w:val="007C7C5E"/>
    <w:rsid w:val="007D03CA"/>
    <w:rsid w:val="007D1BBD"/>
    <w:rsid w:val="007D1FC2"/>
    <w:rsid w:val="007D202C"/>
    <w:rsid w:val="007D6C25"/>
    <w:rsid w:val="007E07E3"/>
    <w:rsid w:val="007E15CC"/>
    <w:rsid w:val="007E1B34"/>
    <w:rsid w:val="007E1F76"/>
    <w:rsid w:val="007E628F"/>
    <w:rsid w:val="007F1C3E"/>
    <w:rsid w:val="007F3C47"/>
    <w:rsid w:val="007F4966"/>
    <w:rsid w:val="007F4E96"/>
    <w:rsid w:val="007F6F5B"/>
    <w:rsid w:val="008008EE"/>
    <w:rsid w:val="008018B6"/>
    <w:rsid w:val="0080503C"/>
    <w:rsid w:val="00805BB5"/>
    <w:rsid w:val="00807A05"/>
    <w:rsid w:val="00810EEF"/>
    <w:rsid w:val="008128B0"/>
    <w:rsid w:val="008142CB"/>
    <w:rsid w:val="008234A1"/>
    <w:rsid w:val="00825609"/>
    <w:rsid w:val="00827551"/>
    <w:rsid w:val="0082773A"/>
    <w:rsid w:val="00830781"/>
    <w:rsid w:val="008307C2"/>
    <w:rsid w:val="00833C8B"/>
    <w:rsid w:val="008353E8"/>
    <w:rsid w:val="008444FC"/>
    <w:rsid w:val="0084791B"/>
    <w:rsid w:val="008508E9"/>
    <w:rsid w:val="00853F3F"/>
    <w:rsid w:val="008545BC"/>
    <w:rsid w:val="0086383F"/>
    <w:rsid w:val="00863905"/>
    <w:rsid w:val="00864EDC"/>
    <w:rsid w:val="00864F6B"/>
    <w:rsid w:val="0087040B"/>
    <w:rsid w:val="0087090A"/>
    <w:rsid w:val="008741B0"/>
    <w:rsid w:val="00874C48"/>
    <w:rsid w:val="00875AD8"/>
    <w:rsid w:val="00876257"/>
    <w:rsid w:val="00876823"/>
    <w:rsid w:val="008774AA"/>
    <w:rsid w:val="0088176D"/>
    <w:rsid w:val="00881A23"/>
    <w:rsid w:val="00883173"/>
    <w:rsid w:val="008855FE"/>
    <w:rsid w:val="00886B6B"/>
    <w:rsid w:val="00887760"/>
    <w:rsid w:val="008913BF"/>
    <w:rsid w:val="0089147A"/>
    <w:rsid w:val="00892794"/>
    <w:rsid w:val="00892EAA"/>
    <w:rsid w:val="0089750E"/>
    <w:rsid w:val="008A0343"/>
    <w:rsid w:val="008A11D0"/>
    <w:rsid w:val="008A3C77"/>
    <w:rsid w:val="008A5A45"/>
    <w:rsid w:val="008A7270"/>
    <w:rsid w:val="008B3130"/>
    <w:rsid w:val="008B3BC7"/>
    <w:rsid w:val="008B412B"/>
    <w:rsid w:val="008B4D0B"/>
    <w:rsid w:val="008B571A"/>
    <w:rsid w:val="008B5C38"/>
    <w:rsid w:val="008B5D4A"/>
    <w:rsid w:val="008C345C"/>
    <w:rsid w:val="008C4226"/>
    <w:rsid w:val="008C4818"/>
    <w:rsid w:val="008D5783"/>
    <w:rsid w:val="008D63C4"/>
    <w:rsid w:val="008D75D1"/>
    <w:rsid w:val="008D7BA9"/>
    <w:rsid w:val="008E1BF6"/>
    <w:rsid w:val="008E1E92"/>
    <w:rsid w:val="008E2957"/>
    <w:rsid w:val="008E2D1C"/>
    <w:rsid w:val="008E3059"/>
    <w:rsid w:val="008F4773"/>
    <w:rsid w:val="008F5CDA"/>
    <w:rsid w:val="008F61DC"/>
    <w:rsid w:val="0090193C"/>
    <w:rsid w:val="00904255"/>
    <w:rsid w:val="00904A9D"/>
    <w:rsid w:val="00905BAC"/>
    <w:rsid w:val="0090659D"/>
    <w:rsid w:val="00906F6E"/>
    <w:rsid w:val="00907894"/>
    <w:rsid w:val="00910C30"/>
    <w:rsid w:val="00910FD4"/>
    <w:rsid w:val="00912136"/>
    <w:rsid w:val="009152D9"/>
    <w:rsid w:val="00924A4B"/>
    <w:rsid w:val="00925B9D"/>
    <w:rsid w:val="00925E46"/>
    <w:rsid w:val="00927F20"/>
    <w:rsid w:val="00930C35"/>
    <w:rsid w:val="00934D5A"/>
    <w:rsid w:val="009353AE"/>
    <w:rsid w:val="00936E50"/>
    <w:rsid w:val="00941D1C"/>
    <w:rsid w:val="00942CD2"/>
    <w:rsid w:val="00943E77"/>
    <w:rsid w:val="009457A1"/>
    <w:rsid w:val="00946FD7"/>
    <w:rsid w:val="009537A6"/>
    <w:rsid w:val="00955E8F"/>
    <w:rsid w:val="00956614"/>
    <w:rsid w:val="00956EBE"/>
    <w:rsid w:val="00960B89"/>
    <w:rsid w:val="00970472"/>
    <w:rsid w:val="00970B12"/>
    <w:rsid w:val="0097279A"/>
    <w:rsid w:val="00975634"/>
    <w:rsid w:val="00975A66"/>
    <w:rsid w:val="00977B91"/>
    <w:rsid w:val="009809EC"/>
    <w:rsid w:val="00981DDB"/>
    <w:rsid w:val="009823D2"/>
    <w:rsid w:val="009830AD"/>
    <w:rsid w:val="009839D2"/>
    <w:rsid w:val="0098752A"/>
    <w:rsid w:val="009938AF"/>
    <w:rsid w:val="00995B04"/>
    <w:rsid w:val="009A02FC"/>
    <w:rsid w:val="009A15BA"/>
    <w:rsid w:val="009A27C1"/>
    <w:rsid w:val="009A2DA2"/>
    <w:rsid w:val="009A7DCD"/>
    <w:rsid w:val="009B1267"/>
    <w:rsid w:val="009B1702"/>
    <w:rsid w:val="009B1AA0"/>
    <w:rsid w:val="009B3B09"/>
    <w:rsid w:val="009B48ED"/>
    <w:rsid w:val="009B49C0"/>
    <w:rsid w:val="009C575E"/>
    <w:rsid w:val="009C59CA"/>
    <w:rsid w:val="009C7CDB"/>
    <w:rsid w:val="009D0277"/>
    <w:rsid w:val="009D0E63"/>
    <w:rsid w:val="009E023F"/>
    <w:rsid w:val="009E16CA"/>
    <w:rsid w:val="009E6E31"/>
    <w:rsid w:val="009F042F"/>
    <w:rsid w:val="009F0BE8"/>
    <w:rsid w:val="009F275B"/>
    <w:rsid w:val="009F291A"/>
    <w:rsid w:val="009F3688"/>
    <w:rsid w:val="009F46FB"/>
    <w:rsid w:val="009F7913"/>
    <w:rsid w:val="00A00CAE"/>
    <w:rsid w:val="00A01E0C"/>
    <w:rsid w:val="00A0662A"/>
    <w:rsid w:val="00A077F2"/>
    <w:rsid w:val="00A11A33"/>
    <w:rsid w:val="00A11B82"/>
    <w:rsid w:val="00A12578"/>
    <w:rsid w:val="00A129FF"/>
    <w:rsid w:val="00A24F0C"/>
    <w:rsid w:val="00A25EAD"/>
    <w:rsid w:val="00A334C6"/>
    <w:rsid w:val="00A36D45"/>
    <w:rsid w:val="00A36E79"/>
    <w:rsid w:val="00A41331"/>
    <w:rsid w:val="00A4199A"/>
    <w:rsid w:val="00A44FA6"/>
    <w:rsid w:val="00A4597D"/>
    <w:rsid w:val="00A4646C"/>
    <w:rsid w:val="00A46B26"/>
    <w:rsid w:val="00A5191B"/>
    <w:rsid w:val="00A5658E"/>
    <w:rsid w:val="00A6018A"/>
    <w:rsid w:val="00A61836"/>
    <w:rsid w:val="00A61A5A"/>
    <w:rsid w:val="00A644DC"/>
    <w:rsid w:val="00A646C2"/>
    <w:rsid w:val="00A65D16"/>
    <w:rsid w:val="00A7254B"/>
    <w:rsid w:val="00A737CA"/>
    <w:rsid w:val="00A73C08"/>
    <w:rsid w:val="00A83055"/>
    <w:rsid w:val="00A8723D"/>
    <w:rsid w:val="00A875B2"/>
    <w:rsid w:val="00A91177"/>
    <w:rsid w:val="00A9630B"/>
    <w:rsid w:val="00AA1D5E"/>
    <w:rsid w:val="00AA45B9"/>
    <w:rsid w:val="00AA481E"/>
    <w:rsid w:val="00AA4ED5"/>
    <w:rsid w:val="00AB0EFD"/>
    <w:rsid w:val="00AB1F1E"/>
    <w:rsid w:val="00AB26A8"/>
    <w:rsid w:val="00AB390E"/>
    <w:rsid w:val="00AB6253"/>
    <w:rsid w:val="00AB6783"/>
    <w:rsid w:val="00AB7A19"/>
    <w:rsid w:val="00AC128F"/>
    <w:rsid w:val="00AC27D2"/>
    <w:rsid w:val="00AC4F90"/>
    <w:rsid w:val="00AC56FA"/>
    <w:rsid w:val="00AC6BE8"/>
    <w:rsid w:val="00AD09FE"/>
    <w:rsid w:val="00AD2024"/>
    <w:rsid w:val="00AD41BB"/>
    <w:rsid w:val="00AD4AF4"/>
    <w:rsid w:val="00AD72E1"/>
    <w:rsid w:val="00AE415F"/>
    <w:rsid w:val="00AE45E4"/>
    <w:rsid w:val="00AE7795"/>
    <w:rsid w:val="00AE7C00"/>
    <w:rsid w:val="00AF435A"/>
    <w:rsid w:val="00B0081F"/>
    <w:rsid w:val="00B011C1"/>
    <w:rsid w:val="00B01261"/>
    <w:rsid w:val="00B026DD"/>
    <w:rsid w:val="00B02C70"/>
    <w:rsid w:val="00B0334C"/>
    <w:rsid w:val="00B064BF"/>
    <w:rsid w:val="00B07B0A"/>
    <w:rsid w:val="00B11104"/>
    <w:rsid w:val="00B127CA"/>
    <w:rsid w:val="00B12EC8"/>
    <w:rsid w:val="00B141A9"/>
    <w:rsid w:val="00B15937"/>
    <w:rsid w:val="00B1612A"/>
    <w:rsid w:val="00B222AF"/>
    <w:rsid w:val="00B3053D"/>
    <w:rsid w:val="00B30DEF"/>
    <w:rsid w:val="00B31A92"/>
    <w:rsid w:val="00B329B9"/>
    <w:rsid w:val="00B33B19"/>
    <w:rsid w:val="00B40909"/>
    <w:rsid w:val="00B42C96"/>
    <w:rsid w:val="00B4423B"/>
    <w:rsid w:val="00B508D9"/>
    <w:rsid w:val="00B53B61"/>
    <w:rsid w:val="00B53CDA"/>
    <w:rsid w:val="00B61BC0"/>
    <w:rsid w:val="00B62492"/>
    <w:rsid w:val="00B64A87"/>
    <w:rsid w:val="00B70A0F"/>
    <w:rsid w:val="00B71D05"/>
    <w:rsid w:val="00B7441E"/>
    <w:rsid w:val="00B75EC6"/>
    <w:rsid w:val="00B77ACA"/>
    <w:rsid w:val="00B8285B"/>
    <w:rsid w:val="00B82C68"/>
    <w:rsid w:val="00B846C6"/>
    <w:rsid w:val="00B8480A"/>
    <w:rsid w:val="00B86D4F"/>
    <w:rsid w:val="00B871A8"/>
    <w:rsid w:val="00B879F2"/>
    <w:rsid w:val="00B93B26"/>
    <w:rsid w:val="00B947E6"/>
    <w:rsid w:val="00B94ADF"/>
    <w:rsid w:val="00B963AF"/>
    <w:rsid w:val="00B97521"/>
    <w:rsid w:val="00BA077E"/>
    <w:rsid w:val="00BA24C2"/>
    <w:rsid w:val="00BA25B2"/>
    <w:rsid w:val="00BA66D1"/>
    <w:rsid w:val="00BA6ECE"/>
    <w:rsid w:val="00BB226C"/>
    <w:rsid w:val="00BB5889"/>
    <w:rsid w:val="00BB5C25"/>
    <w:rsid w:val="00BB7AE4"/>
    <w:rsid w:val="00BC350B"/>
    <w:rsid w:val="00BC567F"/>
    <w:rsid w:val="00BC74F7"/>
    <w:rsid w:val="00BC788D"/>
    <w:rsid w:val="00BD07B3"/>
    <w:rsid w:val="00BD2714"/>
    <w:rsid w:val="00BD31FE"/>
    <w:rsid w:val="00BD46A2"/>
    <w:rsid w:val="00BE072F"/>
    <w:rsid w:val="00BE0852"/>
    <w:rsid w:val="00BE3FF9"/>
    <w:rsid w:val="00BE628B"/>
    <w:rsid w:val="00BF2CE2"/>
    <w:rsid w:val="00BF3645"/>
    <w:rsid w:val="00BF37FE"/>
    <w:rsid w:val="00BF5382"/>
    <w:rsid w:val="00BF541D"/>
    <w:rsid w:val="00BF57B9"/>
    <w:rsid w:val="00BF5977"/>
    <w:rsid w:val="00C0151D"/>
    <w:rsid w:val="00C03FBA"/>
    <w:rsid w:val="00C05D09"/>
    <w:rsid w:val="00C111C0"/>
    <w:rsid w:val="00C12CC3"/>
    <w:rsid w:val="00C14720"/>
    <w:rsid w:val="00C14A5A"/>
    <w:rsid w:val="00C15FD7"/>
    <w:rsid w:val="00C17D45"/>
    <w:rsid w:val="00C17EE9"/>
    <w:rsid w:val="00C22E4F"/>
    <w:rsid w:val="00C23446"/>
    <w:rsid w:val="00C27F3E"/>
    <w:rsid w:val="00C30182"/>
    <w:rsid w:val="00C33E29"/>
    <w:rsid w:val="00C379D2"/>
    <w:rsid w:val="00C43CEF"/>
    <w:rsid w:val="00C50818"/>
    <w:rsid w:val="00C53A4E"/>
    <w:rsid w:val="00C569A0"/>
    <w:rsid w:val="00C56AFA"/>
    <w:rsid w:val="00C56C96"/>
    <w:rsid w:val="00C573B0"/>
    <w:rsid w:val="00C57E69"/>
    <w:rsid w:val="00C651A4"/>
    <w:rsid w:val="00C65FB0"/>
    <w:rsid w:val="00C66EED"/>
    <w:rsid w:val="00C71B92"/>
    <w:rsid w:val="00C72BD4"/>
    <w:rsid w:val="00C730FD"/>
    <w:rsid w:val="00C77583"/>
    <w:rsid w:val="00C829F4"/>
    <w:rsid w:val="00C8463E"/>
    <w:rsid w:val="00C85B70"/>
    <w:rsid w:val="00C860B1"/>
    <w:rsid w:val="00C93D62"/>
    <w:rsid w:val="00C96144"/>
    <w:rsid w:val="00C9678A"/>
    <w:rsid w:val="00C96872"/>
    <w:rsid w:val="00CA492F"/>
    <w:rsid w:val="00CA4C7A"/>
    <w:rsid w:val="00CA55A3"/>
    <w:rsid w:val="00CA7783"/>
    <w:rsid w:val="00CB1DCD"/>
    <w:rsid w:val="00CB5802"/>
    <w:rsid w:val="00CC0F80"/>
    <w:rsid w:val="00CC11CC"/>
    <w:rsid w:val="00CC2F51"/>
    <w:rsid w:val="00CC469E"/>
    <w:rsid w:val="00CC502A"/>
    <w:rsid w:val="00CC65CD"/>
    <w:rsid w:val="00CC7461"/>
    <w:rsid w:val="00CC763B"/>
    <w:rsid w:val="00CD240D"/>
    <w:rsid w:val="00CD341C"/>
    <w:rsid w:val="00CD41F7"/>
    <w:rsid w:val="00CD79FA"/>
    <w:rsid w:val="00CD7BD4"/>
    <w:rsid w:val="00CE10FA"/>
    <w:rsid w:val="00CE3F12"/>
    <w:rsid w:val="00CE536B"/>
    <w:rsid w:val="00CE60B0"/>
    <w:rsid w:val="00CE7340"/>
    <w:rsid w:val="00CF57DA"/>
    <w:rsid w:val="00CF5A04"/>
    <w:rsid w:val="00CF5A05"/>
    <w:rsid w:val="00CF6F06"/>
    <w:rsid w:val="00CF7439"/>
    <w:rsid w:val="00CF7F8F"/>
    <w:rsid w:val="00D00252"/>
    <w:rsid w:val="00D00515"/>
    <w:rsid w:val="00D006DC"/>
    <w:rsid w:val="00D013FF"/>
    <w:rsid w:val="00D016A1"/>
    <w:rsid w:val="00D04C4A"/>
    <w:rsid w:val="00D07F7D"/>
    <w:rsid w:val="00D108A0"/>
    <w:rsid w:val="00D11A55"/>
    <w:rsid w:val="00D1452D"/>
    <w:rsid w:val="00D17317"/>
    <w:rsid w:val="00D2127C"/>
    <w:rsid w:val="00D27504"/>
    <w:rsid w:val="00D30114"/>
    <w:rsid w:val="00D31FF8"/>
    <w:rsid w:val="00D32098"/>
    <w:rsid w:val="00D320AE"/>
    <w:rsid w:val="00D410A2"/>
    <w:rsid w:val="00D422EE"/>
    <w:rsid w:val="00D434DA"/>
    <w:rsid w:val="00D56DB7"/>
    <w:rsid w:val="00D62DD8"/>
    <w:rsid w:val="00D718DE"/>
    <w:rsid w:val="00D73873"/>
    <w:rsid w:val="00D73EC3"/>
    <w:rsid w:val="00D75179"/>
    <w:rsid w:val="00D762C5"/>
    <w:rsid w:val="00D76959"/>
    <w:rsid w:val="00D77AB6"/>
    <w:rsid w:val="00D803B2"/>
    <w:rsid w:val="00D8279B"/>
    <w:rsid w:val="00D8573C"/>
    <w:rsid w:val="00D92288"/>
    <w:rsid w:val="00D94763"/>
    <w:rsid w:val="00DA0F5D"/>
    <w:rsid w:val="00DA10D0"/>
    <w:rsid w:val="00DA5A5A"/>
    <w:rsid w:val="00DA5AEC"/>
    <w:rsid w:val="00DA6873"/>
    <w:rsid w:val="00DB1DEE"/>
    <w:rsid w:val="00DB3C21"/>
    <w:rsid w:val="00DB3CCF"/>
    <w:rsid w:val="00DB6FD3"/>
    <w:rsid w:val="00DC1440"/>
    <w:rsid w:val="00DC19C5"/>
    <w:rsid w:val="00DC759C"/>
    <w:rsid w:val="00DD1250"/>
    <w:rsid w:val="00DD42DF"/>
    <w:rsid w:val="00DD466B"/>
    <w:rsid w:val="00DD484B"/>
    <w:rsid w:val="00DD48C3"/>
    <w:rsid w:val="00DD6E5B"/>
    <w:rsid w:val="00DD6F21"/>
    <w:rsid w:val="00DE2C0A"/>
    <w:rsid w:val="00DE708A"/>
    <w:rsid w:val="00DE7767"/>
    <w:rsid w:val="00DF0965"/>
    <w:rsid w:val="00DF0E7A"/>
    <w:rsid w:val="00DF1813"/>
    <w:rsid w:val="00DF4138"/>
    <w:rsid w:val="00DF6464"/>
    <w:rsid w:val="00DF7239"/>
    <w:rsid w:val="00E0048E"/>
    <w:rsid w:val="00E02386"/>
    <w:rsid w:val="00E037E8"/>
    <w:rsid w:val="00E04C26"/>
    <w:rsid w:val="00E052EC"/>
    <w:rsid w:val="00E07D10"/>
    <w:rsid w:val="00E12F4A"/>
    <w:rsid w:val="00E14262"/>
    <w:rsid w:val="00E147B0"/>
    <w:rsid w:val="00E20DB0"/>
    <w:rsid w:val="00E21648"/>
    <w:rsid w:val="00E25249"/>
    <w:rsid w:val="00E26C8C"/>
    <w:rsid w:val="00E27D18"/>
    <w:rsid w:val="00E30644"/>
    <w:rsid w:val="00E31AF0"/>
    <w:rsid w:val="00E3350C"/>
    <w:rsid w:val="00E42F73"/>
    <w:rsid w:val="00E4426C"/>
    <w:rsid w:val="00E446B8"/>
    <w:rsid w:val="00E447D3"/>
    <w:rsid w:val="00E468D8"/>
    <w:rsid w:val="00E47F8D"/>
    <w:rsid w:val="00E52625"/>
    <w:rsid w:val="00E534E0"/>
    <w:rsid w:val="00E554AE"/>
    <w:rsid w:val="00E558E2"/>
    <w:rsid w:val="00E56B08"/>
    <w:rsid w:val="00E60418"/>
    <w:rsid w:val="00E60A0C"/>
    <w:rsid w:val="00E637FF"/>
    <w:rsid w:val="00E639AA"/>
    <w:rsid w:val="00E639E1"/>
    <w:rsid w:val="00E6672D"/>
    <w:rsid w:val="00E71320"/>
    <w:rsid w:val="00E739AD"/>
    <w:rsid w:val="00E747F5"/>
    <w:rsid w:val="00E82C20"/>
    <w:rsid w:val="00E83DA4"/>
    <w:rsid w:val="00E845CE"/>
    <w:rsid w:val="00E861FA"/>
    <w:rsid w:val="00E90989"/>
    <w:rsid w:val="00E90E02"/>
    <w:rsid w:val="00E92BCA"/>
    <w:rsid w:val="00E931E5"/>
    <w:rsid w:val="00EA6B2C"/>
    <w:rsid w:val="00EB151C"/>
    <w:rsid w:val="00EB1BD4"/>
    <w:rsid w:val="00EB1D2B"/>
    <w:rsid w:val="00EB2DCB"/>
    <w:rsid w:val="00EB39B7"/>
    <w:rsid w:val="00EB7CF3"/>
    <w:rsid w:val="00EC05B0"/>
    <w:rsid w:val="00EC234A"/>
    <w:rsid w:val="00EC2E0B"/>
    <w:rsid w:val="00EC79C4"/>
    <w:rsid w:val="00ED112F"/>
    <w:rsid w:val="00ED4672"/>
    <w:rsid w:val="00ED6A04"/>
    <w:rsid w:val="00EE2060"/>
    <w:rsid w:val="00EE4F06"/>
    <w:rsid w:val="00EE5AE1"/>
    <w:rsid w:val="00EE675B"/>
    <w:rsid w:val="00EE7DFF"/>
    <w:rsid w:val="00EF17A0"/>
    <w:rsid w:val="00EF37F5"/>
    <w:rsid w:val="00EF6970"/>
    <w:rsid w:val="00F013FE"/>
    <w:rsid w:val="00F02272"/>
    <w:rsid w:val="00F02AE3"/>
    <w:rsid w:val="00F034B5"/>
    <w:rsid w:val="00F03FC9"/>
    <w:rsid w:val="00F04D37"/>
    <w:rsid w:val="00F069A0"/>
    <w:rsid w:val="00F070A8"/>
    <w:rsid w:val="00F073EB"/>
    <w:rsid w:val="00F2084E"/>
    <w:rsid w:val="00F21A6B"/>
    <w:rsid w:val="00F227B9"/>
    <w:rsid w:val="00F22983"/>
    <w:rsid w:val="00F237AE"/>
    <w:rsid w:val="00F27F9F"/>
    <w:rsid w:val="00F31A3D"/>
    <w:rsid w:val="00F31D2C"/>
    <w:rsid w:val="00F32026"/>
    <w:rsid w:val="00F33DA6"/>
    <w:rsid w:val="00F34CF9"/>
    <w:rsid w:val="00F371FD"/>
    <w:rsid w:val="00F41AC8"/>
    <w:rsid w:val="00F4395E"/>
    <w:rsid w:val="00F43B0A"/>
    <w:rsid w:val="00F45E4A"/>
    <w:rsid w:val="00F529C3"/>
    <w:rsid w:val="00F532BE"/>
    <w:rsid w:val="00F61D06"/>
    <w:rsid w:val="00F61FD7"/>
    <w:rsid w:val="00F63A5E"/>
    <w:rsid w:val="00F6476A"/>
    <w:rsid w:val="00F64FA7"/>
    <w:rsid w:val="00F65F5E"/>
    <w:rsid w:val="00F71ADB"/>
    <w:rsid w:val="00F74C90"/>
    <w:rsid w:val="00F7535D"/>
    <w:rsid w:val="00F80275"/>
    <w:rsid w:val="00F8228A"/>
    <w:rsid w:val="00F8306E"/>
    <w:rsid w:val="00F926AD"/>
    <w:rsid w:val="00F9480A"/>
    <w:rsid w:val="00F96C81"/>
    <w:rsid w:val="00F96CC0"/>
    <w:rsid w:val="00FA0F83"/>
    <w:rsid w:val="00FA5D13"/>
    <w:rsid w:val="00FA5DA1"/>
    <w:rsid w:val="00FA6EB0"/>
    <w:rsid w:val="00FA7C7E"/>
    <w:rsid w:val="00FB067F"/>
    <w:rsid w:val="00FB1315"/>
    <w:rsid w:val="00FB1639"/>
    <w:rsid w:val="00FB3BFA"/>
    <w:rsid w:val="00FB6B71"/>
    <w:rsid w:val="00FB73B1"/>
    <w:rsid w:val="00FC2C5D"/>
    <w:rsid w:val="00FC5C84"/>
    <w:rsid w:val="00FC5D2A"/>
    <w:rsid w:val="00FC6183"/>
    <w:rsid w:val="00FC700A"/>
    <w:rsid w:val="00FC79F9"/>
    <w:rsid w:val="00FD347C"/>
    <w:rsid w:val="00FD3AC8"/>
    <w:rsid w:val="00FD5534"/>
    <w:rsid w:val="00FD6D0D"/>
    <w:rsid w:val="00FD6F54"/>
    <w:rsid w:val="00FE2A4A"/>
    <w:rsid w:val="00FE36B5"/>
    <w:rsid w:val="00FE3F45"/>
    <w:rsid w:val="00FF7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1C8B2A"/>
  <w14:defaultImageDpi w14:val="300"/>
  <w15:docId w15:val="{697FAF8D-615B-4805-B6CD-5F5BB7B4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36B"/>
    <w:rPr>
      <w:rFonts w:ascii="Times New Roman" w:eastAsia="Times New Roman" w:hAnsi="Times New Roman" w:cs="Times New Roman"/>
      <w:lang w:eastAsia="zh-CN"/>
    </w:rPr>
  </w:style>
  <w:style w:type="paragraph" w:styleId="Heading1">
    <w:name w:val="heading 1"/>
    <w:basedOn w:val="Normal"/>
    <w:next w:val="BodyText"/>
    <w:link w:val="Heading1Char"/>
    <w:uiPriority w:val="9"/>
    <w:qFormat/>
    <w:rsid w:val="002E52A6"/>
    <w:pPr>
      <w:keepNext/>
      <w:keepLines/>
      <w:numPr>
        <w:numId w:val="33"/>
      </w:numPr>
      <w:spacing w:before="480"/>
      <w:outlineLvl w:val="0"/>
    </w:pPr>
    <w:rPr>
      <w:rFonts w:eastAsiaTheme="majorEastAsia" w:cstheme="majorBidi"/>
      <w:b/>
      <w:bCs/>
      <w:color w:val="000000" w:themeColor="text1"/>
      <w:szCs w:val="32"/>
      <w:lang w:eastAsia="en-US"/>
    </w:rPr>
  </w:style>
  <w:style w:type="paragraph" w:styleId="Heading2">
    <w:name w:val="heading 2"/>
    <w:basedOn w:val="Normal"/>
    <w:next w:val="BodyText"/>
    <w:link w:val="Heading2Char"/>
    <w:uiPriority w:val="9"/>
    <w:unhideWhenUsed/>
    <w:qFormat/>
    <w:rsid w:val="002E52A6"/>
    <w:pPr>
      <w:keepNext/>
      <w:keepLines/>
      <w:numPr>
        <w:ilvl w:val="1"/>
        <w:numId w:val="33"/>
      </w:numPr>
      <w:spacing w:before="200"/>
      <w:outlineLvl w:val="1"/>
    </w:pPr>
    <w:rPr>
      <w:rFonts w:eastAsiaTheme="majorEastAsia" w:cstheme="majorBidi"/>
      <w:b/>
      <w:bCs/>
      <w:color w:val="000000" w:themeColor="text1"/>
      <w:szCs w:val="32"/>
      <w:lang w:eastAsia="en-US"/>
    </w:rPr>
  </w:style>
  <w:style w:type="paragraph" w:styleId="Heading3">
    <w:name w:val="heading 3"/>
    <w:basedOn w:val="Normal"/>
    <w:next w:val="BodyText"/>
    <w:link w:val="Heading3Char"/>
    <w:uiPriority w:val="9"/>
    <w:unhideWhenUsed/>
    <w:qFormat/>
    <w:rsid w:val="002E52A6"/>
    <w:pPr>
      <w:keepNext/>
      <w:keepLines/>
      <w:numPr>
        <w:ilvl w:val="2"/>
        <w:numId w:val="33"/>
      </w:numPr>
      <w:spacing w:before="200"/>
      <w:outlineLvl w:val="2"/>
    </w:pPr>
    <w:rPr>
      <w:rFonts w:asciiTheme="majorHAnsi" w:eastAsiaTheme="majorEastAsia" w:hAnsiTheme="majorHAnsi" w:cstheme="majorBidi"/>
      <w:b/>
      <w:bCs/>
      <w:color w:val="000000" w:themeColor="text1"/>
      <w:szCs w:val="28"/>
      <w:lang w:eastAsia="en-US"/>
    </w:rPr>
  </w:style>
  <w:style w:type="paragraph" w:styleId="Heading4">
    <w:name w:val="heading 4"/>
    <w:basedOn w:val="Normal"/>
    <w:next w:val="BodyText"/>
    <w:link w:val="Heading4Char"/>
    <w:uiPriority w:val="9"/>
    <w:unhideWhenUsed/>
    <w:qFormat/>
    <w:rsid w:val="002E52A6"/>
    <w:pPr>
      <w:keepNext/>
      <w:keepLines/>
      <w:numPr>
        <w:ilvl w:val="3"/>
        <w:numId w:val="33"/>
      </w:numPr>
      <w:spacing w:before="200"/>
      <w:outlineLvl w:val="3"/>
    </w:pPr>
    <w:rPr>
      <w:rFonts w:asciiTheme="majorHAnsi" w:eastAsiaTheme="majorEastAsia" w:hAnsiTheme="majorHAnsi" w:cstheme="majorBidi"/>
      <w:b/>
      <w:bCs/>
      <w:color w:val="000000" w:themeColor="text1"/>
      <w:lang w:eastAsia="en-US"/>
    </w:rPr>
  </w:style>
  <w:style w:type="paragraph" w:styleId="Heading5">
    <w:name w:val="heading 5"/>
    <w:basedOn w:val="Normal"/>
    <w:next w:val="BodyText"/>
    <w:link w:val="Heading5Char"/>
    <w:uiPriority w:val="9"/>
    <w:unhideWhenUsed/>
    <w:qFormat/>
    <w:rsid w:val="002E52A6"/>
    <w:pPr>
      <w:keepNext/>
      <w:keepLines/>
      <w:numPr>
        <w:ilvl w:val="4"/>
        <w:numId w:val="33"/>
      </w:numPr>
      <w:spacing w:before="200"/>
      <w:outlineLvl w:val="4"/>
    </w:pPr>
    <w:rPr>
      <w:rFonts w:asciiTheme="majorHAnsi" w:eastAsiaTheme="majorEastAsia" w:hAnsiTheme="majorHAnsi" w:cstheme="majorBidi"/>
      <w:iCs/>
      <w:color w:val="000000" w:themeColor="text1"/>
      <w:lang w:eastAsia="en-US"/>
    </w:rPr>
  </w:style>
  <w:style w:type="paragraph" w:styleId="Heading6">
    <w:name w:val="heading 6"/>
    <w:basedOn w:val="Normal"/>
    <w:next w:val="BodyText"/>
    <w:link w:val="Heading6Char"/>
    <w:uiPriority w:val="9"/>
    <w:unhideWhenUsed/>
    <w:qFormat/>
    <w:rsid w:val="00C43CEF"/>
    <w:pPr>
      <w:keepNext/>
      <w:keepLines/>
      <w:numPr>
        <w:ilvl w:val="5"/>
        <w:numId w:val="33"/>
      </w:numPr>
      <w:spacing w:before="200"/>
      <w:outlineLvl w:val="5"/>
    </w:pPr>
    <w:rPr>
      <w:rFonts w:asciiTheme="majorHAnsi" w:eastAsiaTheme="majorEastAsia" w:hAnsiTheme="majorHAnsi" w:cstheme="majorBidi"/>
      <w:color w:val="4F81BD" w:themeColor="accent1"/>
      <w:lang w:eastAsia="en-US"/>
    </w:rPr>
  </w:style>
  <w:style w:type="paragraph" w:styleId="Heading7">
    <w:name w:val="heading 7"/>
    <w:basedOn w:val="Normal"/>
    <w:next w:val="BodyText"/>
    <w:link w:val="Heading7Char"/>
    <w:uiPriority w:val="9"/>
    <w:unhideWhenUsed/>
    <w:qFormat/>
    <w:rsid w:val="00C43CEF"/>
    <w:pPr>
      <w:keepNext/>
      <w:keepLines/>
      <w:numPr>
        <w:ilvl w:val="6"/>
        <w:numId w:val="33"/>
      </w:numPr>
      <w:spacing w:before="200"/>
      <w:outlineLvl w:val="6"/>
    </w:pPr>
    <w:rPr>
      <w:rFonts w:asciiTheme="majorHAnsi" w:eastAsiaTheme="majorEastAsia" w:hAnsiTheme="majorHAnsi" w:cstheme="majorBidi"/>
      <w:color w:val="4F81BD" w:themeColor="accent1"/>
      <w:lang w:eastAsia="en-US"/>
    </w:rPr>
  </w:style>
  <w:style w:type="paragraph" w:styleId="Heading8">
    <w:name w:val="heading 8"/>
    <w:basedOn w:val="Normal"/>
    <w:next w:val="BodyText"/>
    <w:link w:val="Heading8Char"/>
    <w:uiPriority w:val="9"/>
    <w:unhideWhenUsed/>
    <w:qFormat/>
    <w:rsid w:val="00C43CEF"/>
    <w:pPr>
      <w:keepNext/>
      <w:keepLines/>
      <w:numPr>
        <w:ilvl w:val="7"/>
        <w:numId w:val="33"/>
      </w:numPr>
      <w:spacing w:before="200"/>
      <w:outlineLvl w:val="7"/>
    </w:pPr>
    <w:rPr>
      <w:rFonts w:asciiTheme="majorHAnsi" w:eastAsiaTheme="majorEastAsia" w:hAnsiTheme="majorHAnsi" w:cstheme="majorBidi"/>
      <w:color w:val="4F81BD" w:themeColor="accent1"/>
      <w:lang w:eastAsia="en-US"/>
    </w:rPr>
  </w:style>
  <w:style w:type="paragraph" w:styleId="Heading9">
    <w:name w:val="heading 9"/>
    <w:basedOn w:val="Normal"/>
    <w:next w:val="BodyText"/>
    <w:link w:val="Heading9Char"/>
    <w:uiPriority w:val="9"/>
    <w:unhideWhenUsed/>
    <w:qFormat/>
    <w:rsid w:val="00C43CEF"/>
    <w:pPr>
      <w:keepNext/>
      <w:keepLines/>
      <w:numPr>
        <w:ilvl w:val="8"/>
        <w:numId w:val="33"/>
      </w:numPr>
      <w:spacing w:before="200"/>
      <w:outlineLvl w:val="8"/>
    </w:pPr>
    <w:rPr>
      <w:rFonts w:asciiTheme="majorHAnsi" w:eastAsiaTheme="majorEastAsia" w:hAnsiTheme="majorHAnsi" w:cstheme="majorBidi"/>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3CEF"/>
    <w:pPr>
      <w:spacing w:before="180" w:after="180"/>
    </w:pPr>
    <w:rPr>
      <w:rFonts w:eastAsiaTheme="minorHAnsi"/>
      <w:lang w:eastAsia="en-US"/>
    </w:rPr>
  </w:style>
  <w:style w:type="character" w:customStyle="1" w:styleId="BodyTextChar">
    <w:name w:val="Body Text Char"/>
    <w:basedOn w:val="DefaultParagraphFont"/>
    <w:link w:val="BodyText"/>
    <w:rsid w:val="00C43CEF"/>
    <w:rPr>
      <w:rFonts w:eastAsiaTheme="minorHAnsi"/>
    </w:rPr>
  </w:style>
  <w:style w:type="character" w:customStyle="1" w:styleId="Heading1Char">
    <w:name w:val="Heading 1 Char"/>
    <w:basedOn w:val="DefaultParagraphFont"/>
    <w:link w:val="Heading1"/>
    <w:uiPriority w:val="9"/>
    <w:rsid w:val="002E52A6"/>
    <w:rPr>
      <w:rFonts w:ascii="Times New Roman" w:eastAsiaTheme="majorEastAsia" w:hAnsi="Times New Roman" w:cstheme="majorBidi"/>
      <w:b/>
      <w:bCs/>
      <w:color w:val="000000" w:themeColor="text1"/>
      <w:szCs w:val="32"/>
    </w:rPr>
  </w:style>
  <w:style w:type="character" w:customStyle="1" w:styleId="Heading2Char">
    <w:name w:val="Heading 2 Char"/>
    <w:basedOn w:val="DefaultParagraphFont"/>
    <w:link w:val="Heading2"/>
    <w:uiPriority w:val="9"/>
    <w:rsid w:val="002E52A6"/>
    <w:rPr>
      <w:rFonts w:ascii="Times New Roman" w:eastAsiaTheme="majorEastAsia" w:hAnsi="Times New Roman" w:cstheme="majorBidi"/>
      <w:b/>
      <w:bCs/>
      <w:color w:val="000000" w:themeColor="text1"/>
      <w:szCs w:val="32"/>
    </w:rPr>
  </w:style>
  <w:style w:type="character" w:customStyle="1" w:styleId="Heading3Char">
    <w:name w:val="Heading 3 Char"/>
    <w:basedOn w:val="DefaultParagraphFont"/>
    <w:link w:val="Heading3"/>
    <w:uiPriority w:val="9"/>
    <w:rsid w:val="002E52A6"/>
    <w:rPr>
      <w:rFonts w:asciiTheme="majorHAnsi" w:eastAsiaTheme="majorEastAsia" w:hAnsiTheme="majorHAnsi" w:cstheme="majorBidi"/>
      <w:b/>
      <w:bCs/>
      <w:color w:val="000000" w:themeColor="text1"/>
      <w:szCs w:val="28"/>
    </w:rPr>
  </w:style>
  <w:style w:type="character" w:customStyle="1" w:styleId="Heading4Char">
    <w:name w:val="Heading 4 Char"/>
    <w:basedOn w:val="DefaultParagraphFont"/>
    <w:link w:val="Heading4"/>
    <w:uiPriority w:val="9"/>
    <w:rsid w:val="002E52A6"/>
    <w:rPr>
      <w:rFonts w:asciiTheme="majorHAnsi" w:eastAsiaTheme="majorEastAsia" w:hAnsiTheme="majorHAnsi" w:cstheme="majorBidi"/>
      <w:b/>
      <w:bCs/>
      <w:color w:val="000000" w:themeColor="text1"/>
    </w:rPr>
  </w:style>
  <w:style w:type="character" w:customStyle="1" w:styleId="Heading5Char">
    <w:name w:val="Heading 5 Char"/>
    <w:basedOn w:val="DefaultParagraphFont"/>
    <w:link w:val="Heading5"/>
    <w:uiPriority w:val="9"/>
    <w:rsid w:val="002E52A6"/>
    <w:rPr>
      <w:rFonts w:asciiTheme="majorHAnsi" w:eastAsiaTheme="majorEastAsia" w:hAnsiTheme="majorHAnsi" w:cstheme="majorBidi"/>
      <w:iCs/>
      <w:color w:val="000000" w:themeColor="text1"/>
    </w:rPr>
  </w:style>
  <w:style w:type="character" w:customStyle="1" w:styleId="Heading6Char">
    <w:name w:val="Heading 6 Char"/>
    <w:basedOn w:val="DefaultParagraphFont"/>
    <w:link w:val="Heading6"/>
    <w:uiPriority w:val="9"/>
    <w:rsid w:val="00C43CEF"/>
    <w:rPr>
      <w:rFonts w:asciiTheme="majorHAnsi" w:eastAsiaTheme="majorEastAsia" w:hAnsiTheme="majorHAnsi" w:cstheme="majorBidi"/>
      <w:color w:val="4F81BD" w:themeColor="accent1"/>
    </w:rPr>
  </w:style>
  <w:style w:type="character" w:customStyle="1" w:styleId="Heading7Char">
    <w:name w:val="Heading 7 Char"/>
    <w:basedOn w:val="DefaultParagraphFont"/>
    <w:link w:val="Heading7"/>
    <w:uiPriority w:val="9"/>
    <w:rsid w:val="00C43CEF"/>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C43CEF"/>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C43CEF"/>
    <w:rPr>
      <w:rFonts w:asciiTheme="majorHAnsi" w:eastAsiaTheme="majorEastAsia" w:hAnsiTheme="majorHAnsi" w:cstheme="majorBidi"/>
      <w:color w:val="4F81BD" w:themeColor="accent1"/>
    </w:rPr>
  </w:style>
  <w:style w:type="paragraph" w:styleId="ListParagraph">
    <w:name w:val="List Paragraph"/>
    <w:basedOn w:val="Normal"/>
    <w:uiPriority w:val="34"/>
    <w:qFormat/>
    <w:rsid w:val="00D762C5"/>
    <w:pPr>
      <w:ind w:left="720"/>
      <w:contextualSpacing/>
    </w:pPr>
  </w:style>
  <w:style w:type="table" w:styleId="TableGrid">
    <w:name w:val="Table Grid"/>
    <w:basedOn w:val="TableNormal"/>
    <w:rsid w:val="002F4C4F"/>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2F4C4F"/>
    <w:pPr>
      <w:spacing w:after="200"/>
    </w:pPr>
    <w:rPr>
      <w:b/>
      <w:bCs/>
      <w:color w:val="4F81BD" w:themeColor="accent1"/>
      <w:sz w:val="18"/>
      <w:szCs w:val="18"/>
    </w:rPr>
  </w:style>
  <w:style w:type="character" w:customStyle="1" w:styleId="CaptionChar">
    <w:name w:val="Caption Char"/>
    <w:basedOn w:val="DefaultParagraphFont"/>
    <w:link w:val="Caption"/>
    <w:uiPriority w:val="35"/>
    <w:rsid w:val="00C43CEF"/>
    <w:rPr>
      <w:rFonts w:eastAsia="SimSun"/>
      <w:b/>
      <w:bCs/>
      <w:color w:val="4F81BD" w:themeColor="accent1"/>
      <w:sz w:val="18"/>
      <w:szCs w:val="18"/>
      <w:lang w:eastAsia="zh-CN"/>
    </w:rPr>
  </w:style>
  <w:style w:type="character" w:styleId="CommentReference">
    <w:name w:val="annotation reference"/>
    <w:basedOn w:val="DefaultParagraphFont"/>
    <w:uiPriority w:val="99"/>
    <w:semiHidden/>
    <w:unhideWhenUsed/>
    <w:rsid w:val="001D0AA8"/>
    <w:rPr>
      <w:sz w:val="16"/>
      <w:szCs w:val="16"/>
    </w:rPr>
  </w:style>
  <w:style w:type="paragraph" w:styleId="CommentText">
    <w:name w:val="annotation text"/>
    <w:basedOn w:val="Normal"/>
    <w:link w:val="CommentTextChar"/>
    <w:uiPriority w:val="99"/>
    <w:unhideWhenUsed/>
    <w:rsid w:val="001D0AA8"/>
    <w:rPr>
      <w:sz w:val="20"/>
      <w:szCs w:val="20"/>
    </w:rPr>
  </w:style>
  <w:style w:type="character" w:customStyle="1" w:styleId="CommentTextChar">
    <w:name w:val="Comment Text Char"/>
    <w:basedOn w:val="DefaultParagraphFont"/>
    <w:link w:val="CommentText"/>
    <w:uiPriority w:val="99"/>
    <w:rsid w:val="001D0AA8"/>
    <w:rPr>
      <w:sz w:val="20"/>
      <w:szCs w:val="20"/>
    </w:rPr>
  </w:style>
  <w:style w:type="paragraph" w:styleId="CommentSubject">
    <w:name w:val="annotation subject"/>
    <w:basedOn w:val="CommentText"/>
    <w:next w:val="CommentText"/>
    <w:link w:val="CommentSubjectChar"/>
    <w:uiPriority w:val="99"/>
    <w:semiHidden/>
    <w:unhideWhenUsed/>
    <w:rsid w:val="001D0AA8"/>
    <w:rPr>
      <w:b/>
      <w:bCs/>
    </w:rPr>
  </w:style>
  <w:style w:type="character" w:customStyle="1" w:styleId="CommentSubjectChar">
    <w:name w:val="Comment Subject Char"/>
    <w:basedOn w:val="CommentTextChar"/>
    <w:link w:val="CommentSubject"/>
    <w:uiPriority w:val="99"/>
    <w:semiHidden/>
    <w:rsid w:val="001D0AA8"/>
    <w:rPr>
      <w:b/>
      <w:bCs/>
      <w:sz w:val="20"/>
      <w:szCs w:val="20"/>
    </w:rPr>
  </w:style>
  <w:style w:type="paragraph" w:styleId="BalloonText">
    <w:name w:val="Balloon Text"/>
    <w:basedOn w:val="Normal"/>
    <w:link w:val="BalloonTextChar"/>
    <w:uiPriority w:val="99"/>
    <w:semiHidden/>
    <w:unhideWhenUsed/>
    <w:rsid w:val="001D0AA8"/>
    <w:rPr>
      <w:sz w:val="18"/>
      <w:szCs w:val="18"/>
    </w:rPr>
  </w:style>
  <w:style w:type="character" w:customStyle="1" w:styleId="BalloonTextChar">
    <w:name w:val="Balloon Text Char"/>
    <w:basedOn w:val="DefaultParagraphFont"/>
    <w:link w:val="BalloonText"/>
    <w:uiPriority w:val="99"/>
    <w:semiHidden/>
    <w:rsid w:val="001D0AA8"/>
    <w:rPr>
      <w:rFonts w:ascii="Times New Roman" w:hAnsi="Times New Roman" w:cs="Times New Roman"/>
      <w:sz w:val="18"/>
      <w:szCs w:val="18"/>
    </w:rPr>
  </w:style>
  <w:style w:type="paragraph" w:customStyle="1" w:styleId="msonormal0">
    <w:name w:val="msonormal"/>
    <w:basedOn w:val="Normal"/>
    <w:rsid w:val="00D62DD8"/>
    <w:pPr>
      <w:spacing w:before="100" w:beforeAutospacing="1" w:after="100" w:afterAutospacing="1"/>
    </w:pPr>
  </w:style>
  <w:style w:type="character" w:customStyle="1" w:styleId="HeaderChar">
    <w:name w:val="Header Char"/>
    <w:basedOn w:val="DefaultParagraphFont"/>
    <w:link w:val="Header"/>
    <w:uiPriority w:val="99"/>
    <w:rsid w:val="00D62DD8"/>
    <w:rPr>
      <w:rFonts w:eastAsia="SimSun"/>
      <w:lang w:eastAsia="zh-CN"/>
    </w:rPr>
  </w:style>
  <w:style w:type="paragraph" w:styleId="Header">
    <w:name w:val="header"/>
    <w:basedOn w:val="Normal"/>
    <w:link w:val="HeaderChar"/>
    <w:uiPriority w:val="99"/>
    <w:unhideWhenUsed/>
    <w:rsid w:val="00D62DD8"/>
    <w:pPr>
      <w:tabs>
        <w:tab w:val="center" w:pos="4680"/>
        <w:tab w:val="right" w:pos="9360"/>
      </w:tabs>
    </w:pPr>
  </w:style>
  <w:style w:type="character" w:customStyle="1" w:styleId="FooterChar">
    <w:name w:val="Footer Char"/>
    <w:basedOn w:val="DefaultParagraphFont"/>
    <w:link w:val="Footer"/>
    <w:uiPriority w:val="99"/>
    <w:rsid w:val="00D62DD8"/>
    <w:rPr>
      <w:rFonts w:eastAsia="SimSun"/>
      <w:lang w:eastAsia="zh-CN"/>
    </w:rPr>
  </w:style>
  <w:style w:type="paragraph" w:styleId="Footer">
    <w:name w:val="footer"/>
    <w:basedOn w:val="Normal"/>
    <w:link w:val="FooterChar"/>
    <w:uiPriority w:val="99"/>
    <w:unhideWhenUsed/>
    <w:rsid w:val="00D62DD8"/>
    <w:pPr>
      <w:tabs>
        <w:tab w:val="center" w:pos="4680"/>
        <w:tab w:val="right" w:pos="9360"/>
      </w:tabs>
    </w:pPr>
  </w:style>
  <w:style w:type="paragraph" w:customStyle="1" w:styleId="EndNoteBibliography">
    <w:name w:val="EndNote Bibliography"/>
    <w:basedOn w:val="Normal"/>
    <w:rsid w:val="00D62DD8"/>
    <w:rPr>
      <w:rFonts w:ascii="Calibri" w:hAnsi="Calibri"/>
    </w:rPr>
  </w:style>
  <w:style w:type="paragraph" w:customStyle="1" w:styleId="EndNoteBibliographyTitle">
    <w:name w:val="EndNote Bibliography Title"/>
    <w:basedOn w:val="Normal"/>
    <w:rsid w:val="00D62DD8"/>
    <w:pPr>
      <w:jc w:val="center"/>
    </w:pPr>
    <w:rPr>
      <w:rFonts w:ascii="Calibri" w:hAnsi="Calibri"/>
    </w:rPr>
  </w:style>
  <w:style w:type="character" w:styleId="PlaceholderText">
    <w:name w:val="Placeholder Text"/>
    <w:basedOn w:val="DefaultParagraphFont"/>
    <w:uiPriority w:val="99"/>
    <w:semiHidden/>
    <w:rsid w:val="009F291A"/>
    <w:rPr>
      <w:color w:val="808080"/>
    </w:rPr>
  </w:style>
  <w:style w:type="character" w:styleId="PageNumber">
    <w:name w:val="page number"/>
    <w:basedOn w:val="DefaultParagraphFont"/>
    <w:uiPriority w:val="99"/>
    <w:semiHidden/>
    <w:unhideWhenUsed/>
    <w:rsid w:val="00E0048E"/>
  </w:style>
  <w:style w:type="paragraph" w:customStyle="1" w:styleId="FirstParagraph">
    <w:name w:val="First Paragraph"/>
    <w:basedOn w:val="BodyText"/>
    <w:next w:val="BodyText"/>
    <w:qFormat/>
    <w:rsid w:val="00C43CEF"/>
  </w:style>
  <w:style w:type="paragraph" w:customStyle="1" w:styleId="Compact">
    <w:name w:val="Compact"/>
    <w:basedOn w:val="BodyText"/>
    <w:qFormat/>
    <w:rsid w:val="00C43CEF"/>
    <w:pPr>
      <w:spacing w:before="36" w:after="36"/>
    </w:pPr>
  </w:style>
  <w:style w:type="paragraph" w:styleId="Title">
    <w:name w:val="Title"/>
    <w:basedOn w:val="Normal"/>
    <w:next w:val="BodyText"/>
    <w:link w:val="TitleChar"/>
    <w:qFormat/>
    <w:rsid w:val="00C43CEF"/>
    <w:pPr>
      <w:keepNext/>
      <w:keepLines/>
      <w:spacing w:before="480" w:after="240"/>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C43CEF"/>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C43CEF"/>
    <w:pPr>
      <w:spacing w:before="240"/>
    </w:pPr>
    <w:rPr>
      <w:sz w:val="30"/>
      <w:szCs w:val="30"/>
    </w:rPr>
  </w:style>
  <w:style w:type="character" w:customStyle="1" w:styleId="SubtitleChar">
    <w:name w:val="Subtitle Char"/>
    <w:basedOn w:val="DefaultParagraphFont"/>
    <w:link w:val="Subtitle"/>
    <w:rsid w:val="00C43CEF"/>
    <w:rPr>
      <w:rFonts w:asciiTheme="majorHAnsi" w:eastAsiaTheme="majorEastAsia" w:hAnsiTheme="majorHAnsi" w:cstheme="majorBidi"/>
      <w:b/>
      <w:bCs/>
      <w:color w:val="345A8A" w:themeColor="accent1" w:themeShade="B5"/>
      <w:sz w:val="30"/>
      <w:szCs w:val="30"/>
    </w:rPr>
  </w:style>
  <w:style w:type="paragraph" w:customStyle="1" w:styleId="Author">
    <w:name w:val="Author"/>
    <w:next w:val="BodyText"/>
    <w:qFormat/>
    <w:rsid w:val="00C43CEF"/>
    <w:pPr>
      <w:keepNext/>
      <w:keepLines/>
      <w:spacing w:after="200"/>
      <w:jc w:val="center"/>
    </w:pPr>
    <w:rPr>
      <w:rFonts w:eastAsiaTheme="minorHAnsi"/>
    </w:rPr>
  </w:style>
  <w:style w:type="paragraph" w:styleId="Date">
    <w:name w:val="Date"/>
    <w:next w:val="BodyText"/>
    <w:link w:val="DateChar"/>
    <w:qFormat/>
    <w:rsid w:val="00C43CEF"/>
    <w:pPr>
      <w:keepNext/>
      <w:keepLines/>
      <w:spacing w:after="200"/>
      <w:jc w:val="center"/>
    </w:pPr>
    <w:rPr>
      <w:rFonts w:eastAsiaTheme="minorHAnsi"/>
    </w:rPr>
  </w:style>
  <w:style w:type="character" w:customStyle="1" w:styleId="DateChar">
    <w:name w:val="Date Char"/>
    <w:basedOn w:val="DefaultParagraphFont"/>
    <w:link w:val="Date"/>
    <w:rsid w:val="00C43CEF"/>
    <w:rPr>
      <w:rFonts w:eastAsiaTheme="minorHAnsi"/>
    </w:rPr>
  </w:style>
  <w:style w:type="paragraph" w:customStyle="1" w:styleId="Abstract">
    <w:name w:val="Abstract"/>
    <w:basedOn w:val="Normal"/>
    <w:next w:val="BodyText"/>
    <w:qFormat/>
    <w:rsid w:val="00C43CEF"/>
    <w:pPr>
      <w:keepNext/>
      <w:keepLines/>
      <w:spacing w:before="300" w:after="300"/>
    </w:pPr>
    <w:rPr>
      <w:rFonts w:eastAsiaTheme="minorHAnsi"/>
      <w:sz w:val="20"/>
      <w:szCs w:val="20"/>
      <w:lang w:eastAsia="en-US"/>
    </w:rPr>
  </w:style>
  <w:style w:type="paragraph" w:styleId="Bibliography">
    <w:name w:val="Bibliography"/>
    <w:basedOn w:val="Normal"/>
    <w:qFormat/>
    <w:rsid w:val="00C43CEF"/>
    <w:pPr>
      <w:spacing w:after="200"/>
    </w:pPr>
    <w:rPr>
      <w:rFonts w:eastAsiaTheme="minorHAnsi"/>
      <w:lang w:eastAsia="en-US"/>
    </w:rPr>
  </w:style>
  <w:style w:type="paragraph" w:styleId="BlockText">
    <w:name w:val="Block Text"/>
    <w:basedOn w:val="BodyText"/>
    <w:next w:val="BodyText"/>
    <w:uiPriority w:val="9"/>
    <w:unhideWhenUsed/>
    <w:qFormat/>
    <w:rsid w:val="00C43CEF"/>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C43CEF"/>
    <w:pPr>
      <w:spacing w:after="200"/>
    </w:pPr>
    <w:rPr>
      <w:rFonts w:eastAsiaTheme="minorHAnsi"/>
      <w:lang w:eastAsia="en-US"/>
    </w:rPr>
  </w:style>
  <w:style w:type="character" w:customStyle="1" w:styleId="FootnoteTextChar">
    <w:name w:val="Footnote Text Char"/>
    <w:basedOn w:val="DefaultParagraphFont"/>
    <w:link w:val="FootnoteText"/>
    <w:uiPriority w:val="9"/>
    <w:rsid w:val="00C43CEF"/>
    <w:rPr>
      <w:rFonts w:eastAsiaTheme="minorHAnsi"/>
    </w:rPr>
  </w:style>
  <w:style w:type="table" w:customStyle="1" w:styleId="Table">
    <w:name w:val="Table"/>
    <w:semiHidden/>
    <w:unhideWhenUsed/>
    <w:qFormat/>
    <w:rsid w:val="00C43CEF"/>
    <w:pPr>
      <w:spacing w:after="200"/>
    </w:pPr>
    <w:rPr>
      <w:rFonts w:eastAsiaTheme="minorHAnsi"/>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C43CEF"/>
    <w:pPr>
      <w:keepNext/>
      <w:keepLines/>
    </w:pPr>
    <w:rPr>
      <w:rFonts w:eastAsiaTheme="minorHAnsi"/>
      <w:b/>
      <w:lang w:eastAsia="en-US"/>
    </w:rPr>
  </w:style>
  <w:style w:type="paragraph" w:customStyle="1" w:styleId="Definition">
    <w:name w:val="Definition"/>
    <w:basedOn w:val="Normal"/>
    <w:rsid w:val="00C43CEF"/>
    <w:pPr>
      <w:spacing w:after="200"/>
    </w:pPr>
    <w:rPr>
      <w:rFonts w:eastAsiaTheme="minorHAnsi"/>
      <w:lang w:eastAsia="en-US"/>
    </w:rPr>
  </w:style>
  <w:style w:type="paragraph" w:customStyle="1" w:styleId="TableCaption">
    <w:name w:val="Table Caption"/>
    <w:basedOn w:val="Caption"/>
    <w:rsid w:val="00C43CEF"/>
    <w:pPr>
      <w:keepNext/>
      <w:spacing w:after="120"/>
    </w:pPr>
    <w:rPr>
      <w:rFonts w:eastAsiaTheme="minorHAnsi"/>
      <w:b w:val="0"/>
      <w:bCs w:val="0"/>
      <w:i/>
      <w:color w:val="auto"/>
      <w:sz w:val="24"/>
      <w:szCs w:val="24"/>
      <w:lang w:eastAsia="en-US"/>
    </w:rPr>
  </w:style>
  <w:style w:type="paragraph" w:customStyle="1" w:styleId="ImageCaption">
    <w:name w:val="Image Caption"/>
    <w:basedOn w:val="Caption"/>
    <w:rsid w:val="00C43CEF"/>
    <w:pPr>
      <w:spacing w:after="120"/>
    </w:pPr>
    <w:rPr>
      <w:rFonts w:eastAsiaTheme="minorHAnsi"/>
      <w:b w:val="0"/>
      <w:bCs w:val="0"/>
      <w:i/>
      <w:color w:val="auto"/>
      <w:sz w:val="24"/>
      <w:szCs w:val="24"/>
      <w:lang w:eastAsia="en-US"/>
    </w:rPr>
  </w:style>
  <w:style w:type="paragraph" w:customStyle="1" w:styleId="Figure">
    <w:name w:val="Figure"/>
    <w:basedOn w:val="Normal"/>
    <w:rsid w:val="00C43CEF"/>
    <w:pPr>
      <w:spacing w:after="200"/>
    </w:pPr>
    <w:rPr>
      <w:rFonts w:eastAsiaTheme="minorHAnsi"/>
      <w:lang w:eastAsia="en-US"/>
    </w:rPr>
  </w:style>
  <w:style w:type="paragraph" w:customStyle="1" w:styleId="CaptionedFigure">
    <w:name w:val="Captioned Figure"/>
    <w:basedOn w:val="Figure"/>
    <w:rsid w:val="00C43CEF"/>
    <w:pPr>
      <w:keepNext/>
    </w:pPr>
  </w:style>
  <w:style w:type="character" w:customStyle="1" w:styleId="VerbatimChar">
    <w:name w:val="Verbatim Char"/>
    <w:basedOn w:val="CaptionChar"/>
    <w:link w:val="SourceCode"/>
    <w:rsid w:val="00C43CEF"/>
    <w:rPr>
      <w:rFonts w:ascii="Consolas" w:eastAsia="SimSun" w:hAnsi="Consolas"/>
      <w:b/>
      <w:bCs/>
      <w:color w:val="4F81BD" w:themeColor="accent1"/>
      <w:sz w:val="22"/>
      <w:szCs w:val="18"/>
      <w:shd w:val="clear" w:color="auto" w:fill="F8F8F8"/>
      <w:lang w:eastAsia="zh-CN"/>
    </w:rPr>
  </w:style>
  <w:style w:type="paragraph" w:customStyle="1" w:styleId="SourceCode">
    <w:name w:val="Source Code"/>
    <w:basedOn w:val="Normal"/>
    <w:link w:val="VerbatimChar"/>
    <w:rsid w:val="00C43CEF"/>
    <w:pPr>
      <w:shd w:val="clear" w:color="auto" w:fill="F8F8F8"/>
      <w:wordWrap w:val="0"/>
      <w:spacing w:after="200"/>
    </w:pPr>
    <w:rPr>
      <w:rFonts w:ascii="Consolas" w:hAnsi="Consolas"/>
      <w:b/>
      <w:bCs/>
      <w:color w:val="4F81BD" w:themeColor="accent1"/>
      <w:sz w:val="22"/>
      <w:szCs w:val="18"/>
    </w:rPr>
  </w:style>
  <w:style w:type="character" w:styleId="FootnoteReference">
    <w:name w:val="footnote reference"/>
    <w:basedOn w:val="CaptionChar"/>
    <w:rsid w:val="00C43CEF"/>
    <w:rPr>
      <w:rFonts w:eastAsia="SimSun"/>
      <w:b/>
      <w:bCs/>
      <w:color w:val="4F81BD" w:themeColor="accent1"/>
      <w:sz w:val="18"/>
      <w:szCs w:val="18"/>
      <w:vertAlign w:val="superscript"/>
      <w:lang w:eastAsia="zh-CN"/>
    </w:rPr>
  </w:style>
  <w:style w:type="character" w:styleId="Hyperlink">
    <w:name w:val="Hyperlink"/>
    <w:basedOn w:val="CaptionChar"/>
    <w:uiPriority w:val="99"/>
    <w:rsid w:val="00876823"/>
    <w:rPr>
      <w:rFonts w:eastAsia="SimSun"/>
      <w:b w:val="0"/>
      <w:bCs/>
      <w:color w:val="000000" w:themeColor="text1"/>
      <w:sz w:val="24"/>
      <w:szCs w:val="18"/>
      <w:u w:val="none"/>
      <w:lang w:eastAsia="zh-CN"/>
    </w:rPr>
  </w:style>
  <w:style w:type="paragraph" w:styleId="TOCHeading">
    <w:name w:val="TOC Heading"/>
    <w:basedOn w:val="Heading1"/>
    <w:next w:val="BodyText"/>
    <w:uiPriority w:val="39"/>
    <w:unhideWhenUsed/>
    <w:qFormat/>
    <w:rsid w:val="00C43CEF"/>
    <w:pPr>
      <w:spacing w:before="240" w:line="259" w:lineRule="auto"/>
      <w:outlineLvl w:val="9"/>
    </w:pPr>
    <w:rPr>
      <w:b w:val="0"/>
      <w:bCs w:val="0"/>
      <w:color w:val="365F91" w:themeColor="accent1" w:themeShade="BF"/>
    </w:rPr>
  </w:style>
  <w:style w:type="character" w:customStyle="1" w:styleId="KeywordTok">
    <w:name w:val="KeywordTok"/>
    <w:basedOn w:val="VerbatimChar"/>
    <w:rsid w:val="00C43CEF"/>
    <w:rPr>
      <w:rFonts w:ascii="Consolas" w:eastAsia="SimSun" w:hAnsi="Consolas"/>
      <w:b w:val="0"/>
      <w:bCs/>
      <w:color w:val="204A87"/>
      <w:sz w:val="22"/>
      <w:szCs w:val="18"/>
      <w:shd w:val="clear" w:color="auto" w:fill="F8F8F8"/>
      <w:lang w:eastAsia="zh-CN"/>
    </w:rPr>
  </w:style>
  <w:style w:type="character" w:customStyle="1" w:styleId="DataTypeTok">
    <w:name w:val="DataTypeTok"/>
    <w:basedOn w:val="VerbatimChar"/>
    <w:rsid w:val="00C43CEF"/>
    <w:rPr>
      <w:rFonts w:ascii="Consolas" w:eastAsia="SimSun" w:hAnsi="Consolas"/>
      <w:b/>
      <w:bCs/>
      <w:color w:val="204A87"/>
      <w:sz w:val="22"/>
      <w:szCs w:val="18"/>
      <w:shd w:val="clear" w:color="auto" w:fill="F8F8F8"/>
      <w:lang w:eastAsia="zh-CN"/>
    </w:rPr>
  </w:style>
  <w:style w:type="character" w:customStyle="1" w:styleId="DecValTok">
    <w:name w:val="DecValTok"/>
    <w:basedOn w:val="VerbatimChar"/>
    <w:rsid w:val="00C43CEF"/>
    <w:rPr>
      <w:rFonts w:ascii="Consolas" w:eastAsia="SimSun" w:hAnsi="Consolas"/>
      <w:b/>
      <w:bCs/>
      <w:color w:val="0000CF"/>
      <w:sz w:val="22"/>
      <w:szCs w:val="18"/>
      <w:shd w:val="clear" w:color="auto" w:fill="F8F8F8"/>
      <w:lang w:eastAsia="zh-CN"/>
    </w:rPr>
  </w:style>
  <w:style w:type="character" w:customStyle="1" w:styleId="BaseNTok">
    <w:name w:val="BaseNTok"/>
    <w:basedOn w:val="VerbatimChar"/>
    <w:rsid w:val="00C43CEF"/>
    <w:rPr>
      <w:rFonts w:ascii="Consolas" w:eastAsia="SimSun" w:hAnsi="Consolas"/>
      <w:b/>
      <w:bCs/>
      <w:color w:val="0000CF"/>
      <w:sz w:val="22"/>
      <w:szCs w:val="18"/>
      <w:shd w:val="clear" w:color="auto" w:fill="F8F8F8"/>
      <w:lang w:eastAsia="zh-CN"/>
    </w:rPr>
  </w:style>
  <w:style w:type="character" w:customStyle="1" w:styleId="FloatTok">
    <w:name w:val="FloatTok"/>
    <w:basedOn w:val="VerbatimChar"/>
    <w:rsid w:val="00C43CEF"/>
    <w:rPr>
      <w:rFonts w:ascii="Consolas" w:eastAsia="SimSun" w:hAnsi="Consolas"/>
      <w:b/>
      <w:bCs/>
      <w:color w:val="0000CF"/>
      <w:sz w:val="22"/>
      <w:szCs w:val="18"/>
      <w:shd w:val="clear" w:color="auto" w:fill="F8F8F8"/>
      <w:lang w:eastAsia="zh-CN"/>
    </w:rPr>
  </w:style>
  <w:style w:type="character" w:customStyle="1" w:styleId="ConstantTok">
    <w:name w:val="ConstantTok"/>
    <w:basedOn w:val="VerbatimChar"/>
    <w:rsid w:val="00C43CEF"/>
    <w:rPr>
      <w:rFonts w:ascii="Consolas" w:eastAsia="SimSun" w:hAnsi="Consolas"/>
      <w:b/>
      <w:bCs/>
      <w:color w:val="000000"/>
      <w:sz w:val="22"/>
      <w:szCs w:val="18"/>
      <w:shd w:val="clear" w:color="auto" w:fill="F8F8F8"/>
      <w:lang w:eastAsia="zh-CN"/>
    </w:rPr>
  </w:style>
  <w:style w:type="character" w:customStyle="1" w:styleId="CharTok">
    <w:name w:val="CharTok"/>
    <w:basedOn w:val="VerbatimChar"/>
    <w:rsid w:val="00C43CEF"/>
    <w:rPr>
      <w:rFonts w:ascii="Consolas" w:eastAsia="SimSun" w:hAnsi="Consolas"/>
      <w:b/>
      <w:bCs/>
      <w:color w:val="4E9A06"/>
      <w:sz w:val="22"/>
      <w:szCs w:val="18"/>
      <w:shd w:val="clear" w:color="auto" w:fill="F8F8F8"/>
      <w:lang w:eastAsia="zh-CN"/>
    </w:rPr>
  </w:style>
  <w:style w:type="character" w:customStyle="1" w:styleId="SpecialCharTok">
    <w:name w:val="SpecialCharTok"/>
    <w:basedOn w:val="VerbatimChar"/>
    <w:rsid w:val="00C43CEF"/>
    <w:rPr>
      <w:rFonts w:ascii="Consolas" w:eastAsia="SimSun" w:hAnsi="Consolas"/>
      <w:b/>
      <w:bCs/>
      <w:color w:val="000000"/>
      <w:sz w:val="22"/>
      <w:szCs w:val="18"/>
      <w:shd w:val="clear" w:color="auto" w:fill="F8F8F8"/>
      <w:lang w:eastAsia="zh-CN"/>
    </w:rPr>
  </w:style>
  <w:style w:type="character" w:customStyle="1" w:styleId="StringTok">
    <w:name w:val="StringTok"/>
    <w:basedOn w:val="VerbatimChar"/>
    <w:rsid w:val="00C43CEF"/>
    <w:rPr>
      <w:rFonts w:ascii="Consolas" w:eastAsia="SimSun" w:hAnsi="Consolas"/>
      <w:b/>
      <w:bCs/>
      <w:color w:val="4E9A06"/>
      <w:sz w:val="22"/>
      <w:szCs w:val="18"/>
      <w:shd w:val="clear" w:color="auto" w:fill="F8F8F8"/>
      <w:lang w:eastAsia="zh-CN"/>
    </w:rPr>
  </w:style>
  <w:style w:type="character" w:customStyle="1" w:styleId="VerbatimStringTok">
    <w:name w:val="VerbatimStringTok"/>
    <w:basedOn w:val="VerbatimChar"/>
    <w:rsid w:val="00C43CEF"/>
    <w:rPr>
      <w:rFonts w:ascii="Consolas" w:eastAsia="SimSun" w:hAnsi="Consolas"/>
      <w:b/>
      <w:bCs/>
      <w:color w:val="4E9A06"/>
      <w:sz w:val="22"/>
      <w:szCs w:val="18"/>
      <w:shd w:val="clear" w:color="auto" w:fill="F8F8F8"/>
      <w:lang w:eastAsia="zh-CN"/>
    </w:rPr>
  </w:style>
  <w:style w:type="character" w:customStyle="1" w:styleId="SpecialStringTok">
    <w:name w:val="SpecialStringTok"/>
    <w:basedOn w:val="VerbatimChar"/>
    <w:rsid w:val="00C43CEF"/>
    <w:rPr>
      <w:rFonts w:ascii="Consolas" w:eastAsia="SimSun" w:hAnsi="Consolas"/>
      <w:b/>
      <w:bCs/>
      <w:color w:val="4E9A06"/>
      <w:sz w:val="22"/>
      <w:szCs w:val="18"/>
      <w:shd w:val="clear" w:color="auto" w:fill="F8F8F8"/>
      <w:lang w:eastAsia="zh-CN"/>
    </w:rPr>
  </w:style>
  <w:style w:type="character" w:customStyle="1" w:styleId="ImportTok">
    <w:name w:val="ImportTok"/>
    <w:basedOn w:val="VerbatimChar"/>
    <w:rsid w:val="00C43CEF"/>
    <w:rPr>
      <w:rFonts w:ascii="Consolas" w:eastAsia="SimSun" w:hAnsi="Consolas"/>
      <w:b/>
      <w:bCs/>
      <w:color w:val="4F81BD" w:themeColor="accent1"/>
      <w:sz w:val="22"/>
      <w:szCs w:val="18"/>
      <w:shd w:val="clear" w:color="auto" w:fill="F8F8F8"/>
      <w:lang w:eastAsia="zh-CN"/>
    </w:rPr>
  </w:style>
  <w:style w:type="character" w:customStyle="1" w:styleId="CommentTok">
    <w:name w:val="CommentTok"/>
    <w:basedOn w:val="VerbatimChar"/>
    <w:rsid w:val="00C43CEF"/>
    <w:rPr>
      <w:rFonts w:ascii="Consolas" w:eastAsia="SimSun" w:hAnsi="Consolas"/>
      <w:b/>
      <w:bCs/>
      <w:i/>
      <w:color w:val="8F5902"/>
      <w:sz w:val="22"/>
      <w:szCs w:val="18"/>
      <w:shd w:val="clear" w:color="auto" w:fill="F8F8F8"/>
      <w:lang w:eastAsia="zh-CN"/>
    </w:rPr>
  </w:style>
  <w:style w:type="character" w:customStyle="1" w:styleId="DocumentationTok">
    <w:name w:val="DocumentationTok"/>
    <w:basedOn w:val="VerbatimChar"/>
    <w:rsid w:val="00C43CEF"/>
    <w:rPr>
      <w:rFonts w:ascii="Consolas" w:eastAsia="SimSun" w:hAnsi="Consolas"/>
      <w:b w:val="0"/>
      <w:bCs/>
      <w:i/>
      <w:color w:val="8F5902"/>
      <w:sz w:val="22"/>
      <w:szCs w:val="18"/>
      <w:shd w:val="clear" w:color="auto" w:fill="F8F8F8"/>
      <w:lang w:eastAsia="zh-CN"/>
    </w:rPr>
  </w:style>
  <w:style w:type="character" w:customStyle="1" w:styleId="AnnotationTok">
    <w:name w:val="AnnotationTok"/>
    <w:basedOn w:val="VerbatimChar"/>
    <w:rsid w:val="00C43CEF"/>
    <w:rPr>
      <w:rFonts w:ascii="Consolas" w:eastAsia="SimSun" w:hAnsi="Consolas"/>
      <w:b w:val="0"/>
      <w:bCs/>
      <w:i/>
      <w:color w:val="8F5902"/>
      <w:sz w:val="22"/>
      <w:szCs w:val="18"/>
      <w:shd w:val="clear" w:color="auto" w:fill="F8F8F8"/>
      <w:lang w:eastAsia="zh-CN"/>
    </w:rPr>
  </w:style>
  <w:style w:type="character" w:customStyle="1" w:styleId="CommentVarTok">
    <w:name w:val="CommentVarTok"/>
    <w:basedOn w:val="VerbatimChar"/>
    <w:rsid w:val="00C43CEF"/>
    <w:rPr>
      <w:rFonts w:ascii="Consolas" w:eastAsia="SimSun" w:hAnsi="Consolas"/>
      <w:b w:val="0"/>
      <w:bCs/>
      <w:i/>
      <w:color w:val="8F5902"/>
      <w:sz w:val="22"/>
      <w:szCs w:val="18"/>
      <w:shd w:val="clear" w:color="auto" w:fill="F8F8F8"/>
      <w:lang w:eastAsia="zh-CN"/>
    </w:rPr>
  </w:style>
  <w:style w:type="character" w:customStyle="1" w:styleId="OtherTok">
    <w:name w:val="OtherTok"/>
    <w:basedOn w:val="VerbatimChar"/>
    <w:rsid w:val="00C43CEF"/>
    <w:rPr>
      <w:rFonts w:ascii="Consolas" w:eastAsia="SimSun" w:hAnsi="Consolas"/>
      <w:b/>
      <w:bCs/>
      <w:color w:val="8F5902"/>
      <w:sz w:val="22"/>
      <w:szCs w:val="18"/>
      <w:shd w:val="clear" w:color="auto" w:fill="F8F8F8"/>
      <w:lang w:eastAsia="zh-CN"/>
    </w:rPr>
  </w:style>
  <w:style w:type="character" w:customStyle="1" w:styleId="FunctionTok">
    <w:name w:val="FunctionTok"/>
    <w:basedOn w:val="VerbatimChar"/>
    <w:rsid w:val="00C43CEF"/>
    <w:rPr>
      <w:rFonts w:ascii="Consolas" w:eastAsia="SimSun" w:hAnsi="Consolas"/>
      <w:b/>
      <w:bCs/>
      <w:color w:val="000000"/>
      <w:sz w:val="22"/>
      <w:szCs w:val="18"/>
      <w:shd w:val="clear" w:color="auto" w:fill="F8F8F8"/>
      <w:lang w:eastAsia="zh-CN"/>
    </w:rPr>
  </w:style>
  <w:style w:type="character" w:customStyle="1" w:styleId="VariableTok">
    <w:name w:val="VariableTok"/>
    <w:basedOn w:val="VerbatimChar"/>
    <w:rsid w:val="00C43CEF"/>
    <w:rPr>
      <w:rFonts w:ascii="Consolas" w:eastAsia="SimSun" w:hAnsi="Consolas"/>
      <w:b/>
      <w:bCs/>
      <w:color w:val="000000"/>
      <w:sz w:val="22"/>
      <w:szCs w:val="18"/>
      <w:shd w:val="clear" w:color="auto" w:fill="F8F8F8"/>
      <w:lang w:eastAsia="zh-CN"/>
    </w:rPr>
  </w:style>
  <w:style w:type="character" w:customStyle="1" w:styleId="ControlFlowTok">
    <w:name w:val="ControlFlowTok"/>
    <w:basedOn w:val="VerbatimChar"/>
    <w:rsid w:val="00C43CEF"/>
    <w:rPr>
      <w:rFonts w:ascii="Consolas" w:eastAsia="SimSun" w:hAnsi="Consolas"/>
      <w:b w:val="0"/>
      <w:bCs/>
      <w:color w:val="204A87"/>
      <w:sz w:val="22"/>
      <w:szCs w:val="18"/>
      <w:shd w:val="clear" w:color="auto" w:fill="F8F8F8"/>
      <w:lang w:eastAsia="zh-CN"/>
    </w:rPr>
  </w:style>
  <w:style w:type="character" w:customStyle="1" w:styleId="OperatorTok">
    <w:name w:val="OperatorTok"/>
    <w:basedOn w:val="VerbatimChar"/>
    <w:rsid w:val="00C43CEF"/>
    <w:rPr>
      <w:rFonts w:ascii="Consolas" w:eastAsia="SimSun" w:hAnsi="Consolas"/>
      <w:b w:val="0"/>
      <w:bCs/>
      <w:color w:val="CE5C00"/>
      <w:sz w:val="22"/>
      <w:szCs w:val="18"/>
      <w:shd w:val="clear" w:color="auto" w:fill="F8F8F8"/>
      <w:lang w:eastAsia="zh-CN"/>
    </w:rPr>
  </w:style>
  <w:style w:type="character" w:customStyle="1" w:styleId="BuiltInTok">
    <w:name w:val="BuiltInTok"/>
    <w:basedOn w:val="VerbatimChar"/>
    <w:rsid w:val="00C43CEF"/>
    <w:rPr>
      <w:rFonts w:ascii="Consolas" w:eastAsia="SimSun" w:hAnsi="Consolas"/>
      <w:b/>
      <w:bCs/>
      <w:color w:val="4F81BD" w:themeColor="accent1"/>
      <w:sz w:val="22"/>
      <w:szCs w:val="18"/>
      <w:shd w:val="clear" w:color="auto" w:fill="F8F8F8"/>
      <w:lang w:eastAsia="zh-CN"/>
    </w:rPr>
  </w:style>
  <w:style w:type="character" w:customStyle="1" w:styleId="ExtensionTok">
    <w:name w:val="ExtensionTok"/>
    <w:basedOn w:val="VerbatimChar"/>
    <w:rsid w:val="00C43CEF"/>
    <w:rPr>
      <w:rFonts w:ascii="Consolas" w:eastAsia="SimSun" w:hAnsi="Consolas"/>
      <w:b/>
      <w:bCs/>
      <w:color w:val="4F81BD" w:themeColor="accent1"/>
      <w:sz w:val="22"/>
      <w:szCs w:val="18"/>
      <w:shd w:val="clear" w:color="auto" w:fill="F8F8F8"/>
      <w:lang w:eastAsia="zh-CN"/>
    </w:rPr>
  </w:style>
  <w:style w:type="character" w:customStyle="1" w:styleId="PreprocessorTok">
    <w:name w:val="PreprocessorTok"/>
    <w:basedOn w:val="VerbatimChar"/>
    <w:rsid w:val="00C43CEF"/>
    <w:rPr>
      <w:rFonts w:ascii="Consolas" w:eastAsia="SimSun" w:hAnsi="Consolas"/>
      <w:b/>
      <w:bCs/>
      <w:i/>
      <w:color w:val="8F5902"/>
      <w:sz w:val="22"/>
      <w:szCs w:val="18"/>
      <w:shd w:val="clear" w:color="auto" w:fill="F8F8F8"/>
      <w:lang w:eastAsia="zh-CN"/>
    </w:rPr>
  </w:style>
  <w:style w:type="character" w:customStyle="1" w:styleId="AttributeTok">
    <w:name w:val="AttributeTok"/>
    <w:basedOn w:val="VerbatimChar"/>
    <w:rsid w:val="00C43CEF"/>
    <w:rPr>
      <w:rFonts w:ascii="Consolas" w:eastAsia="SimSun" w:hAnsi="Consolas"/>
      <w:b/>
      <w:bCs/>
      <w:color w:val="C4A000"/>
      <w:sz w:val="22"/>
      <w:szCs w:val="18"/>
      <w:shd w:val="clear" w:color="auto" w:fill="F8F8F8"/>
      <w:lang w:eastAsia="zh-CN"/>
    </w:rPr>
  </w:style>
  <w:style w:type="character" w:customStyle="1" w:styleId="RegionMarkerTok">
    <w:name w:val="RegionMarkerTok"/>
    <w:basedOn w:val="VerbatimChar"/>
    <w:rsid w:val="00C43CEF"/>
    <w:rPr>
      <w:rFonts w:ascii="Consolas" w:eastAsia="SimSun" w:hAnsi="Consolas"/>
      <w:b/>
      <w:bCs/>
      <w:color w:val="4F81BD" w:themeColor="accent1"/>
      <w:sz w:val="22"/>
      <w:szCs w:val="18"/>
      <w:shd w:val="clear" w:color="auto" w:fill="F8F8F8"/>
      <w:lang w:eastAsia="zh-CN"/>
    </w:rPr>
  </w:style>
  <w:style w:type="character" w:customStyle="1" w:styleId="InformationTok">
    <w:name w:val="InformationTok"/>
    <w:basedOn w:val="VerbatimChar"/>
    <w:rsid w:val="00C43CEF"/>
    <w:rPr>
      <w:rFonts w:ascii="Consolas" w:eastAsia="SimSun" w:hAnsi="Consolas"/>
      <w:b w:val="0"/>
      <w:bCs/>
      <w:i/>
      <w:color w:val="8F5902"/>
      <w:sz w:val="22"/>
      <w:szCs w:val="18"/>
      <w:shd w:val="clear" w:color="auto" w:fill="F8F8F8"/>
      <w:lang w:eastAsia="zh-CN"/>
    </w:rPr>
  </w:style>
  <w:style w:type="character" w:customStyle="1" w:styleId="WarningTok">
    <w:name w:val="WarningTok"/>
    <w:basedOn w:val="VerbatimChar"/>
    <w:rsid w:val="00C43CEF"/>
    <w:rPr>
      <w:rFonts w:ascii="Consolas" w:eastAsia="SimSun" w:hAnsi="Consolas"/>
      <w:b w:val="0"/>
      <w:bCs/>
      <w:i/>
      <w:color w:val="8F5902"/>
      <w:sz w:val="22"/>
      <w:szCs w:val="18"/>
      <w:shd w:val="clear" w:color="auto" w:fill="F8F8F8"/>
      <w:lang w:eastAsia="zh-CN"/>
    </w:rPr>
  </w:style>
  <w:style w:type="character" w:customStyle="1" w:styleId="AlertTok">
    <w:name w:val="AlertTok"/>
    <w:basedOn w:val="VerbatimChar"/>
    <w:rsid w:val="00C43CEF"/>
    <w:rPr>
      <w:rFonts w:ascii="Consolas" w:eastAsia="SimSun" w:hAnsi="Consolas"/>
      <w:b/>
      <w:bCs/>
      <w:color w:val="EF2929"/>
      <w:sz w:val="22"/>
      <w:szCs w:val="18"/>
      <w:shd w:val="clear" w:color="auto" w:fill="F8F8F8"/>
      <w:lang w:eastAsia="zh-CN"/>
    </w:rPr>
  </w:style>
  <w:style w:type="character" w:customStyle="1" w:styleId="ErrorTok">
    <w:name w:val="ErrorTok"/>
    <w:basedOn w:val="VerbatimChar"/>
    <w:rsid w:val="00C43CEF"/>
    <w:rPr>
      <w:rFonts w:ascii="Consolas" w:eastAsia="SimSun" w:hAnsi="Consolas"/>
      <w:b w:val="0"/>
      <w:bCs/>
      <w:color w:val="A40000"/>
      <w:sz w:val="22"/>
      <w:szCs w:val="18"/>
      <w:shd w:val="clear" w:color="auto" w:fill="F8F8F8"/>
      <w:lang w:eastAsia="zh-CN"/>
    </w:rPr>
  </w:style>
  <w:style w:type="character" w:customStyle="1" w:styleId="NormalTok">
    <w:name w:val="NormalTok"/>
    <w:basedOn w:val="VerbatimChar"/>
    <w:rsid w:val="00C43CEF"/>
    <w:rPr>
      <w:rFonts w:ascii="Consolas" w:eastAsia="SimSun" w:hAnsi="Consolas"/>
      <w:b/>
      <w:bCs/>
      <w:color w:val="4F81BD" w:themeColor="accent1"/>
      <w:sz w:val="22"/>
      <w:szCs w:val="18"/>
      <w:shd w:val="clear" w:color="auto" w:fill="F8F8F8"/>
      <w:lang w:eastAsia="zh-CN"/>
    </w:rPr>
  </w:style>
  <w:style w:type="character" w:styleId="Emphasis">
    <w:name w:val="Emphasis"/>
    <w:basedOn w:val="DefaultParagraphFont"/>
    <w:uiPriority w:val="20"/>
    <w:qFormat/>
    <w:rsid w:val="00FE3F45"/>
    <w:rPr>
      <w:i/>
      <w:iCs/>
    </w:rPr>
  </w:style>
  <w:style w:type="paragraph" w:styleId="NormalWeb">
    <w:name w:val="Normal (Web)"/>
    <w:basedOn w:val="Normal"/>
    <w:uiPriority w:val="99"/>
    <w:unhideWhenUsed/>
    <w:rsid w:val="00CA492F"/>
    <w:pPr>
      <w:spacing w:before="100" w:beforeAutospacing="1" w:after="100" w:afterAutospacing="1"/>
    </w:pPr>
    <w:rPr>
      <w:lang w:eastAsia="en-US"/>
    </w:rPr>
  </w:style>
  <w:style w:type="character" w:styleId="UnresolvedMention">
    <w:name w:val="Unresolved Mention"/>
    <w:basedOn w:val="DefaultParagraphFont"/>
    <w:uiPriority w:val="99"/>
    <w:semiHidden/>
    <w:unhideWhenUsed/>
    <w:rsid w:val="0020566E"/>
    <w:rPr>
      <w:color w:val="605E5C"/>
      <w:shd w:val="clear" w:color="auto" w:fill="E1DFDD"/>
    </w:rPr>
  </w:style>
  <w:style w:type="paragraph" w:styleId="Revision">
    <w:name w:val="Revision"/>
    <w:hidden/>
    <w:uiPriority w:val="99"/>
    <w:semiHidden/>
    <w:rsid w:val="00B62492"/>
    <w:rPr>
      <w:rFonts w:eastAsia="SimSun"/>
      <w:lang w:eastAsia="zh-CN"/>
    </w:rPr>
  </w:style>
  <w:style w:type="numbering" w:styleId="111111">
    <w:name w:val="Outline List 2"/>
    <w:basedOn w:val="NoList"/>
    <w:uiPriority w:val="99"/>
    <w:semiHidden/>
    <w:unhideWhenUsed/>
    <w:rsid w:val="004D63E7"/>
    <w:pPr>
      <w:numPr>
        <w:numId w:val="26"/>
      </w:numPr>
    </w:pPr>
  </w:style>
  <w:style w:type="paragraph" w:customStyle="1" w:styleId="Heading0">
    <w:name w:val="Heading 0"/>
    <w:basedOn w:val="Normal"/>
    <w:qFormat/>
    <w:rsid w:val="002E52A6"/>
    <w:rPr>
      <w:b/>
      <w:color w:val="000000" w:themeColor="text1"/>
    </w:rPr>
  </w:style>
  <w:style w:type="paragraph" w:styleId="TOC1">
    <w:name w:val="toc 1"/>
    <w:basedOn w:val="Normal"/>
    <w:next w:val="Normal"/>
    <w:autoRedefine/>
    <w:uiPriority w:val="39"/>
    <w:unhideWhenUsed/>
    <w:rsid w:val="0051032A"/>
    <w:pPr>
      <w:spacing w:after="100"/>
    </w:pPr>
  </w:style>
  <w:style w:type="paragraph" w:styleId="TOC2">
    <w:name w:val="toc 2"/>
    <w:basedOn w:val="Normal"/>
    <w:next w:val="Normal"/>
    <w:autoRedefine/>
    <w:uiPriority w:val="39"/>
    <w:unhideWhenUsed/>
    <w:rsid w:val="0051032A"/>
    <w:pPr>
      <w:spacing w:after="100"/>
      <w:ind w:left="240"/>
    </w:pPr>
  </w:style>
  <w:style w:type="paragraph" w:styleId="TOC3">
    <w:name w:val="toc 3"/>
    <w:basedOn w:val="Normal"/>
    <w:next w:val="Normal"/>
    <w:autoRedefine/>
    <w:uiPriority w:val="39"/>
    <w:unhideWhenUsed/>
    <w:rsid w:val="0051032A"/>
    <w:pPr>
      <w:spacing w:after="100"/>
      <w:ind w:left="480"/>
    </w:pPr>
  </w:style>
  <w:style w:type="paragraph" w:styleId="TOC4">
    <w:name w:val="toc 4"/>
    <w:basedOn w:val="Normal"/>
    <w:next w:val="Normal"/>
    <w:autoRedefine/>
    <w:uiPriority w:val="39"/>
    <w:unhideWhenUsed/>
    <w:rsid w:val="0051032A"/>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51032A"/>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51032A"/>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51032A"/>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51032A"/>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51032A"/>
    <w:pPr>
      <w:spacing w:after="100"/>
      <w:ind w:left="1920"/>
    </w:pPr>
    <w:rPr>
      <w:rFonts w:asciiTheme="minorHAnsi" w:eastAsiaTheme="minorEastAsia" w:hAnsiTheme="minorHAnsi" w:cstheme="minorBidi"/>
    </w:rPr>
  </w:style>
  <w:style w:type="paragraph" w:styleId="TableofFigures">
    <w:name w:val="table of figures"/>
    <w:basedOn w:val="Normal"/>
    <w:next w:val="Normal"/>
    <w:uiPriority w:val="99"/>
    <w:unhideWhenUsed/>
    <w:rsid w:val="009F275B"/>
  </w:style>
  <w:style w:type="character" w:styleId="FollowedHyperlink">
    <w:name w:val="FollowedHyperlink"/>
    <w:basedOn w:val="DefaultParagraphFont"/>
    <w:uiPriority w:val="99"/>
    <w:semiHidden/>
    <w:unhideWhenUsed/>
    <w:rsid w:val="00F069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6031">
      <w:bodyDiv w:val="1"/>
      <w:marLeft w:val="0"/>
      <w:marRight w:val="0"/>
      <w:marTop w:val="0"/>
      <w:marBottom w:val="0"/>
      <w:divBdr>
        <w:top w:val="none" w:sz="0" w:space="0" w:color="auto"/>
        <w:left w:val="none" w:sz="0" w:space="0" w:color="auto"/>
        <w:bottom w:val="none" w:sz="0" w:space="0" w:color="auto"/>
        <w:right w:val="none" w:sz="0" w:space="0" w:color="auto"/>
      </w:divBdr>
    </w:div>
    <w:div w:id="78140948">
      <w:bodyDiv w:val="1"/>
      <w:marLeft w:val="0"/>
      <w:marRight w:val="0"/>
      <w:marTop w:val="0"/>
      <w:marBottom w:val="0"/>
      <w:divBdr>
        <w:top w:val="none" w:sz="0" w:space="0" w:color="auto"/>
        <w:left w:val="none" w:sz="0" w:space="0" w:color="auto"/>
        <w:bottom w:val="none" w:sz="0" w:space="0" w:color="auto"/>
        <w:right w:val="none" w:sz="0" w:space="0" w:color="auto"/>
      </w:divBdr>
    </w:div>
    <w:div w:id="254441419">
      <w:bodyDiv w:val="1"/>
      <w:marLeft w:val="0"/>
      <w:marRight w:val="0"/>
      <w:marTop w:val="0"/>
      <w:marBottom w:val="0"/>
      <w:divBdr>
        <w:top w:val="none" w:sz="0" w:space="0" w:color="auto"/>
        <w:left w:val="none" w:sz="0" w:space="0" w:color="auto"/>
        <w:bottom w:val="none" w:sz="0" w:space="0" w:color="auto"/>
        <w:right w:val="none" w:sz="0" w:space="0" w:color="auto"/>
      </w:divBdr>
    </w:div>
    <w:div w:id="434519871">
      <w:bodyDiv w:val="1"/>
      <w:marLeft w:val="0"/>
      <w:marRight w:val="0"/>
      <w:marTop w:val="0"/>
      <w:marBottom w:val="0"/>
      <w:divBdr>
        <w:top w:val="none" w:sz="0" w:space="0" w:color="auto"/>
        <w:left w:val="none" w:sz="0" w:space="0" w:color="auto"/>
        <w:bottom w:val="none" w:sz="0" w:space="0" w:color="auto"/>
        <w:right w:val="none" w:sz="0" w:space="0" w:color="auto"/>
      </w:divBdr>
    </w:div>
    <w:div w:id="515659809">
      <w:bodyDiv w:val="1"/>
      <w:marLeft w:val="0"/>
      <w:marRight w:val="0"/>
      <w:marTop w:val="0"/>
      <w:marBottom w:val="0"/>
      <w:divBdr>
        <w:top w:val="none" w:sz="0" w:space="0" w:color="auto"/>
        <w:left w:val="none" w:sz="0" w:space="0" w:color="auto"/>
        <w:bottom w:val="none" w:sz="0" w:space="0" w:color="auto"/>
        <w:right w:val="none" w:sz="0" w:space="0" w:color="auto"/>
      </w:divBdr>
    </w:div>
    <w:div w:id="756099280">
      <w:bodyDiv w:val="1"/>
      <w:marLeft w:val="0"/>
      <w:marRight w:val="0"/>
      <w:marTop w:val="0"/>
      <w:marBottom w:val="0"/>
      <w:divBdr>
        <w:top w:val="none" w:sz="0" w:space="0" w:color="auto"/>
        <w:left w:val="none" w:sz="0" w:space="0" w:color="auto"/>
        <w:bottom w:val="none" w:sz="0" w:space="0" w:color="auto"/>
        <w:right w:val="none" w:sz="0" w:space="0" w:color="auto"/>
      </w:divBdr>
    </w:div>
    <w:div w:id="757139031">
      <w:bodyDiv w:val="1"/>
      <w:marLeft w:val="0"/>
      <w:marRight w:val="0"/>
      <w:marTop w:val="0"/>
      <w:marBottom w:val="0"/>
      <w:divBdr>
        <w:top w:val="none" w:sz="0" w:space="0" w:color="auto"/>
        <w:left w:val="none" w:sz="0" w:space="0" w:color="auto"/>
        <w:bottom w:val="none" w:sz="0" w:space="0" w:color="auto"/>
        <w:right w:val="none" w:sz="0" w:space="0" w:color="auto"/>
      </w:divBdr>
    </w:div>
    <w:div w:id="792988810">
      <w:bodyDiv w:val="1"/>
      <w:marLeft w:val="0"/>
      <w:marRight w:val="0"/>
      <w:marTop w:val="0"/>
      <w:marBottom w:val="0"/>
      <w:divBdr>
        <w:top w:val="none" w:sz="0" w:space="0" w:color="auto"/>
        <w:left w:val="none" w:sz="0" w:space="0" w:color="auto"/>
        <w:bottom w:val="none" w:sz="0" w:space="0" w:color="auto"/>
        <w:right w:val="none" w:sz="0" w:space="0" w:color="auto"/>
      </w:divBdr>
    </w:div>
    <w:div w:id="813064738">
      <w:bodyDiv w:val="1"/>
      <w:marLeft w:val="0"/>
      <w:marRight w:val="0"/>
      <w:marTop w:val="0"/>
      <w:marBottom w:val="0"/>
      <w:divBdr>
        <w:top w:val="none" w:sz="0" w:space="0" w:color="auto"/>
        <w:left w:val="none" w:sz="0" w:space="0" w:color="auto"/>
        <w:bottom w:val="none" w:sz="0" w:space="0" w:color="auto"/>
        <w:right w:val="none" w:sz="0" w:space="0" w:color="auto"/>
      </w:divBdr>
    </w:div>
    <w:div w:id="910623912">
      <w:bodyDiv w:val="1"/>
      <w:marLeft w:val="0"/>
      <w:marRight w:val="0"/>
      <w:marTop w:val="0"/>
      <w:marBottom w:val="0"/>
      <w:divBdr>
        <w:top w:val="none" w:sz="0" w:space="0" w:color="auto"/>
        <w:left w:val="none" w:sz="0" w:space="0" w:color="auto"/>
        <w:bottom w:val="none" w:sz="0" w:space="0" w:color="auto"/>
        <w:right w:val="none" w:sz="0" w:space="0" w:color="auto"/>
      </w:divBdr>
    </w:div>
    <w:div w:id="1253007123">
      <w:bodyDiv w:val="1"/>
      <w:marLeft w:val="0"/>
      <w:marRight w:val="0"/>
      <w:marTop w:val="0"/>
      <w:marBottom w:val="0"/>
      <w:divBdr>
        <w:top w:val="none" w:sz="0" w:space="0" w:color="auto"/>
        <w:left w:val="none" w:sz="0" w:space="0" w:color="auto"/>
        <w:bottom w:val="none" w:sz="0" w:space="0" w:color="auto"/>
        <w:right w:val="none" w:sz="0" w:space="0" w:color="auto"/>
      </w:divBdr>
    </w:div>
    <w:div w:id="1256016570">
      <w:bodyDiv w:val="1"/>
      <w:marLeft w:val="0"/>
      <w:marRight w:val="0"/>
      <w:marTop w:val="0"/>
      <w:marBottom w:val="0"/>
      <w:divBdr>
        <w:top w:val="none" w:sz="0" w:space="0" w:color="auto"/>
        <w:left w:val="none" w:sz="0" w:space="0" w:color="auto"/>
        <w:bottom w:val="none" w:sz="0" w:space="0" w:color="auto"/>
        <w:right w:val="none" w:sz="0" w:space="0" w:color="auto"/>
      </w:divBdr>
    </w:div>
    <w:div w:id="1491753536">
      <w:bodyDiv w:val="1"/>
      <w:marLeft w:val="0"/>
      <w:marRight w:val="0"/>
      <w:marTop w:val="0"/>
      <w:marBottom w:val="0"/>
      <w:divBdr>
        <w:top w:val="none" w:sz="0" w:space="0" w:color="auto"/>
        <w:left w:val="none" w:sz="0" w:space="0" w:color="auto"/>
        <w:bottom w:val="none" w:sz="0" w:space="0" w:color="auto"/>
        <w:right w:val="none" w:sz="0" w:space="0" w:color="auto"/>
      </w:divBdr>
    </w:div>
    <w:div w:id="1588344403">
      <w:bodyDiv w:val="1"/>
      <w:marLeft w:val="0"/>
      <w:marRight w:val="0"/>
      <w:marTop w:val="0"/>
      <w:marBottom w:val="0"/>
      <w:divBdr>
        <w:top w:val="none" w:sz="0" w:space="0" w:color="auto"/>
        <w:left w:val="none" w:sz="0" w:space="0" w:color="auto"/>
        <w:bottom w:val="none" w:sz="0" w:space="0" w:color="auto"/>
        <w:right w:val="none" w:sz="0" w:space="0" w:color="auto"/>
      </w:divBdr>
    </w:div>
    <w:div w:id="1672173449">
      <w:bodyDiv w:val="1"/>
      <w:marLeft w:val="0"/>
      <w:marRight w:val="0"/>
      <w:marTop w:val="0"/>
      <w:marBottom w:val="0"/>
      <w:divBdr>
        <w:top w:val="none" w:sz="0" w:space="0" w:color="auto"/>
        <w:left w:val="none" w:sz="0" w:space="0" w:color="auto"/>
        <w:bottom w:val="none" w:sz="0" w:space="0" w:color="auto"/>
        <w:right w:val="none" w:sz="0" w:space="0" w:color="auto"/>
      </w:divBdr>
    </w:div>
    <w:div w:id="1771462311">
      <w:bodyDiv w:val="1"/>
      <w:marLeft w:val="0"/>
      <w:marRight w:val="0"/>
      <w:marTop w:val="0"/>
      <w:marBottom w:val="0"/>
      <w:divBdr>
        <w:top w:val="none" w:sz="0" w:space="0" w:color="auto"/>
        <w:left w:val="none" w:sz="0" w:space="0" w:color="auto"/>
        <w:bottom w:val="none" w:sz="0" w:space="0" w:color="auto"/>
        <w:right w:val="none" w:sz="0" w:space="0" w:color="auto"/>
      </w:divBdr>
      <w:divsChild>
        <w:div w:id="1683968048">
          <w:marLeft w:val="0"/>
          <w:marRight w:val="0"/>
          <w:marTop w:val="0"/>
          <w:marBottom w:val="0"/>
          <w:divBdr>
            <w:top w:val="none" w:sz="0" w:space="0" w:color="auto"/>
            <w:left w:val="none" w:sz="0" w:space="0" w:color="auto"/>
            <w:bottom w:val="none" w:sz="0" w:space="0" w:color="auto"/>
            <w:right w:val="none" w:sz="0" w:space="0" w:color="auto"/>
          </w:divBdr>
        </w:div>
        <w:div w:id="1655792315">
          <w:marLeft w:val="0"/>
          <w:marRight w:val="0"/>
          <w:marTop w:val="0"/>
          <w:marBottom w:val="0"/>
          <w:divBdr>
            <w:top w:val="none" w:sz="0" w:space="0" w:color="auto"/>
            <w:left w:val="none" w:sz="0" w:space="0" w:color="auto"/>
            <w:bottom w:val="none" w:sz="0" w:space="0" w:color="auto"/>
            <w:right w:val="none" w:sz="0" w:space="0" w:color="auto"/>
          </w:divBdr>
        </w:div>
        <w:div w:id="1446847406">
          <w:marLeft w:val="0"/>
          <w:marRight w:val="0"/>
          <w:marTop w:val="0"/>
          <w:marBottom w:val="0"/>
          <w:divBdr>
            <w:top w:val="none" w:sz="0" w:space="0" w:color="auto"/>
            <w:left w:val="none" w:sz="0" w:space="0" w:color="auto"/>
            <w:bottom w:val="none" w:sz="0" w:space="0" w:color="auto"/>
            <w:right w:val="none" w:sz="0" w:space="0" w:color="auto"/>
          </w:divBdr>
        </w:div>
      </w:divsChild>
    </w:div>
    <w:div w:id="1779058070">
      <w:bodyDiv w:val="1"/>
      <w:marLeft w:val="0"/>
      <w:marRight w:val="0"/>
      <w:marTop w:val="0"/>
      <w:marBottom w:val="0"/>
      <w:divBdr>
        <w:top w:val="none" w:sz="0" w:space="0" w:color="auto"/>
        <w:left w:val="none" w:sz="0" w:space="0" w:color="auto"/>
        <w:bottom w:val="none" w:sz="0" w:space="0" w:color="auto"/>
        <w:right w:val="none" w:sz="0" w:space="0" w:color="auto"/>
      </w:divBdr>
    </w:div>
    <w:div w:id="1829010801">
      <w:bodyDiv w:val="1"/>
      <w:marLeft w:val="0"/>
      <w:marRight w:val="0"/>
      <w:marTop w:val="0"/>
      <w:marBottom w:val="0"/>
      <w:divBdr>
        <w:top w:val="none" w:sz="0" w:space="0" w:color="auto"/>
        <w:left w:val="none" w:sz="0" w:space="0" w:color="auto"/>
        <w:bottom w:val="none" w:sz="0" w:space="0" w:color="auto"/>
        <w:right w:val="none" w:sz="0" w:space="0" w:color="auto"/>
      </w:divBdr>
      <w:divsChild>
        <w:div w:id="553200665">
          <w:marLeft w:val="0"/>
          <w:marRight w:val="0"/>
          <w:marTop w:val="0"/>
          <w:marBottom w:val="0"/>
          <w:divBdr>
            <w:top w:val="none" w:sz="0" w:space="0" w:color="auto"/>
            <w:left w:val="none" w:sz="0" w:space="0" w:color="auto"/>
            <w:bottom w:val="none" w:sz="0" w:space="0" w:color="auto"/>
            <w:right w:val="none" w:sz="0" w:space="0" w:color="auto"/>
          </w:divBdr>
        </w:div>
        <w:div w:id="1362509947">
          <w:marLeft w:val="0"/>
          <w:marRight w:val="0"/>
          <w:marTop w:val="0"/>
          <w:marBottom w:val="0"/>
          <w:divBdr>
            <w:top w:val="none" w:sz="0" w:space="0" w:color="auto"/>
            <w:left w:val="none" w:sz="0" w:space="0" w:color="auto"/>
            <w:bottom w:val="none" w:sz="0" w:space="0" w:color="auto"/>
            <w:right w:val="none" w:sz="0" w:space="0" w:color="auto"/>
          </w:divBdr>
        </w:div>
        <w:div w:id="925381818">
          <w:marLeft w:val="0"/>
          <w:marRight w:val="0"/>
          <w:marTop w:val="0"/>
          <w:marBottom w:val="0"/>
          <w:divBdr>
            <w:top w:val="none" w:sz="0" w:space="0" w:color="auto"/>
            <w:left w:val="none" w:sz="0" w:space="0" w:color="auto"/>
            <w:bottom w:val="none" w:sz="0" w:space="0" w:color="auto"/>
            <w:right w:val="none" w:sz="0" w:space="0" w:color="auto"/>
          </w:divBdr>
        </w:div>
      </w:divsChild>
    </w:div>
    <w:div w:id="2002658522">
      <w:bodyDiv w:val="1"/>
      <w:marLeft w:val="0"/>
      <w:marRight w:val="0"/>
      <w:marTop w:val="0"/>
      <w:marBottom w:val="0"/>
      <w:divBdr>
        <w:top w:val="none" w:sz="0" w:space="0" w:color="auto"/>
        <w:left w:val="none" w:sz="0" w:space="0" w:color="auto"/>
        <w:bottom w:val="none" w:sz="0" w:space="0" w:color="auto"/>
        <w:right w:val="none" w:sz="0" w:space="0" w:color="auto"/>
      </w:divBdr>
    </w:div>
    <w:div w:id="2103915846">
      <w:bodyDiv w:val="1"/>
      <w:marLeft w:val="0"/>
      <w:marRight w:val="0"/>
      <w:marTop w:val="0"/>
      <w:marBottom w:val="0"/>
      <w:divBdr>
        <w:top w:val="none" w:sz="0" w:space="0" w:color="auto"/>
        <w:left w:val="none" w:sz="0" w:space="0" w:color="auto"/>
        <w:bottom w:val="none" w:sz="0" w:space="0" w:color="auto"/>
        <w:right w:val="none" w:sz="0" w:space="0" w:color="auto"/>
      </w:divBdr>
      <w:divsChild>
        <w:div w:id="2074043928">
          <w:marLeft w:val="0"/>
          <w:marRight w:val="0"/>
          <w:marTop w:val="0"/>
          <w:marBottom w:val="0"/>
          <w:divBdr>
            <w:top w:val="none" w:sz="0" w:space="0" w:color="auto"/>
            <w:left w:val="none" w:sz="0" w:space="0" w:color="auto"/>
            <w:bottom w:val="none" w:sz="0" w:space="0" w:color="auto"/>
            <w:right w:val="none" w:sz="0" w:space="0" w:color="auto"/>
          </w:divBdr>
        </w:div>
        <w:div w:id="1596357126">
          <w:marLeft w:val="0"/>
          <w:marRight w:val="0"/>
          <w:marTop w:val="0"/>
          <w:marBottom w:val="0"/>
          <w:divBdr>
            <w:top w:val="none" w:sz="0" w:space="0" w:color="auto"/>
            <w:left w:val="none" w:sz="0" w:space="0" w:color="auto"/>
            <w:bottom w:val="none" w:sz="0" w:space="0" w:color="auto"/>
            <w:right w:val="none" w:sz="0" w:space="0" w:color="auto"/>
          </w:divBdr>
        </w:div>
        <w:div w:id="1399480914">
          <w:marLeft w:val="0"/>
          <w:marRight w:val="0"/>
          <w:marTop w:val="0"/>
          <w:marBottom w:val="0"/>
          <w:divBdr>
            <w:top w:val="none" w:sz="0" w:space="0" w:color="auto"/>
            <w:left w:val="none" w:sz="0" w:space="0" w:color="auto"/>
            <w:bottom w:val="none" w:sz="0" w:space="0" w:color="auto"/>
            <w:right w:val="none" w:sz="0" w:space="0" w:color="auto"/>
          </w:divBdr>
        </w:div>
      </w:divsChild>
    </w:div>
    <w:div w:id="2104061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eader" Target="header8.xml"/><Relationship Id="rId42" Type="http://schemas.openxmlformats.org/officeDocument/2006/relationships/header" Target="header27.xml"/><Relationship Id="rId47" Type="http://schemas.openxmlformats.org/officeDocument/2006/relationships/header" Target="header32.xml"/><Relationship Id="rId63" Type="http://schemas.openxmlformats.org/officeDocument/2006/relationships/header" Target="header45.xml"/><Relationship Id="rId68" Type="http://schemas.openxmlformats.org/officeDocument/2006/relationships/header" Target="header49.xml"/><Relationship Id="rId84" Type="http://schemas.openxmlformats.org/officeDocument/2006/relationships/header" Target="header60.xml"/><Relationship Id="rId89" Type="http://schemas.openxmlformats.org/officeDocument/2006/relationships/header" Target="header64.xml"/><Relationship Id="rId16" Type="http://schemas.openxmlformats.org/officeDocument/2006/relationships/header" Target="header4.xml"/><Relationship Id="rId11" Type="http://schemas.microsoft.com/office/2018/08/relationships/commentsExtensible" Target="commentsExtensible.xml"/><Relationship Id="rId32" Type="http://schemas.openxmlformats.org/officeDocument/2006/relationships/header" Target="header18.xml"/><Relationship Id="rId37" Type="http://schemas.openxmlformats.org/officeDocument/2006/relationships/header" Target="header23.xml"/><Relationship Id="rId53" Type="http://schemas.openxmlformats.org/officeDocument/2006/relationships/header" Target="header36.xml"/><Relationship Id="rId58" Type="http://schemas.openxmlformats.org/officeDocument/2006/relationships/header" Target="header41.xml"/><Relationship Id="rId74" Type="http://schemas.openxmlformats.org/officeDocument/2006/relationships/header" Target="header53.xml"/><Relationship Id="rId79" Type="http://schemas.openxmlformats.org/officeDocument/2006/relationships/hyperlink" Target="file:///Users/portia/Dropbox/VCU_PhD_Year%203&amp;4/GRA/Rwanda-Model/Calibration/Calibration%20documentation/Beta%20distribution-probability%20of%20HIV%20testing_new.xlsx" TargetMode="External"/><Relationship Id="rId5" Type="http://schemas.openxmlformats.org/officeDocument/2006/relationships/webSettings" Target="webSettings.xml"/><Relationship Id="rId90" Type="http://schemas.openxmlformats.org/officeDocument/2006/relationships/header" Target="header65.xml"/><Relationship Id="rId95" Type="http://schemas.openxmlformats.org/officeDocument/2006/relationships/hyperlink" Target="https://dhsprogram.com/what-we-do/survey/survey-display-468.cfm" TargetMode="External"/><Relationship Id="rId22" Type="http://schemas.openxmlformats.org/officeDocument/2006/relationships/header" Target="header9.xml"/><Relationship Id="rId27" Type="http://schemas.openxmlformats.org/officeDocument/2006/relationships/header" Target="header13.xml"/><Relationship Id="rId43" Type="http://schemas.openxmlformats.org/officeDocument/2006/relationships/header" Target="header28.xml"/><Relationship Id="rId48" Type="http://schemas.openxmlformats.org/officeDocument/2006/relationships/footer" Target="footer3.xml"/><Relationship Id="rId64" Type="http://schemas.openxmlformats.org/officeDocument/2006/relationships/header" Target="header46.xml"/><Relationship Id="rId69" Type="http://schemas.openxmlformats.org/officeDocument/2006/relationships/header" Target="header50.xml"/><Relationship Id="rId80" Type="http://schemas.openxmlformats.org/officeDocument/2006/relationships/hyperlink" Target="file:///Users/portia/Dropbox/VCU_PhD_Year%203&amp;4/GRA/Rwanda-Model/Calibration/Calibration%20documentation/Beta%20distribution%20for%20condom%20use.xlsx" TargetMode="External"/><Relationship Id="rId85" Type="http://schemas.openxmlformats.org/officeDocument/2006/relationships/header" Target="header61.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header" Target="header12.xml"/><Relationship Id="rId33" Type="http://schemas.openxmlformats.org/officeDocument/2006/relationships/header" Target="header19.xml"/><Relationship Id="rId38" Type="http://schemas.openxmlformats.org/officeDocument/2006/relationships/footer" Target="footer2.xml"/><Relationship Id="rId46" Type="http://schemas.openxmlformats.org/officeDocument/2006/relationships/header" Target="header31.xml"/><Relationship Id="rId59" Type="http://schemas.openxmlformats.org/officeDocument/2006/relationships/footer" Target="footer5.xml"/><Relationship Id="rId67" Type="http://schemas.openxmlformats.org/officeDocument/2006/relationships/header" Target="header48.xml"/><Relationship Id="rId20" Type="http://schemas.openxmlformats.org/officeDocument/2006/relationships/header" Target="header7.xml"/><Relationship Id="rId41" Type="http://schemas.openxmlformats.org/officeDocument/2006/relationships/header" Target="header26.xml"/><Relationship Id="rId54" Type="http://schemas.openxmlformats.org/officeDocument/2006/relationships/header" Target="header37.xml"/><Relationship Id="rId62" Type="http://schemas.openxmlformats.org/officeDocument/2006/relationships/header" Target="header44.xml"/><Relationship Id="rId70" Type="http://schemas.openxmlformats.org/officeDocument/2006/relationships/footer" Target="footer7.xml"/><Relationship Id="rId75" Type="http://schemas.openxmlformats.org/officeDocument/2006/relationships/header" Target="header54.xml"/><Relationship Id="rId83" Type="http://schemas.openxmlformats.org/officeDocument/2006/relationships/footer" Target="footer9.xml"/><Relationship Id="rId88" Type="http://schemas.openxmlformats.org/officeDocument/2006/relationships/header" Target="header63.xml"/><Relationship Id="rId91" Type="http://schemas.openxmlformats.org/officeDocument/2006/relationships/header" Target="header66.xml"/><Relationship Id="rId96" Type="http://schemas.openxmlformats.org/officeDocument/2006/relationships/header" Target="header6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header" Target="header33.xml"/><Relationship Id="rId57" Type="http://schemas.openxmlformats.org/officeDocument/2006/relationships/header" Target="header40.xml"/><Relationship Id="rId10" Type="http://schemas.microsoft.com/office/2016/09/relationships/commentsIds" Target="commentsIds.xml"/><Relationship Id="rId31" Type="http://schemas.openxmlformats.org/officeDocument/2006/relationships/header" Target="header17.xml"/><Relationship Id="rId44" Type="http://schemas.openxmlformats.org/officeDocument/2006/relationships/header" Target="header29.xml"/><Relationship Id="rId52" Type="http://schemas.openxmlformats.org/officeDocument/2006/relationships/footer" Target="footer4.xml"/><Relationship Id="rId60" Type="http://schemas.openxmlformats.org/officeDocument/2006/relationships/header" Target="header42.xml"/><Relationship Id="rId65" Type="http://schemas.openxmlformats.org/officeDocument/2006/relationships/header" Target="header47.xml"/><Relationship Id="rId73" Type="http://schemas.openxmlformats.org/officeDocument/2006/relationships/header" Target="header52.xml"/><Relationship Id="rId78" Type="http://schemas.openxmlformats.org/officeDocument/2006/relationships/header" Target="header57.xml"/><Relationship Id="rId81" Type="http://schemas.openxmlformats.org/officeDocument/2006/relationships/header" Target="header58.xml"/><Relationship Id="rId86" Type="http://schemas.openxmlformats.org/officeDocument/2006/relationships/header" Target="header62.xml"/><Relationship Id="rId94" Type="http://schemas.openxmlformats.org/officeDocument/2006/relationships/hyperlink" Target="https://dhsprogram.com/what-we-do/survey/survey-display-364.cfm" TargetMode="Externa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header" Target="header6.xml"/><Relationship Id="rId39" Type="http://schemas.openxmlformats.org/officeDocument/2006/relationships/header" Target="header24.xml"/><Relationship Id="rId34" Type="http://schemas.openxmlformats.org/officeDocument/2006/relationships/header" Target="header20.xml"/><Relationship Id="rId50" Type="http://schemas.openxmlformats.org/officeDocument/2006/relationships/header" Target="header34.xml"/><Relationship Id="rId55" Type="http://schemas.openxmlformats.org/officeDocument/2006/relationships/header" Target="header38.xml"/><Relationship Id="rId76" Type="http://schemas.openxmlformats.org/officeDocument/2006/relationships/header" Target="header55.xml"/><Relationship Id="rId97" Type="http://schemas.openxmlformats.org/officeDocument/2006/relationships/header" Target="header68.xml"/><Relationship Id="rId7" Type="http://schemas.openxmlformats.org/officeDocument/2006/relationships/endnotes" Target="endnotes.xml"/><Relationship Id="rId71" Type="http://schemas.openxmlformats.org/officeDocument/2006/relationships/footer" Target="footer8.xml"/><Relationship Id="rId92" Type="http://schemas.openxmlformats.org/officeDocument/2006/relationships/hyperlink" Target="https://datacatalog.worldbank.org/dataset/population-estimates-and-projections" TargetMode="External"/><Relationship Id="rId2" Type="http://schemas.openxmlformats.org/officeDocument/2006/relationships/numbering" Target="numbering.xml"/><Relationship Id="rId29" Type="http://schemas.openxmlformats.org/officeDocument/2006/relationships/header" Target="header15.xml"/><Relationship Id="rId24" Type="http://schemas.openxmlformats.org/officeDocument/2006/relationships/header" Target="header11.xml"/><Relationship Id="rId40" Type="http://schemas.openxmlformats.org/officeDocument/2006/relationships/header" Target="header25.xml"/><Relationship Id="rId45" Type="http://schemas.openxmlformats.org/officeDocument/2006/relationships/header" Target="header30.xml"/><Relationship Id="rId66" Type="http://schemas.openxmlformats.org/officeDocument/2006/relationships/footer" Target="footer6.xml"/><Relationship Id="rId87" Type="http://schemas.openxmlformats.org/officeDocument/2006/relationships/footer" Target="footer10.xml"/><Relationship Id="rId61" Type="http://schemas.openxmlformats.org/officeDocument/2006/relationships/header" Target="header43.xml"/><Relationship Id="rId82" Type="http://schemas.openxmlformats.org/officeDocument/2006/relationships/header" Target="header59.xml"/><Relationship Id="rId19" Type="http://schemas.openxmlformats.org/officeDocument/2006/relationships/image" Target="media/image1.jpg"/><Relationship Id="rId14" Type="http://schemas.openxmlformats.org/officeDocument/2006/relationships/footer" Target="footer1.xml"/><Relationship Id="rId30" Type="http://schemas.openxmlformats.org/officeDocument/2006/relationships/header" Target="header16.xml"/><Relationship Id="rId35" Type="http://schemas.openxmlformats.org/officeDocument/2006/relationships/header" Target="header21.xml"/><Relationship Id="rId56" Type="http://schemas.openxmlformats.org/officeDocument/2006/relationships/header" Target="header39.xml"/><Relationship Id="rId77" Type="http://schemas.openxmlformats.org/officeDocument/2006/relationships/header" Target="header56.xml"/><Relationship Id="rId100" Type="http://schemas.microsoft.com/office/2011/relationships/people" Target="people.xml"/><Relationship Id="rId8" Type="http://schemas.openxmlformats.org/officeDocument/2006/relationships/comments" Target="comments.xml"/><Relationship Id="rId51" Type="http://schemas.openxmlformats.org/officeDocument/2006/relationships/header" Target="header35.xml"/><Relationship Id="rId72" Type="http://schemas.openxmlformats.org/officeDocument/2006/relationships/header" Target="header51.xml"/><Relationship Id="rId93" Type="http://schemas.openxmlformats.org/officeDocument/2006/relationships/hyperlink" Target="https://dhsprogram.com/what-we-do/survey/survey-display-252.cfm" TargetMode="External"/><Relationship Id="rId98" Type="http://schemas.openxmlformats.org/officeDocument/2006/relationships/header" Target="header69.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59983-A32E-4A1A-9E48-5CABBEAE0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120</Pages>
  <Words>111731</Words>
  <Characters>636867</Characters>
  <Application>Microsoft Office Word</Application>
  <DocSecurity>0</DocSecurity>
  <Lines>5307</Lines>
  <Paragraphs>1494</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747104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zz</dc:creator>
  <cp:keywords/>
  <dc:description/>
  <cp:lastModifiedBy>Zhongzhe Pan</cp:lastModifiedBy>
  <cp:revision>4</cp:revision>
  <dcterms:created xsi:type="dcterms:W3CDTF">2022-02-01T20:23:00Z</dcterms:created>
  <dcterms:modified xsi:type="dcterms:W3CDTF">2023-06-26T13:39:00Z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fe2af630-88a7-3cd3-ad8b-b2aae20cd4a3</vt:lpwstr>
  </property>
  <property fmtid="{D5CDD505-2E9C-101B-9397-08002B2CF9AE}" pid="24" name="Mendeley Citation Style_1">
    <vt:lpwstr>http://www.zotero.org/styles/american-medical-association</vt:lpwstr>
  </property>
</Properties>
</file>