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[NAME OF UNIVERSITY / COLLEGE]</w:t>
      </w:r>
    </w:p>
    <w:p>
      <w:pPr>
        <w:jc w:val="center"/>
      </w:pPr>
      <w:r>
        <w:rPr>
          <w:i w:val="0"/>
        </w:rPr>
        <w:t>[SCHOOL / FACULTY]</w:t>
      </w:r>
    </w:p>
    <w:p>
      <w:pPr>
        <w:jc w:val="center"/>
      </w:pPr>
      <w:r>
        <w:rPr>
          <w:i w:val="0"/>
        </w:rPr>
        <w:t>DEPARTMENT OF AGRICULTURAL ENGINEERING / [OFFICIAL DEPARTMENT NAME]</w:t>
      </w:r>
    </w:p>
    <w:p>
      <w:pPr>
        <w:jc w:val="center"/>
      </w:pPr>
      <w:r>
        <w:rPr>
          <w:b/>
          <w:i w:val="0"/>
        </w:rPr>
        <w:br/>
        <w:br/>
        <w:t>DESIGN AND FIELD EVALUATION OF A LOW-COST, OFFLINE-CAPABLE IoT SYSTEM FOR POULTRY-HOUSE HEALTH MONITORING AND NEWCASTLE DISEASE RISK ALERTING IN [COUNTY], KENYA</w:t>
      </w:r>
    </w:p>
    <w:p>
      <w:pPr>
        <w:jc w:val="center"/>
      </w:pPr>
      <w:r>
        <w:rPr>
          <w:i w:val="0"/>
        </w:rPr>
        <w:br/>
        <w:br/>
        <w:t>A RESEARCH PROPOSAL SUBMITTED IN PARTIAL FULFILMENT OF THE REQUIREMENTS FOR THE AWARD OF [DEGREE / DIPLOMA] IN [PROGRAMME NAME]</w:t>
      </w:r>
    </w:p>
    <w:p>
      <w:pPr>
        <w:jc w:val="center"/>
      </w:pPr>
      <w:r>
        <w:rPr>
          <w:i w:val="0"/>
        </w:rPr>
        <w:br/>
        <w:br/>
        <w:t>BY</w:t>
        <w:br/>
        <w:t>[STUDENT FULL NAME]</w:t>
        <w:br/>
        <w:t>REGISTRATION NUMBER: [REGISTRATION NUMBER]</w:t>
        <w:br/>
        <w:br/>
        <w:t>SUPERVISOR: [SUPERVISOR NAME AND TITLE]</w:t>
        <w:br/>
        <w:br/>
        <w:t>[MONTH, YEAR]</w:t>
      </w:r>
    </w:p>
    <w:p>
      <w:r>
        <w:br w:type="page"/>
      </w:r>
    </w:p>
    <w:p>
      <w:pPr>
        <w:pStyle w:val="Heading1"/>
      </w:pPr>
      <w:r>
        <w:t>DECLARATION</w:t>
      </w:r>
    </w:p>
    <w:p>
      <w:r>
        <w:rPr>
          <w:i w:val="0"/>
        </w:rPr>
        <w:t>I declare that this research proposal is my original work and has not been presented to any other institution for an academic award. Sources used have been acknowledged in the text and reference list.</w:t>
      </w:r>
    </w:p>
    <w:p>
      <w:r>
        <w:rPr>
          <w:i w:val="0"/>
        </w:rPr>
        <w:br/>
        <w:t>Student name: ______________________________    Signature: __________________    Date: ______________</w:t>
      </w:r>
    </w:p>
    <w:p>
      <w:r>
        <w:rPr>
          <w:i w:val="0"/>
        </w:rPr>
        <w:br/>
        <w:t>Supervisor: __________________________________    Signature: __________________    Date: ______________</w:t>
      </w:r>
    </w:p>
    <w:p>
      <w:r>
        <w:br w:type="page"/>
      </w:r>
    </w:p>
    <w:p>
      <w:pPr>
        <w:pStyle w:val="Heading1"/>
      </w:pPr>
      <w:r>
        <w:t>DEDICATION</w:t>
      </w:r>
    </w:p>
    <w:p>
      <w:r>
        <w:rPr>
          <w:i w:val="0"/>
        </w:rPr>
        <w:t>This proposal is dedicated to poultry farmers and animal-health professionals working to protect flock health and sustain poultry livelihoods in Kenya.</w:t>
      </w:r>
    </w:p>
    <w:p>
      <w:r>
        <w:br w:type="page"/>
      </w:r>
    </w:p>
    <w:p>
      <w:pPr>
        <w:pStyle w:val="Heading1"/>
      </w:pPr>
      <w:r>
        <w:t>ACKNOWLEDGEMENTS</w:t>
      </w:r>
    </w:p>
    <w:p>
      <w:r>
        <w:rPr>
          <w:i w:val="0"/>
        </w:rPr>
        <w:t>I wish to acknowledge the guidance of my supervisor and the support of the Department of Agricultural Engineering. I also acknowledge the poultry farmers, veterinary and extension personnel, and technical contributors whose participation and advice will support this study. This section will be updated to reflect actual contributions.</w:t>
      </w:r>
    </w:p>
    <w:p>
      <w:r>
        <w:br w:type="page"/>
      </w:r>
    </w:p>
    <w:p>
      <w:pPr>
        <w:pStyle w:val="Heading1"/>
      </w:pPr>
      <w:r>
        <w:t>LIST OF TABLES</w:t>
      </w:r>
    </w:p>
    <w:p>
      <w:r>
        <w:rPr>
          <w:i/>
        </w:rPr>
        <w:t>Table 1: Conceptual framework variables and expected relationship</w:t>
        <w:br/>
        <w:t>Table 2: Proposed work plan</w:t>
        <w:br/>
        <w:t>Table 3: Preliminary budget framework</w:t>
      </w:r>
    </w:p>
    <w:p>
      <w:pPr>
        <w:pStyle w:val="Heading1"/>
      </w:pPr>
      <w:r>
        <w:t>LIST OF FIGURES</w:t>
      </w:r>
    </w:p>
    <w:p>
      <w:r>
        <w:rPr>
          <w:i/>
        </w:rPr>
        <w:t>Figure 1: Conceptual framework for the proposed IoT poultry monitoring and risk-alert system</w:t>
      </w:r>
    </w:p>
    <w:p>
      <w:r>
        <w:br w:type="page"/>
      </w:r>
    </w:p>
    <w:p>
      <w:pPr>
        <w:pStyle w:val="Heading1"/>
      </w:pPr>
      <w:r>
        <w:t>TABLE OF CONTENTS</w:t>
      </w:r>
    </w:p>
    <w:p>
      <w:fldSimple w:instr="TOC \o &quot;1-3&quot; \h \z \u"/>
    </w:p>
    <w:p>
      <w:r>
        <w:rPr>
          <w:i/>
        </w:rPr>
        <w:t>In Word, right-click the table of contents and select Update Field → Update entire table after editing.</w:t>
      </w:r>
    </w:p>
    <w:p>
      <w:r>
        <w:br w:type="page"/>
      </w:r>
    </w:p>
    <w:p>
      <w:pPr>
        <w:pStyle w:val="Heading1"/>
      </w:pPr>
      <w:r>
        <w:t>ABSTRACT</w:t>
      </w:r>
    </w:p>
    <w:p>
      <w:r>
        <w:rPr>
          <w:i w:val="0"/>
        </w:rPr>
        <w:t>Newcastle Disease (ND) is an important constraint to poultry production in Kenya, while routine flock-health assessment often depends on periodic human observation. This proposal presents the design and pilot evaluation of a low-cost, offline-capable Internet of Things (IoT) system for continuous poultry-house monitoring and ND risk alerting. The prototype will combine an ESP32-S3 sensor node with acoustic, infrared surface-temperature, motion, and ambient temperature/humidity measurements. MQTT telemetry will be processed by a local gateway using transparent threshold/rule-based analysis, with optional local AI-generated explanations; alerts will be displayed through an operator dashboard. The study will use an applied design-and-development approach with a mixed-methods pilot at purposively selected poultry farms in [County], Kenya. Technical evaluation will measure sensor agreement against reference instruments, data availability, communication reliability, alert latency, and false-alert frequency. Farmer and animal-health stakeholder feedback will assess usability and practical feasibility. Where veterinary or laboratory reference labels are available, the study will report agreement and classification metrics; the device will not be presented as a substitute for veterinary examination or laboratory confirmation. The expected output is a tested prototype and evidence on its operational suitability for Kenyan poultry-house conditions, together with recommendations for improvement and further validation.</w:t>
      </w:r>
    </w:p>
    <w:p>
      <w:r>
        <w:br w:type="page"/>
      </w:r>
    </w:p>
    <w:p>
      <w:pPr>
        <w:pStyle w:val="Heading1"/>
      </w:pPr>
      <w:r>
        <w:t>LIST OF ACRONYMS</w:t>
      </w:r>
    </w:p>
    <w:tbl>
      <w:tblPr>
        <w:tblStyle w:val="TableGrid"/>
        <w:tblW w:type="auto" w:w="0"/>
        <w:jc w:val="center"/>
        <w:tblLook w:firstColumn="1" w:firstRow="1" w:lastColumn="0" w:lastRow="0" w:noHBand="0" w:noVBand="1" w:val="04A0"/>
      </w:tblPr>
      <w:tblGrid>
        <w:gridCol w:w="4788"/>
        <w:gridCol w:w="4788"/>
      </w:tblGrid>
      <w:tr>
        <w:tc>
          <w:tcPr>
            <w:tcW w:type="dxa" w:w="4788"/>
            <w:shd w:fill="D9EAF7"/>
            <w:vAlign w:val="center"/>
          </w:tcPr>
          <w:p>
            <w:pPr>
              <w:spacing w:after="40" w:line="240" w:lineRule="auto"/>
            </w:pPr>
            <w:r>
              <w:rPr>
                <w:rFonts w:ascii="Times New Roman" w:hAnsi="Times New Roman"/>
                <w:sz w:val="20"/>
              </w:rPr>
              <w:t>Acronym</w:t>
            </w:r>
          </w:p>
        </w:tc>
        <w:tc>
          <w:tcPr>
            <w:tcW w:type="dxa" w:w="4788"/>
            <w:shd w:fill="D9EAF7"/>
            <w:vAlign w:val="center"/>
          </w:tcPr>
          <w:p>
            <w:pPr>
              <w:spacing w:after="40" w:line="240" w:lineRule="auto"/>
            </w:pPr>
            <w:r>
              <w:rPr>
                <w:rFonts w:ascii="Times New Roman" w:hAnsi="Times New Roman"/>
                <w:sz w:val="20"/>
              </w:rPr>
              <w:t>Meaning</w:t>
            </w:r>
          </w:p>
        </w:tc>
      </w:tr>
      <w:tr>
        <w:tc>
          <w:tcPr>
            <w:tcW w:type="dxa" w:w="4788"/>
            <w:vAlign w:val="center"/>
          </w:tcPr>
          <w:p>
            <w:pPr>
              <w:spacing w:after="40" w:line="240" w:lineRule="auto"/>
            </w:pPr>
            <w:r>
              <w:rPr>
                <w:rFonts w:ascii="Times New Roman" w:hAnsi="Times New Roman"/>
                <w:sz w:val="20"/>
              </w:rPr>
              <w:t>AI</w:t>
            </w:r>
          </w:p>
        </w:tc>
        <w:tc>
          <w:tcPr>
            <w:tcW w:type="dxa" w:w="4788"/>
            <w:vAlign w:val="center"/>
          </w:tcPr>
          <w:p>
            <w:pPr>
              <w:spacing w:after="40" w:line="240" w:lineRule="auto"/>
            </w:pPr>
            <w:r>
              <w:rPr>
                <w:rFonts w:ascii="Times New Roman" w:hAnsi="Times New Roman"/>
                <w:sz w:val="20"/>
              </w:rPr>
              <w:t>Artificial Intelligence</w:t>
            </w:r>
          </w:p>
        </w:tc>
      </w:tr>
      <w:tr>
        <w:tc>
          <w:tcPr>
            <w:tcW w:type="dxa" w:w="4788"/>
            <w:vAlign w:val="center"/>
          </w:tcPr>
          <w:p>
            <w:pPr>
              <w:spacing w:after="40" w:line="240" w:lineRule="auto"/>
            </w:pPr>
            <w:r>
              <w:rPr>
                <w:rFonts w:ascii="Times New Roman" w:hAnsi="Times New Roman"/>
                <w:sz w:val="20"/>
              </w:rPr>
              <w:t>API</w:t>
            </w:r>
          </w:p>
        </w:tc>
        <w:tc>
          <w:tcPr>
            <w:tcW w:type="dxa" w:w="4788"/>
            <w:vAlign w:val="center"/>
          </w:tcPr>
          <w:p>
            <w:pPr>
              <w:spacing w:after="40" w:line="240" w:lineRule="auto"/>
            </w:pPr>
            <w:r>
              <w:rPr>
                <w:rFonts w:ascii="Times New Roman" w:hAnsi="Times New Roman"/>
                <w:sz w:val="20"/>
              </w:rPr>
              <w:t>Application Programming Interface</w:t>
            </w:r>
          </w:p>
        </w:tc>
      </w:tr>
      <w:tr>
        <w:tc>
          <w:tcPr>
            <w:tcW w:type="dxa" w:w="4788"/>
            <w:vAlign w:val="center"/>
          </w:tcPr>
          <w:p>
            <w:pPr>
              <w:spacing w:after="40" w:line="240" w:lineRule="auto"/>
            </w:pPr>
            <w:r>
              <w:rPr>
                <w:rFonts w:ascii="Times New Roman" w:hAnsi="Times New Roman"/>
                <w:sz w:val="20"/>
              </w:rPr>
              <w:t>ESP32-S3</w:t>
            </w:r>
          </w:p>
        </w:tc>
        <w:tc>
          <w:tcPr>
            <w:tcW w:type="dxa" w:w="4788"/>
            <w:vAlign w:val="center"/>
          </w:tcPr>
          <w:p>
            <w:pPr>
              <w:spacing w:after="40" w:line="240" w:lineRule="auto"/>
            </w:pPr>
            <w:r>
              <w:rPr>
                <w:rFonts w:ascii="Times New Roman" w:hAnsi="Times New Roman"/>
                <w:sz w:val="20"/>
              </w:rPr>
              <w:t>Espressif Systems 32-bit microcontroller, S3 series</w:t>
            </w:r>
          </w:p>
        </w:tc>
      </w:tr>
      <w:tr>
        <w:tc>
          <w:tcPr>
            <w:tcW w:type="dxa" w:w="4788"/>
            <w:vAlign w:val="center"/>
          </w:tcPr>
          <w:p>
            <w:pPr>
              <w:spacing w:after="40" w:line="240" w:lineRule="auto"/>
            </w:pPr>
            <w:r>
              <w:rPr>
                <w:rFonts w:ascii="Times New Roman" w:hAnsi="Times New Roman"/>
                <w:sz w:val="20"/>
              </w:rPr>
              <w:t>IoT</w:t>
            </w:r>
          </w:p>
        </w:tc>
        <w:tc>
          <w:tcPr>
            <w:tcW w:type="dxa" w:w="4788"/>
            <w:vAlign w:val="center"/>
          </w:tcPr>
          <w:p>
            <w:pPr>
              <w:spacing w:after="40" w:line="240" w:lineRule="auto"/>
            </w:pPr>
            <w:r>
              <w:rPr>
                <w:rFonts w:ascii="Times New Roman" w:hAnsi="Times New Roman"/>
                <w:sz w:val="20"/>
              </w:rPr>
              <w:t>Internet of Things</w:t>
            </w:r>
          </w:p>
        </w:tc>
      </w:tr>
      <w:tr>
        <w:tc>
          <w:tcPr>
            <w:tcW w:type="dxa" w:w="4788"/>
            <w:vAlign w:val="center"/>
          </w:tcPr>
          <w:p>
            <w:pPr>
              <w:spacing w:after="40" w:line="240" w:lineRule="auto"/>
            </w:pPr>
            <w:r>
              <w:rPr>
                <w:rFonts w:ascii="Times New Roman" w:hAnsi="Times New Roman"/>
                <w:sz w:val="20"/>
              </w:rPr>
              <w:t>MQTT</w:t>
            </w:r>
          </w:p>
        </w:tc>
        <w:tc>
          <w:tcPr>
            <w:tcW w:type="dxa" w:w="4788"/>
            <w:vAlign w:val="center"/>
          </w:tcPr>
          <w:p>
            <w:pPr>
              <w:spacing w:after="40" w:line="240" w:lineRule="auto"/>
            </w:pPr>
            <w:r>
              <w:rPr>
                <w:rFonts w:ascii="Times New Roman" w:hAnsi="Times New Roman"/>
                <w:sz w:val="20"/>
              </w:rPr>
              <w:t>Message Queuing Telemetry Transport</w:t>
            </w:r>
          </w:p>
        </w:tc>
      </w:tr>
      <w:tr>
        <w:tc>
          <w:tcPr>
            <w:tcW w:type="dxa" w:w="4788"/>
            <w:vAlign w:val="center"/>
          </w:tcPr>
          <w:p>
            <w:pPr>
              <w:spacing w:after="40" w:line="240" w:lineRule="auto"/>
            </w:pPr>
            <w:r>
              <w:rPr>
                <w:rFonts w:ascii="Times New Roman" w:hAnsi="Times New Roman"/>
                <w:sz w:val="20"/>
              </w:rPr>
              <w:t>ND</w:t>
            </w:r>
          </w:p>
        </w:tc>
        <w:tc>
          <w:tcPr>
            <w:tcW w:type="dxa" w:w="4788"/>
            <w:vAlign w:val="center"/>
          </w:tcPr>
          <w:p>
            <w:pPr>
              <w:spacing w:after="40" w:line="240" w:lineRule="auto"/>
            </w:pPr>
            <w:r>
              <w:rPr>
                <w:rFonts w:ascii="Times New Roman" w:hAnsi="Times New Roman"/>
                <w:sz w:val="20"/>
              </w:rPr>
              <w:t>Newcastle Disease</w:t>
            </w:r>
          </w:p>
        </w:tc>
      </w:tr>
      <w:tr>
        <w:tc>
          <w:tcPr>
            <w:tcW w:type="dxa" w:w="4788"/>
            <w:vAlign w:val="center"/>
          </w:tcPr>
          <w:p>
            <w:pPr>
              <w:spacing w:after="40" w:line="240" w:lineRule="auto"/>
            </w:pPr>
            <w:r>
              <w:rPr>
                <w:rFonts w:ascii="Times New Roman" w:hAnsi="Times New Roman"/>
                <w:sz w:val="20"/>
              </w:rPr>
              <w:t>PIR</w:t>
            </w:r>
          </w:p>
        </w:tc>
        <w:tc>
          <w:tcPr>
            <w:tcW w:type="dxa" w:w="4788"/>
            <w:vAlign w:val="center"/>
          </w:tcPr>
          <w:p>
            <w:pPr>
              <w:spacing w:after="40" w:line="240" w:lineRule="auto"/>
            </w:pPr>
            <w:r>
              <w:rPr>
                <w:rFonts w:ascii="Times New Roman" w:hAnsi="Times New Roman"/>
                <w:sz w:val="20"/>
              </w:rPr>
              <w:t>Passive Infrared</w:t>
            </w:r>
          </w:p>
        </w:tc>
      </w:tr>
      <w:tr>
        <w:tc>
          <w:tcPr>
            <w:tcW w:type="dxa" w:w="4788"/>
            <w:vAlign w:val="center"/>
          </w:tcPr>
          <w:p>
            <w:pPr>
              <w:spacing w:after="40" w:line="240" w:lineRule="auto"/>
            </w:pPr>
            <w:r>
              <w:rPr>
                <w:rFonts w:ascii="Times New Roman" w:hAnsi="Times New Roman"/>
                <w:sz w:val="20"/>
              </w:rPr>
              <w:t>SHT31</w:t>
            </w:r>
          </w:p>
        </w:tc>
        <w:tc>
          <w:tcPr>
            <w:tcW w:type="dxa" w:w="4788"/>
            <w:vAlign w:val="center"/>
          </w:tcPr>
          <w:p>
            <w:pPr>
              <w:spacing w:after="40" w:line="240" w:lineRule="auto"/>
            </w:pPr>
            <w:r>
              <w:rPr>
                <w:rFonts w:ascii="Times New Roman" w:hAnsi="Times New Roman"/>
                <w:sz w:val="20"/>
              </w:rPr>
              <w:t>Digital temperature and relative-humidity sensor</w:t>
            </w:r>
          </w:p>
        </w:tc>
      </w:tr>
      <w:tr>
        <w:tc>
          <w:tcPr>
            <w:tcW w:type="dxa" w:w="4788"/>
            <w:vAlign w:val="center"/>
          </w:tcPr>
          <w:p>
            <w:pPr>
              <w:spacing w:after="40" w:line="240" w:lineRule="auto"/>
            </w:pPr>
            <w:r>
              <w:rPr>
                <w:rFonts w:ascii="Times New Roman" w:hAnsi="Times New Roman"/>
                <w:sz w:val="20"/>
              </w:rPr>
              <w:t>WOAH</w:t>
            </w:r>
          </w:p>
        </w:tc>
        <w:tc>
          <w:tcPr>
            <w:tcW w:type="dxa" w:w="4788"/>
            <w:vAlign w:val="center"/>
          </w:tcPr>
          <w:p>
            <w:pPr>
              <w:spacing w:after="40" w:line="240" w:lineRule="auto"/>
            </w:pPr>
            <w:r>
              <w:rPr>
                <w:rFonts w:ascii="Times New Roman" w:hAnsi="Times New Roman"/>
                <w:sz w:val="20"/>
              </w:rPr>
              <w:t>World Organisation for Animal Health</w:t>
            </w:r>
          </w:p>
        </w:tc>
      </w:tr>
    </w:tbl>
    <w:p/>
    <w:p>
      <w:pPr>
        <w:pStyle w:val="Heading1"/>
      </w:pPr>
      <w:r>
        <w:t>DEFINITION OF OPERATIONAL TERMS</w:t>
      </w:r>
    </w:p>
    <w:p>
      <w:r>
        <w:rPr>
          <w:b/>
        </w:rPr>
        <w:t>Early-warning alert:</w:t>
      </w:r>
      <w:r>
        <w:t xml:space="preserve"> A system-generated indication that monitored flock or house indicators have deviated from configured baselines and warrant inspection; it is not a diagnosis.</w:t>
      </w:r>
    </w:p>
    <w:p>
      <w:r>
        <w:rPr>
          <w:b/>
        </w:rPr>
        <w:t>Flock activity indicator:</w:t>
      </w:r>
      <w:r>
        <w:t xml:space="preserve"> A count or rate of motion events in a defined time window, used as a proxy for observed activity.</w:t>
      </w:r>
    </w:p>
    <w:p>
      <w:r>
        <w:rPr>
          <w:b/>
        </w:rPr>
        <w:t>Non-invasive monitoring:</w:t>
      </w:r>
      <w:r>
        <w:t xml:space="preserve"> Collection of sound, surface-temperature, motion, and environmental measurements without sampling or physically restraining birds.</w:t>
      </w:r>
    </w:p>
    <w:p>
      <w:r>
        <w:rPr>
          <w:b/>
        </w:rPr>
        <w:t>Offline-capable processing:</w:t>
      </w:r>
      <w:r>
        <w:t xml:space="preserve"> Local processing and rules-based alert generation without dependence on cloud AI.</w:t>
      </w:r>
    </w:p>
    <w:p>
      <w:r>
        <w:rPr>
          <w:b/>
        </w:rPr>
        <w:t>Risk assessment:</w:t>
      </w:r>
      <w:r>
        <w:t xml:space="preserve"> A rule-based or model-assisted synthesis of sensor readings intended to prioritize inspection and response.</w:t>
      </w:r>
    </w:p>
    <w:p>
      <w:r>
        <w:rPr>
          <w:b/>
        </w:rPr>
        <w:t>Sensor node:</w:t>
      </w:r>
      <w:r>
        <w:t xml:space="preserve"> The ESP32-S3 device and attached sensors that acquire and transmit poultry-house measurements.</w:t>
      </w:r>
    </w:p>
    <w:p>
      <w:r>
        <w:br w:type="page"/>
      </w:r>
    </w:p>
    <w:p>
      <w:pPr>
        <w:pStyle w:val="Heading1"/>
      </w:pPr>
      <w:r>
        <w:t>CHAPTER ONE: INTRODUCTION</w:t>
      </w:r>
    </w:p>
    <w:p>
      <w:pPr>
        <w:pStyle w:val="Heading2"/>
      </w:pPr>
      <w:r>
        <w:t>1.1 Background to the Study</w:t>
      </w:r>
    </w:p>
    <w:p>
      <w:r>
        <w:rPr>
          <w:i w:val="0"/>
        </w:rPr>
        <w:t>Poultry production supports food supply and household and commercial livelihoods in Kenya. Disease prevention and timely recognition are important aspects of farm management. Newcastle Disease (ND), caused by virulent strains of avian orthoavulavirus 1, remains a major health concern. In a retrospective analysis of suspected Kenyan cases reported between 2005 and 2015, Apopo et al. (2020) found confirmed cases across production systems and agro-ecological zones and identified weaknesses in case detection and reporting. These findings support improved surveillance, while showing that suspected clinical signs alone do not establish an ND diagnosis.</w:t>
      </w:r>
    </w:p>
    <w:p>
      <w:r>
        <w:rPr>
          <w:i w:val="0"/>
        </w:rPr>
        <w:t>ND may present with respiratory, digestive, nervous, or other signs, and the pattern varies with viral strain, host, and flock conditions. WOAH notes that clinical presentation can resemble other diseases and that laboratory testing is important for confirmation (WOAH, n.d.). An early-warning tool must therefore assist farm observation and referral rather than claim to diagnose ND from sensor values.</w:t>
      </w:r>
    </w:p>
    <w:p>
      <w:r>
        <w:rPr>
          <w:i w:val="0"/>
        </w:rPr>
        <w:t>Agricultural engineering and precision-livestock approaches make repeated measurement possible through sensors and embedded systems. Smart poultry management literature describes connected devices and data analysis to support poultry-house management (Astill et al., 2020). Sound patterns, motion/activity, surface temperature, and ambient temperature/humidity are candidate indicators of change. Each is affected by non-disease factors: sound by flock density and background noise; surface temperature by distance, emissivity, and ambient conditions; motion by lighting, layout, and sensor placement. Their value is combined trend monitoring and prompting inspection, not disease-specific diagnosis.</w:t>
      </w:r>
    </w:p>
    <w:p>
      <w:r>
        <w:rPr>
          <w:i w:val="0"/>
        </w:rPr>
        <w:t>The reviewed project contains an ESP32-S3 node with an INMP441 microphone, MLX90614 infrared sensor, PIR motion sensor, and SHT31 climate sensor; MQTT telemetry; a local Python gateway with deterministic risk-rule fallback and optional local language model; and a browser dashboard. This study grounds the proposal in that prototype and focuses on engineering verification and a bounded field pilot.</w:t>
      </w:r>
    </w:p>
    <w:p>
      <w:pPr>
        <w:pStyle w:val="Heading2"/>
      </w:pPr>
      <w:r>
        <w:t>1.2 Statement of the Problem</w:t>
      </w:r>
    </w:p>
    <w:p>
      <w:r>
        <w:rPr>
          <w:i w:val="0"/>
        </w:rPr>
        <w:t>Poultry-house health assessment often relies on scheduled or visual checks, which may not provide continuous records of changes in sound, activity, or microclimate. Published retrospective ND surveillance in Kenya reported confirmed cases alongside deficiencies in case detection and diagnostic follow-up (Apopo et al., 2020). Delayed recognition of changing flock conditions can make it harder for a farmer or animal-health professional to decide when to inspect, isolate, or submit samples.</w:t>
      </w:r>
    </w:p>
    <w:p>
      <w:r>
        <w:rPr>
          <w:i w:val="0"/>
        </w:rPr>
        <w:t>Low-cost sensing offers a potential engineering response, but cough-like sounds, reduced motion, and elevated surface temperature are indirect and can be influenced by the environment or other diseases. An unqualified ND diagnosis could mislead users. The problem is to design and evaluate an affordable, locally processable monitoring and risk-alert system that provides interpretable evidence, operates reliably in a poultry-house environment, and refers suspected cases for veterinary assessment and confirmatory testing.</w:t>
      </w:r>
    </w:p>
    <w:p>
      <w:pPr>
        <w:pStyle w:val="Heading2"/>
      </w:pPr>
      <w:r>
        <w:t>1.3 Objectives of the Study</w:t>
      </w:r>
    </w:p>
    <w:p>
      <w:pPr>
        <w:pStyle w:val="Heading3"/>
      </w:pPr>
      <w:r>
        <w:t>1.3.1 General Objective</w:t>
      </w:r>
    </w:p>
    <w:p>
      <w:r>
        <w:rPr>
          <w:i w:val="0"/>
        </w:rPr>
        <w:t>To design and field-evaluate a low-cost, offline-capable IoT system for poultry-house health monitoring and Newcastle Disease risk alerting in selected poultry farms in [County], Kenya.</w:t>
      </w:r>
    </w:p>
    <w:p>
      <w:pPr>
        <w:pStyle w:val="Heading3"/>
      </w:pPr>
      <w:r>
        <w:t>1.3.2 Specific Objectives</w:t>
      </w:r>
    </w:p>
    <w:p>
      <w:pPr>
        <w:pStyle w:val="ListNumber"/>
        <w:spacing w:line="288" w:lineRule="auto"/>
      </w:pPr>
      <w:r>
        <w:t>To establish functional and environmental requirements for an IoT poultry-house monitoring and risk-alert system through literature review and stakeholder consultation.</w:t>
      </w:r>
    </w:p>
    <w:p>
      <w:pPr>
        <w:pStyle w:val="ListNumber"/>
        <w:spacing w:line="288" w:lineRule="auto"/>
      </w:pPr>
      <w:r>
        <w:t>To integrate acoustic, infrared surface-temperature, motion, and ambient temperature/humidity sensing with an ESP32-S3 node, MQTT communication, local analysis, and an operator dashboard.</w:t>
      </w:r>
    </w:p>
    <w:p>
      <w:pPr>
        <w:pStyle w:val="ListNumber"/>
        <w:spacing w:line="288" w:lineRule="auto"/>
      </w:pPr>
      <w:r>
        <w:t>To evaluate measurement agreement, data availability, communication reliability, alert latency, and alert frequency during bench and field testing.</w:t>
      </w:r>
    </w:p>
    <w:p>
      <w:pPr>
        <w:pStyle w:val="ListNumber"/>
        <w:spacing w:line="288" w:lineRule="auto"/>
      </w:pPr>
      <w:r>
        <w:t>To assess perceived usability and practical feasibility among participating poultry farmers and animal-health or extension personnel.</w:t>
      </w:r>
    </w:p>
    <w:p>
      <w:pPr>
        <w:pStyle w:val="ListNumber"/>
        <w:spacing w:line="288" w:lineRule="auto"/>
      </w:pPr>
      <w:r>
        <w:t>To compare system alerts with available veterinary assessments or laboratory-confirmed records, where reference labels are obtained, and define interpretation limits.</w:t>
      </w:r>
    </w:p>
    <w:p>
      <w:pPr>
        <w:pStyle w:val="Heading2"/>
      </w:pPr>
      <w:r>
        <w:t>1.4 Research Questions</w:t>
      </w:r>
    </w:p>
    <w:p>
      <w:pPr>
        <w:pStyle w:val="ListNumber"/>
        <w:spacing w:line="288" w:lineRule="auto"/>
      </w:pPr>
      <w:r>
        <w:t>What functional and environmental requirements should guide the system design for the selected Kenyan setting?</w:t>
      </w:r>
    </w:p>
    <w:p>
      <w:pPr>
        <w:pStyle w:val="ListNumber"/>
        <w:spacing w:line="288" w:lineRule="auto"/>
      </w:pPr>
      <w:r>
        <w:t>How can the selected sensors, ESP32-S3 node, MQTT communication, local analysis, and dashboard be integrated?</w:t>
      </w:r>
    </w:p>
    <w:p>
      <w:pPr>
        <w:pStyle w:val="ListNumber"/>
        <w:spacing w:line="288" w:lineRule="auto"/>
      </w:pPr>
      <w:r>
        <w:t>What measurement agreement, data availability, communication reliability, alert latency, and alert frequency are achieved in the pilot?</w:t>
      </w:r>
    </w:p>
    <w:p>
      <w:pPr>
        <w:pStyle w:val="ListNumber"/>
        <w:spacing w:line="288" w:lineRule="auto"/>
      </w:pPr>
      <w:r>
        <w:t>How do participants assess system usability and practical feasibility?</w:t>
      </w:r>
    </w:p>
    <w:p>
      <w:pPr>
        <w:pStyle w:val="ListNumber"/>
        <w:spacing w:line="288" w:lineRule="auto"/>
      </w:pPr>
      <w:r>
        <w:t>Where independent reference assessments are available, how do alerts correspond with veterinary or laboratory findings, and what limitations affect interpretation?</w:t>
      </w:r>
    </w:p>
    <w:p>
      <w:pPr>
        <w:pStyle w:val="Heading2"/>
      </w:pPr>
      <w:r>
        <w:t>1.5 Significance / Justification of the Study</w:t>
      </w:r>
    </w:p>
    <w:p>
      <w:r>
        <w:rPr>
          <w:i w:val="0"/>
        </w:rPr>
        <w:t>The study contributes to agricultural engineering by testing affordable sensing, embedded data acquisition, local communication, and decision support in a poultry-house setting. Farmers may gain a persistent record and an additional prompt to inspect a flock. Veterinary and extension personnel may use time-stamped observations to structure follow-up. Researchers may use the documented architecture and pilot results to guide larger trials. The study does not assume sensor alerts reduce mortality; it will provide early evidence on technical performance and user feasibility.</w:t>
      </w:r>
    </w:p>
    <w:p>
      <w:pPr>
        <w:pStyle w:val="Heading2"/>
      </w:pPr>
      <w:r>
        <w:t>1.6 Scope of the Study</w:t>
      </w:r>
    </w:p>
    <w:p>
      <w:r>
        <w:rPr>
          <w:i w:val="0"/>
        </w:rPr>
        <w:t>The study covers design refinement, integration, bench verification, and pilot field evaluation of sound, infrared bird/roost surface-temperature, PIR motion, and ambient temperature/humidity measurements, with an ESP32-S3 node, MQTT, local gateway, and dashboard. Fieldwork will occur at purposively selected farms in [County / Sub-county], Kenya, during [proposed study period]. The study assesses engineering performance and user perceptions. It will not replace laboratory diagnosis, conduct treatment trials, or expose birds to infection. Camera-based vision tracking found in a separate prototype component is outside the primary scope unless approved as an additional objective.</w:t>
      </w:r>
    </w:p>
    <w:p>
      <w:pPr>
        <w:pStyle w:val="Heading2"/>
      </w:pPr>
      <w:r>
        <w:t>1.7 Limitations and Delimitations of the Study</w:t>
      </w:r>
    </w:p>
    <w:tbl>
      <w:tblPr>
        <w:tblStyle w:val="TableGrid"/>
        <w:tblW w:type="auto" w:w="0"/>
        <w:jc w:val="center"/>
        <w:tblLook w:firstColumn="1" w:firstRow="1" w:lastColumn="0" w:lastRow="0" w:noHBand="0" w:noVBand="1" w:val="04A0"/>
      </w:tblPr>
      <w:tblGrid>
        <w:gridCol w:w="4788"/>
        <w:gridCol w:w="4788"/>
      </w:tblGrid>
      <w:tr>
        <w:tc>
          <w:tcPr>
            <w:tcW w:type="dxa" w:w="4788"/>
            <w:shd w:fill="D9EAF7"/>
            <w:vAlign w:val="center"/>
          </w:tcPr>
          <w:p>
            <w:pPr>
              <w:spacing w:after="40" w:line="240" w:lineRule="auto"/>
            </w:pPr>
            <w:r>
              <w:rPr>
                <w:rFonts w:ascii="Times New Roman" w:hAnsi="Times New Roman"/>
                <w:sz w:val="18"/>
              </w:rPr>
              <w:t>Anticipated limitation</w:t>
            </w:r>
          </w:p>
        </w:tc>
        <w:tc>
          <w:tcPr>
            <w:tcW w:type="dxa" w:w="4788"/>
            <w:shd w:fill="D9EAF7"/>
            <w:vAlign w:val="center"/>
          </w:tcPr>
          <w:p>
            <w:pPr>
              <w:spacing w:after="40" w:line="240" w:lineRule="auto"/>
            </w:pPr>
            <w:r>
              <w:rPr>
                <w:rFonts w:ascii="Times New Roman" w:hAnsi="Times New Roman"/>
                <w:sz w:val="18"/>
              </w:rPr>
              <w:t>Mitigation / delimitation</w:t>
            </w:r>
          </w:p>
        </w:tc>
      </w:tr>
      <w:tr>
        <w:tc>
          <w:tcPr>
            <w:tcW w:type="dxa" w:w="4788"/>
            <w:vAlign w:val="center"/>
          </w:tcPr>
          <w:p>
            <w:pPr>
              <w:spacing w:after="40" w:line="240" w:lineRule="auto"/>
            </w:pPr>
            <w:r>
              <w:rPr>
                <w:rFonts w:ascii="Times New Roman" w:hAnsi="Times New Roman"/>
                <w:sz w:val="18"/>
              </w:rPr>
              <w:t>ND cases may be infrequent, limiting sensitivity and specificity estimates.</w:t>
            </w:r>
          </w:p>
        </w:tc>
        <w:tc>
          <w:tcPr>
            <w:tcW w:type="dxa" w:w="4788"/>
            <w:vAlign w:val="center"/>
          </w:tcPr>
          <w:p>
            <w:pPr>
              <w:spacing w:after="40" w:line="240" w:lineRule="auto"/>
            </w:pPr>
            <w:r>
              <w:rPr>
                <w:rFonts w:ascii="Times New Roman" w:hAnsi="Times New Roman"/>
                <w:sz w:val="18"/>
              </w:rPr>
              <w:t>Treat as an engineering/feasibility pilot; report diagnostic metrics only if enough independent reference labels exist. Do not induce disease.</w:t>
            </w:r>
          </w:p>
        </w:tc>
      </w:tr>
      <w:tr>
        <w:tc>
          <w:tcPr>
            <w:tcW w:type="dxa" w:w="4788"/>
            <w:vAlign w:val="center"/>
          </w:tcPr>
          <w:p>
            <w:pPr>
              <w:spacing w:after="40" w:line="240" w:lineRule="auto"/>
            </w:pPr>
            <w:r>
              <w:rPr>
                <w:rFonts w:ascii="Times New Roman" w:hAnsi="Times New Roman"/>
                <w:sz w:val="18"/>
              </w:rPr>
              <w:t>Sound and PIR signals vary with flock size, noise, activity cycles, and sensor placement.</w:t>
            </w:r>
          </w:p>
        </w:tc>
        <w:tc>
          <w:tcPr>
            <w:tcW w:type="dxa" w:w="4788"/>
            <w:vAlign w:val="center"/>
          </w:tcPr>
          <w:p>
            <w:pPr>
              <w:spacing w:after="40" w:line="240" w:lineRule="auto"/>
            </w:pPr>
            <w:r>
              <w:rPr>
                <w:rFonts w:ascii="Times New Roman" w:hAnsi="Times New Roman"/>
                <w:sz w:val="18"/>
              </w:rPr>
              <w:t>Record installation context, collect baseline data, and interpret signals jointly.</w:t>
            </w:r>
          </w:p>
        </w:tc>
      </w:tr>
      <w:tr>
        <w:tc>
          <w:tcPr>
            <w:tcW w:type="dxa" w:w="4788"/>
            <w:vAlign w:val="center"/>
          </w:tcPr>
          <w:p>
            <w:pPr>
              <w:spacing w:after="40" w:line="240" w:lineRule="auto"/>
            </w:pPr>
            <w:r>
              <w:rPr>
                <w:rFonts w:ascii="Times New Roman" w:hAnsi="Times New Roman"/>
                <w:sz w:val="18"/>
              </w:rPr>
              <w:t>IR surface readings may not represent core body temperature.</w:t>
            </w:r>
          </w:p>
        </w:tc>
        <w:tc>
          <w:tcPr>
            <w:tcW w:type="dxa" w:w="4788"/>
            <w:vAlign w:val="center"/>
          </w:tcPr>
          <w:p>
            <w:pPr>
              <w:spacing w:after="40" w:line="240" w:lineRule="auto"/>
            </w:pPr>
            <w:r>
              <w:rPr>
                <w:rFonts w:ascii="Times New Roman" w:hAnsi="Times New Roman"/>
                <w:sz w:val="18"/>
              </w:rPr>
              <w:t>Name it a surface-temperature proxy; compare to a suitable reference and do not claim fever without validation.</w:t>
            </w:r>
          </w:p>
        </w:tc>
      </w:tr>
      <w:tr>
        <w:tc>
          <w:tcPr>
            <w:tcW w:type="dxa" w:w="4788"/>
            <w:vAlign w:val="center"/>
          </w:tcPr>
          <w:p>
            <w:pPr>
              <w:spacing w:after="40" w:line="240" w:lineRule="auto"/>
            </w:pPr>
            <w:r>
              <w:rPr>
                <w:rFonts w:ascii="Times New Roman" w:hAnsi="Times New Roman"/>
                <w:sz w:val="18"/>
              </w:rPr>
              <w:t>Network or power interruptions reduce data completeness.</w:t>
            </w:r>
          </w:p>
        </w:tc>
        <w:tc>
          <w:tcPr>
            <w:tcW w:type="dxa" w:w="4788"/>
            <w:vAlign w:val="center"/>
          </w:tcPr>
          <w:p>
            <w:pPr>
              <w:spacing w:after="40" w:line="240" w:lineRule="auto"/>
            </w:pPr>
            <w:r>
              <w:rPr>
                <w:rFonts w:ascii="Times New Roman" w:hAnsi="Times New Roman"/>
                <w:sz w:val="18"/>
              </w:rPr>
              <w:t>Measure availability and offline behavior; report missing data and outages.</w:t>
            </w:r>
          </w:p>
        </w:tc>
      </w:tr>
      <w:tr>
        <w:tc>
          <w:tcPr>
            <w:tcW w:type="dxa" w:w="4788"/>
            <w:vAlign w:val="center"/>
          </w:tcPr>
          <w:p>
            <w:pPr>
              <w:spacing w:after="40" w:line="240" w:lineRule="auto"/>
            </w:pPr>
            <w:r>
              <w:rPr>
                <w:rFonts w:ascii="Times New Roman" w:hAnsi="Times New Roman"/>
                <w:sz w:val="18"/>
              </w:rPr>
              <w:t>Site and participant numbers may be limited.</w:t>
            </w:r>
          </w:p>
        </w:tc>
        <w:tc>
          <w:tcPr>
            <w:tcW w:type="dxa" w:w="4788"/>
            <w:vAlign w:val="center"/>
          </w:tcPr>
          <w:p>
            <w:pPr>
              <w:spacing w:after="40" w:line="240" w:lineRule="auto"/>
            </w:pPr>
            <w:r>
              <w:rPr>
                <w:rFonts w:ascii="Times New Roman" w:hAnsi="Times New Roman"/>
                <w:sz w:val="18"/>
              </w:rPr>
              <w:t>Use purposive pilot sampling; limit generalization and confirm counts with supervisor and ethics committee.</w:t>
            </w:r>
          </w:p>
        </w:tc>
      </w:tr>
    </w:tbl>
    <w:p/>
    <w:p>
      <w:r>
        <w:br w:type="page"/>
      </w:r>
    </w:p>
    <w:p>
      <w:pPr>
        <w:pStyle w:val="Heading1"/>
      </w:pPr>
      <w:r>
        <w:t>CHAPTER TWO: LITERATURE REVIEW</w:t>
      </w:r>
    </w:p>
    <w:p>
      <w:pPr>
        <w:pStyle w:val="Heading2"/>
      </w:pPr>
      <w:r>
        <w:t>2.1 Introduction</w:t>
      </w:r>
    </w:p>
    <w:p>
      <w:r>
        <w:rPr>
          <w:i w:val="0"/>
        </w:rPr>
        <w:t>This chapter reviews evidence on ND surveillance in Kenya and connected sensing in poultry production. It relates proposed input variables to their possible value and limitations, summarizes the gap, and presents the conceptual framework.</w:t>
      </w:r>
    </w:p>
    <w:p>
      <w:pPr>
        <w:pStyle w:val="Heading2"/>
      </w:pPr>
      <w:r>
        <w:t>2.2 Review of Past Studies</w:t>
      </w:r>
    </w:p>
    <w:p>
      <w:pPr>
        <w:pStyle w:val="Heading3"/>
      </w:pPr>
      <w:r>
        <w:t>2.2.1 Newcastle Disease surveillance in Kenya</w:t>
      </w:r>
    </w:p>
    <w:p>
      <w:r>
        <w:rPr>
          <w:i w:val="0"/>
        </w:rPr>
        <w:t>Apopo et al. (2020) analyzed suspected ND cases reported in Kenya between 2005 and 2015. Their retrospective study reported confirmed cases across production systems and agro-ecological zones and noted weaknesses in detection and diagnostic follow-up. It establishes local relevance but does not test continuous sensor monitoring or show that environmental and behavioral measures independently identify ND. Ipara et al. (2019) examined unregulated chicken marketing practices and ND outbreak frequency in Kenya, illustrating that disease occurrence is also shaped by movement and value-chain factors. Farm-level monitoring can complement, but cannot replace, biosecurity, vaccination, and formal surveillance.</w:t>
      </w:r>
    </w:p>
    <w:p>
      <w:pPr>
        <w:pStyle w:val="Heading3"/>
      </w:pPr>
      <w:r>
        <w:t>2.2.2 Smart sensing and IoT in poultry production</w:t>
      </w:r>
    </w:p>
    <w:p>
      <w:r>
        <w:rPr>
          <w:i w:val="0"/>
        </w:rPr>
        <w:t>Astill et al. (2020) reviewed smart poultry management and described connected sensors, data management, and IoT approaches for monitoring and management. Potential benefits include repeated measurements, centralized viewing, and timely prompts. Constraints include data quality, interoperability, connectivity, installation and maintenance costs, and the need to relate outputs to practical decisions. The proposed MQTT, local gateway, and dashboard architecture follows this pattern while emphasizing offline operation and transparent rule-based fallback.</w:t>
      </w:r>
    </w:p>
    <w:p>
      <w:pPr>
        <w:pStyle w:val="Heading3"/>
      </w:pPr>
      <w:r>
        <w:t>2.2.3 Acoustic respiratory indicators</w:t>
      </w:r>
    </w:p>
    <w:p>
      <w:r>
        <w:rPr>
          <w:i w:val="0"/>
        </w:rPr>
        <w:t>Acoustic monitoring enables continuous, non-contact observation of flock sound. Cough-like events may prompt follow-up, but classifiers must distinguish them from vocalizations, handling noise, and other sounds. In the reviewed firmware, a cough-classifier interface is described as a future TinyML drop-in; cough detection is therefore a function requiring implementation and validation, not an established clinical model. Performance should be measured on representative labelled recordings, and confidence scores must not be interpreted as disease probabilities.</w:t>
      </w:r>
    </w:p>
    <w:p>
      <w:pPr>
        <w:pStyle w:val="Heading3"/>
      </w:pPr>
      <w:r>
        <w:t>2.2.4 Surface temperature and environmental measurements</w:t>
      </w:r>
    </w:p>
    <w:p>
      <w:r>
        <w:rPr>
          <w:i w:val="0"/>
        </w:rPr>
        <w:t>An infrared sensor provides a non-contact surface-temperature reading, which may vary with posture, distance, emissivity, airflow, and ambient conditions. The MLX90614 value is an indirect surface-temperature indicator, not core body temperature or a standalone fever diagnosis. Ambient temperature and humidity provide context because thermal stress may affect activity or sound. A pilot should document sensor location and compare readings with calibrated references.</w:t>
      </w:r>
    </w:p>
    <w:p>
      <w:pPr>
        <w:pStyle w:val="Heading3"/>
      </w:pPr>
      <w:r>
        <w:t>2.2.5 Motion and activity indicators</w:t>
      </w:r>
    </w:p>
    <w:p>
      <w:r>
        <w:rPr>
          <w:i w:val="0"/>
        </w:rPr>
        <w:t>A PIR sensor detects changes in infrared energy within its field of view and can count movement events. It does not identify individual birds, and pulse counts are not a validated flock-activity index. Placement, density, obstruction, roosting behavior, and time of day affect counts. Consistent installation, a baseline period, and structured observations are needed to assess usefulness.</w:t>
      </w:r>
    </w:p>
    <w:p>
      <w:pPr>
        <w:pStyle w:val="Heading2"/>
      </w:pPr>
      <w:r>
        <w:t>2.3 Summary and Gaps to be Filled by the Study</w:t>
      </w:r>
    </w:p>
    <w:p>
      <w:r>
        <w:rPr>
          <w:i w:val="0"/>
        </w:rPr>
        <w:t>The reviewed work shows that ND remains a Kenyan poultry-health concern and that connected sensing has potential for continuous monitoring. Kenyan surveillance studies focus on outbreak records, reporting, and disease-associated factors; smart-poultry literature describes technology more broadly. This project addresses an applied engineering gap by integrating low-cost acoustic, infrared surface-temperature, motion, and climate sensing with local processing and an operator interface, then evaluating reliability and usability under pilot conditions. The public-source search for this draft did not establish that this exact combination has never been tried in Kenya. The contribution is therefore bounded to design and pilot evaluation in the selected study setting, not absolute national or global novelty. A formal systematic search should precede submission.</w:t>
      </w:r>
    </w:p>
    <w:p>
      <w:pPr>
        <w:pStyle w:val="Heading2"/>
      </w:pPr>
      <w:r>
        <w:t>2.4 Conceptual Framework</w:t>
      </w:r>
    </w:p>
    <w:p>
      <w:r>
        <w:rPr>
          <w:i w:val="0"/>
        </w:rPr>
        <w:t>Sensor readings and farm context are inputs. Local processing produces trends and rule-based prompts. The output is an alert with supporting evidence for human inspection; veterinary assessment or laboratory testing remains the independent reference for diagnosis.</w:t>
      </w:r>
    </w:p>
    <w:tbl>
      <w:tblPr>
        <w:tblStyle w:val="TableGrid"/>
        <w:tblW w:type="auto" w:w="0"/>
        <w:jc w:val="center"/>
        <w:tblLook w:firstColumn="1" w:firstRow="1" w:lastColumn="0" w:lastRow="0" w:noHBand="0" w:noVBand="1" w:val="04A0"/>
      </w:tblPr>
      <w:tblGrid>
        <w:gridCol w:w="3192"/>
        <w:gridCol w:w="3192"/>
        <w:gridCol w:w="3192"/>
      </w:tblGrid>
      <w:tr>
        <w:tc>
          <w:tcPr>
            <w:tcW w:type="dxa" w:w="3192"/>
            <w:shd w:fill="D9EAF7"/>
            <w:vAlign w:val="center"/>
          </w:tcPr>
          <w:p>
            <w:pPr>
              <w:spacing w:after="40" w:line="240" w:lineRule="auto"/>
            </w:pPr>
            <w:r>
              <w:rPr>
                <w:rFonts w:ascii="Times New Roman" w:hAnsi="Times New Roman"/>
                <w:sz w:val="18"/>
              </w:rPr>
              <w:t>INPUTS</w:t>
            </w:r>
          </w:p>
        </w:tc>
        <w:tc>
          <w:tcPr>
            <w:tcW w:type="dxa" w:w="3192"/>
            <w:shd w:fill="D9EAF7"/>
            <w:vAlign w:val="center"/>
          </w:tcPr>
          <w:p>
            <w:pPr>
              <w:spacing w:after="40" w:line="240" w:lineRule="auto"/>
            </w:pPr>
            <w:r>
              <w:rPr>
                <w:rFonts w:ascii="Times New Roman" w:hAnsi="Times New Roman"/>
                <w:sz w:val="18"/>
              </w:rPr>
              <w:t>PROCESS</w:t>
            </w:r>
          </w:p>
        </w:tc>
        <w:tc>
          <w:tcPr>
            <w:tcW w:type="dxa" w:w="3192"/>
            <w:shd w:fill="D9EAF7"/>
            <w:vAlign w:val="center"/>
          </w:tcPr>
          <w:p>
            <w:pPr>
              <w:spacing w:after="40" w:line="240" w:lineRule="auto"/>
            </w:pPr>
            <w:r>
              <w:rPr>
                <w:rFonts w:ascii="Times New Roman" w:hAnsi="Times New Roman"/>
                <w:sz w:val="18"/>
              </w:rPr>
              <w:t>OUTPUT / USE</w:t>
            </w:r>
          </w:p>
        </w:tc>
      </w:tr>
      <w:tr>
        <w:tc>
          <w:tcPr>
            <w:tcW w:type="dxa" w:w="3192"/>
            <w:vAlign w:val="center"/>
          </w:tcPr>
          <w:p>
            <w:pPr>
              <w:spacing w:after="40" w:line="240" w:lineRule="auto"/>
            </w:pPr>
            <w:r>
              <w:rPr>
                <w:rFonts w:ascii="Times New Roman" w:hAnsi="Times New Roman"/>
                <w:sz w:val="18"/>
              </w:rPr>
              <w:t>Acoustic events/confidence; IR surface temperature; PIR motion counts; ambient temperature and humidity; time and installation context.</w:t>
            </w:r>
          </w:p>
        </w:tc>
        <w:tc>
          <w:tcPr>
            <w:tcW w:type="dxa" w:w="3192"/>
            <w:vAlign w:val="center"/>
          </w:tcPr>
          <w:p>
            <w:pPr>
              <w:spacing w:after="40" w:line="240" w:lineRule="auto"/>
            </w:pPr>
            <w:r>
              <w:rPr>
                <w:rFonts w:ascii="Times New Roman" w:hAnsi="Times New Roman"/>
                <w:sz w:val="18"/>
              </w:rPr>
              <w:t>Acquisition → filtering/timestamping → window aggregation and baseline comparison → rule-based risk level → gateway/dashboard.</w:t>
            </w:r>
          </w:p>
        </w:tc>
        <w:tc>
          <w:tcPr>
            <w:tcW w:type="dxa" w:w="3192"/>
            <w:vAlign w:val="center"/>
          </w:tcPr>
          <w:p>
            <w:pPr>
              <w:spacing w:after="40" w:line="240" w:lineRule="auto"/>
            </w:pPr>
            <w:r>
              <w:rPr>
                <w:rFonts w:ascii="Times New Roman" w:hAnsi="Times New Roman"/>
                <w:sz w:val="18"/>
              </w:rPr>
              <w:t>Time-stamped readings; NORMAL / WARNING / CRITICAL prompt with evidence; operator inspection and veterinary referral / testing where appropriate.</w:t>
            </w:r>
          </w:p>
        </w:tc>
      </w:tr>
    </w:tbl>
    <w:p/>
    <w:tbl>
      <w:tblPr>
        <w:tblStyle w:val="TableGrid"/>
        <w:tblW w:type="auto" w:w="0"/>
        <w:jc w:val="center"/>
        <w:tblLook w:firstColumn="1" w:firstRow="1" w:lastColumn="0" w:lastRow="0" w:noHBand="0" w:noVBand="1" w:val="04A0"/>
      </w:tblPr>
      <w:tblGrid>
        <w:gridCol w:w="3192"/>
        <w:gridCol w:w="3192"/>
        <w:gridCol w:w="3192"/>
      </w:tblGrid>
      <w:tr>
        <w:tc>
          <w:tcPr>
            <w:tcW w:type="dxa" w:w="3192"/>
            <w:shd w:fill="D9EAF7"/>
            <w:vAlign w:val="center"/>
          </w:tcPr>
          <w:p>
            <w:pPr>
              <w:spacing w:after="40" w:line="240" w:lineRule="auto"/>
            </w:pPr>
            <w:r>
              <w:rPr>
                <w:rFonts w:ascii="Times New Roman" w:hAnsi="Times New Roman"/>
                <w:sz w:val="18"/>
              </w:rPr>
              <w:t>Independent / contextual variables</w:t>
            </w:r>
          </w:p>
        </w:tc>
        <w:tc>
          <w:tcPr>
            <w:tcW w:type="dxa" w:w="3192"/>
            <w:shd w:fill="D9EAF7"/>
            <w:vAlign w:val="center"/>
          </w:tcPr>
          <w:p>
            <w:pPr>
              <w:spacing w:after="40" w:line="240" w:lineRule="auto"/>
            </w:pPr>
            <w:r>
              <w:rPr>
                <w:rFonts w:ascii="Times New Roman" w:hAnsi="Times New Roman"/>
                <w:sz w:val="18"/>
              </w:rPr>
              <w:t>Intervening factors</w:t>
            </w:r>
          </w:p>
        </w:tc>
        <w:tc>
          <w:tcPr>
            <w:tcW w:type="dxa" w:w="3192"/>
            <w:shd w:fill="D9EAF7"/>
            <w:vAlign w:val="center"/>
          </w:tcPr>
          <w:p>
            <w:pPr>
              <w:spacing w:after="40" w:line="240" w:lineRule="auto"/>
            </w:pPr>
            <w:r>
              <w:rPr>
                <w:rFonts w:ascii="Times New Roman" w:hAnsi="Times New Roman"/>
                <w:sz w:val="18"/>
              </w:rPr>
              <w:t>Dependent outcome</w:t>
            </w:r>
          </w:p>
        </w:tc>
      </w:tr>
      <w:tr>
        <w:tc>
          <w:tcPr>
            <w:tcW w:type="dxa" w:w="3192"/>
            <w:vAlign w:val="center"/>
          </w:tcPr>
          <w:p>
            <w:pPr>
              <w:spacing w:after="40" w:line="240" w:lineRule="auto"/>
            </w:pPr>
            <w:r>
              <w:rPr>
                <w:rFonts w:ascii="Times New Roman" w:hAnsi="Times New Roman"/>
                <w:sz w:val="18"/>
              </w:rPr>
              <w:t>Sound events; surface temperature; motion events; ambient temperature; relative humidity.</w:t>
            </w:r>
          </w:p>
        </w:tc>
        <w:tc>
          <w:tcPr>
            <w:tcW w:type="dxa" w:w="3192"/>
            <w:vAlign w:val="center"/>
          </w:tcPr>
          <w:p>
            <w:pPr>
              <w:spacing w:after="40" w:line="240" w:lineRule="auto"/>
            </w:pPr>
            <w:r>
              <w:rPr>
                <w:rFonts w:ascii="Times New Roman" w:hAnsi="Times New Roman"/>
                <w:sz w:val="18"/>
              </w:rPr>
              <w:t>Flock size/age; density; sensor position; ventilation; time; noise; power/network; other illness.</w:t>
            </w:r>
          </w:p>
        </w:tc>
        <w:tc>
          <w:tcPr>
            <w:tcW w:type="dxa" w:w="3192"/>
            <w:vAlign w:val="center"/>
          </w:tcPr>
          <w:p>
            <w:pPr>
              <w:spacing w:after="40" w:line="240" w:lineRule="auto"/>
            </w:pPr>
            <w:r>
              <w:rPr>
                <w:rFonts w:ascii="Times New Roman" w:hAnsi="Times New Roman"/>
                <w:sz w:val="18"/>
              </w:rPr>
              <w:t>Engineering performance and usability; alert correspondence with available independent veterinary/reference assessments.</w:t>
            </w:r>
          </w:p>
        </w:tc>
      </w:tr>
    </w:tbl>
    <w:p/>
    <w:p>
      <w:r>
        <w:br w:type="page"/>
      </w:r>
    </w:p>
    <w:p>
      <w:pPr>
        <w:pStyle w:val="Heading1"/>
      </w:pPr>
      <w:r>
        <w:t>CHAPTER THREE: RESEARCH DESIGN AND METHODOLOGY</w:t>
      </w:r>
    </w:p>
    <w:p>
      <w:pPr>
        <w:pStyle w:val="Heading2"/>
      </w:pPr>
      <w:r>
        <w:t>3.1 Introduction</w:t>
      </w:r>
    </w:p>
    <w:p>
      <w:r>
        <w:rPr>
          <w:i w:val="0"/>
        </w:rPr>
        <w:t>This chapter presents the research design, population, sampling, data collection, instruments, analysis, quality assurance, ethical safeguards, expected outcomes, work plan, and preliminary budget.</w:t>
      </w:r>
    </w:p>
    <w:p>
      <w:pPr>
        <w:pStyle w:val="Heading2"/>
      </w:pPr>
      <w:r>
        <w:t>3.2 Research Design</w:t>
      </w:r>
    </w:p>
    <w:p>
      <w:r>
        <w:rPr>
          <w:i w:val="0"/>
        </w:rPr>
        <w:t>The study will use applied design-and-development research with a mixed-methods pilot. The engineering phase will specify requirements, integrate the node, communications, local gateway, and dashboard, and verify operation on a bench. The field phase will deploy the prototype at selected farms for repeated monitoring and collect structured user feedback. Quantitative measures will describe sensor agreement and system operation; qualitative feedback will address usability and feasibility. This exploratory pilot is not powered to prove a reduction in ND incidence or mortality.</w:t>
      </w:r>
    </w:p>
    <w:p>
      <w:pPr>
        <w:pStyle w:val="Heading2"/>
      </w:pPr>
      <w:r>
        <w:t>3.3 Study Area and Target Population</w:t>
      </w:r>
    </w:p>
    <w:p>
      <w:r>
        <w:rPr>
          <w:i w:val="0"/>
        </w:rPr>
        <w:t>The study area will be [County / Sub-county], Kenya, selected based on farm access, supervisor approval, and veterinary or extension collaboration. The target population will comprise poultry farms and their operators, flock/house observations, and animal-health or extension personnel serving the area. The accessible population will include farms and stakeholders meeting inclusion criteria and providing informed consent.</w:t>
      </w:r>
    </w:p>
    <w:p>
      <w:pPr>
        <w:pStyle w:val="Heading2"/>
      </w:pPr>
      <w:r>
        <w:t>3.4 Sampling and Sampling Procedure</w:t>
      </w:r>
    </w:p>
    <w:p>
      <w:r>
        <w:rPr>
          <w:i w:val="0"/>
        </w:rPr>
        <w:t>Purposive sampling will select active poultry farms with a suitable installation location and willingness to participate. An initial plan is three farms, at least one monitored poultry house per farm, and four to six weeks of continuous operation at each site. These planning figures will be reviewed with the supervisor, partners, and ethics committee. Farm managers will be invited to provide usability feedback; a purposive group of veterinary and extension personnel will be consulted. Final participant numbers will be fixed before recruitment. Farms will not be selected based on active outbreaks, and no pathogen challenge will be conducted.</w:t>
      </w:r>
    </w:p>
    <w:p>
      <w:pPr>
        <w:pStyle w:val="Heading2"/>
      </w:pPr>
      <w:r>
        <w:t>3.5 Data Collection Methods</w:t>
      </w:r>
    </w:p>
    <w:p>
      <w:pPr>
        <w:pStyle w:val="ListBullet"/>
        <w:spacing w:line="288" w:lineRule="auto"/>
      </w:pPr>
      <w:r>
        <w:t>Requirements consultation: brief interviews with farmers and animal-health/extension personnel about observation practices, response needs, installation constraints, and alert wording.</w:t>
      </w:r>
    </w:p>
    <w:p>
      <w:pPr>
        <w:pStyle w:val="ListBullet"/>
        <w:spacing w:line="288" w:lineRule="auto"/>
      </w:pPr>
      <w:r>
        <w:t>Bench testing: operate sensors and gateway under controlled conditions; compare temperature and humidity to calibrated references and test acoustic/motion handling with documented inputs.</w:t>
      </w:r>
    </w:p>
    <w:p>
      <w:pPr>
        <w:pStyle w:val="ListBullet"/>
        <w:spacing w:line="288" w:lineRule="auto"/>
      </w:pPr>
      <w:r>
        <w:t>Field monitoring: record readings, node status, battery/network state, gateway results, alert times, and faults. Verify the nominal telemetry interval and aggregation windows against actual firmware before deployment.</w:t>
      </w:r>
    </w:p>
    <w:p>
      <w:pPr>
        <w:pStyle w:val="ListBullet"/>
        <w:spacing w:line="288" w:lineRule="auto"/>
      </w:pPr>
      <w:r>
        <w:t>Farm observation: use a structured checklist for flock size/age, sensor placement, house layout, ventilation, routine activities, and notable events.</w:t>
      </w:r>
    </w:p>
    <w:p>
      <w:pPr>
        <w:pStyle w:val="ListBullet"/>
        <w:spacing w:line="288" w:lineRule="auto"/>
      </w:pPr>
      <w:r>
        <w:t>Independent reference information: if a health concern occurs, advise the farmer to contact an animal-health professional. Record veterinary examination and laboratory results only with permission; researchers will not diagnose from sensor data.</w:t>
      </w:r>
    </w:p>
    <w:p>
      <w:pPr>
        <w:pStyle w:val="ListBullet"/>
        <w:spacing w:line="288" w:lineRule="auto"/>
      </w:pPr>
      <w:r>
        <w:t>Usability assessment: a brief questionnaire and semi-structured interview will elicit feedback on alert clarity, dashboard usefulness, workload, maintenance, and adoption barriers.</w:t>
      </w:r>
    </w:p>
    <w:p>
      <w:pPr>
        <w:pStyle w:val="Heading2"/>
      </w:pPr>
      <w:r>
        <w:t>3.6 Research Instruments</w:t>
      </w:r>
    </w:p>
    <w:tbl>
      <w:tblPr>
        <w:tblStyle w:val="TableGrid"/>
        <w:tblW w:type="auto" w:w="0"/>
        <w:jc w:val="center"/>
        <w:tblLook w:firstColumn="1" w:firstRow="1" w:lastColumn="0" w:lastRow="0" w:noHBand="0" w:noVBand="1" w:val="04A0"/>
      </w:tblPr>
      <w:tblGrid>
        <w:gridCol w:w="4788"/>
        <w:gridCol w:w="4788"/>
      </w:tblGrid>
      <w:tr>
        <w:tc>
          <w:tcPr>
            <w:tcW w:type="dxa" w:w="4788"/>
            <w:shd w:fill="D9EAF7"/>
            <w:vAlign w:val="center"/>
          </w:tcPr>
          <w:p>
            <w:pPr>
              <w:spacing w:after="40" w:line="240" w:lineRule="auto"/>
            </w:pPr>
            <w:r>
              <w:rPr>
                <w:rFonts w:ascii="Times New Roman" w:hAnsi="Times New Roman"/>
                <w:sz w:val="18"/>
              </w:rPr>
              <w:t>Instrument</w:t>
            </w:r>
          </w:p>
        </w:tc>
        <w:tc>
          <w:tcPr>
            <w:tcW w:type="dxa" w:w="4788"/>
            <w:shd w:fill="D9EAF7"/>
            <w:vAlign w:val="center"/>
          </w:tcPr>
          <w:p>
            <w:pPr>
              <w:spacing w:after="40" w:line="240" w:lineRule="auto"/>
            </w:pPr>
            <w:r>
              <w:rPr>
                <w:rFonts w:ascii="Times New Roman" w:hAnsi="Times New Roman"/>
                <w:sz w:val="18"/>
              </w:rPr>
              <w:t>Use in the study</w:t>
            </w:r>
          </w:p>
        </w:tc>
      </w:tr>
      <w:tr>
        <w:tc>
          <w:tcPr>
            <w:tcW w:type="dxa" w:w="4788"/>
            <w:vAlign w:val="center"/>
          </w:tcPr>
          <w:p>
            <w:pPr>
              <w:spacing w:after="40" w:line="240" w:lineRule="auto"/>
            </w:pPr>
            <w:r>
              <w:rPr>
                <w:rFonts w:ascii="Times New Roman" w:hAnsi="Times New Roman"/>
                <w:sz w:val="18"/>
              </w:rPr>
              <w:t>ESP32-S3 node: INMP441 microphone, MLX90614 IR thermometer, HC-SR501 PIR, SHT31 temperature/relative-humidity sensor.</w:t>
            </w:r>
          </w:p>
        </w:tc>
        <w:tc>
          <w:tcPr>
            <w:tcW w:type="dxa" w:w="4788"/>
            <w:vAlign w:val="center"/>
          </w:tcPr>
          <w:p>
            <w:pPr>
              <w:spacing w:after="40" w:line="240" w:lineRule="auto"/>
            </w:pPr>
            <w:r>
              <w:rPr>
                <w:rFonts w:ascii="Times New Roman" w:hAnsi="Times New Roman"/>
                <w:sz w:val="18"/>
              </w:rPr>
              <w:t>Acquire and aggregate sound, surface-temperature, motion, and microclimate signals.</w:t>
            </w:r>
          </w:p>
        </w:tc>
      </w:tr>
      <w:tr>
        <w:tc>
          <w:tcPr>
            <w:tcW w:type="dxa" w:w="4788"/>
            <w:vAlign w:val="center"/>
          </w:tcPr>
          <w:p>
            <w:pPr>
              <w:spacing w:after="40" w:line="240" w:lineRule="auto"/>
            </w:pPr>
            <w:r>
              <w:rPr>
                <w:rFonts w:ascii="Times New Roman" w:hAnsi="Times New Roman"/>
                <w:sz w:val="18"/>
              </w:rPr>
              <w:t>MQTT broker, local Python gateway, and operator dashboard.</w:t>
            </w:r>
          </w:p>
        </w:tc>
        <w:tc>
          <w:tcPr>
            <w:tcW w:type="dxa" w:w="4788"/>
            <w:vAlign w:val="center"/>
          </w:tcPr>
          <w:p>
            <w:pPr>
              <w:spacing w:after="40" w:line="240" w:lineRule="auto"/>
            </w:pPr>
            <w:r>
              <w:rPr>
                <w:rFonts w:ascii="Times New Roman" w:hAnsi="Times New Roman"/>
                <w:sz w:val="18"/>
              </w:rPr>
              <w:t>Transmit telemetry, run local rules, record risk outputs, and display device state/alerts.</w:t>
            </w:r>
          </w:p>
        </w:tc>
      </w:tr>
      <w:tr>
        <w:tc>
          <w:tcPr>
            <w:tcW w:type="dxa" w:w="4788"/>
            <w:vAlign w:val="center"/>
          </w:tcPr>
          <w:p>
            <w:pPr>
              <w:spacing w:after="40" w:line="240" w:lineRule="auto"/>
            </w:pPr>
            <w:r>
              <w:rPr>
                <w:rFonts w:ascii="Times New Roman" w:hAnsi="Times New Roman"/>
                <w:sz w:val="18"/>
              </w:rPr>
              <w:t>Calibrated reference thermometer/hygrometer and test sound/event records.</w:t>
            </w:r>
          </w:p>
        </w:tc>
        <w:tc>
          <w:tcPr>
            <w:tcW w:type="dxa" w:w="4788"/>
            <w:vAlign w:val="center"/>
          </w:tcPr>
          <w:p>
            <w:pPr>
              <w:spacing w:after="40" w:line="240" w:lineRule="auto"/>
            </w:pPr>
            <w:r>
              <w:rPr>
                <w:rFonts w:ascii="Times New Roman" w:hAnsi="Times New Roman"/>
                <w:sz w:val="18"/>
              </w:rPr>
              <w:t>Check sensor agreement and repeatability during bench and field checks.</w:t>
            </w:r>
          </w:p>
        </w:tc>
      </w:tr>
      <w:tr>
        <w:tc>
          <w:tcPr>
            <w:tcW w:type="dxa" w:w="4788"/>
            <w:vAlign w:val="center"/>
          </w:tcPr>
          <w:p>
            <w:pPr>
              <w:spacing w:after="40" w:line="240" w:lineRule="auto"/>
            </w:pPr>
            <w:r>
              <w:rPr>
                <w:rFonts w:ascii="Times New Roman" w:hAnsi="Times New Roman"/>
                <w:sz w:val="18"/>
              </w:rPr>
              <w:t>Farm checklist, farmer questionnaire, and interview guide.</w:t>
            </w:r>
          </w:p>
        </w:tc>
        <w:tc>
          <w:tcPr>
            <w:tcW w:type="dxa" w:w="4788"/>
            <w:vAlign w:val="center"/>
          </w:tcPr>
          <w:p>
            <w:pPr>
              <w:spacing w:after="40" w:line="240" w:lineRule="auto"/>
            </w:pPr>
            <w:r>
              <w:rPr>
                <w:rFonts w:ascii="Times New Roman" w:hAnsi="Times New Roman"/>
                <w:sz w:val="18"/>
              </w:rPr>
              <w:t>Record installation context, observed events, usability, and feasibility feedback.</w:t>
            </w:r>
          </w:p>
        </w:tc>
      </w:tr>
      <w:tr>
        <w:tc>
          <w:tcPr>
            <w:tcW w:type="dxa" w:w="4788"/>
            <w:vAlign w:val="center"/>
          </w:tcPr>
          <w:p>
            <w:pPr>
              <w:spacing w:after="40" w:line="240" w:lineRule="auto"/>
            </w:pPr>
            <w:r>
              <w:rPr>
                <w:rFonts w:ascii="Times New Roman" w:hAnsi="Times New Roman"/>
                <w:sz w:val="18"/>
              </w:rPr>
              <w:t>System logs and event register.</w:t>
            </w:r>
          </w:p>
        </w:tc>
        <w:tc>
          <w:tcPr>
            <w:tcW w:type="dxa" w:w="4788"/>
            <w:vAlign w:val="center"/>
          </w:tcPr>
          <w:p>
            <w:pPr>
              <w:spacing w:after="40" w:line="240" w:lineRule="auto"/>
            </w:pPr>
            <w:r>
              <w:rPr>
                <w:rFonts w:ascii="Times New Roman" w:hAnsi="Times New Roman"/>
                <w:sz w:val="18"/>
              </w:rPr>
              <w:t>Measure uptime, receipt, missing data, alert frequency, latency, and faults.</w:t>
            </w:r>
          </w:p>
        </w:tc>
      </w:tr>
    </w:tbl>
    <w:p/>
    <w:p>
      <w:pPr>
        <w:pStyle w:val="Heading2"/>
      </w:pPr>
      <w:r>
        <w:t>3.7 Data Analysis</w:t>
      </w:r>
    </w:p>
    <w:p>
      <w:r>
        <w:rPr>
          <w:i w:val="0"/>
        </w:rPr>
        <w:t>Quantitative data will be screened using predefined validity checks; missingness and exclusions will be reported. Sensor agreement with reference instruments will be summarized using mean absolute error and, where appropriate, bias and limits of agreement. System operation will be described using data availability (valid received readings divided by expected readings), message-delivery success, offline periods, alert latency, and alerts per monitored flock-day. Results will be summarized by farm and window, with site context retained.</w:t>
      </w:r>
    </w:p>
    <w:p>
      <w:r>
        <w:rPr>
          <w:i w:val="0"/>
        </w:rPr>
        <w:t>If adequate independent veterinary or laboratory reference labels are available, alert-level performance will be summarized with a confusion matrix and sensitivity, specificity, precision, and F1 score, with denominators and uncertainty reported. If positive/negative cases are too few, diagnostic metrics will not be presented as established evidence; alerts will be compared descriptively with observed events and professional assessments. Interview and open-ended questionnaire responses will be coded thematically. No causal claim of reduced ND incidence will be made.</w:t>
      </w:r>
    </w:p>
    <w:p>
      <w:pPr>
        <w:pStyle w:val="Heading2"/>
      </w:pPr>
      <w:r>
        <w:t>3.8 Validity and Reliability</w:t>
      </w:r>
    </w:p>
    <w:p>
      <w:r>
        <w:rPr>
          <w:i w:val="0"/>
        </w:rPr>
        <w:t>Supervisor and animal-health expert review will strengthen content validity. Reference-instrument checks, consistent mounting and sampling procedures, and calibration records will support measurement reliability. Software and communication will be tested with repeated runs and known payloads; missing messages and faults will be logged. Field sites will use a common installation checklist. Rule thresholds will be documented as pilot parameters, not validated clinical cut-offs.</w:t>
      </w:r>
    </w:p>
    <w:p>
      <w:pPr>
        <w:pStyle w:val="Heading2"/>
      </w:pPr>
      <w:r>
        <w:t>3.9 Ethical Considerations</w:t>
      </w:r>
    </w:p>
    <w:p>
      <w:r>
        <w:rPr>
          <w:i w:val="0"/>
        </w:rPr>
        <w:t>Approval will be sought from the relevant institutional ethics/research committee and required authorities before data collection. Farm owners and participants will receive an explanation and provide informed consent; participation is voluntary and withdrawal will not affect services. Identifiers will be coded, records access restricted, and any image/audio collection limited to what is necessary and consented. No birds will be infected, restrained, or subjected to invasive procedures. Sensor placement and any referral will follow veterinary guidance and animal-welfare requirements. The system is decision support; alerts prompt inspection and qualified veterinary consultation, not self-treatment or culling.</w:t>
      </w:r>
    </w:p>
    <w:p>
      <w:pPr>
        <w:pStyle w:val="Heading2"/>
      </w:pPr>
      <w:r>
        <w:t>3.10 Expected Outcomes</w:t>
      </w:r>
    </w:p>
    <w:p>
      <w:pPr>
        <w:pStyle w:val="ListBullet"/>
        <w:spacing w:line="288" w:lineRule="auto"/>
      </w:pPr>
      <w:r>
        <w:t>An integrated IoT prototype comprising a sensor node, MQTT telemetry, local risk rules, and operator dashboard.</w:t>
      </w:r>
    </w:p>
    <w:p>
      <w:pPr>
        <w:pStyle w:val="ListBullet"/>
        <w:spacing w:line="288" w:lineRule="auto"/>
      </w:pPr>
      <w:r>
        <w:t>Bench and field measurements of sensor agreement, data availability, message reliability, alert latency, and alert frequency.</w:t>
      </w:r>
    </w:p>
    <w:p>
      <w:pPr>
        <w:pStyle w:val="ListBullet"/>
        <w:spacing w:line="288" w:lineRule="auto"/>
      </w:pPr>
      <w:r>
        <w:t>User feedback on usability, installation, maintenance, and affordability considerations.</w:t>
      </w:r>
    </w:p>
    <w:p>
      <w:pPr>
        <w:pStyle w:val="ListBullet"/>
        <w:spacing w:line="288" w:lineRule="auto"/>
      </w:pPr>
      <w:r>
        <w:t>A documented assessment of limitations and recommendations for larger veterinary- and laboratory-validated studies.</w:t>
      </w:r>
    </w:p>
    <w:p>
      <w:pPr>
        <w:pStyle w:val="Heading2"/>
      </w:pPr>
      <w:r>
        <w:t>3.11 Work Plan</w:t>
      </w:r>
    </w:p>
    <w:tbl>
      <w:tblPr>
        <w:tblStyle w:val="TableGrid"/>
        <w:tblW w:type="auto" w:w="0"/>
        <w:jc w:val="center"/>
        <w:tblLook w:firstColumn="1" w:firstRow="1" w:lastColumn="0" w:lastRow="0" w:noHBand="0" w:noVBand="1" w:val="04A0"/>
      </w:tblPr>
      <w:tblGrid>
        <w:gridCol w:w="1368"/>
        <w:gridCol w:w="1368"/>
        <w:gridCol w:w="1368"/>
        <w:gridCol w:w="1368"/>
        <w:gridCol w:w="1368"/>
        <w:gridCol w:w="1368"/>
        <w:gridCol w:w="1368"/>
      </w:tblGrid>
      <w:tr>
        <w:tc>
          <w:tcPr>
            <w:tcW w:type="dxa" w:w="1368"/>
            <w:shd w:fill="D9EAF7"/>
            <w:vAlign w:val="center"/>
          </w:tcPr>
          <w:p>
            <w:pPr>
              <w:spacing w:after="40" w:line="240" w:lineRule="auto"/>
            </w:pPr>
            <w:r>
              <w:rPr>
                <w:rFonts w:ascii="Times New Roman" w:hAnsi="Times New Roman"/>
                <w:sz w:val="18"/>
              </w:rPr>
              <w:t>Activity</w:t>
            </w:r>
          </w:p>
        </w:tc>
        <w:tc>
          <w:tcPr>
            <w:tcW w:type="dxa" w:w="1368"/>
            <w:shd w:fill="D9EAF7"/>
            <w:vAlign w:val="center"/>
          </w:tcPr>
          <w:p>
            <w:pPr>
              <w:spacing w:after="40" w:line="240" w:lineRule="auto"/>
            </w:pPr>
            <w:r>
              <w:rPr>
                <w:rFonts w:ascii="Times New Roman" w:hAnsi="Times New Roman"/>
                <w:sz w:val="18"/>
              </w:rPr>
              <w:t>M1</w:t>
            </w:r>
          </w:p>
        </w:tc>
        <w:tc>
          <w:tcPr>
            <w:tcW w:type="dxa" w:w="1368"/>
            <w:shd w:fill="D9EAF7"/>
            <w:vAlign w:val="center"/>
          </w:tcPr>
          <w:p>
            <w:pPr>
              <w:spacing w:after="40" w:line="240" w:lineRule="auto"/>
            </w:pPr>
            <w:r>
              <w:rPr>
                <w:rFonts w:ascii="Times New Roman" w:hAnsi="Times New Roman"/>
                <w:sz w:val="18"/>
              </w:rPr>
              <w:t>M2</w:t>
            </w:r>
          </w:p>
        </w:tc>
        <w:tc>
          <w:tcPr>
            <w:tcW w:type="dxa" w:w="1368"/>
            <w:shd w:fill="D9EAF7"/>
            <w:vAlign w:val="center"/>
          </w:tcPr>
          <w:p>
            <w:pPr>
              <w:spacing w:after="40" w:line="240" w:lineRule="auto"/>
            </w:pPr>
            <w:r>
              <w:rPr>
                <w:rFonts w:ascii="Times New Roman" w:hAnsi="Times New Roman"/>
                <w:sz w:val="18"/>
              </w:rPr>
              <w:t>M3</w:t>
            </w:r>
          </w:p>
        </w:tc>
        <w:tc>
          <w:tcPr>
            <w:tcW w:type="dxa" w:w="1368"/>
            <w:shd w:fill="D9EAF7"/>
            <w:vAlign w:val="center"/>
          </w:tcPr>
          <w:p>
            <w:pPr>
              <w:spacing w:after="40" w:line="240" w:lineRule="auto"/>
            </w:pPr>
            <w:r>
              <w:rPr>
                <w:rFonts w:ascii="Times New Roman" w:hAnsi="Times New Roman"/>
                <w:sz w:val="18"/>
              </w:rPr>
              <w:t>M4</w:t>
            </w:r>
          </w:p>
        </w:tc>
        <w:tc>
          <w:tcPr>
            <w:tcW w:type="dxa" w:w="1368"/>
            <w:shd w:fill="D9EAF7"/>
            <w:vAlign w:val="center"/>
          </w:tcPr>
          <w:p>
            <w:pPr>
              <w:spacing w:after="40" w:line="240" w:lineRule="auto"/>
            </w:pPr>
            <w:r>
              <w:rPr>
                <w:rFonts w:ascii="Times New Roman" w:hAnsi="Times New Roman"/>
                <w:sz w:val="18"/>
              </w:rPr>
              <w:t>M5</w:t>
            </w:r>
          </w:p>
        </w:tc>
        <w:tc>
          <w:tcPr>
            <w:tcW w:type="dxa" w:w="1368"/>
            <w:shd w:fill="D9EAF7"/>
            <w:vAlign w:val="center"/>
          </w:tcPr>
          <w:p>
            <w:pPr>
              <w:spacing w:after="40" w:line="240" w:lineRule="auto"/>
            </w:pPr>
            <w:r>
              <w:rPr>
                <w:rFonts w:ascii="Times New Roman" w:hAnsi="Times New Roman"/>
                <w:sz w:val="18"/>
              </w:rPr>
              <w:t>M6</w:t>
            </w:r>
          </w:p>
        </w:tc>
      </w:tr>
      <w:tr>
        <w:tc>
          <w:tcPr>
            <w:tcW w:type="dxa" w:w="1368"/>
            <w:vAlign w:val="center"/>
          </w:tcPr>
          <w:p>
            <w:pPr>
              <w:spacing w:after="40" w:line="240" w:lineRule="auto"/>
            </w:pPr>
            <w:r>
              <w:rPr>
                <w:rFonts w:ascii="Times New Roman" w:hAnsi="Times New Roman"/>
                <w:sz w:val="18"/>
              </w:rPr>
              <w:t>Proposal, literature review, and approvals</w:t>
            </w:r>
          </w:p>
        </w:tc>
        <w:tc>
          <w:tcPr>
            <w:tcW w:type="dxa" w:w="1368"/>
            <w:vAlign w:val="center"/>
          </w:tcPr>
          <w:p>
            <w:pPr>
              <w:spacing w:after="40" w:line="240" w:lineRule="auto"/>
            </w:pPr>
            <w:r>
              <w:rPr>
                <w:rFonts w:ascii="Times New Roman" w:hAnsi="Times New Roman"/>
                <w:sz w:val="18"/>
              </w:rPr>
              <w:t>X</w:t>
            </w:r>
          </w:p>
        </w:tc>
        <w:tc>
          <w:tcPr>
            <w:tcW w:type="dxa" w:w="1368"/>
            <w:vAlign w:val="center"/>
          </w:tcPr>
          <w:p>
            <w:pPr>
              <w:spacing w:after="40" w:line="240" w:lineRule="auto"/>
            </w:pPr>
            <w:r>
              <w:rPr>
                <w:rFonts w:ascii="Times New Roman" w:hAnsi="Times New Roman"/>
                <w:sz w:val="18"/>
              </w:rPr>
              <w:t>X</w:t>
            </w:r>
          </w:p>
        </w:tc>
        <w:tc>
          <w:tcPr>
            <w:tcW w:type="dxa" w:w="1368"/>
            <w:vAlign w:val="center"/>
          </w:tcPr>
          <w:p>
            <w:pPr>
              <w:spacing w:after="40" w:line="240" w:lineRule="auto"/>
            </w:pPr>
            <w:r>
              <w:rPr>
                <w:rFonts w:ascii="Times New Roman" w:hAnsi="Times New Roman"/>
                <w:sz w:val="18"/>
              </w:rPr>
            </w:r>
          </w:p>
        </w:tc>
        <w:tc>
          <w:tcPr>
            <w:tcW w:type="dxa" w:w="1368"/>
            <w:vAlign w:val="center"/>
          </w:tcPr>
          <w:p>
            <w:pPr>
              <w:spacing w:after="40" w:line="240" w:lineRule="auto"/>
            </w:pPr>
            <w:r>
              <w:rPr>
                <w:rFonts w:ascii="Times New Roman" w:hAnsi="Times New Roman"/>
                <w:sz w:val="18"/>
              </w:rPr>
            </w:r>
          </w:p>
        </w:tc>
        <w:tc>
          <w:tcPr>
            <w:tcW w:type="dxa" w:w="1368"/>
            <w:vAlign w:val="center"/>
          </w:tcPr>
          <w:p>
            <w:pPr>
              <w:spacing w:after="40" w:line="240" w:lineRule="auto"/>
            </w:pPr>
            <w:r>
              <w:rPr>
                <w:rFonts w:ascii="Times New Roman" w:hAnsi="Times New Roman"/>
                <w:sz w:val="18"/>
              </w:rPr>
            </w:r>
          </w:p>
        </w:tc>
        <w:tc>
          <w:tcPr>
            <w:tcW w:type="dxa" w:w="1368"/>
            <w:vAlign w:val="center"/>
          </w:tcPr>
          <w:p>
            <w:pPr>
              <w:spacing w:after="40" w:line="240" w:lineRule="auto"/>
            </w:pPr>
            <w:r>
              <w:rPr>
                <w:rFonts w:ascii="Times New Roman" w:hAnsi="Times New Roman"/>
                <w:sz w:val="18"/>
              </w:rPr>
            </w:r>
          </w:p>
        </w:tc>
      </w:tr>
      <w:tr>
        <w:tc>
          <w:tcPr>
            <w:tcW w:type="dxa" w:w="1368"/>
            <w:vAlign w:val="center"/>
          </w:tcPr>
          <w:p>
            <w:pPr>
              <w:spacing w:after="40" w:line="240" w:lineRule="auto"/>
            </w:pPr>
            <w:r>
              <w:rPr>
                <w:rFonts w:ascii="Times New Roman" w:hAnsi="Times New Roman"/>
                <w:sz w:val="18"/>
              </w:rPr>
              <w:t>Requirements and site confirmation</w:t>
            </w:r>
          </w:p>
        </w:tc>
        <w:tc>
          <w:tcPr>
            <w:tcW w:type="dxa" w:w="1368"/>
            <w:vAlign w:val="center"/>
          </w:tcPr>
          <w:p>
            <w:pPr>
              <w:spacing w:after="40" w:line="240" w:lineRule="auto"/>
            </w:pPr>
            <w:r>
              <w:rPr>
                <w:rFonts w:ascii="Times New Roman" w:hAnsi="Times New Roman"/>
                <w:sz w:val="18"/>
              </w:rPr>
            </w:r>
          </w:p>
        </w:tc>
        <w:tc>
          <w:tcPr>
            <w:tcW w:type="dxa" w:w="1368"/>
            <w:vAlign w:val="center"/>
          </w:tcPr>
          <w:p>
            <w:pPr>
              <w:spacing w:after="40" w:line="240" w:lineRule="auto"/>
            </w:pPr>
            <w:r>
              <w:rPr>
                <w:rFonts w:ascii="Times New Roman" w:hAnsi="Times New Roman"/>
                <w:sz w:val="18"/>
              </w:rPr>
              <w:t>X</w:t>
            </w:r>
          </w:p>
        </w:tc>
        <w:tc>
          <w:tcPr>
            <w:tcW w:type="dxa" w:w="1368"/>
            <w:vAlign w:val="center"/>
          </w:tcPr>
          <w:p>
            <w:pPr>
              <w:spacing w:after="40" w:line="240" w:lineRule="auto"/>
            </w:pPr>
            <w:r>
              <w:rPr>
                <w:rFonts w:ascii="Times New Roman" w:hAnsi="Times New Roman"/>
                <w:sz w:val="18"/>
              </w:rPr>
              <w:t>X</w:t>
            </w:r>
          </w:p>
        </w:tc>
        <w:tc>
          <w:tcPr>
            <w:tcW w:type="dxa" w:w="1368"/>
            <w:vAlign w:val="center"/>
          </w:tcPr>
          <w:p>
            <w:pPr>
              <w:spacing w:after="40" w:line="240" w:lineRule="auto"/>
            </w:pPr>
            <w:r>
              <w:rPr>
                <w:rFonts w:ascii="Times New Roman" w:hAnsi="Times New Roman"/>
                <w:sz w:val="18"/>
              </w:rPr>
            </w:r>
          </w:p>
        </w:tc>
        <w:tc>
          <w:tcPr>
            <w:tcW w:type="dxa" w:w="1368"/>
            <w:vAlign w:val="center"/>
          </w:tcPr>
          <w:p>
            <w:pPr>
              <w:spacing w:after="40" w:line="240" w:lineRule="auto"/>
            </w:pPr>
            <w:r>
              <w:rPr>
                <w:rFonts w:ascii="Times New Roman" w:hAnsi="Times New Roman"/>
                <w:sz w:val="18"/>
              </w:rPr>
            </w:r>
          </w:p>
        </w:tc>
        <w:tc>
          <w:tcPr>
            <w:tcW w:type="dxa" w:w="1368"/>
            <w:vAlign w:val="center"/>
          </w:tcPr>
          <w:p>
            <w:pPr>
              <w:spacing w:after="40" w:line="240" w:lineRule="auto"/>
            </w:pPr>
            <w:r>
              <w:rPr>
                <w:rFonts w:ascii="Times New Roman" w:hAnsi="Times New Roman"/>
                <w:sz w:val="18"/>
              </w:rPr>
            </w:r>
          </w:p>
        </w:tc>
      </w:tr>
      <w:tr>
        <w:tc>
          <w:tcPr>
            <w:tcW w:type="dxa" w:w="1368"/>
            <w:vAlign w:val="center"/>
          </w:tcPr>
          <w:p>
            <w:pPr>
              <w:spacing w:after="40" w:line="240" w:lineRule="auto"/>
            </w:pPr>
            <w:r>
              <w:rPr>
                <w:rFonts w:ascii="Times New Roman" w:hAnsi="Times New Roman"/>
                <w:sz w:val="18"/>
              </w:rPr>
              <w:t>Prototype integration and bench verification</w:t>
            </w:r>
          </w:p>
        </w:tc>
        <w:tc>
          <w:tcPr>
            <w:tcW w:type="dxa" w:w="1368"/>
            <w:vAlign w:val="center"/>
          </w:tcPr>
          <w:p>
            <w:pPr>
              <w:spacing w:after="40" w:line="240" w:lineRule="auto"/>
            </w:pPr>
            <w:r>
              <w:rPr>
                <w:rFonts w:ascii="Times New Roman" w:hAnsi="Times New Roman"/>
                <w:sz w:val="18"/>
              </w:rPr>
            </w:r>
          </w:p>
        </w:tc>
        <w:tc>
          <w:tcPr>
            <w:tcW w:type="dxa" w:w="1368"/>
            <w:vAlign w:val="center"/>
          </w:tcPr>
          <w:p>
            <w:pPr>
              <w:spacing w:after="40" w:line="240" w:lineRule="auto"/>
            </w:pPr>
            <w:r>
              <w:rPr>
                <w:rFonts w:ascii="Times New Roman" w:hAnsi="Times New Roman"/>
                <w:sz w:val="18"/>
              </w:rPr>
            </w:r>
          </w:p>
        </w:tc>
        <w:tc>
          <w:tcPr>
            <w:tcW w:type="dxa" w:w="1368"/>
            <w:vAlign w:val="center"/>
          </w:tcPr>
          <w:p>
            <w:pPr>
              <w:spacing w:after="40" w:line="240" w:lineRule="auto"/>
            </w:pPr>
            <w:r>
              <w:rPr>
                <w:rFonts w:ascii="Times New Roman" w:hAnsi="Times New Roman"/>
                <w:sz w:val="18"/>
              </w:rPr>
              <w:t>X</w:t>
            </w:r>
          </w:p>
        </w:tc>
        <w:tc>
          <w:tcPr>
            <w:tcW w:type="dxa" w:w="1368"/>
            <w:vAlign w:val="center"/>
          </w:tcPr>
          <w:p>
            <w:pPr>
              <w:spacing w:after="40" w:line="240" w:lineRule="auto"/>
            </w:pPr>
            <w:r>
              <w:rPr>
                <w:rFonts w:ascii="Times New Roman" w:hAnsi="Times New Roman"/>
                <w:sz w:val="18"/>
              </w:rPr>
              <w:t>X</w:t>
            </w:r>
          </w:p>
        </w:tc>
        <w:tc>
          <w:tcPr>
            <w:tcW w:type="dxa" w:w="1368"/>
            <w:vAlign w:val="center"/>
          </w:tcPr>
          <w:p>
            <w:pPr>
              <w:spacing w:after="40" w:line="240" w:lineRule="auto"/>
            </w:pPr>
            <w:r>
              <w:rPr>
                <w:rFonts w:ascii="Times New Roman" w:hAnsi="Times New Roman"/>
                <w:sz w:val="18"/>
              </w:rPr>
            </w:r>
          </w:p>
        </w:tc>
        <w:tc>
          <w:tcPr>
            <w:tcW w:type="dxa" w:w="1368"/>
            <w:vAlign w:val="center"/>
          </w:tcPr>
          <w:p>
            <w:pPr>
              <w:spacing w:after="40" w:line="240" w:lineRule="auto"/>
            </w:pPr>
            <w:r>
              <w:rPr>
                <w:rFonts w:ascii="Times New Roman" w:hAnsi="Times New Roman"/>
                <w:sz w:val="18"/>
              </w:rPr>
            </w:r>
          </w:p>
        </w:tc>
      </w:tr>
      <w:tr>
        <w:tc>
          <w:tcPr>
            <w:tcW w:type="dxa" w:w="1368"/>
            <w:vAlign w:val="center"/>
          </w:tcPr>
          <w:p>
            <w:pPr>
              <w:spacing w:after="40" w:line="240" w:lineRule="auto"/>
            </w:pPr>
            <w:r>
              <w:rPr>
                <w:rFonts w:ascii="Times New Roman" w:hAnsi="Times New Roman"/>
                <w:sz w:val="18"/>
              </w:rPr>
              <w:t>Farm deployment and data collection</w:t>
            </w:r>
          </w:p>
        </w:tc>
        <w:tc>
          <w:tcPr>
            <w:tcW w:type="dxa" w:w="1368"/>
            <w:vAlign w:val="center"/>
          </w:tcPr>
          <w:p>
            <w:pPr>
              <w:spacing w:after="40" w:line="240" w:lineRule="auto"/>
            </w:pPr>
            <w:r>
              <w:rPr>
                <w:rFonts w:ascii="Times New Roman" w:hAnsi="Times New Roman"/>
                <w:sz w:val="18"/>
              </w:rPr>
            </w:r>
          </w:p>
        </w:tc>
        <w:tc>
          <w:tcPr>
            <w:tcW w:type="dxa" w:w="1368"/>
            <w:vAlign w:val="center"/>
          </w:tcPr>
          <w:p>
            <w:pPr>
              <w:spacing w:after="40" w:line="240" w:lineRule="auto"/>
            </w:pPr>
            <w:r>
              <w:rPr>
                <w:rFonts w:ascii="Times New Roman" w:hAnsi="Times New Roman"/>
                <w:sz w:val="18"/>
              </w:rPr>
            </w:r>
          </w:p>
        </w:tc>
        <w:tc>
          <w:tcPr>
            <w:tcW w:type="dxa" w:w="1368"/>
            <w:vAlign w:val="center"/>
          </w:tcPr>
          <w:p>
            <w:pPr>
              <w:spacing w:after="40" w:line="240" w:lineRule="auto"/>
            </w:pPr>
            <w:r>
              <w:rPr>
                <w:rFonts w:ascii="Times New Roman" w:hAnsi="Times New Roman"/>
                <w:sz w:val="18"/>
              </w:rPr>
            </w:r>
          </w:p>
        </w:tc>
        <w:tc>
          <w:tcPr>
            <w:tcW w:type="dxa" w:w="1368"/>
            <w:vAlign w:val="center"/>
          </w:tcPr>
          <w:p>
            <w:pPr>
              <w:spacing w:after="40" w:line="240" w:lineRule="auto"/>
            </w:pPr>
            <w:r>
              <w:rPr>
                <w:rFonts w:ascii="Times New Roman" w:hAnsi="Times New Roman"/>
                <w:sz w:val="18"/>
              </w:rPr>
              <w:t>X</w:t>
            </w:r>
          </w:p>
        </w:tc>
        <w:tc>
          <w:tcPr>
            <w:tcW w:type="dxa" w:w="1368"/>
            <w:vAlign w:val="center"/>
          </w:tcPr>
          <w:p>
            <w:pPr>
              <w:spacing w:after="40" w:line="240" w:lineRule="auto"/>
            </w:pPr>
            <w:r>
              <w:rPr>
                <w:rFonts w:ascii="Times New Roman" w:hAnsi="Times New Roman"/>
                <w:sz w:val="18"/>
              </w:rPr>
              <w:t>X</w:t>
            </w:r>
          </w:p>
        </w:tc>
        <w:tc>
          <w:tcPr>
            <w:tcW w:type="dxa" w:w="1368"/>
            <w:vAlign w:val="center"/>
          </w:tcPr>
          <w:p>
            <w:pPr>
              <w:spacing w:after="40" w:line="240" w:lineRule="auto"/>
            </w:pPr>
            <w:r>
              <w:rPr>
                <w:rFonts w:ascii="Times New Roman" w:hAnsi="Times New Roman"/>
                <w:sz w:val="18"/>
              </w:rPr>
            </w:r>
          </w:p>
        </w:tc>
      </w:tr>
      <w:tr>
        <w:tc>
          <w:tcPr>
            <w:tcW w:type="dxa" w:w="1368"/>
            <w:vAlign w:val="center"/>
          </w:tcPr>
          <w:p>
            <w:pPr>
              <w:spacing w:after="40" w:line="240" w:lineRule="auto"/>
            </w:pPr>
            <w:r>
              <w:rPr>
                <w:rFonts w:ascii="Times New Roman" w:hAnsi="Times New Roman"/>
                <w:sz w:val="18"/>
              </w:rPr>
              <w:t>Data analysis and interpretation</w:t>
            </w:r>
          </w:p>
        </w:tc>
        <w:tc>
          <w:tcPr>
            <w:tcW w:type="dxa" w:w="1368"/>
            <w:vAlign w:val="center"/>
          </w:tcPr>
          <w:p>
            <w:pPr>
              <w:spacing w:after="40" w:line="240" w:lineRule="auto"/>
            </w:pPr>
            <w:r>
              <w:rPr>
                <w:rFonts w:ascii="Times New Roman" w:hAnsi="Times New Roman"/>
                <w:sz w:val="18"/>
              </w:rPr>
            </w:r>
          </w:p>
        </w:tc>
        <w:tc>
          <w:tcPr>
            <w:tcW w:type="dxa" w:w="1368"/>
            <w:vAlign w:val="center"/>
          </w:tcPr>
          <w:p>
            <w:pPr>
              <w:spacing w:after="40" w:line="240" w:lineRule="auto"/>
            </w:pPr>
            <w:r>
              <w:rPr>
                <w:rFonts w:ascii="Times New Roman" w:hAnsi="Times New Roman"/>
                <w:sz w:val="18"/>
              </w:rPr>
            </w:r>
          </w:p>
        </w:tc>
        <w:tc>
          <w:tcPr>
            <w:tcW w:type="dxa" w:w="1368"/>
            <w:vAlign w:val="center"/>
          </w:tcPr>
          <w:p>
            <w:pPr>
              <w:spacing w:after="40" w:line="240" w:lineRule="auto"/>
            </w:pPr>
            <w:r>
              <w:rPr>
                <w:rFonts w:ascii="Times New Roman" w:hAnsi="Times New Roman"/>
                <w:sz w:val="18"/>
              </w:rPr>
            </w:r>
          </w:p>
        </w:tc>
        <w:tc>
          <w:tcPr>
            <w:tcW w:type="dxa" w:w="1368"/>
            <w:vAlign w:val="center"/>
          </w:tcPr>
          <w:p>
            <w:pPr>
              <w:spacing w:after="40" w:line="240" w:lineRule="auto"/>
            </w:pPr>
            <w:r>
              <w:rPr>
                <w:rFonts w:ascii="Times New Roman" w:hAnsi="Times New Roman"/>
                <w:sz w:val="18"/>
              </w:rPr>
            </w:r>
          </w:p>
        </w:tc>
        <w:tc>
          <w:tcPr>
            <w:tcW w:type="dxa" w:w="1368"/>
            <w:vAlign w:val="center"/>
          </w:tcPr>
          <w:p>
            <w:pPr>
              <w:spacing w:after="40" w:line="240" w:lineRule="auto"/>
            </w:pPr>
            <w:r>
              <w:rPr>
                <w:rFonts w:ascii="Times New Roman" w:hAnsi="Times New Roman"/>
                <w:sz w:val="18"/>
              </w:rPr>
              <w:t>X</w:t>
            </w:r>
          </w:p>
        </w:tc>
        <w:tc>
          <w:tcPr>
            <w:tcW w:type="dxa" w:w="1368"/>
            <w:vAlign w:val="center"/>
          </w:tcPr>
          <w:p>
            <w:pPr>
              <w:spacing w:after="40" w:line="240" w:lineRule="auto"/>
            </w:pPr>
            <w:r>
              <w:rPr>
                <w:rFonts w:ascii="Times New Roman" w:hAnsi="Times New Roman"/>
                <w:sz w:val="18"/>
              </w:rPr>
              <w:t>X</w:t>
            </w:r>
          </w:p>
        </w:tc>
      </w:tr>
      <w:tr>
        <w:tc>
          <w:tcPr>
            <w:tcW w:type="dxa" w:w="1368"/>
            <w:vAlign w:val="center"/>
          </w:tcPr>
          <w:p>
            <w:pPr>
              <w:spacing w:after="40" w:line="240" w:lineRule="auto"/>
            </w:pPr>
            <w:r>
              <w:rPr>
                <w:rFonts w:ascii="Times New Roman" w:hAnsi="Times New Roman"/>
                <w:sz w:val="18"/>
              </w:rPr>
              <w:t>Writing, review, and final submission</w:t>
            </w:r>
          </w:p>
        </w:tc>
        <w:tc>
          <w:tcPr>
            <w:tcW w:type="dxa" w:w="1368"/>
            <w:vAlign w:val="center"/>
          </w:tcPr>
          <w:p>
            <w:pPr>
              <w:spacing w:after="40" w:line="240" w:lineRule="auto"/>
            </w:pPr>
            <w:r>
              <w:rPr>
                <w:rFonts w:ascii="Times New Roman" w:hAnsi="Times New Roman"/>
                <w:sz w:val="18"/>
              </w:rPr>
            </w:r>
          </w:p>
        </w:tc>
        <w:tc>
          <w:tcPr>
            <w:tcW w:type="dxa" w:w="1368"/>
            <w:vAlign w:val="center"/>
          </w:tcPr>
          <w:p>
            <w:pPr>
              <w:spacing w:after="40" w:line="240" w:lineRule="auto"/>
            </w:pPr>
            <w:r>
              <w:rPr>
                <w:rFonts w:ascii="Times New Roman" w:hAnsi="Times New Roman"/>
                <w:sz w:val="18"/>
              </w:rPr>
            </w:r>
          </w:p>
        </w:tc>
        <w:tc>
          <w:tcPr>
            <w:tcW w:type="dxa" w:w="1368"/>
            <w:vAlign w:val="center"/>
          </w:tcPr>
          <w:p>
            <w:pPr>
              <w:spacing w:after="40" w:line="240" w:lineRule="auto"/>
            </w:pPr>
            <w:r>
              <w:rPr>
                <w:rFonts w:ascii="Times New Roman" w:hAnsi="Times New Roman"/>
                <w:sz w:val="18"/>
              </w:rPr>
            </w:r>
          </w:p>
        </w:tc>
        <w:tc>
          <w:tcPr>
            <w:tcW w:type="dxa" w:w="1368"/>
            <w:vAlign w:val="center"/>
          </w:tcPr>
          <w:p>
            <w:pPr>
              <w:spacing w:after="40" w:line="240" w:lineRule="auto"/>
            </w:pPr>
            <w:r>
              <w:rPr>
                <w:rFonts w:ascii="Times New Roman" w:hAnsi="Times New Roman"/>
                <w:sz w:val="18"/>
              </w:rPr>
            </w:r>
          </w:p>
        </w:tc>
        <w:tc>
          <w:tcPr>
            <w:tcW w:type="dxa" w:w="1368"/>
            <w:vAlign w:val="center"/>
          </w:tcPr>
          <w:p>
            <w:pPr>
              <w:spacing w:after="40" w:line="240" w:lineRule="auto"/>
            </w:pPr>
            <w:r>
              <w:rPr>
                <w:rFonts w:ascii="Times New Roman" w:hAnsi="Times New Roman"/>
                <w:sz w:val="18"/>
              </w:rPr>
            </w:r>
          </w:p>
        </w:tc>
        <w:tc>
          <w:tcPr>
            <w:tcW w:type="dxa" w:w="1368"/>
            <w:vAlign w:val="center"/>
          </w:tcPr>
          <w:p>
            <w:pPr>
              <w:spacing w:after="40" w:line="240" w:lineRule="auto"/>
            </w:pPr>
            <w:r>
              <w:rPr>
                <w:rFonts w:ascii="Times New Roman" w:hAnsi="Times New Roman"/>
                <w:sz w:val="18"/>
              </w:rPr>
              <w:t>X</w:t>
            </w:r>
          </w:p>
        </w:tc>
      </w:tr>
    </w:tbl>
    <w:p/>
    <w:p>
      <w:r>
        <w:rPr>
          <w:i/>
        </w:rPr>
        <w:t>The six-month schedule is provisional and should be aligned with the academic calendar, ethics review, and farm availability.</w:t>
      </w:r>
    </w:p>
    <w:p>
      <w:pPr>
        <w:pStyle w:val="Heading2"/>
      </w:pPr>
      <w:r>
        <w:t>3.12 Preliminary Budget</w:t>
      </w:r>
    </w:p>
    <w:tbl>
      <w:tblPr>
        <w:tblStyle w:val="TableGrid"/>
        <w:tblW w:type="auto" w:w="0"/>
        <w:jc w:val="center"/>
        <w:tblLook w:firstColumn="1" w:firstRow="1" w:lastColumn="0" w:lastRow="0" w:noHBand="0" w:noVBand="1" w:val="04A0"/>
      </w:tblPr>
      <w:tblGrid>
        <w:gridCol w:w="3192"/>
        <w:gridCol w:w="3192"/>
        <w:gridCol w:w="3192"/>
      </w:tblGrid>
      <w:tr>
        <w:tc>
          <w:tcPr>
            <w:tcW w:type="dxa" w:w="3192"/>
            <w:shd w:fill="D9EAF7"/>
            <w:vAlign w:val="center"/>
          </w:tcPr>
          <w:p>
            <w:pPr>
              <w:spacing w:after="40" w:line="240" w:lineRule="auto"/>
            </w:pPr>
            <w:r>
              <w:rPr>
                <w:rFonts w:ascii="Times New Roman" w:hAnsi="Times New Roman"/>
                <w:sz w:val="18"/>
              </w:rPr>
              <w:t>Item</w:t>
            </w:r>
          </w:p>
        </w:tc>
        <w:tc>
          <w:tcPr>
            <w:tcW w:type="dxa" w:w="3192"/>
            <w:shd w:fill="D9EAF7"/>
            <w:vAlign w:val="center"/>
          </w:tcPr>
          <w:p>
            <w:pPr>
              <w:spacing w:after="40" w:line="240" w:lineRule="auto"/>
            </w:pPr>
            <w:r>
              <w:rPr>
                <w:rFonts w:ascii="Times New Roman" w:hAnsi="Times New Roman"/>
                <w:sz w:val="18"/>
              </w:rPr>
              <w:t>Basis / note</w:t>
            </w:r>
          </w:p>
        </w:tc>
        <w:tc>
          <w:tcPr>
            <w:tcW w:type="dxa" w:w="3192"/>
            <w:shd w:fill="D9EAF7"/>
            <w:vAlign w:val="center"/>
          </w:tcPr>
          <w:p>
            <w:pPr>
              <w:spacing w:after="40" w:line="240" w:lineRule="auto"/>
            </w:pPr>
            <w:r>
              <w:rPr>
                <w:rFonts w:ascii="Times New Roman" w:hAnsi="Times New Roman"/>
                <w:sz w:val="18"/>
              </w:rPr>
              <w:t>Estimated cost (KES)</w:t>
            </w:r>
          </w:p>
        </w:tc>
      </w:tr>
      <w:tr>
        <w:tc>
          <w:tcPr>
            <w:tcW w:type="dxa" w:w="3192"/>
            <w:vAlign w:val="center"/>
          </w:tcPr>
          <w:p>
            <w:pPr>
              <w:spacing w:after="40" w:line="240" w:lineRule="auto"/>
            </w:pPr>
            <w:r>
              <w:rPr>
                <w:rFonts w:ascii="Times New Roman" w:hAnsi="Times New Roman"/>
                <w:sz w:val="18"/>
              </w:rPr>
              <w:t>ESP32-S3 boards and sensor modules</w:t>
            </w:r>
          </w:p>
        </w:tc>
        <w:tc>
          <w:tcPr>
            <w:tcW w:type="dxa" w:w="3192"/>
            <w:vAlign w:val="center"/>
          </w:tcPr>
          <w:p>
            <w:pPr>
              <w:spacing w:after="40" w:line="240" w:lineRule="auto"/>
            </w:pPr>
            <w:r>
              <w:rPr>
                <w:rFonts w:ascii="Times New Roman" w:hAnsi="Times New Roman"/>
                <w:sz w:val="18"/>
              </w:rPr>
              <w:t>Confirm quantities and supplier quotations</w:t>
            </w:r>
          </w:p>
        </w:tc>
        <w:tc>
          <w:tcPr>
            <w:tcW w:type="dxa" w:w="3192"/>
            <w:vAlign w:val="center"/>
          </w:tcPr>
          <w:p>
            <w:pPr>
              <w:spacing w:after="40" w:line="240" w:lineRule="auto"/>
            </w:pPr>
            <w:r>
              <w:rPr>
                <w:rFonts w:ascii="Times New Roman" w:hAnsi="Times New Roman"/>
                <w:sz w:val="18"/>
              </w:rPr>
              <w:t>[insert quote]</w:t>
            </w:r>
          </w:p>
        </w:tc>
      </w:tr>
      <w:tr>
        <w:tc>
          <w:tcPr>
            <w:tcW w:type="dxa" w:w="3192"/>
            <w:vAlign w:val="center"/>
          </w:tcPr>
          <w:p>
            <w:pPr>
              <w:spacing w:after="40" w:line="240" w:lineRule="auto"/>
            </w:pPr>
            <w:r>
              <w:rPr>
                <w:rFonts w:ascii="Times New Roman" w:hAnsi="Times New Roman"/>
                <w:sz w:val="18"/>
              </w:rPr>
              <w:t>Power supply, enclosure, mounts, cabling</w:t>
            </w:r>
          </w:p>
        </w:tc>
        <w:tc>
          <w:tcPr>
            <w:tcW w:type="dxa" w:w="3192"/>
            <w:vAlign w:val="center"/>
          </w:tcPr>
          <w:p>
            <w:pPr>
              <w:spacing w:after="40" w:line="240" w:lineRule="auto"/>
            </w:pPr>
            <w:r>
              <w:rPr>
                <w:rFonts w:ascii="Times New Roman" w:hAnsi="Times New Roman"/>
                <w:sz w:val="18"/>
              </w:rPr>
              <w:t>Weather/dust protection and installation</w:t>
            </w:r>
          </w:p>
        </w:tc>
        <w:tc>
          <w:tcPr>
            <w:tcW w:type="dxa" w:w="3192"/>
            <w:vAlign w:val="center"/>
          </w:tcPr>
          <w:p>
            <w:pPr>
              <w:spacing w:after="40" w:line="240" w:lineRule="auto"/>
            </w:pPr>
            <w:r>
              <w:rPr>
                <w:rFonts w:ascii="Times New Roman" w:hAnsi="Times New Roman"/>
                <w:sz w:val="18"/>
              </w:rPr>
              <w:t>[insert quote]</w:t>
            </w:r>
          </w:p>
        </w:tc>
      </w:tr>
      <w:tr>
        <w:tc>
          <w:tcPr>
            <w:tcW w:type="dxa" w:w="3192"/>
            <w:vAlign w:val="center"/>
          </w:tcPr>
          <w:p>
            <w:pPr>
              <w:spacing w:after="40" w:line="240" w:lineRule="auto"/>
            </w:pPr>
            <w:r>
              <w:rPr>
                <w:rFonts w:ascii="Times New Roman" w:hAnsi="Times New Roman"/>
                <w:sz w:val="18"/>
              </w:rPr>
              <w:t>Reference measurement instruments</w:t>
            </w:r>
          </w:p>
        </w:tc>
        <w:tc>
          <w:tcPr>
            <w:tcW w:type="dxa" w:w="3192"/>
            <w:vAlign w:val="center"/>
          </w:tcPr>
          <w:p>
            <w:pPr>
              <w:spacing w:after="40" w:line="240" w:lineRule="auto"/>
            </w:pPr>
            <w:r>
              <w:rPr>
                <w:rFonts w:ascii="Times New Roman" w:hAnsi="Times New Roman"/>
                <w:sz w:val="18"/>
              </w:rPr>
              <w:t>Borrow, hire, or purchase as approved</w:t>
            </w:r>
          </w:p>
        </w:tc>
        <w:tc>
          <w:tcPr>
            <w:tcW w:type="dxa" w:w="3192"/>
            <w:vAlign w:val="center"/>
          </w:tcPr>
          <w:p>
            <w:pPr>
              <w:spacing w:after="40" w:line="240" w:lineRule="auto"/>
            </w:pPr>
            <w:r>
              <w:rPr>
                <w:rFonts w:ascii="Times New Roman" w:hAnsi="Times New Roman"/>
                <w:sz w:val="18"/>
              </w:rPr>
              <w:t>[insert quote]</w:t>
            </w:r>
          </w:p>
        </w:tc>
      </w:tr>
      <w:tr>
        <w:tc>
          <w:tcPr>
            <w:tcW w:type="dxa" w:w="3192"/>
            <w:vAlign w:val="center"/>
          </w:tcPr>
          <w:p>
            <w:pPr>
              <w:spacing w:after="40" w:line="240" w:lineRule="auto"/>
            </w:pPr>
            <w:r>
              <w:rPr>
                <w:rFonts w:ascii="Times New Roman" w:hAnsi="Times New Roman"/>
                <w:sz w:val="18"/>
              </w:rPr>
              <w:t>Connectivity / broker / data costs</w:t>
            </w:r>
          </w:p>
        </w:tc>
        <w:tc>
          <w:tcPr>
            <w:tcW w:type="dxa" w:w="3192"/>
            <w:vAlign w:val="center"/>
          </w:tcPr>
          <w:p>
            <w:pPr>
              <w:spacing w:after="40" w:line="240" w:lineRule="auto"/>
            </w:pPr>
            <w:r>
              <w:rPr>
                <w:rFonts w:ascii="Times New Roman" w:hAnsi="Times New Roman"/>
                <w:sz w:val="18"/>
              </w:rPr>
              <w:t>Local network or mobile data if required</w:t>
            </w:r>
          </w:p>
        </w:tc>
        <w:tc>
          <w:tcPr>
            <w:tcW w:type="dxa" w:w="3192"/>
            <w:vAlign w:val="center"/>
          </w:tcPr>
          <w:p>
            <w:pPr>
              <w:spacing w:after="40" w:line="240" w:lineRule="auto"/>
            </w:pPr>
            <w:r>
              <w:rPr>
                <w:rFonts w:ascii="Times New Roman" w:hAnsi="Times New Roman"/>
                <w:sz w:val="18"/>
              </w:rPr>
              <w:t>[insert quote]</w:t>
            </w:r>
          </w:p>
        </w:tc>
      </w:tr>
      <w:tr>
        <w:tc>
          <w:tcPr>
            <w:tcW w:type="dxa" w:w="3192"/>
            <w:vAlign w:val="center"/>
          </w:tcPr>
          <w:p>
            <w:pPr>
              <w:spacing w:after="40" w:line="240" w:lineRule="auto"/>
            </w:pPr>
            <w:r>
              <w:rPr>
                <w:rFonts w:ascii="Times New Roman" w:hAnsi="Times New Roman"/>
                <w:sz w:val="18"/>
              </w:rPr>
              <w:t>Transport and farm visits</w:t>
            </w:r>
          </w:p>
        </w:tc>
        <w:tc>
          <w:tcPr>
            <w:tcW w:type="dxa" w:w="3192"/>
            <w:vAlign w:val="center"/>
          </w:tcPr>
          <w:p>
            <w:pPr>
              <w:spacing w:after="40" w:line="240" w:lineRule="auto"/>
            </w:pPr>
            <w:r>
              <w:rPr>
                <w:rFonts w:ascii="Times New Roman" w:hAnsi="Times New Roman"/>
                <w:sz w:val="18"/>
              </w:rPr>
              <w:t>Based on selected area and visit schedule</w:t>
            </w:r>
          </w:p>
        </w:tc>
        <w:tc>
          <w:tcPr>
            <w:tcW w:type="dxa" w:w="3192"/>
            <w:vAlign w:val="center"/>
          </w:tcPr>
          <w:p>
            <w:pPr>
              <w:spacing w:after="40" w:line="240" w:lineRule="auto"/>
            </w:pPr>
            <w:r>
              <w:rPr>
                <w:rFonts w:ascii="Times New Roman" w:hAnsi="Times New Roman"/>
                <w:sz w:val="18"/>
              </w:rPr>
              <w:t>[insert quote]</w:t>
            </w:r>
          </w:p>
        </w:tc>
      </w:tr>
      <w:tr>
        <w:tc>
          <w:tcPr>
            <w:tcW w:type="dxa" w:w="3192"/>
            <w:vAlign w:val="center"/>
          </w:tcPr>
          <w:p>
            <w:pPr>
              <w:spacing w:after="40" w:line="240" w:lineRule="auto"/>
            </w:pPr>
            <w:r>
              <w:rPr>
                <w:rFonts w:ascii="Times New Roman" w:hAnsi="Times New Roman"/>
                <w:sz w:val="18"/>
              </w:rPr>
              <w:t>Printing and collection materials</w:t>
            </w:r>
          </w:p>
        </w:tc>
        <w:tc>
          <w:tcPr>
            <w:tcW w:type="dxa" w:w="3192"/>
            <w:vAlign w:val="center"/>
          </w:tcPr>
          <w:p>
            <w:pPr>
              <w:spacing w:after="40" w:line="240" w:lineRule="auto"/>
            </w:pPr>
            <w:r>
              <w:rPr>
                <w:rFonts w:ascii="Times New Roman" w:hAnsi="Times New Roman"/>
                <w:sz w:val="18"/>
              </w:rPr>
              <w:t>Forms, consent documents, checklists</w:t>
            </w:r>
          </w:p>
        </w:tc>
        <w:tc>
          <w:tcPr>
            <w:tcW w:type="dxa" w:w="3192"/>
            <w:vAlign w:val="center"/>
          </w:tcPr>
          <w:p>
            <w:pPr>
              <w:spacing w:after="40" w:line="240" w:lineRule="auto"/>
            </w:pPr>
            <w:r>
              <w:rPr>
                <w:rFonts w:ascii="Times New Roman" w:hAnsi="Times New Roman"/>
                <w:sz w:val="18"/>
              </w:rPr>
              <w:t>[insert quote]</w:t>
            </w:r>
          </w:p>
        </w:tc>
      </w:tr>
      <w:tr>
        <w:tc>
          <w:tcPr>
            <w:tcW w:type="dxa" w:w="3192"/>
            <w:vAlign w:val="center"/>
          </w:tcPr>
          <w:p>
            <w:pPr>
              <w:spacing w:after="40" w:line="240" w:lineRule="auto"/>
            </w:pPr>
            <w:r>
              <w:rPr>
                <w:rFonts w:ascii="Times New Roman" w:hAnsi="Times New Roman"/>
                <w:sz w:val="18"/>
              </w:rPr>
              <w:t>Contingency</w:t>
            </w:r>
          </w:p>
        </w:tc>
        <w:tc>
          <w:tcPr>
            <w:tcW w:type="dxa" w:w="3192"/>
            <w:vAlign w:val="center"/>
          </w:tcPr>
          <w:p>
            <w:pPr>
              <w:spacing w:after="40" w:line="240" w:lineRule="auto"/>
            </w:pPr>
            <w:r>
              <w:rPr>
                <w:rFonts w:ascii="Times New Roman" w:hAnsi="Times New Roman"/>
                <w:sz w:val="18"/>
              </w:rPr>
              <w:t>Institutional rate / supervisor approval</w:t>
            </w:r>
          </w:p>
        </w:tc>
        <w:tc>
          <w:tcPr>
            <w:tcW w:type="dxa" w:w="3192"/>
            <w:vAlign w:val="center"/>
          </w:tcPr>
          <w:p>
            <w:pPr>
              <w:spacing w:after="40" w:line="240" w:lineRule="auto"/>
            </w:pPr>
            <w:r>
              <w:rPr>
                <w:rFonts w:ascii="Times New Roman" w:hAnsi="Times New Roman"/>
                <w:sz w:val="18"/>
              </w:rPr>
              <w:t>[insert quote]</w:t>
            </w:r>
          </w:p>
        </w:tc>
      </w:tr>
      <w:tr>
        <w:tc>
          <w:tcPr>
            <w:tcW w:type="dxa" w:w="3192"/>
            <w:vAlign w:val="center"/>
          </w:tcPr>
          <w:p>
            <w:pPr>
              <w:spacing w:after="40" w:line="240" w:lineRule="auto"/>
            </w:pPr>
            <w:r>
              <w:rPr>
                <w:rFonts w:ascii="Times New Roman" w:hAnsi="Times New Roman"/>
                <w:sz w:val="18"/>
              </w:rPr>
              <w:t>TOTAL</w:t>
            </w:r>
          </w:p>
        </w:tc>
        <w:tc>
          <w:tcPr>
            <w:tcW w:type="dxa" w:w="3192"/>
            <w:vAlign w:val="center"/>
          </w:tcPr>
          <w:p>
            <w:pPr>
              <w:spacing w:after="40" w:line="240" w:lineRule="auto"/>
            </w:pPr>
            <w:r>
              <w:rPr>
                <w:rFonts w:ascii="Times New Roman" w:hAnsi="Times New Roman"/>
                <w:sz w:val="18"/>
              </w:rPr>
              <w:t>Calculate from current written quotations</w:t>
            </w:r>
          </w:p>
        </w:tc>
        <w:tc>
          <w:tcPr>
            <w:tcW w:type="dxa" w:w="3192"/>
            <w:vAlign w:val="center"/>
          </w:tcPr>
          <w:p>
            <w:pPr>
              <w:spacing w:after="40" w:line="240" w:lineRule="auto"/>
            </w:pPr>
            <w:r>
              <w:rPr>
                <w:rFonts w:ascii="Times New Roman" w:hAnsi="Times New Roman"/>
                <w:sz w:val="18"/>
              </w:rPr>
              <w:t>[TBD]</w:t>
            </w:r>
          </w:p>
        </w:tc>
      </w:tr>
    </w:tbl>
    <w:p/>
    <w:p>
      <w:r>
        <w:rPr>
          <w:i/>
        </w:rPr>
        <w:t>Budget note: amounts are left for current local supplier and transport quotations rather than invented. Replace placeholders and calculate the total before submission.</w:t>
      </w:r>
    </w:p>
    <w:p>
      <w:r>
        <w:br w:type="page"/>
      </w:r>
    </w:p>
    <w:p>
      <w:pPr>
        <w:pStyle w:val="Heading1"/>
      </w:pPr>
      <w:r>
        <w:t>CONCLUSION</w:t>
      </w:r>
    </w:p>
    <w:p>
      <w:r>
        <w:rPr>
          <w:i w:val="0"/>
        </w:rPr>
        <w:t>This proposal sets out an agricultural-engineering study to design and pilot a low-cost IoT system for continuous poultry-house monitoring and Newcastle Disease risk alerting in Kenya. Its contribution is integration and field evaluation of sensing, local processing, communication, and user-facing alerts under local operating conditions. Because sound, motion, and surface temperature are indirect and non-specific, the system supports observation and veterinary referral rather than stand-alone diagnosis. The evaluation will establish whether the prototype is technically dependable and practically usable, and what further validation is needed.</w:t>
      </w:r>
    </w:p>
    <w:p>
      <w:pPr>
        <w:pStyle w:val="Heading1"/>
      </w:pPr>
      <w:r>
        <w:t>REFERENCES</w:t>
      </w:r>
    </w:p>
    <w:p>
      <w:pPr>
        <w:spacing w:line="264" w:lineRule="auto" w:after="160"/>
        <w:ind w:left="504" w:hanging="504"/>
      </w:pPr>
      <w:r>
        <w:t>Apopo, A. A., Kariithi, H. M., Ateya, L. O., Binepal, Y. S., Sirya, J. H., Dulu, T. D., Welch, C. N., Hernandez, S. M., &amp; Afonso, C. L. (2020). A retrospective study of Newcastle disease in Kenya. Tropical Animal Health and Production, 52(2), 699–710. https://doi.org/10.1007/s11250-019-02059-x</w:t>
      </w:r>
    </w:p>
    <w:p>
      <w:pPr>
        <w:spacing w:line="264" w:lineRule="auto" w:after="160"/>
        <w:ind w:left="504" w:hanging="504"/>
      </w:pPr>
      <w:r>
        <w:t>Astill, J., Dara, R. A., Fraser, E. D. G., Roberts, B., &amp; Sharif, S. (2020). Smart poultry management: Smart sensors, big data, and the internet of things. Computers and Electronics in Agriculture, 170, 105291. https://doi.org/10.1016/j.compag.2020.105291</w:t>
      </w:r>
    </w:p>
    <w:p>
      <w:pPr>
        <w:spacing w:line="264" w:lineRule="auto" w:after="160"/>
        <w:ind w:left="504" w:hanging="504"/>
      </w:pPr>
      <w:r>
        <w:t>Ipara, B. O., Otieno, D. O., Nyikal, R. A., &amp; Makokha, S. N. (2019). The role of unregulated chicken marketing practices on the frequency of Newcastle disease outbreaks in Kenya. Poultry Science, 98(12), 6356–6366. https://doi.org/10.3382/ps/pez463</w:t>
      </w:r>
    </w:p>
    <w:p>
      <w:pPr>
        <w:spacing w:line="264" w:lineRule="auto" w:after="160"/>
        <w:ind w:left="504" w:hanging="504"/>
      </w:pPr>
      <w:r>
        <w:t>World Organisation for Animal Health (WOAH). (n.d.). Newcastle disease. Retrieved 13 October 2026, from https://www.woah.org/en/disease/newcastle-disease/</w:t>
      </w:r>
    </w:p>
    <w:p>
      <w:pPr>
        <w:pStyle w:val="Heading1"/>
      </w:pPr>
      <w:r>
        <w:t>APPENDIX I: DRAFT FARM OBSERVATION RECORD</w:t>
      </w:r>
    </w:p>
    <w:tbl>
      <w:tblPr>
        <w:tblStyle w:val="TableGrid"/>
        <w:tblW w:type="auto" w:w="0"/>
        <w:jc w:val="center"/>
        <w:tblLook w:firstColumn="1" w:firstRow="1" w:lastColumn="0" w:lastRow="0" w:noHBand="0" w:noVBand="1" w:val="04A0"/>
      </w:tblPr>
      <w:tblGrid>
        <w:gridCol w:w="4788"/>
        <w:gridCol w:w="4788"/>
      </w:tblGrid>
      <w:tr>
        <w:tc>
          <w:tcPr>
            <w:tcW w:type="dxa" w:w="4788"/>
            <w:shd w:fill="D9EAF7"/>
            <w:vAlign w:val="center"/>
          </w:tcPr>
          <w:p>
            <w:pPr>
              <w:spacing w:after="40" w:line="240" w:lineRule="auto"/>
            </w:pPr>
            <w:r>
              <w:rPr>
                <w:rFonts w:ascii="Times New Roman" w:hAnsi="Times New Roman"/>
                <w:sz w:val="18"/>
              </w:rPr>
              <w:t>Record field</w:t>
            </w:r>
          </w:p>
        </w:tc>
        <w:tc>
          <w:tcPr>
            <w:tcW w:type="dxa" w:w="4788"/>
            <w:shd w:fill="D9EAF7"/>
            <w:vAlign w:val="center"/>
          </w:tcPr>
          <w:p>
            <w:pPr>
              <w:spacing w:after="40" w:line="240" w:lineRule="auto"/>
            </w:pPr>
            <w:r>
              <w:rPr>
                <w:rFonts w:ascii="Times New Roman" w:hAnsi="Times New Roman"/>
                <w:sz w:val="18"/>
              </w:rPr>
              <w:t>Entry</w:t>
            </w:r>
          </w:p>
        </w:tc>
      </w:tr>
      <w:tr>
        <w:tc>
          <w:tcPr>
            <w:tcW w:type="dxa" w:w="4788"/>
            <w:vAlign w:val="center"/>
          </w:tcPr>
          <w:p>
            <w:pPr>
              <w:spacing w:after="40" w:line="240" w:lineRule="auto"/>
            </w:pPr>
            <w:r>
              <w:rPr>
                <w:rFonts w:ascii="Times New Roman" w:hAnsi="Times New Roman"/>
                <w:sz w:val="18"/>
              </w:rPr>
              <w:t>Farm code / date / time</w:t>
            </w:r>
          </w:p>
        </w:tc>
        <w:tc>
          <w:tcPr>
            <w:tcW w:type="dxa" w:w="4788"/>
            <w:vAlign w:val="center"/>
          </w:tcPr>
          <w:p>
            <w:pPr>
              <w:spacing w:after="40" w:line="240" w:lineRule="auto"/>
            </w:pPr>
            <w:r>
              <w:rPr>
                <w:rFonts w:ascii="Times New Roman" w:hAnsi="Times New Roman"/>
                <w:sz w:val="18"/>
              </w:rPr>
              <w:t>[To be completed]</w:t>
            </w:r>
          </w:p>
        </w:tc>
      </w:tr>
      <w:tr>
        <w:tc>
          <w:tcPr>
            <w:tcW w:type="dxa" w:w="4788"/>
            <w:vAlign w:val="center"/>
          </w:tcPr>
          <w:p>
            <w:pPr>
              <w:spacing w:after="40" w:line="240" w:lineRule="auto"/>
            </w:pPr>
            <w:r>
              <w:rPr>
                <w:rFonts w:ascii="Times New Roman" w:hAnsi="Times New Roman"/>
                <w:sz w:val="18"/>
              </w:rPr>
              <w:t>Flock type, age group, approximate size</w:t>
            </w:r>
          </w:p>
        </w:tc>
        <w:tc>
          <w:tcPr>
            <w:tcW w:type="dxa" w:w="4788"/>
            <w:vAlign w:val="center"/>
          </w:tcPr>
          <w:p>
            <w:pPr>
              <w:spacing w:after="40" w:line="240" w:lineRule="auto"/>
            </w:pPr>
            <w:r>
              <w:rPr>
                <w:rFonts w:ascii="Times New Roman" w:hAnsi="Times New Roman"/>
                <w:sz w:val="18"/>
              </w:rPr>
              <w:t>[To be completed]</w:t>
            </w:r>
          </w:p>
        </w:tc>
      </w:tr>
      <w:tr>
        <w:tc>
          <w:tcPr>
            <w:tcW w:type="dxa" w:w="4788"/>
            <w:vAlign w:val="center"/>
          </w:tcPr>
          <w:p>
            <w:pPr>
              <w:spacing w:after="40" w:line="240" w:lineRule="auto"/>
            </w:pPr>
            <w:r>
              <w:rPr>
                <w:rFonts w:ascii="Times New Roman" w:hAnsi="Times New Roman"/>
                <w:sz w:val="18"/>
              </w:rPr>
              <w:t>House layout, ventilation, sensor position</w:t>
            </w:r>
          </w:p>
        </w:tc>
        <w:tc>
          <w:tcPr>
            <w:tcW w:type="dxa" w:w="4788"/>
            <w:vAlign w:val="center"/>
          </w:tcPr>
          <w:p>
            <w:pPr>
              <w:spacing w:after="40" w:line="240" w:lineRule="auto"/>
            </w:pPr>
            <w:r>
              <w:rPr>
                <w:rFonts w:ascii="Times New Roman" w:hAnsi="Times New Roman"/>
                <w:sz w:val="18"/>
              </w:rPr>
              <w:t>[To be completed]</w:t>
            </w:r>
          </w:p>
        </w:tc>
      </w:tr>
      <w:tr>
        <w:tc>
          <w:tcPr>
            <w:tcW w:type="dxa" w:w="4788"/>
            <w:vAlign w:val="center"/>
          </w:tcPr>
          <w:p>
            <w:pPr>
              <w:spacing w:after="40" w:line="240" w:lineRule="auto"/>
            </w:pPr>
            <w:r>
              <w:rPr>
                <w:rFonts w:ascii="Times New Roman" w:hAnsi="Times New Roman"/>
                <w:sz w:val="18"/>
              </w:rPr>
              <w:t>Ambient conditions and management events</w:t>
            </w:r>
          </w:p>
        </w:tc>
        <w:tc>
          <w:tcPr>
            <w:tcW w:type="dxa" w:w="4788"/>
            <w:vAlign w:val="center"/>
          </w:tcPr>
          <w:p>
            <w:pPr>
              <w:spacing w:after="40" w:line="240" w:lineRule="auto"/>
            </w:pPr>
            <w:r>
              <w:rPr>
                <w:rFonts w:ascii="Times New Roman" w:hAnsi="Times New Roman"/>
                <w:sz w:val="18"/>
              </w:rPr>
              <w:t>[To be completed]</w:t>
            </w:r>
          </w:p>
        </w:tc>
      </w:tr>
      <w:tr>
        <w:tc>
          <w:tcPr>
            <w:tcW w:type="dxa" w:w="4788"/>
            <w:vAlign w:val="center"/>
          </w:tcPr>
          <w:p>
            <w:pPr>
              <w:spacing w:after="40" w:line="240" w:lineRule="auto"/>
            </w:pPr>
            <w:r>
              <w:rPr>
                <w:rFonts w:ascii="Times New Roman" w:hAnsi="Times New Roman"/>
                <w:sz w:val="18"/>
              </w:rPr>
              <w:t>Device status, missing data, alert and evidence</w:t>
            </w:r>
          </w:p>
        </w:tc>
        <w:tc>
          <w:tcPr>
            <w:tcW w:type="dxa" w:w="4788"/>
            <w:vAlign w:val="center"/>
          </w:tcPr>
          <w:p>
            <w:pPr>
              <w:spacing w:after="40" w:line="240" w:lineRule="auto"/>
            </w:pPr>
            <w:r>
              <w:rPr>
                <w:rFonts w:ascii="Times New Roman" w:hAnsi="Times New Roman"/>
                <w:sz w:val="18"/>
              </w:rPr>
              <w:t>[To be completed]</w:t>
            </w:r>
          </w:p>
        </w:tc>
      </w:tr>
      <w:tr>
        <w:tc>
          <w:tcPr>
            <w:tcW w:type="dxa" w:w="4788"/>
            <w:vAlign w:val="center"/>
          </w:tcPr>
          <w:p>
            <w:pPr>
              <w:spacing w:after="40" w:line="240" w:lineRule="auto"/>
            </w:pPr>
            <w:r>
              <w:rPr>
                <w:rFonts w:ascii="Times New Roman" w:hAnsi="Times New Roman"/>
                <w:sz w:val="18"/>
              </w:rPr>
              <w:t>Independent observation / referral</w:t>
            </w:r>
          </w:p>
        </w:tc>
        <w:tc>
          <w:tcPr>
            <w:tcW w:type="dxa" w:w="4788"/>
            <w:vAlign w:val="center"/>
          </w:tcPr>
          <w:p>
            <w:pPr>
              <w:spacing w:after="40" w:line="240" w:lineRule="auto"/>
            </w:pPr>
            <w:r>
              <w:rPr>
                <w:rFonts w:ascii="Times New Roman" w:hAnsi="Times New Roman"/>
                <w:sz w:val="18"/>
              </w:rPr>
              <w:t>[If applicable; avoid unnecessary identifiers]</w:t>
            </w:r>
          </w:p>
        </w:tc>
      </w:tr>
    </w:tbl>
    <w:p/>
    <w:p>
      <w:pPr>
        <w:pStyle w:val="Heading1"/>
      </w:pPr>
      <w:r>
        <w:t>APPENDIX II: DRAFT STAKEHOLDER FEEDBACK AREAS</w:t>
      </w:r>
    </w:p>
    <w:p>
      <w:pPr>
        <w:pStyle w:val="ListBullet"/>
        <w:spacing w:line="288" w:lineRule="auto"/>
      </w:pPr>
      <w:r>
        <w:t>Were the sensor readings and alert explanations understandable?</w:t>
      </w:r>
    </w:p>
    <w:p>
      <w:pPr>
        <w:pStyle w:val="ListBullet"/>
        <w:spacing w:line="288" w:lineRule="auto"/>
      </w:pPr>
      <w:r>
        <w:t>Did the system operate reliably during the observation period?</w:t>
      </w:r>
    </w:p>
    <w:p>
      <w:pPr>
        <w:pStyle w:val="ListBullet"/>
        <w:spacing w:line="288" w:lineRule="auto"/>
      </w:pPr>
      <w:r>
        <w:t>What installation, power, network, maintenance, or cost barriers affect use?</w:t>
      </w:r>
    </w:p>
    <w:p>
      <w:pPr>
        <w:pStyle w:val="ListBullet"/>
        <w:spacing w:line="288" w:lineRule="auto"/>
      </w:pPr>
      <w:r>
        <w:t>How should alerts direct users to farm inspection or qualified veterinary support?</w:t>
      </w:r>
    </w:p>
    <w:p>
      <w:pPr>
        <w:pStyle w:val="ListBullet"/>
        <w:spacing w:line="288" w:lineRule="auto"/>
      </w:pPr>
      <w:r>
        <w:t>What changes are needed before a larger farm evaluation?</w:t>
      </w:r>
    </w:p>
    <w:sectPr w:rsidR="00FC693F" w:rsidRPr="0006063C" w:rsidSect="00034616">
      <w:headerReference w:type="default" r:id="rId9"/>
      <w:footerReference w:type="default" r:id="rId10"/>
      <w:pgSz w:w="12240" w:h="15840"/>
      <w:pgMar w:top="1224" w:right="1224"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RESEARCH PROPOSAL | AGRICULTURAL ENGINEERING / IoT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Field Evaluation of an IoT Poultry-House Monitoring and ND Risk-Alert System</dc:title>
  <dc:subject>Agricultural Engineering / Internet of Things research proposal</dc:subject>
  <dc:creator>[Student name]</dc:creator>
  <cp:keywords>IoT, poultry, Newcastle Disease, agricultural engineering, Kenya, early warning</cp:keywords>
  <dc:description>generated by python-docx</dc:description>
  <cp:lastModifiedBy/>
  <cp:revision>1</cp:revision>
  <dcterms:created xsi:type="dcterms:W3CDTF">2013-12-23T23:15:00Z</dcterms:created>
  <dcterms:modified xsi:type="dcterms:W3CDTF">2013-12-23T23:15:00Z</dcterms:modified>
  <cp:category/>
</cp:coreProperties>
</file>