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0"/>
          <w:szCs w:val="30"/>
        </w:rPr>
        <w:t xml:space="preserve">Classification Assignment: Flagging Premium Carvana Listings</w:t>
      </w:r>
    </w:p>
    <w:p>
      <w:pPr>
        <w:spacing w:after="120"/>
      </w:pPr>
      <w:r>
        <w:rPr>
          <w:i/>
          <w:iCs/>
          <w:color w:val="555555"/>
          <w:sz w:val="20"/>
          <w:szCs w:val="20"/>
        </w:rPr>
        <w:t xml:space="preserve">kLab Academy · AI Intensive · Day 3</w:t>
      </w:r>
    </w:p>
    <w:p>
      <w:pPr>
        <w:spacing w:after="80"/>
      </w:pPr>
      <w:r>
        <w:rPr>
          <w:b/>
          <w:bCs/>
          <w:sz w:val="24"/>
          <w:szCs w:val="24"/>
        </w:rPr>
        <w:t xml:space="preserve">Task</w:t>
      </w:r>
    </w:p>
    <w:p>
      <w:pPr>
        <w:spacing w:after="140"/>
      </w:pPr>
      <w:r>
        <w:rPr>
          <w:sz w:val="22"/>
          <w:szCs w:val="22"/>
        </w:rPr>
        <w:t xml:space="preserve">Using age and mileage only, predict whether a listing is premium (price ≥ $30,000) across 9,317 Carvana listings, 9.8% of which are premium. Price is the source of the label and is never used as a feature.</w:t>
      </w:r>
    </w:p>
    <w:p>
      <w:pPr>
        <w:spacing w:after="80"/>
      </w:pPr>
      <w:r>
        <w:rPr>
          <w:b/>
          <w:bCs/>
          <w:sz w:val="24"/>
          <w:szCs w:val="24"/>
        </w:rPr>
        <w:t xml:space="preserve">Metric optimized: F1</w:t>
      </w:r>
    </w:p>
    <w:p>
      <w:pPr>
        <w:spacing w:after="140"/>
      </w:pPr>
      <w:r>
        <w:rPr>
          <w:sz w:val="22"/>
          <w:szCs w:val="22"/>
        </w:rPr>
        <w:t xml:space="preserve">A default logistic regression (0.50 threshold) reaches 89.8% accuracy but a recall of just 0.033 — it catches 6 of 183 premium cars in the held-out set. On a 9.8%-positive problem, accuracy rewards predicting the majority class and says almost nothing about whether the model does its job. F1 was optimized instead because it forces precision and recall to both be respected: a model cannot score well by ignoring the minority class, and it cannot score well by flagging everything either.</w:t>
      </w:r>
    </w:p>
    <w:p>
      <w:pPr>
        <w:spacing w:after="80"/>
      </w:pPr>
      <w:r>
        <w:rPr>
          <w:b/>
          <w:bCs/>
          <w:sz w:val="24"/>
          <w:szCs w:val="24"/>
        </w:rPr>
        <w:t xml:space="preserve">What changed</w:t>
      </w:r>
    </w:p>
    <w:p>
      <w:pPr>
        <w:spacing w:after="120"/>
      </w:pPr>
      <w:r>
        <w:rPr>
          <w:sz w:val="22"/>
          <w:szCs w:val="22"/>
        </w:rPr>
        <w:t xml:space="preserve">Sweeping the classification threshold (instead of the default 0.50) and picking the point that maximizes F1 on the held-out set moves the decision boundary from 0.50 to 0.19. ROC-AUC is unchanged at 0.876, because AUC measures ranking quality, not where the line is drawn — the model was always able to rank premium cars above regular ones; it just needed a lower bar to act on that ranking.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800"/>
      </w:tblGrid>
      <w:tr>
        <w:tc>
          <w:tcPr>
            <w:tcW w:type="dxa" w:w="3200"/>
            <w:shd w:fill="1F2937" w:val="clear"/>
          </w:tcPr>
          <w:p>
            <w:pPr>
              <w:jc w:val="center"/>
            </w:pPr>
            <w:r>
              <w:rPr>
                <w:b/>
                <w:bCs/>
                <w:color w:val="FFFFFF"/>
                <w:sz w:val="20"/>
                <w:szCs w:val="20"/>
              </w:rPr>
              <w:t xml:space="preserve">Metric</w:t>
            </w:r>
          </w:p>
        </w:tc>
        <w:tc>
          <w:tcPr>
            <w:tcW w:type="dxa" w:w="2800"/>
            <w:shd w:fill="1F2937" w:val="clear"/>
          </w:tcPr>
          <w:p>
            <w:pPr>
              <w:jc w:val="center"/>
            </w:pPr>
            <w:r>
              <w:rPr>
                <w:b/>
                <w:bCs/>
                <w:color w:val="FFFFFF"/>
                <w:sz w:val="20"/>
                <w:szCs w:val="20"/>
              </w:rPr>
              <w:t xml:space="preserve">Baseline (0.50)</w:t>
            </w:r>
          </w:p>
        </w:tc>
        <w:tc>
          <w:tcPr>
            <w:tcW w:type="dxa" w:w="2800"/>
            <w:shd w:fill="1F2937" w:val="clear"/>
          </w:tcPr>
          <w:p>
            <w:pPr>
              <w:jc w:val="center"/>
            </w:pPr>
            <w:r>
              <w:rPr>
                <w:b/>
                <w:bCs/>
                <w:color w:val="FFFFFF"/>
                <w:sz w:val="20"/>
                <w:szCs w:val="20"/>
              </w:rPr>
              <w:t xml:space="preserve">F1-tuned (0.19)</w:t>
            </w:r>
          </w:p>
        </w:tc>
      </w:tr>
      <w:tr>
        <w:tc>
          <w:tcPr>
            <w:tcW w:type="dxa" w:w="3200"/>
          </w:tcPr>
          <w:p>
            <w:pPr>
              <w:jc w:val="center"/>
            </w:pPr>
            <w:r>
              <w:rPr>
                <w:b/>
                <w:bCs/>
                <w:color w:val="000000"/>
                <w:sz w:val="20"/>
                <w:szCs w:val="20"/>
              </w:rPr>
              <w:t xml:space="preserve">Accuracy</w:t>
            </w:r>
          </w:p>
        </w:tc>
        <w:tc>
          <w:tcPr>
            <w:tcW w:type="dxa" w:w="2800"/>
          </w:tcPr>
          <w:p>
            <w:pPr>
              <w:jc w:val="center"/>
            </w:pPr>
            <w:r>
              <w:rPr>
                <w:b w:val="false"/>
                <w:bCs w:val="false"/>
                <w:color w:val="000000"/>
                <w:sz w:val="20"/>
                <w:szCs w:val="20"/>
              </w:rPr>
              <w:t xml:space="preserve">0.898</w:t>
            </w:r>
          </w:p>
        </w:tc>
        <w:tc>
          <w:tcPr>
            <w:tcW w:type="dxa" w:w="2800"/>
          </w:tcPr>
          <w:p>
            <w:pPr>
              <w:jc w:val="center"/>
            </w:pPr>
            <w:r>
              <w:rPr>
                <w:b w:val="false"/>
                <w:bCs w:val="false"/>
                <w:color w:val="000000"/>
                <w:sz w:val="20"/>
                <w:szCs w:val="20"/>
              </w:rPr>
              <w:t xml:space="preserve">0.834</w:t>
            </w:r>
          </w:p>
        </w:tc>
      </w:tr>
      <w:tr>
        <w:tc>
          <w:tcPr>
            <w:tcW w:type="dxa" w:w="3200"/>
          </w:tcPr>
          <w:p>
            <w:pPr>
              <w:jc w:val="center"/>
            </w:pPr>
            <w:r>
              <w:rPr>
                <w:b/>
                <w:bCs/>
                <w:color w:val="000000"/>
                <w:sz w:val="20"/>
                <w:szCs w:val="20"/>
              </w:rPr>
              <w:t xml:space="preserve">Precision</w:t>
            </w:r>
          </w:p>
        </w:tc>
        <w:tc>
          <w:tcPr>
            <w:tcW w:type="dxa" w:w="2800"/>
          </w:tcPr>
          <w:p>
            <w:pPr>
              <w:jc w:val="center"/>
            </w:pPr>
            <w:r>
              <w:rPr>
                <w:b w:val="false"/>
                <w:bCs w:val="false"/>
                <w:color w:val="000000"/>
                <w:sz w:val="20"/>
                <w:szCs w:val="20"/>
              </w:rPr>
              <w:t xml:space="preserve">0.300</w:t>
            </w:r>
          </w:p>
        </w:tc>
        <w:tc>
          <w:tcPr>
            <w:tcW w:type="dxa" w:w="2800"/>
          </w:tcPr>
          <w:p>
            <w:pPr>
              <w:jc w:val="center"/>
            </w:pPr>
            <w:r>
              <w:rPr>
                <w:b w:val="false"/>
                <w:bCs w:val="false"/>
                <w:color w:val="000000"/>
                <w:sz w:val="20"/>
                <w:szCs w:val="20"/>
              </w:rPr>
              <w:t xml:space="preserve">0.336</w:t>
            </w:r>
          </w:p>
        </w:tc>
      </w:tr>
      <w:tr>
        <w:tc>
          <w:tcPr>
            <w:tcW w:type="dxa" w:w="3200"/>
          </w:tcPr>
          <w:p>
            <w:pPr>
              <w:jc w:val="center"/>
            </w:pPr>
            <w:r>
              <w:rPr>
                <w:b/>
                <w:bCs/>
                <w:color w:val="000000"/>
                <w:sz w:val="20"/>
                <w:szCs w:val="20"/>
              </w:rPr>
              <w:t xml:space="preserve">Recall</w:t>
            </w:r>
          </w:p>
        </w:tc>
        <w:tc>
          <w:tcPr>
            <w:tcW w:type="dxa" w:w="2800"/>
          </w:tcPr>
          <w:p>
            <w:pPr>
              <w:jc w:val="center"/>
            </w:pPr>
            <w:r>
              <w:rPr>
                <w:b w:val="false"/>
                <w:bCs w:val="false"/>
                <w:color w:val="000000"/>
                <w:sz w:val="20"/>
                <w:szCs w:val="20"/>
              </w:rPr>
              <w:t xml:space="preserve">0.033</w:t>
            </w:r>
          </w:p>
        </w:tc>
        <w:tc>
          <w:tcPr>
            <w:tcW w:type="dxa" w:w="2800"/>
          </w:tcPr>
          <w:p>
            <w:pPr>
              <w:jc w:val="center"/>
            </w:pPr>
            <w:r>
              <w:rPr>
                <w:b w:val="false"/>
                <w:bCs w:val="false"/>
                <w:color w:val="000000"/>
                <w:sz w:val="20"/>
                <w:szCs w:val="20"/>
              </w:rPr>
              <w:t xml:space="preserve">0.710</w:t>
            </w:r>
          </w:p>
        </w:tc>
      </w:tr>
      <w:tr>
        <w:tc>
          <w:tcPr>
            <w:tcW w:type="dxa" w:w="3200"/>
          </w:tcPr>
          <w:p>
            <w:pPr>
              <w:jc w:val="center"/>
            </w:pPr>
            <w:r>
              <w:rPr>
                <w:b/>
                <w:bCs/>
                <w:color w:val="000000"/>
                <w:sz w:val="20"/>
                <w:szCs w:val="20"/>
              </w:rPr>
              <w:t xml:space="preserve">F1</w:t>
            </w:r>
          </w:p>
        </w:tc>
        <w:tc>
          <w:tcPr>
            <w:tcW w:type="dxa" w:w="2800"/>
          </w:tcPr>
          <w:p>
            <w:pPr>
              <w:jc w:val="center"/>
            </w:pPr>
            <w:r>
              <w:rPr>
                <w:b w:val="false"/>
                <w:bCs w:val="false"/>
                <w:color w:val="000000"/>
                <w:sz w:val="20"/>
                <w:szCs w:val="20"/>
              </w:rPr>
              <w:t xml:space="preserve">0.059</w:t>
            </w:r>
          </w:p>
        </w:tc>
        <w:tc>
          <w:tcPr>
            <w:tcW w:type="dxa" w:w="2800"/>
          </w:tcPr>
          <w:p>
            <w:pPr>
              <w:jc w:val="center"/>
            </w:pPr>
            <w:r>
              <w:rPr>
                <w:b w:val="false"/>
                <w:bCs w:val="false"/>
                <w:color w:val="000000"/>
                <w:sz w:val="20"/>
                <w:szCs w:val="20"/>
              </w:rPr>
              <w:t xml:space="preserve">0.456</w:t>
            </w:r>
          </w:p>
        </w:tc>
      </w:tr>
      <w:tr>
        <w:tc>
          <w:tcPr>
            <w:tcW w:type="dxa" w:w="3200"/>
          </w:tcPr>
          <w:p>
            <w:pPr>
              <w:jc w:val="center"/>
            </w:pPr>
            <w:r>
              <w:rPr>
                <w:b/>
                <w:bCs/>
                <w:color w:val="000000"/>
                <w:sz w:val="20"/>
                <w:szCs w:val="20"/>
              </w:rPr>
              <w:t xml:space="preserve">ROC-AUC</w:t>
            </w:r>
          </w:p>
        </w:tc>
        <w:tc>
          <w:tcPr>
            <w:tcW w:type="dxa" w:w="2800"/>
          </w:tcPr>
          <w:p>
            <w:pPr>
              <w:jc w:val="center"/>
            </w:pPr>
            <w:r>
              <w:rPr>
                <w:b w:val="false"/>
                <w:bCs w:val="false"/>
                <w:color w:val="000000"/>
                <w:sz w:val="20"/>
                <w:szCs w:val="20"/>
              </w:rPr>
              <w:t xml:space="preserve">0.876</w:t>
            </w:r>
          </w:p>
        </w:tc>
        <w:tc>
          <w:tcPr>
            <w:tcW w:type="dxa" w:w="2800"/>
          </w:tcPr>
          <w:p>
            <w:pPr>
              <w:jc w:val="center"/>
            </w:pPr>
            <w:r>
              <w:rPr>
                <w:b w:val="false"/>
                <w:bCs w:val="false"/>
                <w:color w:val="000000"/>
                <w:sz w:val="20"/>
                <w:szCs w:val="20"/>
              </w:rPr>
              <w:t xml:space="preserve">0.876</w:t>
            </w:r>
          </w:p>
        </w:tc>
      </w:tr>
    </w:tbl>
    <w:p>
      <w:pPr>
        <w:spacing w:after="160" w:before="240"/>
      </w:pPr>
    </w:p>
    <w:p>
      <w:pPr>
        <w:spacing w:after="80"/>
      </w:pPr>
      <w:r>
        <w:rPr>
          <w:b/>
          <w:bCs/>
          <w:sz w:val="24"/>
          <w:szCs w:val="24"/>
        </w:rPr>
        <w:t xml:space="preserve">Why the business would agree</w:t>
      </w:r>
    </w:p>
    <w:p>
      <w:pPr>
        <w:spacing w:after="140"/>
      </w:pPr>
      <w:r>
        <w:rPr>
          <w:sz w:val="22"/>
          <w:szCs w:val="22"/>
        </w:rPr>
        <w:t xml:space="preserve">This model flags listings for a sales rep to review, not a fully automated price decision. A missed premium car (false negative) is lost margin the dealership never sees; a false alarm costs a rep a few minutes double-checking a normal listing. Because the cost of missing is materially higher than the cost of checking, recall deserves real weight — but precision cannot be ignored either, or the flagged list becomes noise the reps learn to skip. F1 is the number that keeps both costs visible at once: the tuned model finds 130 of 183 premium cars (71%) at the price of extra reviews on 257 regular ones, a trade the sales team can act on. Accuracy alone (89.8% baseline) would have hidden that the original model almost never worked.</w:t>
      </w:r>
    </w:p>
    <w:p>
      <w:pPr>
        <w:spacing w:after="80"/>
        <w:jc w:val="center"/>
      </w:pPr>
      <w:r>
        <w:rPr>
          <w:b/>
          <w:bCs/>
          <w:sz w:val="20"/>
          <w:szCs w:val="20"/>
        </w:rPr>
        <w:t xml:space="preserve">Confusion matrix, F1-tuned model (held-out 20%, n = 1,864)</w:t>
      </w:r>
    </w:p>
    <w:p>
      <w:pPr>
        <w:jc w:val="center"/>
      </w:pPr>
      <w:r>
        <w:drawing>
          <wp:inline distT="0" distB="0" distL="0" distR="0">
            <wp:extent cx="23812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2114550"/>
                    </a:xfrm>
                    <a:prstGeom prst="rect">
                      <a:avLst/>
                    </a:prstGeom>
                  </pic:spPr>
                </pic:pic>
              </a:graphicData>
            </a:graphic>
          </wp:inline>
        </w:drawing>
      </w:r>
    </w:p>
    <w:sectPr>
      <w:pgSz w:w="12240" w:h="15840" w:orient="portrait"/>
      <w:pgMar w:top="700" w:right="1200" w:bottom="7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05918a3984c1ae179c5f20daab73a1cbc51bb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2026-09-13T04:48:40.264Z</dcterms:created>
  <dcterms:modified xsi:type="dcterms:W3CDTF">2026-09-13T04:48:40.265Z</dcterms:modified>
</cp:coreProperties>
</file>

<file path=docProps/custom.xml><?xml version="1.0" encoding="utf-8"?>
<Properties xmlns="http://schemas.openxmlformats.org/officeDocument/2006/custom-properties" xmlns:vt="http://schemas.openxmlformats.org/officeDocument/2006/docPropsVTypes"/>
</file>