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Manual</w:t>
      </w:r>
    </w:p>
    <w:p>
      <w:pPr>
        <w:jc w:val="center"/>
      </w:pPr>
      <w:r>
        <w:rPr>
          <w:b/>
          <w:sz w:val="36"/>
        </w:rPr>
        <w:t>Sistem Payroll &amp; Surat HR</w:t>
      </w:r>
    </w:p>
    <w:p>
      <w:pPr>
        <w:jc w:val="center"/>
      </w:pPr>
      <w:r>
        <w:rPr>
          <w:i/>
          <w:color w:val="555555"/>
          <w:sz w:val="26"/>
        </w:rPr>
        <w:t>Untuk Developer &amp; Maintainer</w:t>
      </w:r>
    </w:p>
    <w:p/>
    <w:p>
      <w:pPr>
        <w:jc w:val="center"/>
      </w:pPr>
      <w:r>
        <w:rPr>
          <w:i/>
          <w:color w:val="777777"/>
          <w:sz w:val="20"/>
        </w:rPr>
        <w:t>Dokumen ini adalah RUJUKAN + PENJELASAN DESAIN, bukan tutorial langkah demi langkah.</w:t>
        <w:br/>
        <w:t>Untuk spesifikasi lengkap (skema penuh, aturan bisnis, daftar task per fase), lihat docs/ di root repository — manual ini merangkum dan merujuk ke sana, tidak menyalin ulang.</w:t>
        <w:br/>
        <w:t>Untuk cara memakai aplikasi sebagai HR/admin, lihat User Manual (dokumen terpisah).</w:t>
      </w:r>
    </w:p>
    <w:p>
      <w:r>
        <w:br w:type="page"/>
      </w:r>
    </w:p>
    <w:p>
      <w:pPr>
        <w:pStyle w:val="Heading1"/>
      </w:pPr>
      <w:r>
        <w:t>Daftar Isi</w:t>
      </w:r>
    </w:p>
    <w:p>
      <w:r>
        <w:fldChar w:fldCharType="begin"/>
        <w:instrText xml:space="preserve">TOC \o "1-3" \h \z \u</w:instrText>
        <w:fldChar w:fldCharType="separate"/>
        <w:t>Klik kanan lalu pilih 'Update Field' untuk menampilkan daftar isi setelah dokumen dibuka di Word.</w:t>
        <w:fldChar w:fldCharType="end"/>
      </w:r>
    </w:p>
    <w:p>
      <w:r>
        <w:br w:type="page"/>
      </w:r>
    </w:p>
    <w:p>
      <w:pPr>
        <w:pStyle w:val="Heading1"/>
      </w:pPr>
      <w:r>
        <w:t>1. Arsitektur</w:t>
      </w:r>
    </w:p>
    <w:p>
      <w:pPr>
        <w:pStyle w:val="Heading2"/>
      </w:pPr>
      <w:r>
        <w:t>1.1 Monorepo &amp; Folder Layout</w:t>
      </w:r>
    </w:p>
    <w:p>
      <w:r>
        <w:t>Monorepo pnpm workspaces: apps/api (NestJS + Sequelize/MySQL + BullMQ), apps/web (React + Vite + antd), packages/shared-types (enum/DTO yang dipakai bersama agar backend dan frontend tidak pernah drift). Layout folder rancangan awal ada di 03_STRUCTURE.md §6 — tabel di bawah ini adalah struktur AKTUAL apps/api/src/ hasil implementasi (1 level, ringkas).</w:t>
      </w:r>
    </w:p>
    <w:tbl>
      <w:tblPr>
        <w:tblW w:type="auto" w:w="0"/>
        <w:jc w:val="center"/>
        <w:tblLook w:firstColumn="1" w:firstRow="1" w:lastColumn="0" w:lastRow="0" w:noHBand="0" w:noVBand="1" w:val="04A0"/>
      </w:tblPr>
      <w:tblGrid>
        <w:gridCol w:w="8640"/>
      </w:tblGrid>
      <w:tr>
        <w:tc>
          <w:tcPr>
            <w:tcW w:type="dxa" w:w="8640"/>
            <w:shd w:val="clear" w:color="auto" w:fill="F4F4F4"/>
            <w:tcBorders>
              <w:top w:val="single" w:sz="6" w:color="CCCCCC"/>
              <w:left w:val="single" w:sz="6" w:color="CCCCCC"/>
              <w:bottom w:val="single" w:sz="6" w:color="CCCCCC"/>
              <w:right w:val="single" w:sz="6" w:color="CCCCCC"/>
            </w:tcBorders>
          </w:tcPr>
          <w:p>
            <w:pPr>
              <w:spacing w:after="0"/>
            </w:pPr>
            <w:r/>
            <w:r>
              <w:rPr>
                <w:rFonts w:ascii="Consolas" w:hAnsi="Consolas"/>
                <w:sz w:val="19"/>
              </w:rPr>
              <w:t>apps/api/src/</w:t>
            </w:r>
          </w:p>
          <w:p>
            <w:pPr>
              <w:spacing w:after="0"/>
            </w:pPr>
            <w:r>
              <w:rPr>
                <w:rFonts w:ascii="Consolas" w:hAnsi="Consolas"/>
                <w:sz w:val="19"/>
              </w:rPr>
              <w:t>├── modules/</w:t>
            </w:r>
          </w:p>
          <w:p>
            <w:pPr>
              <w:spacing w:after="0"/>
            </w:pPr>
            <w:r>
              <w:rPr>
                <w:rFonts w:ascii="Consolas" w:hAnsi="Consolas"/>
                <w:sz w:val="19"/>
              </w:rPr>
              <w:t>│   ├── auth/, users/, employees/, organization/          # identitas &amp; struktur org</w:t>
            </w:r>
          </w:p>
          <w:p>
            <w:pPr>
              <w:spacing w:after="0"/>
            </w:pPr>
            <w:r>
              <w:rPr>
                <w:rFonts w:ascii="Consolas" w:hAnsi="Consolas"/>
                <w:sz w:val="19"/>
              </w:rPr>
              <w:t>│   ├── ptkp/                                             # §5.1a derivation service</w:t>
            </w:r>
          </w:p>
          <w:p>
            <w:pPr>
              <w:spacing w:after="0"/>
            </w:pPr>
            <w:r>
              <w:rPr>
                <w:rFonts w:ascii="Consolas" w:hAnsi="Consolas"/>
                <w:sz w:val="19"/>
              </w:rPr>
              <w:t>│   ├── scope-resolver/                                   # §5.2 — SATU resolver bersama</w:t>
            </w:r>
          </w:p>
          <w:p>
            <w:pPr>
              <w:spacing w:after="0"/>
            </w:pPr>
            <w:r>
              <w:rPr>
                <w:rFonts w:ascii="Consolas" w:hAnsi="Consolas"/>
                <w:sz w:val="19"/>
              </w:rPr>
              <w:t>│   ├── salary-master/, incentive-master/                 # pakai scope-resolver</w:t>
            </w:r>
          </w:p>
          <w:p>
            <w:pPr>
              <w:spacing w:after="0"/>
            </w:pPr>
            <w:r>
              <w:rPr>
                <w:rFonts w:ascii="Consolas" w:hAnsi="Consolas"/>
                <w:sz w:val="19"/>
              </w:rPr>
              <w:t>│   ├── payslip-components/, payslip-temp-components/</w:t>
            </w:r>
          </w:p>
          <w:p>
            <w:pPr>
              <w:spacing w:after="0"/>
            </w:pPr>
            <w:r>
              <w:rPr>
                <w:rFonts w:ascii="Consolas" w:hAnsi="Consolas"/>
                <w:sz w:val="19"/>
              </w:rPr>
              <w:t>│   ├── attendance/, fingerprints/, holidays/, leave/</w:t>
            </w:r>
          </w:p>
          <w:p>
            <w:pPr>
              <w:spacing w:after="0"/>
            </w:pPr>
            <w:r>
              <w:rPr>
                <w:rFonts w:ascii="Consolas" w:hAnsi="Consolas"/>
                <w:sz w:val="19"/>
              </w:rPr>
              <w:t>│   ├── letters/                                          # surat_ijin, surat_peringatan,</w:t>
            </w:r>
          </w:p>
          <w:p>
            <w:pPr>
              <w:spacing w:after="0"/>
            </w:pPr>
            <w:r>
              <w:rPr>
                <w:rFonts w:ascii="Consolas" w:hAnsi="Consolas"/>
                <w:sz w:val="19"/>
              </w:rPr>
              <w:t>│   │                                                      #   overtime-letters</w:t>
            </w:r>
          </w:p>
          <w:p>
            <w:pPr>
              <w:spacing w:after="0"/>
            </w:pPr>
            <w:r>
              <w:rPr>
                <w:rFonts w:ascii="Consolas" w:hAnsi="Consolas"/>
                <w:sz w:val="19"/>
              </w:rPr>
              <w:t>│   ├── kasbon/</w:t>
            </w:r>
          </w:p>
          <w:p>
            <w:pPr>
              <w:spacing w:after="0"/>
            </w:pPr>
            <w:r>
              <w:rPr>
                <w:rFonts w:ascii="Consolas" w:hAnsi="Consolas"/>
                <w:sz w:val="19"/>
              </w:rPr>
              <w:t>│   ├── tax-bpjs-constants/                                # PTKP/TER/BPJS/biaya-jabatan/</w:t>
            </w:r>
          </w:p>
          <w:p>
            <w:pPr>
              <w:spacing w:after="0"/>
            </w:pPr>
            <w:r>
              <w:rPr>
                <w:rFonts w:ascii="Consolas" w:hAnsi="Consolas"/>
                <w:sz w:val="19"/>
              </w:rPr>
              <w:t>│   │                                                      #   Pasal17, semua effective-dated</w:t>
            </w:r>
          </w:p>
          <w:p>
            <w:pPr>
              <w:spacing w:after="0"/>
            </w:pPr>
            <w:r>
              <w:rPr>
                <w:rFonts w:ascii="Consolas" w:hAnsi="Consolas"/>
                <w:sz w:val="19"/>
              </w:rPr>
              <w:t>│   ├── payroll-calculation/                              # §9 pure calc cores + DB service</w:t>
            </w:r>
          </w:p>
          <w:p>
            <w:pPr>
              <w:spacing w:after="0"/>
            </w:pPr>
            <w:r>
              <w:rPr>
                <w:rFonts w:ascii="Consolas" w:hAnsi="Consolas"/>
                <w:sz w:val="19"/>
              </w:rPr>
              <w:t>│   ├── payroll-runs/                                     # state machine, summary, revert</w:t>
            </w:r>
          </w:p>
          <w:p>
            <w:pPr>
              <w:spacing w:after="0"/>
            </w:pPr>
            <w:r>
              <w:rPr>
                <w:rFonts w:ascii="Consolas" w:hAnsi="Consolas"/>
                <w:sz w:val="19"/>
              </w:rPr>
              <w:t>│   └── payslips/                                         # payslip + payslip_line_items</w:t>
            </w:r>
          </w:p>
          <w:p>
            <w:pPr>
              <w:spacing w:after="0"/>
            </w:pPr>
            <w:r>
              <w:rPr>
                <w:rFonts w:ascii="Consolas" w:hAnsi="Consolas"/>
                <w:sz w:val="19"/>
              </w:rPr>
              <w:t>├── jobs/                                                 # 2 BullMQ queue (§1.3 di bawah)</w:t>
            </w:r>
          </w:p>
          <w:p>
            <w:pPr>
              <w:spacing w:after="0"/>
            </w:pPr>
            <w:r>
              <w:rPr>
                <w:rFonts w:ascii="Consolas" w:hAnsi="Consolas"/>
                <w:sz w:val="19"/>
              </w:rPr>
              <w:t>│   ├── payroll-calculation.queue.ts / .processor.ts</w:t>
            </w:r>
          </w:p>
          <w:p>
            <w:pPr>
              <w:spacing w:after="0"/>
            </w:pPr>
            <w:r>
              <w:rPr>
                <w:rFonts w:ascii="Consolas" w:hAnsi="Consolas"/>
                <w:sz w:val="19"/>
              </w:rPr>
              <w:t>│   ├── pdf-generation.queue.ts / .processor.ts</w:t>
            </w:r>
          </w:p>
          <w:p>
            <w:pPr>
              <w:spacing w:after="0"/>
            </w:pPr>
            <w:r>
              <w:rPr>
                <w:rFonts w:ascii="Consolas" w:hAnsi="Consolas"/>
                <w:sz w:val="19"/>
              </w:rPr>
              <w:t>│   └── templates/                                        # HTML template per dokumen PDF</w:t>
            </w:r>
          </w:p>
          <w:p>
            <w:pPr>
              <w:spacing w:after="0"/>
            </w:pPr>
            <w:r>
              <w:rPr>
                <w:rFonts w:ascii="Consolas" w:hAnsi="Consolas"/>
                <w:sz w:val="19"/>
              </w:rPr>
              <w:t>├── common/</w:t>
            </w:r>
          </w:p>
          <w:p>
            <w:pPr>
              <w:spacing w:after="0"/>
            </w:pPr>
            <w:r>
              <w:rPr>
                <w:rFonts w:ascii="Consolas" w:hAnsi="Consolas"/>
                <w:sz w:val="19"/>
              </w:rPr>
              <w:t>│   ├── effective-dating/                                 # §3.4 — resolveEffectiveRecord(s)</w:t>
            </w:r>
          </w:p>
          <w:p>
            <w:pPr>
              <w:spacing w:after="0"/>
            </w:pPr>
            <w:r>
              <w:rPr>
                <w:rFonts w:ascii="Consolas" w:hAnsi="Consolas"/>
                <w:sz w:val="19"/>
              </w:rPr>
              <w:t>│   ├── payslip-reference/                                # §3.2 — PayslipReferenceChecker</w:t>
            </w:r>
          </w:p>
          <w:p>
            <w:pPr>
              <w:spacing w:after="0"/>
            </w:pPr>
            <w:r>
              <w:rPr>
                <w:rFonts w:ascii="Consolas" w:hAnsi="Consolas"/>
                <w:sz w:val="19"/>
              </w:rPr>
              <w:t>│   ├── approval-workflow/                                # assertPendingStatus (shared guard)</w:t>
            </w:r>
          </w:p>
          <w:p>
            <w:pPr>
              <w:spacing w:after="0"/>
            </w:pPr>
            <w:r>
              <w:rPr>
                <w:rFonts w:ascii="Consolas" w:hAnsi="Consolas"/>
                <w:sz w:val="19"/>
              </w:rPr>
              <w:t>│   └── guards/, decorators/, bulk-import/</w:t>
            </w:r>
          </w:p>
          <w:p>
            <w:pPr>
              <w:spacing w:after="0"/>
            </w:pPr>
            <w:r>
              <w:rPr>
                <w:rFonts w:ascii="Consolas" w:hAnsi="Consolas"/>
                <w:sz w:val="19"/>
              </w:rPr>
              <w:t>└── database/</w:t>
            </w:r>
          </w:p>
          <w:p>
            <w:pPr>
              <w:spacing w:after="0"/>
            </w:pPr>
            <w:r>
              <w:rPr>
                <w:rFonts w:ascii="Consolas" w:hAnsi="Consolas"/>
                <w:sz w:val="19"/>
              </w:rPr>
              <w:t xml:space="preserve">    ├── migrations/                                       # satu-satunya cara ubah skema</w:t>
            </w:r>
          </w:p>
          <w:p>
            <w:pPr>
              <w:spacing w:after="0"/>
            </w:pPr>
            <w:r>
              <w:rPr>
                <w:rFonts w:ascii="Consolas" w:hAnsi="Consolas"/>
                <w:sz w:val="19"/>
              </w:rPr>
              <w:t xml:space="preserve">    └── seeders/                                          # data konstanta awal</w:t>
            </w:r>
          </w:p>
        </w:tc>
      </w:tr>
    </w:tbl>
    <w:p/>
    <w:p>
      <w:r>
        <w:rPr>
          <w:i/>
          <w:color w:val="555555"/>
          <w:sz w:val="20"/>
        </w:rPr>
        <w:t>Skema lengkap tiap tabel: lihat 03_STRUCTURE.md §5. Daftar task per modul/fase: lihat 04_STEPS.md.</w:t>
      </w:r>
    </w:p>
    <w:p>
      <w:pPr>
        <w:pStyle w:val="Heading2"/>
      </w:pPr>
      <w:r>
        <w:t>1.2 Alur Request Utama (Source Data → Payslip → PDF)</w:t>
      </w:r>
    </w:p>
    <w:p>
      <w:r>
        <w:t>Payroll run TIDAK menghitung ulang apa pun — ia membaca data yang sudah ada dari modul-modul sumber, lalu menuliskan hasilnya sebagai payslip + payslip_line_items yang final. Alur datanya:</w:t>
      </w:r>
    </w:p>
    <w:tbl>
      <w:tblPr>
        <w:tblW w:type="auto" w:w="0"/>
        <w:jc w:val="center"/>
        <w:tblLook w:firstColumn="1" w:firstRow="1" w:lastColumn="0" w:lastRow="0" w:noHBand="0" w:noVBand="1" w:val="04A0"/>
      </w:tblPr>
      <w:tblGrid>
        <w:gridCol w:w="8640"/>
      </w:tblGrid>
      <w:tr>
        <w:tc>
          <w:tcPr>
            <w:tcW w:type="dxa" w:w="8640"/>
            <w:shd w:val="clear" w:color="auto" w:fill="F4F4F4"/>
            <w:tcBorders>
              <w:top w:val="single" w:sz="6" w:color="CCCCCC"/>
              <w:left w:val="single" w:sz="6" w:color="CCCCCC"/>
              <w:bottom w:val="single" w:sz="6" w:color="CCCCCC"/>
              <w:right w:val="single" w:sz="6" w:color="CCCCCC"/>
            </w:tcBorders>
          </w:tcPr>
          <w:p>
            <w:pPr>
              <w:spacing w:after="0"/>
            </w:pPr>
            <w:r/>
            <w:r>
              <w:rPr>
                <w:rFonts w:ascii="Consolas" w:hAnsi="Consolas"/>
                <w:sz w:val="19"/>
              </w:rPr>
              <w:t>Attendance          ─┐</w:t>
            </w:r>
          </w:p>
          <w:p>
            <w:pPr>
              <w:spacing w:after="0"/>
            </w:pPr>
            <w:r>
              <w:rPr>
                <w:rFonts w:ascii="Consolas" w:hAnsi="Consolas"/>
                <w:sz w:val="19"/>
              </w:rPr>
              <w:t>Letters (izin/SP/    │</w:t>
            </w:r>
          </w:p>
          <w:p>
            <w:pPr>
              <w:spacing w:after="0"/>
            </w:pPr>
            <w:r>
              <w:rPr>
                <w:rFonts w:ascii="Consolas" w:hAnsi="Consolas"/>
                <w:sz w:val="19"/>
              </w:rPr>
              <w:t xml:space="preserve">  lembur, verified)  │</w:t>
            </w:r>
          </w:p>
          <w:p>
            <w:pPr>
              <w:spacing w:after="0"/>
            </w:pPr>
            <w:r>
              <w:rPr>
                <w:rFonts w:ascii="Consolas" w:hAnsi="Consolas"/>
                <w:sz w:val="19"/>
              </w:rPr>
              <w:t>Kasbon (approved)    ├──► PayrollRunCalculationService.calculateEmployee()</w:t>
            </w:r>
          </w:p>
          <w:p>
            <w:pPr>
              <w:spacing w:after="0"/>
            </w:pPr>
            <w:r>
              <w:rPr>
                <w:rFonts w:ascii="Consolas" w:hAnsi="Consolas"/>
                <w:sz w:val="19"/>
              </w:rPr>
              <w:t>Temp Components      │        │  §9 Step 1-7, per employee, dalam 1 transaction</w:t>
            </w:r>
          </w:p>
          <w:p>
            <w:pPr>
              <w:spacing w:after="0"/>
            </w:pPr>
            <w:r>
              <w:rPr>
                <w:rFonts w:ascii="Consolas" w:hAnsi="Consolas"/>
                <w:sz w:val="19"/>
              </w:rPr>
              <w:t>Tax/BPJS constants  ─┘        ▼</w:t>
            </w:r>
          </w:p>
          <w:p>
            <w:pPr>
              <w:spacing w:after="0"/>
            </w:pPr>
            <w:r>
              <w:rPr>
                <w:rFonts w:ascii="Consolas" w:hAnsi="Consolas"/>
                <w:sz w:val="19"/>
              </w:rPr>
              <w:t xml:space="preserve">                        payslips + payslip_line_items (final, sumber kebenaran)</w:t>
            </w:r>
          </w:p>
          <w:p>
            <w:pPr>
              <w:spacing w:after="0"/>
            </w:pPr>
            <w:r>
              <w:rPr>
                <w:rFonts w:ascii="Consolas" w:hAnsi="Consolas"/>
                <w:sz w:val="19"/>
              </w:rPr>
              <w:t xml:space="preserve">                               │</w:t>
            </w:r>
          </w:p>
          <w:p>
            <w:pPr>
              <w:spacing w:after="0"/>
            </w:pPr>
            <w:r>
              <w:rPr>
                <w:rFonts w:ascii="Consolas" w:hAnsi="Consolas"/>
                <w:sz w:val="19"/>
              </w:rPr>
              <w:t xml:space="preserve">                               ▼ (bulk-enqueue setelah run flip ke 'calculated')</w:t>
            </w:r>
          </w:p>
          <w:p>
            <w:pPr>
              <w:spacing w:after="0"/>
            </w:pPr>
            <w:r>
              <w:rPr>
                <w:rFonts w:ascii="Consolas" w:hAnsi="Consolas"/>
                <w:sz w:val="19"/>
              </w:rPr>
              <w:t xml:space="preserve">                        PDF generation queue (job 'generate-payslip-pdf')</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 xml:space="preserve">                        storage/letters/payslip/{id}.pdf</w:t>
            </w:r>
          </w:p>
        </w:tc>
      </w:tr>
    </w:tbl>
    <w:p/>
    <w:p>
      <w:r>
        <w:t>Detail per-langkah §9 (urutan operasi taxable/BPJS/PPh21/deduksi) ada di bagian 4 dokumen ini (DO NOT REORDER) — jangan disamakan dengan alur request level-modul di atas.</w:t>
      </w:r>
    </w:p>
    <w:p>
      <w:pPr>
        <w:pStyle w:val="Heading2"/>
      </w:pPr>
      <w:r>
        <w:t>1.3 Queue Architecture — 2 Queue Terpisah</w:t>
      </w:r>
    </w:p>
    <w:p>
      <w:r>
        <w:t>Ada dua BullMQ queue: payroll-calculation dan pdf-generation. Alasan pemisahannya SUDAH didokumentasikan langsung sebagai komentar di kode sumbernya sendiri — rujuk ke sana untuk penjelasan lengkap, jangan ke dokumen lain: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20"/>
              </w:rPr>
              <w:t>Queue</w:t>
            </w:r>
          </w:p>
        </w:tc>
        <w:tc>
          <w:tcPr>
            <w:tcW w:type="dxa" w:w="2880"/>
            <w:shd w:val="clear" w:color="auto" w:fill="2F5496"/>
          </w:tcPr>
          <w:p>
            <w:r/>
            <w:r>
              <w:rPr>
                <w:b/>
                <w:color w:val="FFFFFF"/>
                <w:sz w:val="20"/>
              </w:rPr>
              <w:t>Isi</w:t>
            </w:r>
          </w:p>
        </w:tc>
        <w:tc>
          <w:tcPr>
            <w:tcW w:type="dxa" w:w="2880"/>
            <w:shd w:val="clear" w:color="auto" w:fill="2F5496"/>
          </w:tcPr>
          <w:p>
            <w:r/>
            <w:r>
              <w:rPr>
                <w:b/>
                <w:color w:val="FFFFFF"/>
                <w:sz w:val="20"/>
              </w:rPr>
              <w:t>Rujukan penjelasan desain</w:t>
            </w:r>
          </w:p>
        </w:tc>
      </w:tr>
      <w:tr>
        <w:tc>
          <w:tcPr>
            <w:tcW w:type="dxa" w:w="2880"/>
          </w:tcPr>
          <w:p>
            <w:r/>
            <w:r>
              <w:rPr>
                <w:sz w:val="20"/>
              </w:rPr>
              <w:t>payroll-calculation</w:t>
            </w:r>
          </w:p>
        </w:tc>
        <w:tc>
          <w:tcPr>
            <w:tcW w:type="dxa" w:w="2880"/>
          </w:tcPr>
          <w:p>
            <w:r/>
            <w:r>
              <w:rPr>
                <w:sz w:val="20"/>
              </w:rPr>
              <w:t>1 job besar per payroll run, di-chunk (100 employee/chunk)</w:t>
            </w:r>
          </w:p>
        </w:tc>
        <w:tc>
          <w:tcPr>
            <w:tcW w:type="dxa" w:w="2880"/>
          </w:tcPr>
          <w:p>
            <w:r/>
            <w:r>
              <w:rPr>
                <w:sz w:val="20"/>
              </w:rPr>
              <w:t>jobs/payroll-calculation.queue.ts (komentar header)</w:t>
            </w:r>
          </w:p>
        </w:tc>
      </w:tr>
      <w:tr>
        <w:tc>
          <w:tcPr>
            <w:tcW w:type="dxa" w:w="2880"/>
          </w:tcPr>
          <w:p>
            <w:r/>
            <w:r>
              <w:rPr>
                <w:sz w:val="20"/>
              </w:rPr>
              <w:t>pdf-generation</w:t>
            </w:r>
          </w:p>
        </w:tc>
        <w:tc>
          <w:tcPr>
            <w:tcW w:type="dxa" w:w="2880"/>
          </w:tcPr>
          <w:p>
            <w:r/>
            <w:r>
              <w:rPr>
                <w:sz w:val="20"/>
              </w:rPr>
              <w:t>Banyak job kecil per dokumen (surat_ijin, surat_peringatan, overtime_letter, payslip)</w:t>
            </w:r>
          </w:p>
        </w:tc>
        <w:tc>
          <w:tcPr>
            <w:tcW w:type="dxa" w:w="2880"/>
          </w:tcPr>
          <w:p>
            <w:r/>
            <w:r>
              <w:rPr>
                <w:sz w:val="20"/>
              </w:rPr>
              <w:t>jobs/pdf-generation.module.ts + pdf-generation.queue.ts (komentar header, P4-T01/T02/T03); alasan payslip PDF ikut queue ini (bukan queue ke-3): jobs/pdf-generation.queue.ts komentar P8-T05</w:t>
            </w:r>
          </w:p>
        </w:tc>
      </w:tr>
    </w:tbl>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Ringkasan alasan (jangan dianggap pengganti sumber di atas)</w:t>
            </w:r>
          </w:p>
          <w:p>
            <w:r>
              <w:rPr>
                <w:sz w:val="21"/>
              </w:rPr>
              <w:t>Bentuk kerja kedua queue itu BERLAWANAN: satu job besar long-running vs banyak job kecil per dokumen. Memisahkannya berarti batch yang lambat tidak pernah membuat antrean PDF individual ikut tertunda, dan masing-masing bisa retry/scale independen.</w:t>
            </w:r>
          </w:p>
          <w:p>
            <w:r>
              <w:rPr>
                <w:sz w:val="21"/>
              </w:rPr>
              <w:t>Aturan PENTING: satu queue = satu @Processor (dispatch by job.name di dalamnya). JANGAN pernah membuat @Processor kedua untuk queue name yang sama — BullMQ akan mendistribusikan job secara acak ke worker manapun yang subscribe, dan job yang job.name-nya tidak dikenali worker tersebut akan silently 'completed' tanpa pernah diproses. (Bug nyata yang pernah terjadi &amp; diperbaiki saat P4-T02.)</w:t>
            </w:r>
          </w:p>
        </w:tc>
      </w:tr>
    </w:tbl>
    <w:p/>
    <w:p>
      <w:r>
        <w:br w:type="page"/>
      </w:r>
    </w:p>
    <w:p>
      <w:pPr>
        <w:pStyle w:val="Heading1"/>
      </w:pPr>
      <w:r>
        <w:t>2. ERD Ringkas</w:t>
      </w:r>
    </w:p>
    <w:p>
      <w:r>
        <w:t>Ringkasan hubungan antar domain — BUKAN skema lengkap. Untuk kolom lengkap tiap tabel (tipe data, constraint, effective-dating), lihat 03_STRUCTURE.md §5 (§5.1 s.d. §5.8) — itu sumber kebenaran skema, bukan dokumen ini.</w:t>
      </w:r>
    </w:p>
    <w:tbl>
      <w:tblPr>
        <w:tblW w:type="auto" w:w="0"/>
        <w:jc w:val="center"/>
        <w:tblLook w:firstColumn="1" w:firstRow="1" w:lastColumn="0" w:lastRow="0" w:noHBand="0" w:noVBand="1" w:val="04A0"/>
      </w:tblPr>
      <w:tblGrid>
        <w:gridCol w:w="8640"/>
      </w:tblGrid>
      <w:tr>
        <w:tc>
          <w:tcPr>
            <w:tcW w:type="dxa" w:w="8640"/>
            <w:shd w:val="clear" w:color="auto" w:fill="F4F4F4"/>
            <w:tcBorders>
              <w:top w:val="single" w:sz="6" w:color="CCCCCC"/>
              <w:left w:val="single" w:sz="6" w:color="CCCCCC"/>
              <w:bottom w:val="single" w:sz="6" w:color="CCCCCC"/>
              <w:right w:val="single" w:sz="6" w:color="CCCCCC"/>
            </w:tcBorders>
          </w:tcPr>
          <w:p>
            <w:pPr>
              <w:spacing w:after="0"/>
            </w:pPr>
            <w:r/>
            <w:r>
              <w:rPr>
                <w:rFonts w:ascii="Consolas" w:hAnsi="Consolas"/>
                <w:sz w:val="19"/>
              </w:rPr>
              <w:t>employees ──┬── salary_master / incentive_master  (resolved via scope-resolver, §5.2)</w:t>
            </w:r>
          </w:p>
          <w:p>
            <w:pPr>
              <w:spacing w:after="0"/>
            </w:pPr>
            <w:r>
              <w:rPr>
                <w:rFonts w:ascii="Consolas" w:hAnsi="Consolas"/>
                <w:sz w:val="19"/>
              </w:rPr>
              <w:t xml:space="preserve">            ├── leave_balances ── leave_requests</w:t>
            </w:r>
          </w:p>
          <w:p>
            <w:pPr>
              <w:spacing w:after="0"/>
            </w:pPr>
            <w:r>
              <w:rPr>
                <w:rFonts w:ascii="Consolas" w:hAnsi="Consolas"/>
                <w:sz w:val="19"/>
              </w:rPr>
              <w:t xml:space="preserve">            ├── attendance_records ◄── attendance_raw_logs (via reconciliation)</w:t>
            </w:r>
          </w:p>
          <w:p>
            <w:pPr>
              <w:spacing w:after="0"/>
            </w:pPr>
            <w:r>
              <w:rPr>
                <w:rFonts w:ascii="Consolas" w:hAnsi="Consolas"/>
                <w:sz w:val="19"/>
              </w:rPr>
              <w:t xml:space="preserve">            ├── surat_ijin / surat_peringatan / overtime_letter  (§5.5, tiap-tiap PDF)</w:t>
            </w:r>
          </w:p>
          <w:p>
            <w:pPr>
              <w:spacing w:after="0"/>
            </w:pPr>
            <w:r>
              <w:rPr>
                <w:rFonts w:ascii="Consolas" w:hAnsi="Consolas"/>
                <w:sz w:val="19"/>
              </w:rPr>
              <w:t xml:space="preserve">            ├── kasbon ── kasbon_deductions (1 per payroll_run yang menarik cicilan)</w:t>
            </w:r>
          </w:p>
          <w:p>
            <w:pPr>
              <w:spacing w:after="0"/>
            </w:pPr>
            <w:r>
              <w:rPr>
                <w:rFonts w:ascii="Consolas" w:hAnsi="Consolas"/>
                <w:sz w:val="19"/>
              </w:rPr>
              <w:t xml:space="preserve">            └── payslips (1 per payroll_run) ── payslip_line_items</w:t>
            </w:r>
          </w:p>
          <w:p>
            <w:pPr>
              <w:spacing w:after="0"/>
            </w:pPr>
            <w:r>
              <w:rPr>
                <w:rFonts w:ascii="Consolas" w:hAnsi="Consolas"/>
                <w:sz w:val="19"/>
              </w:rPr>
              <w:t xml:space="preserve">                                                     │ source + source_id → jejak balik</w:t>
            </w:r>
          </w:p>
          <w:p>
            <w:pPr>
              <w:spacing w:after="0"/>
            </w:pPr>
            <w:r>
              <w:rPr>
                <w:rFonts w:ascii="Consolas" w:hAnsi="Consolas"/>
                <w:sz w:val="19"/>
              </w:rPr>
              <w:t xml:space="preserve">                                                     │   ke salary/incentive/temp_component/</w:t>
            </w:r>
          </w:p>
          <w:p>
            <w:pPr>
              <w:spacing w:after="0"/>
            </w:pPr>
            <w:r>
              <w:rPr>
                <w:rFonts w:ascii="Consolas" w:hAnsi="Consolas"/>
                <w:sz w:val="19"/>
              </w:rPr>
              <w:t xml:space="preserve">                                                     │   kasbon/sanction/overtime/tax/bpjs</w:t>
            </w:r>
          </w:p>
          <w:p>
            <w:pPr>
              <w:spacing w:after="0"/>
            </w:pPr>
            <w:r>
              <w:rPr>
                <w:rFonts w:ascii="Consolas" w:hAnsi="Consolas"/>
                <w:sz w:val="19"/>
              </w:rPr>
              <w:t>payroll_runs (1 per periode) ── payslips (banyak, 1 per employee aktif)</w:t>
            </w:r>
          </w:p>
          <w:p>
            <w:pPr>
              <w:spacing w:after="0"/>
            </w:pPr>
            <w:r>
              <w:rPr>
                <w:rFonts w:ascii="Consolas" w:hAnsi="Consolas"/>
                <w:sz w:val="19"/>
              </w:rPr>
              <w:t xml:space="preserve"> </w:t>
            </w:r>
          </w:p>
          <w:p>
            <w:pPr>
              <w:spacing w:after="0"/>
            </w:pPr>
            <w:r>
              <w:rPr>
                <w:rFonts w:ascii="Consolas" w:hAnsi="Consolas"/>
                <w:sz w:val="19"/>
              </w:rPr>
              <w:t>tax_bpjs_constants (ptkp/ter_bracket/bpjs_kesehatan/bpjs_ketenagakerjaan/</w:t>
            </w:r>
          </w:p>
          <w:p>
            <w:pPr>
              <w:spacing w:after="0"/>
            </w:pPr>
            <w:r>
              <w:rPr>
                <w:rFonts w:ascii="Consolas" w:hAnsi="Consolas"/>
                <w:sz w:val="19"/>
              </w:rPr>
              <w:t xml:space="preserve">                    biaya_jabatan/pasal17_bracket) — semua effective-dated,</w:t>
            </w:r>
          </w:p>
          <w:p>
            <w:pPr>
              <w:spacing w:after="0"/>
            </w:pPr>
            <w:r>
              <w:rPr>
                <w:rFonts w:ascii="Consolas" w:hAnsi="Consolas"/>
                <w:sz w:val="19"/>
              </w:rPr>
              <w:t xml:space="preserve">                    tidak terhubung FK ke employee, di-lookup per periode saat kalkulasi</w:t>
            </w:r>
          </w:p>
        </w:tc>
      </w:tr>
    </w:tbl>
    <w:p/>
    <w:p>
      <w:r>
        <w:rPr>
          <w:i/>
          <w:color w:val="555555"/>
          <w:sz w:val="20"/>
        </w:rPr>
        <w:t>Detail kolom + constraint per tabel: 03_STRUCTURE.md §5.1–§5.8. Alur kalkulasi yang memakainya: §9 (lihat bagian 4 di sini).</w:t>
      </w:r>
    </w:p>
    <w:p>
      <w:r>
        <w:br w:type="page"/>
      </w:r>
    </w:p>
    <w:p>
      <w:pPr>
        <w:pStyle w:val="Heading1"/>
      </w:pPr>
      <w:r>
        <w:t>3. Pola Arsitektur Kunci — WAJIB Dipahami Sebelum Extend Kode</w:t>
      </w:r>
    </w:p>
    <w:p>
      <w:pPr>
        <w:pStyle w:val="Heading2"/>
      </w:pPr>
      <w:r>
        <w:t>3.1 Single ScopeResolverService — Jangan Pernah Bikin Resolver Paralel</w:t>
      </w:r>
    </w:p>
    <w:p>
      <w:r>
        <w:t>§3 (02_RULES.md) melarang keras implementasi resolusi scope kedua untuk Salary, Incentive, Leave Policy, atau Temp Components. Semua empat master itu punya bentuk yang sama — 'nilai ini berlaku untuk X, kecuali ada aturan lebih spesifik yang menimpanya' — dan HARUS lewat satu implementasi: modules/scope-resolver/scope-resolver.service.ts, dipakai lewat</w:t>
      </w:r>
    </w:p>
    <w:p>
      <w:r>
        <w:rPr>
          <w:rFonts w:ascii="Consolas" w:hAnsi="Consolas"/>
          <w:color w:val="A31A1A"/>
          <w:sz w:val="21"/>
        </w:rPr>
        <w:t>ScopeResolverService.resolve(model, context, periodDate, extraWhere?)</w:t>
      </w:r>
    </w:p>
    <w:p>
      <w:r>
        <w:t>Prioritas resolusi (paling spesifik menang): employee &gt; division &gt; department &gt; position &gt; employee_type. Logika prioritas ada di scope-selection.ts (resolveScopeFromRows), dipanggil dari service ini — jangan pernah menyalin logika prioritas ini ke tempat lain.</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Kenapa ini penting</w:t>
            </w:r>
          </w:p>
          <w:p>
            <w:r>
              <w:rPr>
                <w:sz w:val="21"/>
              </w:rPr>
              <w:t>Kalau ada modul baru butuh 'nilai per scope, dengan override', godaan pertama biasanya menulis ulang loop resolusi sendiri karena 'kasusnya sedikit beda'. JANGAN — bungkus kebutuhan itu lewat parameter extraWhere (pola yang sudah dipakai leave_policy_master untuk leave_type_id, dan payslip_temp_components untuk component_id) daripada menulis resolver baru. Ini juga alasan P8-T03 (PerRunScopeCache) membungkus resolver yang sama, bukan menggantinya — cache ON/OFF WAJIB menghasilkan angka identik (dites eksplisit).</w:t>
            </w:r>
          </w:p>
        </w:tc>
      </w:tr>
    </w:tbl>
    <w:p/>
    <w:p>
      <w:pPr>
        <w:pStyle w:val="Heading2"/>
      </w:pPr>
      <w:r>
        <w:t>3.2 Pola PayslipReferenceChecker — Interface + Stub + Real Swap</w:t>
      </w:r>
    </w:p>
    <w:p>
      <w:r>
        <w:t>Dipakai oleh surat_peringatan dan overtime_letter untuk menjawab satu pertanyaan yang sama: 'apakah record ini sudah disitir oleh payslip_line_items, sehingga harus dikunci (§11)?' Letak: common/payslip-reference/.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20"/>
              </w:rPr>
              <w:t>Komponen</w:t>
            </w:r>
          </w:p>
        </w:tc>
        <w:tc>
          <w:tcPr>
            <w:tcW w:type="dxa" w:w="2880"/>
            <w:shd w:val="clear" w:color="auto" w:fill="2F5496"/>
          </w:tcPr>
          <w:p>
            <w:r/>
            <w:r>
              <w:rPr>
                <w:b/>
                <w:color w:val="FFFFFF"/>
                <w:sz w:val="20"/>
              </w:rPr>
              <w:t>File</w:t>
            </w:r>
          </w:p>
        </w:tc>
        <w:tc>
          <w:tcPr>
            <w:tcW w:type="dxa" w:w="2880"/>
            <w:shd w:val="clear" w:color="auto" w:fill="2F5496"/>
          </w:tcPr>
          <w:p>
            <w:r/>
            <w:r>
              <w:rPr>
                <w:b/>
                <w:color w:val="FFFFFF"/>
                <w:sz w:val="20"/>
              </w:rPr>
              <w:t>Peran</w:t>
            </w:r>
          </w:p>
        </w:tc>
      </w:tr>
      <w:tr>
        <w:tc>
          <w:tcPr>
            <w:tcW w:type="dxa" w:w="2880"/>
          </w:tcPr>
          <w:p>
            <w:r/>
            <w:r>
              <w:rPr>
                <w:sz w:val="20"/>
              </w:rPr>
              <w:t>Interface</w:t>
            </w:r>
          </w:p>
        </w:tc>
        <w:tc>
          <w:tcPr>
            <w:tcW w:type="dxa" w:w="2880"/>
          </w:tcPr>
          <w:p>
            <w:r/>
            <w:r>
              <w:rPr>
                <w:sz w:val="20"/>
              </w:rPr>
              <w:t>payslip-reference-checker.interface.ts</w:t>
            </w:r>
          </w:p>
        </w:tc>
        <w:tc>
          <w:tcPr>
            <w:tcW w:type="dxa" w:w="2880"/>
          </w:tcPr>
          <w:p>
            <w:r/>
            <w:r>
              <w:rPr>
                <w:sz w:val="20"/>
              </w:rPr>
              <w:t>Kontrak isReferencedByPayslip(source, sourceId): Promise&lt;boolean&gt;</w:t>
            </w:r>
          </w:p>
        </w:tc>
      </w:tr>
      <w:tr>
        <w:tc>
          <w:tcPr>
            <w:tcW w:type="dxa" w:w="2880"/>
          </w:tcPr>
          <w:p>
            <w:r/>
            <w:r>
              <w:rPr>
                <w:sz w:val="20"/>
              </w:rPr>
              <w:t>Stub (Phase 4)</w:t>
            </w:r>
          </w:p>
        </w:tc>
        <w:tc>
          <w:tcPr>
            <w:tcW w:type="dxa" w:w="2880"/>
          </w:tcPr>
          <w:p>
            <w:r/>
            <w:r>
              <w:rPr>
                <w:sz w:val="20"/>
              </w:rPr>
              <w:t>NoPayslipReferenceChecker (file sama)</w:t>
            </w:r>
          </w:p>
        </w:tc>
        <w:tc>
          <w:tcPr>
            <w:tcW w:type="dxa" w:w="2880"/>
          </w:tcPr>
          <w:p>
            <w:r/>
            <w:r>
              <w:rPr>
                <w:sz w:val="20"/>
              </w:rPr>
              <w:t>Selalu return false — dipakai sebelum payslip_line_items ada (sebelum Phase 8)</w:t>
            </w:r>
          </w:p>
        </w:tc>
      </w:tr>
      <w:tr>
        <w:tc>
          <w:tcPr>
            <w:tcW w:type="dxa" w:w="2880"/>
          </w:tcPr>
          <w:p>
            <w:r/>
            <w:r>
              <w:rPr>
                <w:sz w:val="20"/>
              </w:rPr>
              <w:t>Real (Phase 8)</w:t>
            </w:r>
          </w:p>
        </w:tc>
        <w:tc>
          <w:tcPr>
            <w:tcW w:type="dxa" w:w="2880"/>
          </w:tcPr>
          <w:p>
            <w:r/>
            <w:r>
              <w:rPr>
                <w:sz w:val="20"/>
              </w:rPr>
              <w:t>payslip-line-item-reference-checker.ts</w:t>
            </w:r>
          </w:p>
        </w:tc>
        <w:tc>
          <w:tcPr>
            <w:tcW w:type="dxa" w:w="2880"/>
          </w:tcPr>
          <w:p>
            <w:r/>
            <w:r>
              <w:rPr>
                <w:sz w:val="20"/>
              </w:rPr>
              <w:t>Query nyata ke payslip_line_items WHERE source=? AND source_id=?</w:t>
            </w:r>
          </w:p>
        </w:tc>
      </w:tr>
      <w:tr>
        <w:tc>
          <w:tcPr>
            <w:tcW w:type="dxa" w:w="2880"/>
          </w:tcPr>
          <w:p>
            <w:r/>
            <w:r>
              <w:rPr>
                <w:sz w:val="20"/>
              </w:rPr>
              <w:t>Swap point</w:t>
            </w:r>
          </w:p>
        </w:tc>
        <w:tc>
          <w:tcPr>
            <w:tcW w:type="dxa" w:w="2880"/>
          </w:tcPr>
          <w:p>
            <w:r/>
            <w:r>
              <w:rPr>
                <w:sz w:val="20"/>
              </w:rPr>
              <w:t>payslip-reference.module.ts</w:t>
            </w:r>
          </w:p>
        </w:tc>
        <w:tc>
          <w:tcPr>
            <w:tcW w:type="dxa" w:w="2880"/>
          </w:tcPr>
          <w:p>
            <w:r/>
            <w:r>
              <w:rPr>
                <w:sz w:val="20"/>
              </w:rPr>
              <w:t>Satu baris provider binding — diganti dari stub ke real di P8-T04, TANPA mengubah kode surat_peringatan/overtime_letter sama sekali</w:t>
            </w:r>
          </w:p>
        </w:tc>
      </w:tr>
    </w:tbl>
    <w:p/>
    <w:p>
      <w:r>
        <w:t>Kenapa pola ini (bukan cek langsung ke tabel dari kedua service surat)? Karena saat surat_peringatan dan overtime_letter dibangun (P4-T02/P4-T03), payslip_line_items BELUM ADA (baru dibangun Phase 8). Interface memungkinkan kedua service menulis guard-nya dari awal (§11 sudah harus ditegakkan sejak Phase 4, bukan ditunda sampai Phase 8), lalu satu swap binding di P8-T04 membuatnya nyata — tidak ada refactor di service konsumen sama sekali. Kalau ada tipe letter/record baru di masa depan yang juga bisa 'terkunci karena sudah disitir payslip', dia HARUS memakai interface yang sama, bukan menulis query miliknya sendiri.</w:t>
      </w:r>
    </w:p>
    <w:p>
      <w:pPr>
        <w:pStyle w:val="Heading2"/>
      </w:pPr>
      <w:r>
        <w:t>3.3 Pola Idempotency — Kapan DB-Unique-Constraint, Kapan Absolute-SET</w:t>
      </w:r>
    </w:p>
    <w:p>
      <w:r>
        <w:t>Ada dua pola idempotency berbeda dalam codebase ini, dipilih sesuai bentuk operasinya. Jangan tertukar — keduanya BUKAN saling menggantikan.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20"/>
              </w:rPr>
              <w:t>Pola</w:t>
            </w:r>
          </w:p>
        </w:tc>
        <w:tc>
          <w:tcPr>
            <w:tcW w:type="dxa" w:w="2880"/>
            <w:shd w:val="clear" w:color="auto" w:fill="2F5496"/>
          </w:tcPr>
          <w:p>
            <w:r/>
            <w:r>
              <w:rPr>
                <w:b/>
                <w:color w:val="FFFFFF"/>
                <w:sz w:val="20"/>
              </w:rPr>
              <w:t>Dipakai di</w:t>
            </w:r>
          </w:p>
        </w:tc>
        <w:tc>
          <w:tcPr>
            <w:tcW w:type="dxa" w:w="2880"/>
            <w:shd w:val="clear" w:color="auto" w:fill="2F5496"/>
          </w:tcPr>
          <w:p>
            <w:r/>
            <w:r>
              <w:rPr>
                <w:b/>
                <w:color w:val="FFFFFF"/>
                <w:sz w:val="20"/>
              </w:rPr>
              <w:t>Kapan pakai ini</w:t>
            </w:r>
          </w:p>
        </w:tc>
      </w:tr>
      <w:tr>
        <w:tc>
          <w:tcPr>
            <w:tcW w:type="dxa" w:w="2880"/>
          </w:tcPr>
          <w:p>
            <w:r/>
            <w:r>
              <w:rPr>
                <w:sz w:val="20"/>
              </w:rPr>
              <w:t>DB unique constraint</w:t>
              <w:br/>
              <w:t>(pre-check + catch</w:t>
              <w:br/>
              <w:t>UniqueConstraintError)</w:t>
            </w:r>
          </w:p>
        </w:tc>
        <w:tc>
          <w:tcPr>
            <w:tcW w:type="dxa" w:w="2880"/>
          </w:tcPr>
          <w:p>
            <w:r/>
            <w:r>
              <w:rPr>
                <w:sz w:val="20"/>
              </w:rPr>
              <w:t>kasbon_deductions (kasbon_deductions_kasbon_id_payroll_run_id_unique);</w:t>
              <w:br/>
              <w:t>payslips (payslips_run_employee_unique)</w:t>
            </w:r>
          </w:p>
        </w:tc>
        <w:tc>
          <w:tcPr>
            <w:tcW w:type="dxa" w:w="2880"/>
          </w:tcPr>
          <w:p>
            <w:r/>
            <w:r>
              <w:rPr>
                <w:sz w:val="20"/>
              </w:rPr>
              <w:t>Operasi yang MEMBUAT satu baris baru yang mewakili 'peristiwa terjadi satu kali' (satu cicilan ditarik, satu payslip dibuat). Pre-check menghindari round-trip DB di kasus umum; constraint di level DB adalah penjamin sesungguhnya saat dua worker/retry balapan bersamaan — bukan sekadar 'check lalu insert' di level aplikasi yang punya celah race condition.</w:t>
            </w:r>
          </w:p>
        </w:tc>
      </w:tr>
      <w:tr>
        <w:tc>
          <w:tcPr>
            <w:tcW w:type="dxa" w:w="2880"/>
          </w:tcPr>
          <w:p>
            <w:r/>
            <w:r>
              <w:rPr>
                <w:sz w:val="20"/>
              </w:rPr>
              <w:t>Absolute SET</w:t>
              <w:br/>
              <w:t>(bukan increment)</w:t>
            </w:r>
          </w:p>
        </w:tc>
        <w:tc>
          <w:tcPr>
            <w:tcW w:type="dxa" w:w="2880"/>
          </w:tcPr>
          <w:p>
            <w:r/>
            <w:r>
              <w:rPr>
                <w:sz w:val="20"/>
              </w:rPr>
              <w:t>payroll_runs.processed_count/total_count (P8-T02)</w:t>
            </w:r>
          </w:p>
        </w:tc>
        <w:tc>
          <w:tcPr>
            <w:tcW w:type="dxa" w:w="2880"/>
          </w:tcPr>
          <w:p>
            <w:r/>
            <w:r>
              <w:rPr>
                <w:sz w:val="20"/>
              </w:rPr>
              <w:t>Operasi yang MEMPERBARUI sebuah counter/progress yang boleh ditulis ulang berkali-kali dengan nilai yang sama tanpa efek samping. Sebuah chunk yang di-retry menulis ulang processedCount ke nilai absolut yang sama (mis. 200), BUKAN menambah 100 lagi — kalau pakai increment, retry akan menggandakan angka progress.</w:t>
            </w:r>
          </w:p>
        </w:tc>
      </w:tr>
    </w:tbl>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Cara memilih untuk kasus baru</w:t>
            </w:r>
          </w:p>
          <w:p>
            <w:r>
              <w:rPr>
                <w:sz w:val="21"/>
              </w:rPr>
              <w:t>Tanyakan: apakah operasi ini menciptakan satu baris yang merepresentasikan satu peristiwa nyata (uang berpindah, dokumen dikunci)? → unique constraint + catch. Apakah operasi ini menimpa sebuah nilai state/progress yang idealnya sama persis walau ditulis ulang? → absolute SET. Jangan pernah pakai 'increment' untuk sesuatu yang bisa di-retry — itulah akar bug klasik double-counting.</w:t>
            </w:r>
          </w:p>
        </w:tc>
      </w:tr>
    </w:tbl>
    <w:p/>
    <w:p>
      <w:pPr>
        <w:pStyle w:val="Heading2"/>
      </w:pPr>
      <w:r>
        <w:t>3.4 Effective-Dated Constants (PTKP/TER/BPJS/Biaya Jabatan/Pasal 17)</w:t>
      </w:r>
    </w:p>
    <w:p>
      <w:r>
        <w:t xml:space="preserve">Semua konstanta pajak/BPJS punya bentuk yang sama: effective_start_date + effective_end_date (nullable = masih aktif). Mekanisme baca-nya SATU implementasi bersama: common/effective-dating/resolve-effective.ts — </w:t>
      </w:r>
    </w:p>
    <w:p>
      <w:r>
        <w:rPr>
          <w:rFonts w:ascii="Consolas" w:hAnsi="Consolas"/>
          <w:color w:val="A31A1A"/>
          <w:sz w:val="21"/>
        </w:rPr>
        <w:t>resolveEffectiveRecord(s)(model, periodDate, extraWhere?)</w:t>
      </w:r>
    </w:p>
    <w:p>
      <w:r>
        <w:t xml:space="preserve"> dan predikat murni </w:t>
      </w:r>
    </w:p>
    <w:p>
      <w:r>
        <w:rPr>
          <w:rFonts w:ascii="Consolas" w:hAnsi="Consolas"/>
          <w:color w:val="A31A1A"/>
          <w:sz w:val="21"/>
        </w:rPr>
        <w:t>isEffectiveOn(record, periodDate)</w:t>
      </w:r>
    </w:p>
    <w:p>
      <w:r>
        <w:t>yang menjamin jalur in-memory dan SQL selalu sepakat.</w:t>
      </w:r>
    </w:p>
    <w:p>
      <w:pPr>
        <w:pStyle w:val="Heading3"/>
      </w:pPr>
      <w:r>
        <w:t>Cara menambah aturan/tarif baru TANPA mengubah kode</w:t>
      </w:r>
    </w:p>
    <w:p>
      <w:pPr>
        <w:pStyle w:val="ListNumber"/>
      </w:pPr>
      <w:r>
        <w:t>Buat migration baru (BUKAN edit migration lama) yang meng-INSERT baris baru ke tabel konstanta terkait (mis. ptkp_masters, ter_bracket_masters), dengan effective_start_date = tanggal aturan baru mulai berlaku.</w:t>
      </w:r>
    </w:p>
    <w:p>
      <w:pPr>
        <w:pStyle w:val="ListNumber"/>
      </w:pPr>
      <w:r>
        <w:t>Set effective_end_date pada baris LAMA (kalau ada) ke satu hari sebelum tanggal mulai baris baru — atau biarkan resolver memilih baris paling baru bila rentang tumpang tindih (lihat catatan tiebreak di bawah).</w:t>
      </w:r>
    </w:p>
    <w:p>
      <w:pPr>
        <w:pStyle w:val="ListNumber"/>
      </w:pPr>
      <w:r>
        <w:t>TIDAK ADA perubahan kode apa pun di modules/tax-bpjs-constants/ atau modules/payroll-calculation/ — service yang sudah ada akan otomatis memakai baris yang effective untuk periode yang dihitung.</w:t>
      </w:r>
    </w:p>
    <w:tbl>
      <w:tblPr>
        <w:tblW w:type="auto" w:w="0"/>
        <w:jc w:val="center"/>
        <w:tblLook w:firstColumn="1" w:firstRow="1" w:lastColumn="0" w:lastRow="0" w:noHBand="0" w:noVBand="1" w:val="04A0"/>
      </w:tblPr>
      <w:tblGrid>
        <w:gridCol w:w="8640"/>
      </w:tblGrid>
      <w:tr>
        <w:tc>
          <w:tcPr>
            <w:tcW w:type="dxa" w:w="8640"/>
            <w:shd w:val="clear" w:color="auto" w:fill="FFF3E0"/>
            <w:tcBorders>
              <w:top w:val="single" w:sz="8" w:color="B9770E"/>
              <w:left w:val="single" w:sz="8" w:color="B9770E"/>
              <w:bottom w:val="single" w:sz="8" w:color="B9770E"/>
              <w:right w:val="single" w:sz="8" w:color="B9770E"/>
            </w:tcBorders>
          </w:tcPr>
          <w:p>
            <w:r/>
            <w:r>
              <w:rPr>
                <w:b/>
                <w:color w:val="7D5109"/>
                <w:sz w:val="23"/>
              </w:rPr>
              <w:t>JANGAN edit baris lama secara langsung (UPDATE)</w:t>
            </w:r>
          </w:p>
          <w:p>
            <w:r>
              <w:rPr>
                <w:sz w:val="21"/>
              </w:rPr>
              <w:t>Meng-update baris konstanta yang sudah pernah dipakai payroll run sebelumnya akan diam-diam mengubah cara payslip LAMA akan dihitung ulang kalau pernah di-regenerate/diaudit. Selalu tambah baris baru dengan tanggal efektif baru — itulah seluruh alasan kolom effective_start_date/effective_end_date ada (§7 03_STRUCTURE.md).</w:t>
            </w:r>
          </w:p>
        </w:tc>
      </w:tr>
    </w:tbl>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Tiebreak kalau ada 2 baris tumpang tindih untuk periode yang sama</w:t>
            </w:r>
          </w:p>
          <w:p>
            <w:r>
              <w:rPr>
                <w:sz w:val="21"/>
              </w:rPr>
              <w:t>pickLatestEffective() di resolve-effective.ts memilih baris dengan effective_start_date TERBARU (bukan yang paling baru DIBUAT / row terakhir di-insert) — TC-SCOPE-06 menguji ini secara eksplisit. Tumpang tindih tetap sebaiknya dihindari sejak awal (masalah kualitas data), tapi kalau terjadi, perilakunya deterministik.</w:t>
            </w:r>
          </w:p>
        </w:tc>
      </w:tr>
    </w:tbl>
    <w:p/>
    <w:p>
      <w:r>
        <w:br w:type="page"/>
      </w:r>
    </w:p>
    <w:p>
      <w:pPr>
        <w:pStyle w:val="Heading1"/>
      </w:pPr>
      <w:r>
        <w:t>4. Tax/BPJS Calculation Pipeline — Urutan Operasi (DO NOT REORDER)</w:t>
      </w:r>
    </w:p>
    <w:p>
      <w:r>
        <w:t>Ini area kode paling rawan regresi di seluruh sistem — urutan yang salah tidak akan error, hanya menghasilkan ANGKA YANG SALAH secara diam-diam. Setiap aturan di bawah punya alasan spesifik; jangan susun ulang tanpa membaca alasannya.</w:t>
      </w:r>
    </w:p>
    <w:p>
      <w:pPr>
        <w:pStyle w:val="Heading2"/>
      </w:pPr>
      <w:r>
        <w:t>4.1 Step 1–2: Pisahkan Basis Taxable vs BPJS-Eligible SEBELUM Hitung Apa Pun</w:t>
      </w:r>
    </w:p>
    <w:tbl>
      <w:tblPr>
        <w:tblW w:type="auto" w:w="0"/>
        <w:jc w:val="center"/>
        <w:tblLook w:firstColumn="1" w:firstRow="1" w:lastColumn="0" w:lastRow="0" w:noHBand="0" w:noVBand="1" w:val="04A0"/>
      </w:tblPr>
      <w:tblGrid>
        <w:gridCol w:w="8640"/>
      </w:tblGrid>
      <w:tr>
        <w:tc>
          <w:tcPr>
            <w:tcW w:type="dxa" w:w="8640"/>
            <w:shd w:val="clear" w:color="auto" w:fill="FDECEA"/>
            <w:tcBorders>
              <w:top w:val="single" w:sz="8" w:color="C0392B"/>
              <w:left w:val="single" w:sz="8" w:color="C0392B"/>
              <w:bottom w:val="single" w:sz="8" w:color="C0392B"/>
              <w:right w:val="single" w:sz="8" w:color="C0392B"/>
            </w:tcBorders>
          </w:tcPr>
          <w:p>
            <w:r/>
            <w:r>
              <w:rPr>
                <w:b/>
                <w:color w:val="922B21"/>
                <w:sz w:val="23"/>
              </w:rPr>
              <w:t>DO NOT REORDER</w:t>
            </w:r>
          </w:p>
          <w:p>
            <w:r>
              <w:rPr>
                <w:sz w:val="21"/>
              </w:rPr>
              <w:t>assembleEarningsBase() HARUS dipanggil dan menghasilkan taxableGross serta bpjsEligibleGross sebagai DUA angka terpisah, sebelum PPh21 atau BPJS dihitung sama sekali. Overtime, misalnya, taxable=true TAPI isBpjsEligible=false (R9, §9 Step 2) — kalau langkah ini digabung atau dilewati, overtime bisa ikut menaikkan basis BPJS secara salah, atau sebaliknya PPh21 kehilangan basisnya.</w:t>
            </w:r>
          </w:p>
          <w:p>
            <w:r>
              <w:rPr>
                <w:sz w:val="21"/>
              </w:rPr>
              <w:t>File: payroll-calculation/earnings-base.core.ts, dipanggil di employee-payslip.core.ts baris pertama fungsi utama.</w:t>
            </w:r>
          </w:p>
        </w:tc>
      </w:tr>
    </w:tbl>
    <w:p/>
    <w:p>
      <w:pPr>
        <w:pStyle w:val="Heading2"/>
      </w:pPr>
      <w:r>
        <w:t>4.2 Step 3 vs Step 4: PPh21 Dihitung dari GROSS, BUKAN Net-of-BPJS</w:t>
      </w:r>
    </w:p>
    <w:tbl>
      <w:tblPr>
        <w:tblW w:type="auto" w:w="0"/>
        <w:jc w:val="center"/>
        <w:tblLook w:firstColumn="1" w:firstRow="1" w:lastColumn="0" w:lastRow="0" w:noHBand="0" w:noVBand="1" w:val="04A0"/>
      </w:tblPr>
      <w:tblGrid>
        <w:gridCol w:w="8640"/>
      </w:tblGrid>
      <w:tr>
        <w:tc>
          <w:tcPr>
            <w:tcW w:type="dxa" w:w="8640"/>
            <w:shd w:val="clear" w:color="auto" w:fill="FDECEA"/>
            <w:tcBorders>
              <w:top w:val="single" w:sz="8" w:color="C0392B"/>
              <w:left w:val="single" w:sz="8" w:color="C0392B"/>
              <w:bottom w:val="single" w:sz="8" w:color="C0392B"/>
              <w:right w:val="single" w:sz="8" w:color="C0392B"/>
            </w:tcBorders>
          </w:tcPr>
          <w:p>
            <w:r/>
            <w:r>
              <w:rPr>
                <w:b/>
                <w:color w:val="922B21"/>
                <w:sz w:val="23"/>
              </w:rPr>
              <w:t>DO NOT REORDER — TER dihitung SEBELUM/TANPA mengurangi BPJS</w:t>
            </w:r>
          </w:p>
          <w:p>
            <w:r>
              <w:rPr>
                <w:sz w:val="21"/>
              </w:rPr>
              <w:t>TER (bulan Jan–Nov) diterapkan ke taxableGross APA ADANYA — kontribusi BPJS karyawan TIDAK BOLEH dikurangkan dari basis ini. Ini ditegaskan eksplisit di komentar kode (pph21-monthly.core.ts): 'Employee BPJS contributions do NOT reduce this base — that subtraction only happens in the December annual recompute'. Pengurangan BPJS (JHT+JP, BUKAN Kesehatan) sebagai pengurang pajak HANYA berlaku di jalur tahunan Desember (Pasal 17, R7) — bukan di jalur bulanan TER sama sekali.</w:t>
            </w:r>
          </w:p>
          <w:p>
            <w:r>
              <w:rPr>
                <w:sz w:val="21"/>
              </w:rPr>
              <w:t>Kalau kode di-refactor sehingga PPh21 bulanan tidak sengaja memakai (taxableGross − BPJS) sebagai basis, seluruh perhitungan Jan–Nov akan diam-diam salah meski semua unit test lama mungkin masih hijau (tergantung apakah fixture-nya kebetulan menutupi kasus ini).</w:t>
            </w:r>
          </w:p>
          <w:p>
            <w:r>
              <w:rPr>
                <w:sz w:val="21"/>
              </w:rPr>
              <w:t>File: pph21-monthly.core.ts (jalur bulanan) vs pph21-annual-trueup.core.ts (jalur Desember, R7).</w:t>
            </w:r>
          </w:p>
        </w:tc>
      </w:tr>
    </w:tbl>
    <w:p/>
    <w:p>
      <w:pPr>
        <w:pStyle w:val="Heading2"/>
      </w:pPr>
      <w:r>
        <w:t>4.3 Surcharge NPWP SEBELUM Rounding, Bukan Sesudah</w:t>
      </w:r>
    </w:p>
    <w:tbl>
      <w:tblPr>
        <w:tblW w:type="auto" w:w="0"/>
        <w:jc w:val="center"/>
        <w:tblLook w:firstColumn="1" w:firstRow="1" w:lastColumn="0" w:lastRow="0" w:noHBand="0" w:noVBand="1" w:val="04A0"/>
      </w:tblPr>
      <w:tblGrid>
        <w:gridCol w:w="8640"/>
      </w:tblGrid>
      <w:tr>
        <w:tc>
          <w:tcPr>
            <w:tcW w:type="dxa" w:w="8640"/>
            <w:shd w:val="clear" w:color="auto" w:fill="FDECEA"/>
            <w:tcBorders>
              <w:top w:val="single" w:sz="8" w:color="C0392B"/>
              <w:left w:val="single" w:sz="8" w:color="C0392B"/>
              <w:bottom w:val="single" w:sz="8" w:color="C0392B"/>
              <w:right w:val="single" w:sz="8" w:color="C0392B"/>
            </w:tcBorders>
          </w:tcPr>
          <w:p>
            <w:r/>
            <w:r>
              <w:rPr>
                <w:b/>
                <w:color w:val="922B21"/>
                <w:sz w:val="23"/>
              </w:rPr>
              <w:t>DO NOT REORDER — surcharge × sebelum roundToNearestHundred/Math.round</w:t>
            </w:r>
          </w:p>
          <w:p>
            <w:r>
              <w:rPr>
                <w:sz w:val="21"/>
              </w:rPr>
              <w:t>Pada kedua jalur (bulanan maupun tahunan), faktor surcharge 20% (R4, tanpa NPWP) dikalikan SEBELUM pembulatan final, bukan sesudahnya:</w:t>
            </w:r>
          </w:p>
        </w:tc>
      </w:tr>
    </w:tbl>
    <w:p/>
    <w:p>
      <w:r>
        <w:rPr>
          <w:rFonts w:ascii="Consolas" w:hAnsi="Consolas"/>
          <w:color w:val="A31A1A"/>
          <w:sz w:val="21"/>
        </w:rPr>
        <w:t>roundToNearestHundred(taxableBruto * terRate * surcharge)   // pph21-monthly.core.ts</w:t>
      </w:r>
    </w:p>
    <w:p>
      <w:r>
        <w:rPr>
          <w:rFonts w:ascii="Consolas" w:hAnsi="Consolas"/>
          <w:color w:val="A31A1A"/>
          <w:sz w:val="21"/>
        </w:rPr>
        <w:t>annualPph21 = pasal17ProgressiveTax(...); if (npwpMissing) annualPph21 *= 1.2; annualPph21 = Math.round(annualPph21);  // pph21-annual-trueup.core.ts</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Kenapa urutan ini penting</w:t>
            </w:r>
          </w:p>
          <w:p>
            <w:r>
              <w:rPr>
                <w:sz w:val="21"/>
              </w:rPr>
              <w:t>Membulatkan dulu baru mengalikan surcharge bisa menghasilkan selisih beberapa rupiah dibanding sebaliknya — kecil, tapi tetap SALAH secara definisi resmi, dan test WE-01/02/03 (P7-T08) memverifikasi arah yang benar secara eksplisit ('applies the surcharge BEFORE rounding to nearest 100, not after').</w:t>
            </w:r>
          </w:p>
        </w:tc>
      </w:tr>
    </w:tbl>
    <w:p/>
    <w:p>
      <w:pPr>
        <w:pStyle w:val="Heading2"/>
      </w:pPr>
      <w:r>
        <w:t>4.4 Jalur Desember: Urutan Deduksi → PKP → Pasal 17 → Surcharge → Rounding</w:t>
      </w:r>
    </w:p>
    <w:tbl>
      <w:tblPr>
        <w:tblW w:type="auto" w:w="0"/>
        <w:jc w:val="center"/>
        <w:tblLook w:firstColumn="1" w:firstRow="1" w:lastColumn="0" w:lastRow="0" w:noHBand="0" w:noVBand="1" w:val="04A0"/>
      </w:tblPr>
      <w:tblGrid>
        <w:gridCol w:w="8640"/>
      </w:tblGrid>
      <w:tr>
        <w:tc>
          <w:tcPr>
            <w:tcW w:type="dxa" w:w="8640"/>
            <w:shd w:val="clear" w:color="auto" w:fill="FDECEA"/>
            <w:tcBorders>
              <w:top w:val="single" w:sz="8" w:color="C0392B"/>
              <w:left w:val="single" w:sz="8" w:color="C0392B"/>
              <w:bottom w:val="single" w:sz="8" w:color="C0392B"/>
              <w:right w:val="single" w:sz="8" w:color="C0392B"/>
            </w:tcBorders>
          </w:tcPr>
          <w:p>
            <w:r/>
            <w:r>
              <w:rPr>
                <w:b/>
                <w:color w:val="922B21"/>
                <w:sz w:val="23"/>
              </w:rPr>
              <w:t>DO NOT REORDER — annual true-up (R7)</w:t>
            </w:r>
          </w:p>
          <w:p>
            <w:r>
              <w:rPr>
                <w:sz w:val="21"/>
              </w:rPr>
              <w:t>Urutan tetap: (1) biayaJabatan = 5% × grossTaxable, dibatasi cap bulanan×bulan-kerja ATAU cap tahunan (mana yang lebih kecil) → (2) annualNetIncome = grossTaxable − biayaJabatan − JHT_employee − JP_employee (Kesehatan TIDAK ikut dikurangkan — dikonfirmasi via WE-05, lihat pph21-annual-trueup.core.ts) → (3) PKP = floor((netIncome − PTKP) / 1000) × 1000, tidak pernah negatif → (4) pajak progresif Pasal 17 atas PKP → (5) surcharge NPWP × 1.2 kalau berlaku → (6) rounding final → (7) selisihkan dengan withheldJanNov untuk dapat angka Desember (bisa jadi restitusi/negatif).</w:t>
            </w:r>
          </w:p>
          <w:p>
            <w:r>
              <w:rPr>
                <w:sz w:val="21"/>
              </w:rPr>
              <w:t>Menukar urutan (3) dan (4), misalnya menghitung Pasal 17 dari annualNetIncome langsung tanpa dikurangi PTKP dulu, akan menghasilkan pajak yang jauh lebih besar dari seharusnya untuk SEMUA karyawan di bulan Desember.</w:t>
            </w:r>
          </w:p>
        </w:tc>
      </w:tr>
    </w:tbl>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Item terbuka terkait langkah (6) — lihat bagian 5</w:t>
            </w:r>
          </w:p>
          <w:p>
            <w:r>
              <w:rPr>
                <w:sz w:val="21"/>
              </w:rPr>
              <w:t>Mode rounding di langkah (6) untuk jalur Desember MASIH Math.round biasa, BELUM diverifikasi seperti jalur bulanan (yang sudah dikonfirmasi round-ke-100). Jangan samakan keduanya tanpa worked example baru — lihat 04_STEPS.md P7-T07.</w:t>
            </w:r>
          </w:p>
        </w:tc>
      </w:tr>
    </w:tbl>
    <w:p/>
    <w:p>
      <w:r>
        <w:br w:type="page"/>
      </w:r>
    </w:p>
    <w:p>
      <w:pPr>
        <w:pStyle w:val="Heading1"/>
      </w:pPr>
      <w:r>
        <w:t>5. Known Open Items / Tech Debt</w:t>
      </w:r>
    </w:p>
    <w:p>
      <w:r>
        <w:t>Status ringkas per item ini SENGAJA tidak diturunkan ulang penjelasannya di sini — rujukan lengkap (alasan, cara menutup, dampak) ada di 04_STEPS.md bagian pre-production checklist dan bagian Backlog. Jangan anggap tabel ini pengganti sumber aslinya kalau ada perbedaan, 04_STEPS.md yang menang.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sz w:val="20"/>
              </w:rPr>
              <w:t>Item</w:t>
            </w:r>
          </w:p>
        </w:tc>
        <w:tc>
          <w:tcPr>
            <w:tcW w:type="dxa" w:w="2160"/>
            <w:shd w:val="clear" w:color="auto" w:fill="2F5496"/>
          </w:tcPr>
          <w:p>
            <w:r/>
            <w:r>
              <w:rPr>
                <w:b/>
                <w:color w:val="FFFFFF"/>
                <w:sz w:val="20"/>
              </w:rPr>
              <w:t>Status</w:t>
            </w:r>
          </w:p>
        </w:tc>
        <w:tc>
          <w:tcPr>
            <w:tcW w:type="dxa" w:w="2160"/>
            <w:shd w:val="clear" w:color="auto" w:fill="2F5496"/>
          </w:tcPr>
          <w:p>
            <w:r/>
            <w:r>
              <w:rPr>
                <w:b/>
                <w:color w:val="FFFFFF"/>
                <w:sz w:val="20"/>
              </w:rPr>
              <w:t>Blocker produksi?</w:t>
            </w:r>
          </w:p>
        </w:tc>
        <w:tc>
          <w:tcPr>
            <w:tcW w:type="dxa" w:w="2160"/>
            <w:shd w:val="clear" w:color="auto" w:fill="2F5496"/>
          </w:tcPr>
          <w:p>
            <w:r/>
            <w:r>
              <w:rPr>
                <w:b/>
                <w:color w:val="FFFFFF"/>
                <w:sz w:val="20"/>
              </w:rPr>
              <w:t>Rujukan</w:t>
            </w:r>
          </w:p>
        </w:tc>
      </w:tr>
      <w:tr>
        <w:tc>
          <w:tcPr>
            <w:tcW w:type="dxa" w:w="2160"/>
          </w:tcPr>
          <w:p>
            <w:r/>
            <w:r>
              <w:rPr>
                <w:sz w:val="20"/>
              </w:rPr>
              <w:t>Rounding PPh21 tahunan (Desember)</w:t>
            </w:r>
          </w:p>
        </w:tc>
        <w:tc>
          <w:tcPr>
            <w:tcW w:type="dxa" w:w="2160"/>
          </w:tcPr>
          <w:p>
            <w:r/>
            <w:r>
              <w:rPr>
                <w:sz w:val="20"/>
              </w:rPr>
              <w:t>Terbuka — masih Math.round, belum diverifikasi ke kalkulator resmi DJP dengan contoh pecahan</w:t>
            </w:r>
          </w:p>
        </w:tc>
        <w:tc>
          <w:tcPr>
            <w:tcW w:type="dxa" w:w="2160"/>
          </w:tcPr>
          <w:p>
            <w:r/>
            <w:r>
              <w:rPr>
                <w:sz w:val="20"/>
              </w:rPr>
              <w:t>YA — wajib ditutup sebelum payroll run Desember pertama</w:t>
            </w:r>
          </w:p>
        </w:tc>
        <w:tc>
          <w:tcPr>
            <w:tcW w:type="dxa" w:w="2160"/>
          </w:tcPr>
          <w:p>
            <w:r/>
            <w:r>
              <w:rPr>
                <w:sz w:val="20"/>
              </w:rPr>
              <w:t>04_STEPS.md, Phase 7 pre-production checklist (P7-T07)</w:t>
            </w:r>
          </w:p>
        </w:tc>
      </w:tr>
      <w:tr>
        <w:tc>
          <w:tcPr>
            <w:tcW w:type="dxa" w:w="2160"/>
          </w:tcPr>
          <w:p>
            <w:r/>
            <w:r>
              <w:rPr>
                <w:sz w:val="20"/>
              </w:rPr>
              <w:t>Tarif JKK (risiko kerja)</w:t>
            </w:r>
          </w:p>
        </w:tc>
        <w:tc>
          <w:tcPr>
            <w:tcW w:type="dxa" w:w="2160"/>
          </w:tcPr>
          <w:p>
            <w:r/>
            <w:r>
              <w:rPr>
                <w:sz w:val="20"/>
              </w:rPr>
              <w:t>0.24% (Kelas I) ter-seed sebagai default — belum dikonfirmasi ke kelas risiko resmi perusahaan ini</w:t>
            </w:r>
          </w:p>
        </w:tc>
        <w:tc>
          <w:tcPr>
            <w:tcW w:type="dxa" w:w="2160"/>
          </w:tcPr>
          <w:p>
            <w:r/>
            <w:r>
              <w:rPr>
                <w:sz w:val="20"/>
              </w:rPr>
              <w:t>Sebaiknya sebelum go-live, bukan hard blocker teknis</w:t>
            </w:r>
          </w:p>
        </w:tc>
        <w:tc>
          <w:tcPr>
            <w:tcW w:type="dxa" w:w="2160"/>
          </w:tcPr>
          <w:p>
            <w:r/>
            <w:r>
              <w:rPr>
                <w:sz w:val="20"/>
              </w:rPr>
              <w:t>04_STEPS.md, hasil audit P10-T03</w:t>
            </w:r>
          </w:p>
        </w:tc>
      </w:tr>
      <w:tr>
        <w:tc>
          <w:tcPr>
            <w:tcW w:type="dxa" w:w="2160"/>
          </w:tcPr>
          <w:p>
            <w:r/>
            <w:r>
              <w:rPr>
                <w:sz w:val="20"/>
              </w:rPr>
              <w:t>Cakupan ESLint untuk file .js di src/database/</w:t>
            </w:r>
          </w:p>
        </w:tc>
        <w:tc>
          <w:tcPr>
            <w:tcW w:type="dxa" w:w="2160"/>
          </w:tcPr>
          <w:p>
            <w:r/>
            <w:r>
              <w:rPr>
                <w:sz w:val="20"/>
              </w:rPr>
              <w:t>46 file migration/seeder gagal parse eslint (tsconfig tidak ada allowJs) — gap konfigurasi, bukan bug</w:t>
            </w:r>
          </w:p>
        </w:tc>
        <w:tc>
          <w:tcPr>
            <w:tcW w:type="dxa" w:w="2160"/>
          </w:tcPr>
          <w:p>
            <w:r/>
            <w:r>
              <w:rPr>
                <w:sz w:val="20"/>
              </w:rPr>
              <w:t>TIDAK — non-urgent, tidak memengaruhi jalannya migration/seeder</w:t>
            </w:r>
          </w:p>
        </w:tc>
        <w:tc>
          <w:tcPr>
            <w:tcW w:type="dxa" w:w="2160"/>
          </w:tcPr>
          <w:p>
            <w:r/>
            <w:r>
              <w:rPr>
                <w:sz w:val="20"/>
              </w:rPr>
              <w:t>04_STEPS.md, bagian Backlog — Non-Urgent</w:t>
            </w:r>
          </w:p>
        </w:tc>
      </w:tr>
      <w:tr>
        <w:tc>
          <w:tcPr>
            <w:tcW w:type="dxa" w:w="2160"/>
          </w:tcPr>
          <w:p>
            <w:r/>
            <w:r>
              <w:rPr>
                <w:sz w:val="20"/>
              </w:rPr>
              <w:t>Phase 9 (gross-up, multi-lokasi, fingerprint API polling)</w:t>
            </w:r>
          </w:p>
        </w:tc>
        <w:tc>
          <w:tcPr>
            <w:tcW w:type="dxa" w:w="2160"/>
          </w:tcPr>
          <w:p>
            <w:r/>
            <w:r>
              <w:rPr>
                <w:sz w:val="20"/>
              </w:rPr>
              <w:t>DEFERRED — belum diimplementasikan sama sekali, keputusan sadar bukan kealpaan</w:t>
            </w:r>
          </w:p>
        </w:tc>
        <w:tc>
          <w:tcPr>
            <w:tcW w:type="dxa" w:w="2160"/>
          </w:tcPr>
          <w:p>
            <w:r/>
            <w:r>
              <w:rPr>
                <w:sz w:val="20"/>
              </w:rPr>
              <w:t>TIDAK — tidak ada dependency dari Phase 10/produksi awal</w:t>
            </w:r>
          </w:p>
        </w:tc>
        <w:tc>
          <w:tcPr>
            <w:tcW w:type="dxa" w:w="2160"/>
          </w:tcPr>
          <w:p>
            <w:r/>
            <w:r>
              <w:rPr>
                <w:sz w:val="20"/>
              </w:rPr>
              <w:t>04_STEPS.md, Phase 9</w:t>
            </w:r>
          </w:p>
        </w:tc>
      </w:tr>
    </w:tbl>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Gap test coverage yang juga tercatat (P10-T01)</w:t>
            </w:r>
          </w:p>
          <w:p>
            <w:r>
              <w:rPr>
                <w:sz w:val="21"/>
              </w:rPr>
              <w:t>Beberapa TC di 05_BOUNDARIES_AND_TESTS.md §12 belum punya unit test eksplisit walau perilakunya sudah diimplementasikan (paling besar: leave-balances.service.ts sempat nol spec sebelum ditutup menyusul task ini — cek riwayat commit untuk status terkini). Jangan asumsikan 'ada di §12' berarti 'ada test-nya' — verifikasi silang dengan menjalankan test suite dan membaca laporan P10-T01 di riwayat kerja/commit.</w:t>
            </w:r>
          </w:p>
        </w:tc>
      </w:tr>
    </w:tbl>
    <w:p/>
    <w:p>
      <w:r>
        <w:br w:type="page"/>
      </w:r>
    </w:p>
    <w:p>
      <w:pPr>
        <w:pStyle w:val="Heading1"/>
      </w:pPr>
      <w:r>
        <w:t>6. Testing Philosophy</w:t>
      </w:r>
    </w:p>
    <w:p>
      <w:pPr>
        <w:pStyle w:val="Heading2"/>
      </w:pPr>
      <w:r>
        <w:t>6.1 Kenapa Unit Test Saja Tidak Cukup — Live E2E Verification</w:t>
      </w:r>
    </w:p>
    <w:p>
      <w:r>
        <w:t>Proyek ini menjalankan dua lapis verifikasi yang BERBEDA tujuannya, bukan redundan: unit test (cepat, terisolasi, memverifikasi logika murni) dan live end-to-end test (lambat, memakai server + database + Redis nyata, memverifikasi bahwa modul-modul benar-benar terhubung dengan benar).</w:t>
      </w:r>
    </w:p>
    <w:tbl>
      <w:tblPr>
        <w:tblW w:type="auto" w:w="0"/>
        <w:jc w:val="center"/>
        <w:tblLook w:firstColumn="1" w:firstRow="1" w:lastColumn="0" w:lastRow="0" w:noHBand="0" w:noVBand="1" w:val="04A0"/>
      </w:tblPr>
      <w:tblGrid>
        <w:gridCol w:w="8640"/>
      </w:tblGrid>
      <w:tr>
        <w:tc>
          <w:tcPr>
            <w:tcW w:type="dxa" w:w="8640"/>
            <w:shd w:val="clear" w:color="auto" w:fill="FFF3E0"/>
            <w:tcBorders>
              <w:top w:val="single" w:sz="8" w:color="B9770E"/>
              <w:left w:val="single" w:sz="8" w:color="B9770E"/>
              <w:bottom w:val="single" w:sz="8" w:color="B9770E"/>
              <w:right w:val="single" w:sz="8" w:color="B9770E"/>
            </w:tcBorders>
          </w:tcPr>
          <w:p>
            <w:r/>
            <w:r>
              <w:rPr>
                <w:b/>
                <w:color w:val="7D5109"/>
                <w:sz w:val="23"/>
              </w:rPr>
              <w:t>Kasus nyata: bug yang lolos semua unit test (P10-T02)</w:t>
            </w:r>
          </w:p>
          <w:p>
            <w:r>
              <w:rPr>
                <w:sz w:val="21"/>
              </w:rPr>
              <w:t>Saat smoke test end-to-end pertama yang benar-benar memakai komponen gaji sementara (payslip_temp_components) dalam satu payroll run nyata, kalkulasi gagal total dengan TypeError. Akar masalah: PayslipTempComponentsService.listActiveForEmployee() mengembalikan baris tanpa relasi 'component' ter-load (eager load), padahal kode kalkulasi membaca temp.component.componentType.</w:t>
            </w:r>
          </w:p>
          <w:p>
            <w:r>
              <w:rPr>
                <w:sz w:val="21"/>
              </w:rPr>
              <w:t>SEMUA unit test yang ada saat itu memakai mock yang SELALU menyediakan objek component siap pakai — jadi tidak ada satu pun test yang benar-benar melatih jalur query Sequelize sungguhan. Bug ini HANYA bisa ditemukan dengan menjalankan kalkulasi sungguhan terhadap database sungguhan — persis kenapa P10-T02 (dan P8-T04b sebelumnya, yang menemukan bug rentang tanggal serupa) mewajibkan live verification, bukan cukup 'semua unit test hijau'.</w:t>
            </w:r>
          </w:p>
        </w:tc>
      </w:tr>
    </w:tbl>
    <w:p/>
    <w:p>
      <w:r>
        <w:t>Implikasi untuk maintainer: kalau menambah jalur data baru yang melibatkan query Sequelize dengan relasi/association (include), JANGAN percaya unit test dengan mock manual saja sebagai bukti cukup — jalankan minimal satu payroll run nyata yang benar-benar memakai jalur data baru itu sebelum menganggap selesai.</w:t>
      </w:r>
    </w:p>
    <w:p>
      <w:pPr>
        <w:pStyle w:val="Heading2"/>
      </w:pPr>
      <w:r>
        <w:t>6.2 Pola Commit-per-Task</w:t>
      </w:r>
    </w:p>
    <w:p>
      <w:r>
        <w:t>Riwayat git proyek ini disengaja dipecah SATU commit per task/sub-task (P7-T02, P8-T04, P8-T04b, dst — lihat git log), BUKAN satu commit besar per fase. Alasannya:</w:t>
      </w:r>
    </w:p>
    <w:p>
      <w:pPr>
        <w:pStyle w:val="ListBullet"/>
      </w:pPr>
      <w:r>
        <w:t>Setiap task punya laporan verifikasi sendiri (test yang ditambahkan, bukti live-test, keputusan desain) — commit terpisah membuat riwayat itu bisa ditelusuri balik satu-satu, persis seperti nama task di pesan commit.</w:t>
      </w:r>
    </w:p>
    <w:p>
      <w:pPr>
        <w:pStyle w:val="ListBullet"/>
      </w:pPr>
      <w:r>
        <w:t>Kalau satu task ternyata perlu di-revert (mis. keputusan desain berubah), task lain yang tidak terkait tidak ikut ter-revert.</w:t>
      </w:r>
    </w:p>
    <w:p>
      <w:pPr>
        <w:pStyle w:val="ListBullet"/>
      </w:pPr>
      <w:r>
        <w:t>Sebelum berpindah ke task berikutnya, task sebelumnya HARUS sudah dalam kondisi hijau (build + lint + test) — commit-per-task memaksa disiplin ini alih-alih menumpuk perubahan besar yang baru diverifikasi di akhir.</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Untuk maintainer baru</w:t>
            </w:r>
          </w:p>
          <w:p>
            <w:r>
              <w:rPr>
                <w:sz w:val="21"/>
              </w:rPr>
              <w:t>Kalau butuh konteks kenapa sebuah keputusan diambil, `git log --oneline` lalu `git show &lt;task-id-commit&gt;` biasanya lebih cepat dan lebih akurat daripada menebak dari kode saja — commit message + isi diff menyimpan reasoning yang sengaja tidak diulang sebagai komentar panjang di setiap file.</w:t>
            </w:r>
          </w:p>
        </w:tc>
      </w:tr>
    </w:tbl>
    <w:p/>
    <w:p>
      <w:pPr>
        <w:pStyle w:val="Heading1"/>
      </w:pPr>
      <w:r>
        <w:t>7. Arsitektur Frontend</w:t>
      </w:r>
    </w:p>
    <w:p>
      <w:pPr/>
      <w:r>
        <w:t>FE-T01 s.d. FE-T34 (09_FRONTEND_STEPS.md) sudah selesai seluruhnya. Bagian ini merangkum pola desain frontend yang WAJIB dipahami sebelum menambah screen baru — untuk spesifikasi screen-per-screen lengkap, lihat 08_FRONTEND_STRUCTURE.md; untuk daftar aturan lengkap, 07_FRONTEND_RULES.md.</w:t>
      </w:r>
    </w:p>
    <w:p>
      <w:pPr>
        <w:pStyle w:val="Heading2"/>
      </w:pPr>
      <w:r>
        <w:t>7.1 Stack &amp; Folder Layout</w:t>
      </w:r>
    </w:p>
    <w:p>
      <w:pPr/>
      <w:r>
        <w:t>apps/web: React 19 + Vite + antd v6 + TanStack React Query v5 + react-router-dom + axios. Tidak ada state management library kedua (Redux/Zustand/dsb) — server state selalu lewat React Query, UI state lokal selalu lewat useState/useContext (R-01). Tidak ada form library kedua — semua form pakai antd Form (R-02). Styling: antd theme tokens + CSS Modules saja, tidak pernah override class ‘.ant-*’ langsung (R-03).</w:t>
      </w:r>
    </w:p>
    <w:tbl>
      <w:tblPr>
        <w:tblW w:type="auto" w:w="0"/>
        <w:tblLook w:firstColumn="1" w:firstRow="1" w:lastColumn="0" w:lastRow="0" w:noHBand="0" w:noVBand="1" w:val="04A0"/>
      </w:tblPr>
      <w:tblGrid>
        <w:gridCol w:w="8640"/>
      </w:tblGrid>
      <w:tr>
        <w:tc>
          <w:tcPr>
            <w:tcW w:type="dxa" w:w="8640"/>
          </w:tcPr>
          <w:p>
            <w:r>
              <w:rPr>
                <w:rFonts w:ascii="Consolas" w:hAnsi="Consolas"/>
                <w:sz w:val="19"/>
              </w:rPr>
              <w:t>apps/web/src/</w:t>
            </w:r>
          </w:p>
          <w:p>
            <w:r>
              <w:rPr>
                <w:rFonts w:ascii="Consolas" w:hAnsi="Consolas"/>
                <w:sz w:val="19"/>
              </w:rPr>
              <w:t>├── api/             # SATU tempat semua panggilan axios (client.ts, errors.ts)</w:t>
            </w:r>
          </w:p>
          <w:p>
            <w:r>
              <w:rPr>
                <w:rFonts w:ascii="Consolas" w:hAnsi="Consolas"/>
                <w:sz w:val="19"/>
              </w:rPr>
              <w:t>├── components/       # Archetype bersama: ListPage, DetailPage, FormDrawer,</w:t>
            </w:r>
          </w:p>
          <w:p>
            <w:r>
              <w:rPr>
                <w:rFonts w:ascii="Consolas" w:hAnsi="Consolas"/>
                <w:sz w:val="19"/>
              </w:rPr>
              <w:t>│                     # LockedAction, StatusTag, QueryStateGuard, dst.</w:t>
            </w:r>
          </w:p>
          <w:p>
            <w:r>
              <w:rPr>
                <w:rFonts w:ascii="Consolas" w:hAnsi="Consolas"/>
                <w:sz w:val="19"/>
              </w:rPr>
              <w:t>├── features/&lt;nama&gt;/  # Satu folder per modul backend (R-12) — api.ts, hooks.ts,</w:t>
            </w:r>
          </w:p>
          <w:p>
            <w:r>
              <w:rPr>
                <w:rFonts w:ascii="Consolas" w:hAnsi="Consolas"/>
                <w:sz w:val="19"/>
              </w:rPr>
              <w:t>│                     # labels.ts, dan halaman React-nya sendiri</w:t>
            </w:r>
          </w:p>
          <w:p>
            <w:r>
              <w:rPr>
                <w:rFonts w:ascii="Consolas" w:hAnsi="Consolas"/>
                <w:sz w:val="19"/>
              </w:rPr>
              <w:t>├── hooks/            # Hook lintas-modul (mis. useDownloadPdf)</w:t>
            </w:r>
          </w:p>
          <w:p>
            <w:r>
              <w:rPr>
                <w:rFonts w:ascii="Consolas" w:hAnsi="Consolas"/>
                <w:sz w:val="19"/>
              </w:rPr>
              <w:t>├── routes/           # access.ts (role map) + router.tsx + ProtectedLayout.tsx</w:t>
            </w:r>
          </w:p>
          <w:p>
            <w:r>
              <w:rPr>
                <w:rFonts w:ascii="Consolas" w:hAnsi="Consolas"/>
                <w:sz w:val="19"/>
              </w:rPr>
              <w:t>└── pages/            # Halaman generik (HomePage/dashboard, 403, 404, Login)</w:t>
            </w:r>
          </w:p>
        </w:tc>
      </w:tr>
    </w:tbl>
    <w:p/>
    <w:p>
      <w:pPr/>
      <w:r>
        <w:t>features/&lt;nama&gt; HARUS mencerminkan nama modul backend persis (R-12) — layar yang mengonsumsi /surat-peringatan hidup di features/letters/surat-peringatan, bukan taksonomi baru yang dikarang sendiri. Ini yang membuat ‘layar mana yang rusak kalau endpoint ini berubah’ bisa dijawab lewat grep, bukan lewat ingatan.</w:t>
      </w:r>
    </w:p>
    <w:p>
      <w:pPr>
        <w:pStyle w:val="Heading2"/>
      </w:pPr>
      <w:r>
        <w:t>7.2 Empat Page Archetype</w:t>
      </w:r>
    </w:p>
    <w:p>
      <w:pPr/>
      <w:r>
        <w:t>Hampir semua dari puluhan screen di aplikasi ini adalah komposisi dari EMPAT archetype yang sama (dibangun sekali di src/components/, dipakai ulang, tidak pernah ditulis ulang per modul):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Archetype</w:t>
            </w:r>
          </w:p>
        </w:tc>
        <w:tc>
          <w:tcPr>
            <w:tcW w:type="dxa" w:w="2880"/>
          </w:tcPr>
          <w:p>
            <w:r/>
            <w:r>
              <w:rPr>
                <w:b/>
              </w:rPr>
              <w:t>Bentuk</w:t>
            </w:r>
          </w:p>
        </w:tc>
        <w:tc>
          <w:tcPr>
            <w:tcW w:type="dxa" w:w="2880"/>
          </w:tcPr>
          <w:p>
            <w:r/>
            <w:r>
              <w:rPr>
                <w:b/>
              </w:rPr>
              <w:t>Contoh pemakai</w:t>
            </w:r>
          </w:p>
        </w:tc>
      </w:tr>
      <w:tr>
        <w:tc>
          <w:tcPr>
            <w:tcW w:type="dxa" w:w="2880"/>
          </w:tcPr>
          <w:p>
            <w:r>
              <w:t>List (ListPage.tsx)</w:t>
            </w:r>
          </w:p>
        </w:tc>
        <w:tc>
          <w:tcPr>
            <w:tcW w:type="dxa" w:w="2880"/>
          </w:tcPr>
          <w:p>
            <w:r>
              <w:t>antd Table + filter bar + aksi utama “Tambah” + kolom aksi per baris. Paginasi client-side (R-08).</w:t>
            </w:r>
          </w:p>
        </w:tc>
        <w:tc>
          <w:tcPr>
            <w:tcW w:type="dxa" w:w="2880"/>
          </w:tcPr>
          <w:p>
            <w:r>
              <w:t>hampir semua modul</w:t>
            </w:r>
          </w:p>
        </w:tc>
      </w:tr>
      <w:tr>
        <w:tc>
          <w:tcPr>
            <w:tcW w:type="dxa" w:w="2880"/>
          </w:tcPr>
          <w:p>
            <w:r>
              <w:t>Detail (DetailPage.tsx)</w:t>
            </w:r>
          </w:p>
        </w:tc>
        <w:tc>
          <w:tcPr>
            <w:tcW w:type="dxa" w:w="2880"/>
          </w:tcPr>
          <w:p>
            <w:r>
              <w:t>antd Descriptions untuk record + Tabs opsional untuk koleksi terkait + action bar yang tunduk pada R-06 (disabled+tooltip sebelum diklik).</w:t>
            </w:r>
          </w:p>
        </w:tc>
        <w:tc>
          <w:tcPr>
            <w:tcW w:type="dxa" w:w="2880"/>
          </w:tcPr>
          <w:p>
            <w:r>
              <w:t>employees, payroll run, payslip, kasbon, surat-surat</w:t>
            </w:r>
          </w:p>
        </w:tc>
      </w:tr>
      <w:tr>
        <w:tc>
          <w:tcPr>
            <w:tcW w:type="dxa" w:w="2880"/>
          </w:tcPr>
          <w:p>
            <w:r>
              <w:t>Form (FormDrawer.tsx)</w:t>
            </w:r>
          </w:p>
        </w:tc>
        <w:tc>
          <w:tcPr>
            <w:tcW w:type="dxa" w:w="2880"/>
          </w:tcPr>
          <w:p>
            <w:r>
              <w:t>antd Form di dalam Drawer. Menangani 400 (field errors) dan 409 (modal persisten) seragam lewat describeApiError().</w:t>
            </w:r>
          </w:p>
        </w:tc>
        <w:tc>
          <w:tcPr>
            <w:tcW w:type="dxa" w:w="2880"/>
          </w:tcPr>
          <w:p>
            <w:r>
              <w:t>semua yang bisa ditulis</w:t>
            </w:r>
          </w:p>
        </w:tc>
      </w:tr>
      <w:tr>
        <w:tc>
          <w:tcPr>
            <w:tcW w:type="dxa" w:w="2880"/>
          </w:tcPr>
          <w:p>
            <w:r>
              <w:t>Effective-dated master</w:t>
            </w:r>
          </w:p>
        </w:tc>
        <w:tc>
          <w:tcPr>
            <w:tcW w:type="dxa" w:w="2880"/>
          </w:tcPr>
          <w:p>
            <w:r>
              <w:t>Varian List + kolom “berlaku sejak/sampai”, aksi “Akhiri Masa Berlaku” (bukan hapus, §11), panel preview GET .../resolve.</w:t>
            </w:r>
          </w:p>
        </w:tc>
        <w:tc>
          <w:tcPr>
            <w:tcW w:type="dxa" w:w="2880"/>
          </w:tcPr>
          <w:p>
            <w:r>
              <w:t>salary/incentive/leave-policy master, 4 tabel konstanta pajak/BPJS</w:t>
            </w:r>
          </w:p>
        </w:tc>
      </w:tr>
    </w:tbl>
    <w:p/>
    <w:p>
      <w:pPr/>
      <w:r>
        <w:t>Kolom aksi standar pada archetype List/Detail: Lihat · Ubah · Hapus, masing-masing independen dinonaktifkan sesuai §15.2 (lihat 7.6), masing-masing punya tooltip saat dinonaktifkan.</w:t>
      </w:r>
    </w:p>
    <w:p>
      <w:pPr>
        <w:pStyle w:val="Heading2"/>
      </w:pPr>
      <w:r>
        <w:t>7.3 describeApiError() — Satu Kontrak Error untuk Seluruh Aplikasi</w:t>
      </w:r>
    </w:p>
    <w:p>
      <w:pPr/>
      <w:r>
        <w:t>Satu modul, src/api/errors.ts, adalah SATU-SATUNYA tempat respons error axios diterjemahkan jadi tampilan (R-04). Tidak ada komponen yang boleh me-render error.message atau error.response.data.message mentah-mentah.</w:t>
      </w:r>
    </w:p>
    <w:tbl>
      <w:tblPr>
        <w:tblW w:type="auto" w:w="0"/>
        <w:tblLook w:firstColumn="1" w:firstRow="1" w:lastColumn="0" w:lastRow="0" w:noHBand="0" w:noVBand="1" w:val="04A0"/>
      </w:tblPr>
      <w:tblGrid>
        <w:gridCol w:w="8640"/>
      </w:tblGrid>
      <w:tr>
        <w:tc>
          <w:tcPr>
            <w:tcW w:type="dxa" w:w="8640"/>
          </w:tcPr>
          <w:p>
            <w:r>
              <w:rPr>
                <w:rFonts w:ascii="Consolas" w:hAnsi="Consolas"/>
                <w:sz w:val="19"/>
              </w:rPr>
              <w:t>function describeApiError(error: unknown): ApiErrorPresentation</w:t>
            </w:r>
          </w:p>
          <w:p>
            <w:r>
              <w:rPr>
                <w:rFonts w:ascii="Consolas" w:hAnsi="Consolas"/>
                <w:sz w:val="19"/>
              </w:rPr>
              <w:t>// { kind, title, detail?, fieldErrors?, surface }</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Status</w:t>
            </w:r>
          </w:p>
        </w:tc>
        <w:tc>
          <w:tcPr>
            <w:tcW w:type="dxa" w:w="2160"/>
          </w:tcPr>
          <w:p>
            <w:r/>
            <w:r>
              <w:rPr>
                <w:b/>
              </w:rPr>
              <w:t>kind</w:t>
            </w:r>
          </w:p>
        </w:tc>
        <w:tc>
          <w:tcPr>
            <w:tcW w:type="dxa" w:w="2160"/>
          </w:tcPr>
          <w:p>
            <w:r/>
            <w:r>
              <w:rPr>
                <w:b/>
              </w:rPr>
              <w:t>surface</w:t>
            </w:r>
          </w:p>
        </w:tc>
        <w:tc>
          <w:tcPr>
            <w:tcW w:type="dxa" w:w="2160"/>
          </w:tcPr>
          <w:p>
            <w:r/>
            <w:r>
              <w:rPr>
                <w:b/>
              </w:rPr>
              <w:t>Perilaku</w:t>
            </w:r>
          </w:p>
        </w:tc>
      </w:tr>
      <w:tr>
        <w:tc>
          <w:tcPr>
            <w:tcW w:type="dxa" w:w="2160"/>
          </w:tcPr>
          <w:p>
            <w:r>
              <w:t>401</w:t>
            </w:r>
          </w:p>
        </w:tc>
        <w:tc>
          <w:tcPr>
            <w:tcW w:type="dxa" w:w="2160"/>
          </w:tcPr>
          <w:p>
            <w:r>
              <w:t>auth</w:t>
            </w:r>
          </w:p>
        </w:tc>
        <w:tc>
          <w:tcPr>
            <w:tcW w:type="dxa" w:w="2160"/>
          </w:tcPr>
          <w:p>
            <w:r>
              <w:t>redirect</w:t>
            </w:r>
          </w:p>
        </w:tc>
        <w:tc>
          <w:tcPr>
            <w:tcW w:type="dxa" w:w="2160"/>
          </w:tcPr>
          <w:p>
            <w:r>
              <w:t>Bersihkan sesi → /login (tidak ada refresh, B-03)</w:t>
            </w:r>
          </w:p>
        </w:tc>
      </w:tr>
      <w:tr>
        <w:tc>
          <w:tcPr>
            <w:tcW w:type="dxa" w:w="2160"/>
          </w:tcPr>
          <w:p>
            <w:r>
              <w:t>403</w:t>
            </w:r>
          </w:p>
        </w:tc>
        <w:tc>
          <w:tcPr>
            <w:tcW w:type="dxa" w:w="2160"/>
          </w:tcPr>
          <w:p>
            <w:r>
              <w:t>forbidden</w:t>
            </w:r>
          </w:p>
        </w:tc>
        <w:tc>
          <w:tcPr>
            <w:tcW w:type="dxa" w:w="2160"/>
          </w:tcPr>
          <w:p>
            <w:r>
              <w:t>inline</w:t>
            </w:r>
          </w:p>
        </w:tc>
        <w:tc>
          <w:tcPr>
            <w:tcW w:type="dxa" w:w="2160"/>
          </w:tcPr>
          <w:p>
            <w:r>
              <w:t>“Tidak punya akses” — tidak pernah logout otomatis</w:t>
            </w:r>
          </w:p>
        </w:tc>
      </w:tr>
      <w:tr>
        <w:tc>
          <w:tcPr>
            <w:tcW w:type="dxa" w:w="2160"/>
          </w:tcPr>
          <w:p>
            <w:r>
              <w:t>404</w:t>
            </w:r>
          </w:p>
        </w:tc>
        <w:tc>
          <w:tcPr>
            <w:tcW w:type="dxa" w:w="2160"/>
          </w:tcPr>
          <w:p>
            <w:r>
              <w:t>notfound</w:t>
            </w:r>
          </w:p>
        </w:tc>
        <w:tc>
          <w:tcPr>
            <w:tcW w:type="dxa" w:w="2160"/>
          </w:tcPr>
          <w:p>
            <w:r>
              <w:t>inline</w:t>
            </w:r>
          </w:p>
        </w:tc>
        <w:tc>
          <w:tcPr>
            <w:tcW w:type="dxa" w:w="2160"/>
          </w:tcPr>
          <w:p>
            <w:r>
              <w:t>Halaman “data tidak ditemukan” dengan link kembali</w:t>
            </w:r>
          </w:p>
        </w:tc>
      </w:tr>
      <w:tr>
        <w:tc>
          <w:tcPr>
            <w:tcW w:type="dxa" w:w="2160"/>
          </w:tcPr>
          <w:p>
            <w:r>
              <w:t>400</w:t>
            </w:r>
          </w:p>
        </w:tc>
        <w:tc>
          <w:tcPr>
            <w:tcW w:type="dxa" w:w="2160"/>
          </w:tcPr>
          <w:p>
            <w:r>
              <w:t>validation</w:t>
            </w:r>
          </w:p>
        </w:tc>
        <w:tc>
          <w:tcPr>
            <w:tcW w:type="dxa" w:w="2160"/>
          </w:tcPr>
          <w:p>
            <w:r>
              <w:t>inline</w:t>
            </w:r>
          </w:p>
        </w:tc>
        <w:tc>
          <w:tcPr>
            <w:tcW w:type="dxa" w:w="2160"/>
          </w:tcPr>
          <w:p>
            <w:r>
              <w:t>Dipetakan ke Form.Item masing-masing lewat form.setFields</w:t>
            </w:r>
          </w:p>
        </w:tc>
      </w:tr>
      <w:tr>
        <w:tc>
          <w:tcPr>
            <w:tcW w:type="dxa" w:w="2160"/>
          </w:tcPr>
          <w:p>
            <w:r>
              <w:t>409</w:t>
            </w:r>
          </w:p>
        </w:tc>
        <w:tc>
          <w:tcPr>
            <w:tcW w:type="dxa" w:w="2160"/>
          </w:tcPr>
          <w:p>
            <w:r>
              <w:t>conflict</w:t>
            </w:r>
          </w:p>
        </w:tc>
        <w:tc>
          <w:tcPr>
            <w:tcW w:type="dxa" w:w="2160"/>
          </w:tcPr>
          <w:p>
            <w:r>
              <w:t>modal/inline</w:t>
            </w:r>
          </w:p>
        </w:tc>
        <w:tc>
          <w:tcPr>
            <w:tcW w:type="dxa" w:w="2160"/>
          </w:tcPr>
          <w:p>
            <w:r>
              <w:t>Pesan asli backend ditampilkan (token spesifikasi di-strip), PERSISTEN</w:t>
            </w:r>
          </w:p>
        </w:tc>
      </w:tr>
      <w:tr>
        <w:tc>
          <w:tcPr>
            <w:tcW w:type="dxa" w:w="2160"/>
          </w:tcPr>
          <w:p>
            <w:r>
              <w:t>5xx/network</w:t>
            </w:r>
          </w:p>
        </w:tc>
        <w:tc>
          <w:tcPr>
            <w:tcW w:type="dxa" w:w="2160"/>
          </w:tcPr>
          <w:p>
            <w:r>
              <w:t>network</w:t>
            </w:r>
          </w:p>
        </w:tc>
        <w:tc>
          <w:tcPr>
            <w:tcW w:type="dxa" w:w="2160"/>
          </w:tcPr>
          <w:p>
            <w:r>
              <w:t>toast</w:t>
            </w:r>
          </w:p>
        </w:tc>
        <w:tc>
          <w:tcPr>
            <w:tcW w:type="dxa" w:w="2160"/>
          </w:tcPr>
          <w:p>
            <w:r>
              <w:t>“Gagal menghubungi server” + tombol coba lagi</w:t>
            </w:r>
          </w:p>
        </w:tc>
      </w:tr>
    </w:tbl>
    <w:p/>
    <w:p>
      <w:pPr/>
      <w:r>
        <w:t>409 adalah kasus terpenting — pesan ConflictException dari backend memang sengaja eksplikatif (menyebutkan alasan §11 dan solusinya), jadi ditampilkan apa adanya, hanya token developer (§11, P8-T07, TC-...) yang di-strip lewat stripSpecReferences() sebelum ditampilkan ke HR staff.</w:t>
      </w:r>
    </w:p>
    <w:tbl>
      <w:tblPr>
        <w:tblW w:type="auto" w:w="0"/>
        <w:tblLook w:firstColumn="1" w:firstRow="1" w:lastColumn="0" w:lastRow="0" w:noHBand="0" w:noVBand="1" w:val="04A0"/>
      </w:tblPr>
      <w:tblGrid>
        <w:gridCol w:w="8640"/>
      </w:tblGrid>
      <w:tr>
        <w:tc>
          <w:tcPr>
            <w:tcW w:type="dxa" w:w="8640"/>
            <w:shd w:val="clear" w:color="auto" w:fill="EAF1FB"/>
          </w:tcPr>
          <w:p>
            <w:r>
              <w:rPr>
                <w:b/>
              </w:rPr>
              <w:t>Catatan implementasi</w:t>
            </w:r>
          </w:p>
          <w:p>
            <w:r>
              <w:t>stripSpecReferences() sempat punya bug — menyisakan “(/)” kalau backend menulis sitasi gabungan seperti (§11/P8-T07) dalam satu kurung; sudah diperbaiki di root cause (strip semua token dulu, baru bersihkan kurung yang jadi kosong), ditemukan lewat audit FE-T33.</w:t>
            </w:r>
          </w:p>
        </w:tc>
      </w:tr>
    </w:tbl>
    <w:p/>
    <w:p>
      <w:pPr>
        <w:pStyle w:val="Heading2"/>
      </w:pPr>
      <w:r>
        <w:t>7.4 Role Gating: routes/access.ts</w:t>
      </w:r>
    </w:p>
    <w:p>
      <w:pPr/>
      <w:r>
        <w:t>Satu array, ACCESS_ENTRIES, memetakan setiap route root ke role yang boleh mengaksesnya. Peta yang SAMA dipakai untuk DUA hal (R-11) supaya keduanya tidak pernah drift:</w:t>
      </w:r>
    </w:p>
    <w:p>
      <w:pPr>
        <w:pStyle w:val="ListBullet"/>
      </w:pPr>
      <w:r>
        <w:t>Sider (menu navigasi) — navEntriesForRole(role) memfilter entri untuk membangun menu; entri dengan hideFromNav: true tetap menentukan role tapi tidak muncul sebagai item menu (dipakai untuk /payslips/:id, yang hanya dijangkau lewat link dari payroll run, bukan item menu sendiri).</w:t>
      </w:r>
    </w:p>
    <w:p>
      <w:pPr>
        <w:pStyle w:val="ListBullet"/>
      </w:pPr>
      <w:r>
        <w:t>Route guard — ProtectedLayout.tsx memanggil requiredRolesFor(pathname) pada setiap render dan redirect ke /403 kalau role user tidak cocok — terlepas dari apakah item itu ada di menu atau tidak. Ini yang mencegah HR staff mengakses route admin-only dengan mengetik URL langsung.</w:t>
      </w:r>
    </w:p>
    <w:p>
      <w:pPr/>
      <w:r>
        <w:t>Dua jebakan yang sudah ditangani secara eksplisit di peta ini (bukan diasumsikan):</w:t>
      </w:r>
    </w:p>
    <w:p>
      <w:pPr>
        <w:pStyle w:val="ListBullet"/>
      </w:pPr>
      <w:r>
        <w:t>Controller bisa terbuka untuk admin+HR sementara AKSI tertentu di dalamnya admin-only (empat aksi lifecycle payroll run, PUT /salary-period-config) — route-nya tetap terbuka untuk kedua role, tombolnya sendiri yang di-disable in-screen lewat useAuth().isAdmin.</w:t>
      </w:r>
    </w:p>
    <w:p>
      <w:pPr>
        <w:pStyle w:val="ListBullet"/>
      </w:pPr>
      <w:r>
        <w:t>GET /salary-period-config tidak punya @Roles sama sekali (siapa saja yang login boleh baca) sementara PUT-nya admin-only — route tetap terbuka untuk kedua role.</w:t>
      </w:r>
    </w:p>
    <w:p>
      <w:pPr>
        <w:pStyle w:val="Heading2"/>
      </w:pPr>
      <w:r>
        <w:t>7.5 Ringkasan R-01 s.d. R-13 (07_FRONTEND_RULES.md)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w:t>
            </w:r>
          </w:p>
        </w:tc>
        <w:tc>
          <w:tcPr>
            <w:tcW w:type="dxa" w:w="4320"/>
          </w:tcPr>
          <w:p>
            <w:r/>
            <w:r>
              <w:rPr>
                <w:b/>
              </w:rPr>
              <w:t>Inti aturan</w:t>
            </w:r>
          </w:p>
        </w:tc>
      </w:tr>
      <w:tr>
        <w:tc>
          <w:tcPr>
            <w:tcW w:type="dxa" w:w="4320"/>
          </w:tcPr>
          <w:p>
            <w:r>
              <w:t>R-01</w:t>
            </w:r>
          </w:p>
        </w:tc>
        <w:tc>
          <w:tcPr>
            <w:tcW w:type="dxa" w:w="4320"/>
          </w:tcPr>
          <w:p>
            <w:r>
              <w:t>Satu library state server (React Query), satu tempat state UI (useState/context) — tidak ada Redux/Zustand/dsb.</w:t>
            </w:r>
          </w:p>
        </w:tc>
      </w:tr>
      <w:tr>
        <w:tc>
          <w:tcPr>
            <w:tcW w:type="dxa" w:w="4320"/>
          </w:tcPr>
          <w:p>
            <w:r>
              <w:t>R-02</w:t>
            </w:r>
          </w:p>
        </w:tc>
        <w:tc>
          <w:tcPr>
            <w:tcW w:type="dxa" w:w="4320"/>
          </w:tcPr>
          <w:p>
            <w:r>
              <w:t>antd Form adalah satu-satunya form layer — tidak ada React Hook Form/Formik.</w:t>
            </w:r>
          </w:p>
        </w:tc>
      </w:tr>
      <w:tr>
        <w:tc>
          <w:tcPr>
            <w:tcW w:type="dxa" w:w="4320"/>
          </w:tcPr>
          <w:p>
            <w:r>
              <w:t>R-03</w:t>
            </w:r>
          </w:p>
        </w:tc>
        <w:tc>
          <w:tcPr>
            <w:tcW w:type="dxa" w:w="4320"/>
          </w:tcPr>
          <w:p>
            <w:r>
              <w:t>Styling lewat theme token + CSS Modules — tidak pernah override .ant-*.</w:t>
            </w:r>
          </w:p>
        </w:tc>
      </w:tr>
      <w:tr>
        <w:tc>
          <w:tcPr>
            <w:tcW w:type="dxa" w:w="4320"/>
          </w:tcPr>
          <w:p>
            <w:r>
              <w:t>R-04</w:t>
            </w:r>
          </w:p>
        </w:tc>
        <w:tc>
          <w:tcPr>
            <w:tcW w:type="dxa" w:w="4320"/>
          </w:tcPr>
          <w:p>
            <w:r>
              <w:t>Satu kontrak error (describeApiError()) untuk seluruh aplikasi — lihat 7.3.</w:t>
            </w:r>
          </w:p>
        </w:tc>
      </w:tr>
      <w:tr>
        <w:tc>
          <w:tcPr>
            <w:tcW w:type="dxa" w:w="4320"/>
          </w:tcPr>
          <w:p>
            <w:r>
              <w:t>R-05</w:t>
            </w:r>
          </w:p>
        </w:tc>
        <w:tc>
          <w:tcPr>
            <w:tcW w:type="dxa" w:w="4320"/>
          </w:tcPr>
          <w:p>
            <w:r>
              <w:t>Backend adalah satu-satunya sumber kebenaran untuk enum/status/label/nominal — semua enum diimpor dari @payroll-system/shared-types; tidak ada angka pajak/BPJS di-hardcode di mana pun.</w:t>
            </w:r>
          </w:p>
        </w:tc>
      </w:tr>
      <w:tr>
        <w:tc>
          <w:tcPr>
            <w:tcW w:type="dxa" w:w="4320"/>
          </w:tcPr>
          <w:p>
            <w:r>
              <w:t>R-06</w:t>
            </w:r>
          </w:p>
        </w:tc>
        <w:tc>
          <w:tcPr>
            <w:tcW w:type="dxa" w:w="4320"/>
          </w:tcPr>
          <w:p>
            <w:r>
              <w:t>Lock ditampilkan SEBELUM klik, bukan ditemukan lewat 409 setelahnya — lihat 7.6.</w:t>
            </w:r>
          </w:p>
        </w:tc>
      </w:tr>
      <w:tr>
        <w:tc>
          <w:tcPr>
            <w:tcW w:type="dxa" w:w="4320"/>
          </w:tcPr>
          <w:p>
            <w:r>
              <w:t>R-07</w:t>
            </w:r>
          </w:p>
        </w:tc>
        <w:tc>
          <w:tcPr>
            <w:tcW w:type="dxa" w:w="4320"/>
          </w:tcPr>
          <w:p>
            <w:r>
              <w:t>Frontend tidak pernah menghitung uang — semua nominal ditampilkan persis seperti respons API; satu-satunya aritmatika yang boleh: menghitung jumlah baris dan rasio processedCount/totalCount.</w:t>
            </w:r>
          </w:p>
        </w:tc>
      </w:tr>
      <w:tr>
        <w:tc>
          <w:tcPr>
            <w:tcW w:type="dxa" w:w="4320"/>
          </w:tcPr>
          <w:p>
            <w:r>
              <w:t>R-08</w:t>
            </w:r>
          </w:p>
        </w:tc>
        <w:tc>
          <w:tcPr>
            <w:tcW w:type="dxa" w:w="4320"/>
          </w:tcPr>
          <w:p>
            <w:r>
              <w:t>Tidak ada fetch tanpa batas (raw-logs/attendance-records wajib filter sebelum query aktif) dan tidak ada axios/fetch langsung di luar src/api/*.</w:t>
            </w:r>
          </w:p>
        </w:tc>
      </w:tr>
      <w:tr>
        <w:tc>
          <w:tcPr>
            <w:tcW w:type="dxa" w:w="4320"/>
          </w:tcPr>
          <w:p>
            <w:r>
              <w:t>R-09</w:t>
            </w:r>
          </w:p>
        </w:tc>
        <w:tc>
          <w:tcPr>
            <w:tcW w:type="dxa" w:w="4320"/>
          </w:tcPr>
          <w:p>
            <w:r>
              <w:t>Dependency baru wajib dicatat alasannya — daftar sanksi hanya react-router-dom dan axios (plus dayjs, bawaan antd).</w:t>
            </w:r>
          </w:p>
        </w:tc>
      </w:tr>
      <w:tr>
        <w:tc>
          <w:tcPr>
            <w:tcW w:type="dxa" w:w="4320"/>
          </w:tcPr>
          <w:p>
            <w:r>
              <w:t>R-10</w:t>
            </w:r>
          </w:p>
        </w:tc>
        <w:tc>
          <w:tcPr>
            <w:tcW w:type="dxa" w:w="4320"/>
          </w:tcPr>
          <w:p>
            <w:r>
              <w:t>Validasi client hanya UX, validasi server adalah kebenaran — tidak pernah meniru derivasi bisnis (mis. PTKP) di client.</w:t>
            </w:r>
          </w:p>
        </w:tc>
      </w:tr>
      <w:tr>
        <w:tc>
          <w:tcPr>
            <w:tcW w:type="dxa" w:w="4320"/>
          </w:tcPr>
          <w:p>
            <w:r>
              <w:t>R-11</w:t>
            </w:r>
          </w:p>
        </w:tc>
        <w:tc>
          <w:tcPr>
            <w:tcW w:type="dxa" w:w="4320"/>
          </w:tcPr>
          <w:p>
            <w:r>
              <w:t>Role gating ditegakkan di route, bukan cuma di menu — lihat 7.4.</w:t>
            </w:r>
          </w:p>
        </w:tc>
      </w:tr>
      <w:tr>
        <w:tc>
          <w:tcPr>
            <w:tcW w:type="dxa" w:w="4320"/>
          </w:tcPr>
          <w:p>
            <w:r>
              <w:t>R-12</w:t>
            </w:r>
          </w:p>
        </w:tc>
        <w:tc>
          <w:tcPr>
            <w:tcW w:type="dxa" w:w="4320"/>
          </w:tcPr>
          <w:p>
            <w:r>
              <w:t>features/&lt;nama&gt; mencerminkan nama modul backend, bukan taksonomi baru.</w:t>
            </w:r>
          </w:p>
        </w:tc>
      </w:tr>
      <w:tr>
        <w:tc>
          <w:tcPr>
            <w:tcW w:type="dxa" w:w="4320"/>
          </w:tcPr>
          <w:p>
            <w:r>
              <w:t>R-13</w:t>
            </w:r>
          </w:p>
        </w:tc>
        <w:tc>
          <w:tcPr>
            <w:tcW w:type="dxa" w:w="4320"/>
          </w:tcPr>
          <w:p>
            <w:r>
              <w:t>Tidak pernah membangun implementasi kedua dari sesuatu yang sudah diresolusi backend (mis. .../resolve).</w:t>
            </w:r>
          </w:p>
        </w:tc>
      </w:tr>
    </w:tbl>
    <w:p/>
    <w:p>
      <w:pPr>
        <w:pStyle w:val="Heading2"/>
      </w:pPr>
      <w:r>
        <w:t>7.6 Payroll Run State Machine &amp; Sistem Lock (§11) — BAGIAN PALING PENTING</w:t>
      </w:r>
    </w:p>
    <w:p>
      <w:pPr/>
      <w:r>
        <w:t>Ini bagian yang paling berisiko salah paham di seluruh frontend — payroll run adalah SATU-ARAH (forward-only), dan sebagian besar layar lain (absensi, surat, kasbon) berubah perilakunya tergantung status payroll run periode terkait.</w:t>
      </w:r>
    </w:p>
    <w:p>
      <w:pPr>
        <w:pStyle w:val="Heading2"/>
      </w:pPr>
      <w:r>
        <w:t>7.6.1 Empat status, satu jalur maju, satu jalur mundur</w:t>
      </w:r>
    </w:p>
    <w:tbl>
      <w:tblPr>
        <w:tblW w:type="auto" w:w="0"/>
        <w:tblLook w:firstColumn="1" w:firstRow="1" w:lastColumn="0" w:lastRow="0" w:noHBand="0" w:noVBand="1" w:val="04A0"/>
      </w:tblPr>
      <w:tblGrid>
        <w:gridCol w:w="8640"/>
      </w:tblGrid>
      <w:tr>
        <w:tc>
          <w:tcPr>
            <w:tcW w:type="dxa" w:w="8640"/>
          </w:tcPr>
          <w:p>
            <w:r>
              <w:rPr>
                <w:rFonts w:ascii="Consolas" w:hAnsi="Consolas"/>
                <w:sz w:val="19"/>
              </w:rPr>
              <w:t>draft --(calculate, ASYNC)--&gt; calculated --(approve)--&gt; approved --(disburse)--&gt; disbursed</w:t>
            </w:r>
          </w:p>
          <w:p>
            <w:r>
              <w:rPr>
                <w:rFonts w:ascii="Consolas" w:hAnsi="Consolas"/>
                <w:sz w:val="19"/>
              </w:rPr>
              <w:t xml:space="preserve">  ^                              |                                          (TERKUNCI PERMANEN)</w:t>
            </w:r>
          </w:p>
          <w:p>
            <w:r>
              <w:rPr>
                <w:rFonts w:ascii="Consolas" w:hAnsi="Consolas"/>
                <w:sz w:val="19"/>
              </w:rPr>
              <w:t xml:space="preserve">  +-----------(revert)-----------+</w:t>
            </w:r>
          </w:p>
        </w:tc>
      </w:tr>
    </w:tbl>
    <w:p/>
    <w:p>
      <w:pPr/>
      <w:r>
        <w:t>Diverifikasi langsung terhadap PayrollRunStatus (shared-types) dan payroll-run-transitions.ts — HANYA empat status ini, tidak ada status kelima ‘calculating’/‘reverted’/‘cancelled’. Selama kalkulasi berjalan, status TETAP draft; progress ditunjukkan lewat processedCount/totalCount pada record yang sama (di-poll lewat React Query refetchInterval, berhenti otomatis begitu status berubah).</w:t>
      </w:r>
    </w:p>
    <w:tbl>
      <w:tblPr>
        <w:tblW w:type="auto" w:w="0"/>
        <w:tblLook w:firstColumn="1" w:firstRow="1" w:lastColumn="0" w:lastRow="0" w:noHBand="0" w:noVBand="1" w:val="04A0"/>
      </w:tblPr>
      <w:tblGrid>
        <w:gridCol w:w="8640"/>
      </w:tblGrid>
      <w:tr>
        <w:tc>
          <w:tcPr>
            <w:tcW w:type="dxa" w:w="8640"/>
            <w:shd w:val="clear" w:color="auto" w:fill="EAF1FB"/>
          </w:tcPr>
          <w:p>
            <w:r>
              <w:rPr>
                <w:b/>
              </w:rPr>
              <w:t>Revert HANYA ada dari calculated, TIDAK PERNAH dari approved atau disbursed.</w:t>
            </w:r>
          </w:p>
          <w:p>
            <w:r>
              <w:t>Ini digambar eksplisit di komponen Steps (PayrollRunStatusSteps.tsx) sebagai satu-satunya edge mundur, bukan cuma disebutkan di teks. Tombol lifecycle (Hitung/Setujui/Cairkan/Kembalikan ke Draft) masing-masing HANYA dirender ketika record.status cocok dengan status pemicunya yang valid — pola ini membuat tombol Revert otomatis TIDAK ADA (bukan sekadar disabled) begitu status sudah lewat calculated.</w:t>
            </w:r>
          </w:p>
        </w:tc>
      </w:tr>
    </w:tbl>
    <w:p/>
    <w:p>
      <w:pPr>
        <w:pStyle w:val="Heading2"/>
      </w:pPr>
      <w:r>
        <w:t>7.6.2 Kenapa ini memengaruhi layar lain</w:t>
      </w:r>
    </w:p>
    <w:p>
      <w:pPr/>
      <w:r>
        <w:t>Payroll run yang sudah lewat draft mengunci SUMBER DATA yang dipakainya (§11), bukan cuma dirinya sendiri: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Yang terkunci</w:t>
            </w:r>
          </w:p>
        </w:tc>
        <w:tc>
          <w:tcPr>
            <w:tcW w:type="dxa" w:w="2880"/>
          </w:tcPr>
          <w:p>
            <w:r/>
            <w:r>
              <w:rPr>
                <w:b/>
              </w:rPr>
              <w:t>Dikunci oleh</w:t>
            </w:r>
          </w:p>
        </w:tc>
        <w:tc>
          <w:tcPr>
            <w:tcW w:type="dxa" w:w="2880"/>
          </w:tcPr>
          <w:p>
            <w:r/>
            <w:r>
              <w:rPr>
                <w:b/>
              </w:rPr>
              <w:t>Bagaimana frontend tahu</w:t>
            </w:r>
          </w:p>
        </w:tc>
      </w:tr>
      <w:tr>
        <w:tc>
          <w:tcPr>
            <w:tcW w:type="dxa" w:w="2880"/>
          </w:tcPr>
          <w:p>
            <w:r>
              <w:t>attendance_records untuk periode terkait</w:t>
            </w:r>
          </w:p>
        </w:tc>
        <w:tc>
          <w:tcPr>
            <w:tcW w:type="dxa" w:w="2880"/>
          </w:tcPr>
          <w:p>
            <w:r>
              <w:t>Payroll run periode itu berstatus bukan draft</w:t>
            </w:r>
          </w:p>
        </w:tc>
        <w:tc>
          <w:tcPr>
            <w:tcW w:type="dxa" w:w="2880"/>
          </w:tcPr>
          <w:p>
            <w:r>
              <w:t>Derivable — findLockingRun(period, payrollRuns) membandingkan periode record dengan daftar GET /payroll-runs (query key ['payroll-runs'], dipakai bersama oleh layar payroll run DAN attendance records)</w:t>
            </w:r>
          </w:p>
        </w:tc>
      </w:tr>
      <w:tr>
        <w:tc>
          <w:tcPr>
            <w:tcW w:type="dxa" w:w="2880"/>
          </w:tcPr>
          <w:p>
            <w:r>
              <w:t>kasbon.amount / installment_count / installment_amount</w:t>
            </w:r>
          </w:p>
        </w:tc>
        <w:tc>
          <w:tcPr>
            <w:tcW w:type="dxa" w:w="2880"/>
          </w:tcPr>
          <w:p>
            <w:r>
              <w:t>Minimal satu cicilan sudah ditarik oleh payroll run manapun</w:t>
            </w:r>
          </w:p>
        </w:tc>
        <w:tc>
          <w:tcPr>
            <w:tcW w:type="dxa" w:w="2880"/>
          </w:tcPr>
          <w:p>
            <w:r>
              <w:t>Derivable — remainingBalance &lt; amount</w:t>
            </w:r>
          </w:p>
        </w:tc>
      </w:tr>
      <w:tr>
        <w:tc>
          <w:tcPr>
            <w:tcW w:type="dxa" w:w="2880"/>
          </w:tcPr>
          <w:p>
            <w:r>
              <w:t>payslip_component_master.componentType / isTaxable / isBpjsEligible</w:t>
            </w:r>
          </w:p>
        </w:tc>
        <w:tc>
          <w:tcPr>
            <w:tcW w:type="dxa" w:w="2880"/>
          </w:tcPr>
          <w:p>
            <w:r>
              <w:t>Sudah dirujuk oleh payslip_line_item manapun</w:t>
            </w:r>
          </w:p>
        </w:tc>
        <w:tc>
          <w:tcPr>
            <w:tcW w:type="dxa" w:w="2880"/>
          </w:tcPr>
          <w:p>
            <w:r>
              <w:t>Fallback (R-06b) — tidak ada flag isLocked; 409 (kini genuinely ditegakkan backend) ditangkap dan ditampilkan sebagai modal</w:t>
            </w:r>
          </w:p>
        </w:tc>
      </w:tr>
      <w:tr>
        <w:tc>
          <w:tcPr>
            <w:tcW w:type="dxa" w:w="2880"/>
          </w:tcPr>
          <w:p>
            <w:r>
              <w:t>surat_peringatan (kalau sanksinya sudah dipakai)</w:t>
            </w:r>
          </w:p>
        </w:tc>
        <w:tc>
          <w:tcPr>
            <w:tcW w:type="dxa" w:w="2880"/>
          </w:tcPr>
          <w:p>
            <w:r>
              <w:t>Sama seperti di atas</w:t>
            </w:r>
          </w:p>
        </w:tc>
        <w:tc>
          <w:tcPr>
            <w:tcW w:type="dxa" w:w="2880"/>
          </w:tcPr>
          <w:p>
            <w:r>
              <w:t>Fallback (R-06b) — backend belum expose flag ini (B-06)</w:t>
            </w:r>
          </w:p>
        </w:tc>
      </w:tr>
      <w:tr>
        <w:tc>
          <w:tcPr>
            <w:tcW w:type="dxa" w:w="2880"/>
          </w:tcPr>
          <w:p>
            <w:r>
              <w:t>overtime_letter (independen dari status verifikasi)</w:t>
            </w:r>
          </w:p>
        </w:tc>
        <w:tc>
          <w:tcPr>
            <w:tcW w:type="dxa" w:w="2880"/>
          </w:tcPr>
          <w:p>
            <w:r>
              <w:t>Sama seperti di atas</w:t>
            </w:r>
          </w:p>
        </w:tc>
        <w:tc>
          <w:tcPr>
            <w:tcW w:type="dxa" w:w="2880"/>
          </w:tcPr>
          <w:p>
            <w:r>
              <w:t>Fallback (R-06b) — idem</w:t>
            </w:r>
          </w:p>
        </w:tc>
      </w:tr>
      <w:tr>
        <w:tc>
          <w:tcPr>
            <w:tcW w:type="dxa" w:w="2880"/>
          </w:tcPr>
          <w:p>
            <w:r>
              <w:t>payslips</w:t>
            </w:r>
          </w:p>
        </w:tc>
        <w:tc>
          <w:tcPr>
            <w:tcW w:type="dxa" w:w="2880"/>
          </w:tcPr>
          <w:p>
            <w:r>
              <w:t>Selalu (§11 — tidak pernah bisa diedit/dihapus)</w:t>
            </w:r>
          </w:p>
        </w:tc>
        <w:tc>
          <w:tcPr>
            <w:tcW w:type="dxa" w:w="2880"/>
          </w:tcPr>
          <w:p>
            <w:r>
              <w:t>Tidak ada endpoint PUT/DELETE sama sekali — UI tidak pernah menampilkan aksi itu</w:t>
            </w:r>
          </w:p>
        </w:tc>
      </w:tr>
    </w:tbl>
    <w:p/>
    <w:p>
      <w:pPr/>
      <w:r>
        <w:t>Membalikkan (revert) payroll run TIDAK hanya mengubah status — dalam satu transaksi backend juga menghapus payslip+line item run tersebut DAN mengembalikan (rollback) cicilan kasbon yang sempat ditarik, sehingga periode itu bisa dihitung ulang dari nol. Konfirmasi di frontend untuk aksi ini WAJIB menyebutkan konsekuensi itu secara eksplisit (Modal.confirm dengan daftar akibat), bukan sekadar “Yakin?”.</w:t>
      </w:r>
    </w:p>
    <w:p>
      <w:pPr>
        <w:pStyle w:val="Heading2"/>
      </w:pPr>
      <w:r>
        <w:t>7.7 Known Accepted Gaps (dari Sign-Off Checklist FE-T33)</w:t>
      </w:r>
    </w:p>
    <w:p>
      <w:pPr/>
      <w:r>
        <w:t>Item di bawah ini BUKAN bug yang belum ditemukan — masing-masing sudah diverifikasi, diterima secara sadar, dan konsekuensinya sudah didokumentasikan langsung di kode frontend terkait. Rujukan lengkap: 06_FRONTEND_GENERAL.md §13.5.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Status yang diterima</w:t>
            </w:r>
          </w:p>
        </w:tc>
        <w:tc>
          <w:tcPr>
            <w:tcW w:type="dxa" w:w="2880"/>
          </w:tcPr>
          <w:p>
            <w:r/>
            <w:r>
              <w:rPr>
                <w:b/>
              </w:rPr>
              <w:t>Konsekuensi &amp; di mana didokumentasikan</w:t>
            </w:r>
          </w:p>
        </w:tc>
      </w:tr>
      <w:tr>
        <w:tc>
          <w:tcPr>
            <w:tcW w:type="dxa" w:w="2880"/>
          </w:tcPr>
          <w:p>
            <w:r>
              <w:t>B-02 — tidak ada global API prefix</w:t>
            </w:r>
          </w:p>
        </w:tc>
        <w:tc>
          <w:tcPr>
            <w:tcW w:type="dxa" w:w="2880"/>
          </w:tcPr>
          <w:p>
            <w:r>
              <w:t>Diterima untuk topologi saat ini (origin terpisah + CORS)</w:t>
            </w:r>
          </w:p>
        </w:tc>
        <w:tc>
          <w:tcPr>
            <w:tcW w:type="dxa" w:w="2880"/>
          </w:tcPr>
          <w:p>
            <w:r>
              <w:t>Perlu ditinjau ulang HANYA kalau suatu saat web dan api di-deploy same-origin</w:t>
            </w:r>
          </w:p>
        </w:tc>
      </w:tr>
      <w:tr>
        <w:tc>
          <w:tcPr>
            <w:tcW w:type="dxa" w:w="2880"/>
          </w:tcPr>
          <w:p>
            <w:r>
              <w:t>B-03 — tidak ada refresh token / /auth/me / logout endpoint</w:t>
            </w:r>
          </w:p>
        </w:tc>
        <w:tc>
          <w:tcPr>
            <w:tcW w:type="dxa" w:w="2880"/>
          </w:tcPr>
          <w:p>
            <w:r>
              <w:t>Diterima — token+user disimpan di localStorage, sesi berakhir keras setelah JWT_EXPIRES_IN (8 jam)</w:t>
            </w:r>
          </w:p>
        </w:tc>
        <w:tc>
          <w:tcPr>
            <w:tcW w:type="dxa" w:w="2880"/>
          </w:tcPr>
          <w:p>
            <w:r>
              <w:t>api/session.ts; describeApiError() menangani 401 sebagai redirect ke login, bukan retry</w:t>
            </w:r>
          </w:p>
        </w:tc>
      </w:tr>
      <w:tr>
        <w:tc>
          <w:tcPr>
            <w:tcW w:type="dxa" w:w="2880"/>
          </w:tcPr>
          <w:p>
            <w:r>
              <w:t>B-06 — 2 dari 3 lock §11 belum expose flag isLocked</w:t>
            </w:r>
          </w:p>
        </w:tc>
        <w:tc>
          <w:tcPr>
            <w:tcW w:type="dxa" w:w="2880"/>
          </w:tcPr>
          <w:p>
            <w:r>
              <w:t>Diterima, pola R-06b (fallback) dipakai sampai backend menambah flag</w:t>
            </w:r>
          </w:p>
        </w:tc>
        <w:tc>
          <w:tcPr>
            <w:tcW w:type="dxa" w:w="2880"/>
          </w:tcPr>
          <w:p>
            <w:r>
              <w:t>Setiap situs pemakaian punya komentar kode eksplisit mengutip B-06</w:t>
            </w:r>
          </w:p>
        </w:tc>
      </w:tr>
      <w:tr>
        <w:tc>
          <w:tcPr>
            <w:tcW w:type="dxa" w:w="2880"/>
          </w:tcPr>
          <w:p>
            <w:r>
              <w:t>B-07 — 2 dari 6 tabel konstanta pajak tidak punya API sama sekali</w:t>
            </w:r>
          </w:p>
        </w:tc>
        <w:tc>
          <w:tcPr>
            <w:tcW w:type="dxa" w:w="2880"/>
          </w:tcPr>
          <w:p>
            <w:r>
              <w:t>Diterima — layar Konstanta Pajak &amp; BPJS menyatakan eksplisit hanya 4 dari 6 tabel yang bisa diedit</w:t>
            </w:r>
          </w:p>
        </w:tc>
        <w:tc>
          <w:tcPr>
            <w:tcW w:type="dxa" w:w="2880"/>
          </w:tcPr>
          <w:p>
            <w:r>
              <w:t>TaxBpjsConstantsPage.tsx, Alert eksplisit di layar</w:t>
            </w:r>
          </w:p>
        </w:tc>
      </w:tr>
      <w:tr>
        <w:tc>
          <w:tcPr>
            <w:tcW w:type="dxa" w:w="2880"/>
          </w:tcPr>
          <w:p>
            <w:r>
              <w:t>B-08 — tidak ada endpoint list yang dipaginasi server-side</w:t>
            </w:r>
          </w:p>
        </w:tc>
        <w:tc>
          <w:tcPr>
            <w:tcW w:type="dxa" w:w="2880"/>
          </w:tcPr>
          <w:p>
            <w:r>
              <w:t>Diterima — semua tabel pakai paginasi client-side; dua layar volume tertinggi wajib filter sebelum query aktif (R-08)</w:t>
            </w:r>
          </w:p>
        </w:tc>
        <w:tc>
          <w:tcPr>
            <w:tcW w:type="dxa" w:w="2880"/>
          </w:tcPr>
          <w:p>
            <w:r>
              <w:t>attendance/raw-logs, attendance/records</w:t>
            </w:r>
          </w:p>
        </w:tc>
      </w:tr>
    </w:tbl>
    <w:p/>
    <w:p>
      <w:pPr/>
      <w:r>
        <w:t>B-01, B-04, B-05 sudah RESOLVED — lihat riwayat commit/06_FRONTEND_GENERAL.md untuk detail penyelesaiannya masing-masing (CORS, keputusan localStorage, endpoint PDF payslip).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