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0ACF" w14:textId="14A145B1" w:rsidR="008E13D7" w:rsidRPr="008E13D7" w:rsidRDefault="008E13D7" w:rsidP="008E13D7">
      <w:pPr>
        <w:rPr>
          <w:b/>
          <w:bCs/>
          <w:sz w:val="52"/>
          <w:szCs w:val="52"/>
        </w:rPr>
      </w:pPr>
      <w:r w:rsidRPr="008E13D7">
        <w:rPr>
          <w:b/>
          <w:bCs/>
          <w:sz w:val="52"/>
          <w:szCs w:val="52"/>
        </w:rPr>
        <w:t>Development Phases</w:t>
      </w:r>
    </w:p>
    <w:p w14:paraId="6C40482B" w14:textId="77777777" w:rsidR="008E13D7" w:rsidRDefault="008E13D7" w:rsidP="008E13D7"/>
    <w:p w14:paraId="55CC5447" w14:textId="06CC720E" w:rsidR="008E13D7" w:rsidRDefault="008E13D7" w:rsidP="008E13D7">
      <w:r>
        <w:t>Phase 1</w:t>
      </w:r>
    </w:p>
    <w:p w14:paraId="1ACA03A8" w14:textId="77777777" w:rsidR="008E13D7" w:rsidRDefault="008E13D7" w:rsidP="008E13D7">
      <w:r>
        <w:t>Company Search</w:t>
      </w:r>
    </w:p>
    <w:p w14:paraId="52FB1208" w14:textId="77777777" w:rsidR="008E13D7" w:rsidRDefault="008E13D7" w:rsidP="008E13D7">
      <w:r>
        <w:t>Financial Statements</w:t>
      </w:r>
    </w:p>
    <w:p w14:paraId="04EF9A1F" w14:textId="77777777" w:rsidR="008E13D7" w:rsidRDefault="008E13D7" w:rsidP="008E13D7">
      <w:r>
        <w:t>Excel Export</w:t>
      </w:r>
    </w:p>
    <w:p w14:paraId="76F8493C" w14:textId="77777777" w:rsidR="008E13D7" w:rsidRDefault="008E13D7" w:rsidP="008E13D7"/>
    <w:p w14:paraId="2E1E88EC" w14:textId="77777777" w:rsidR="008E13D7" w:rsidRDefault="008E13D7" w:rsidP="008E13D7">
      <w:r>
        <w:t>Phase 2</w:t>
      </w:r>
    </w:p>
    <w:p w14:paraId="64777E9A" w14:textId="77777777" w:rsidR="008E13D7" w:rsidRDefault="008E13D7" w:rsidP="008E13D7">
      <w:r>
        <w:t>Annual Report Parsing</w:t>
      </w:r>
    </w:p>
    <w:p w14:paraId="5740D4FA" w14:textId="77777777" w:rsidR="008E13D7" w:rsidRDefault="008E13D7" w:rsidP="008E13D7">
      <w:r>
        <w:t>Quarterly Report Parsing</w:t>
      </w:r>
    </w:p>
    <w:p w14:paraId="6D375E66" w14:textId="77777777" w:rsidR="008E13D7" w:rsidRDefault="008E13D7" w:rsidP="008E13D7"/>
    <w:p w14:paraId="002D5842" w14:textId="77777777" w:rsidR="008E13D7" w:rsidRDefault="008E13D7" w:rsidP="008E13D7">
      <w:r>
        <w:t>Phase 3</w:t>
      </w:r>
    </w:p>
    <w:p w14:paraId="669F9059" w14:textId="77777777" w:rsidR="008E13D7" w:rsidRDefault="008E13D7" w:rsidP="008E13D7">
      <w:r>
        <w:t>Validation Engine</w:t>
      </w:r>
    </w:p>
    <w:p w14:paraId="1271A544" w14:textId="77777777" w:rsidR="008E13D7" w:rsidRDefault="008E13D7" w:rsidP="008E13D7"/>
    <w:p w14:paraId="2CDDD807" w14:textId="77777777" w:rsidR="008E13D7" w:rsidRDefault="008E13D7" w:rsidP="008E13D7">
      <w:r>
        <w:t>Phase 4</w:t>
      </w:r>
    </w:p>
    <w:p w14:paraId="55B55278" w14:textId="77777777" w:rsidR="008E13D7" w:rsidRDefault="008E13D7" w:rsidP="008E13D7">
      <w:r>
        <w:t>Business Segments</w:t>
      </w:r>
    </w:p>
    <w:p w14:paraId="28299BD7" w14:textId="77777777" w:rsidR="008E13D7" w:rsidRDefault="008E13D7" w:rsidP="008E13D7"/>
    <w:p w14:paraId="5F4C3D34" w14:textId="77777777" w:rsidR="008E13D7" w:rsidRDefault="008E13D7" w:rsidP="008E13D7">
      <w:r>
        <w:t>Phase 5</w:t>
      </w:r>
    </w:p>
    <w:p w14:paraId="0AD4D347" w14:textId="77777777" w:rsidR="008E13D7" w:rsidRDefault="008E13D7" w:rsidP="008E13D7">
      <w:r>
        <w:t>Strategic Initiatives</w:t>
      </w:r>
    </w:p>
    <w:p w14:paraId="21BA070A" w14:textId="77777777" w:rsidR="008E13D7" w:rsidRDefault="008E13D7" w:rsidP="008E13D7"/>
    <w:p w14:paraId="78ACBF9B" w14:textId="77777777" w:rsidR="008E13D7" w:rsidRDefault="008E13D7" w:rsidP="008E13D7">
      <w:r>
        <w:t>Phase 6</w:t>
      </w:r>
    </w:p>
    <w:p w14:paraId="163F8743" w14:textId="77777777" w:rsidR="008E13D7" w:rsidRDefault="008E13D7" w:rsidP="008E13D7">
      <w:r>
        <w:t>Multi-Country Coverage</w:t>
      </w:r>
    </w:p>
    <w:p w14:paraId="1E34C2D3" w14:textId="77777777" w:rsidR="008E13D7" w:rsidRDefault="008E13D7" w:rsidP="008E13D7"/>
    <w:p w14:paraId="6922D5F1" w14:textId="77777777" w:rsidR="008E13D7" w:rsidRDefault="008E13D7" w:rsidP="008E13D7">
      <w:r>
        <w:t>Phase 7</w:t>
      </w:r>
    </w:p>
    <w:p w14:paraId="0FE5289D" w14:textId="78766EB7" w:rsidR="00D67072" w:rsidRDefault="008E13D7" w:rsidP="008E13D7">
      <w:r>
        <w:t>Enterprise Features</w:t>
      </w:r>
    </w:p>
    <w:p/>
    <w:p>
      <w:pPr>
        <w:spacing w:before="80" w:after="80"/>
        <w:pBdr>
          <w:bottom w:val="single" w:sz="6" w:space="1" w:color="2E75B6"/>
        </w:pBdr>
      </w:pPr>
    </w:p>
    <w:p/>
    <w:p>
      <w:r>
        <w:rPr>
          <w:rFonts w:ascii="Calibri" w:hAnsi="Calibri"/>
          <w:b/>
          <w:color w:val="1F3864"/>
          <w:sz w:val="28"/>
        </w:rPr>
        <w:t>AMENDMENT — June 2, 2026: Phase Structure Revision</w:t>
      </w:r>
    </w:p>
    <w:p/>
    <w:p>
      <w:pPr>
        <w:spacing w:after="120" w:before="0"/>
      </w:pPr>
      <w:r>
        <w:rPr>
          <w:rFonts w:ascii="Calibri" w:hAnsi="Calibri"/>
          <w:b/>
          <w:sz w:val="20"/>
        </w:rPr>
        <w:t>Reason for Amendment</w:t>
      </w:r>
    </w:p>
    <w:p>
      <w:pPr>
        <w:spacing w:after="120" w:before="0"/>
      </w:pPr>
      <w:r>
        <w:rPr>
          <w:rFonts w:ascii="Calibri" w:hAnsi="Calibri"/>
          <w:b w:val="0"/>
          <w:color w:val="C00000"/>
          <w:sz w:val="20"/>
        </w:rPr>
        <w:t>The Final Project Readiness Assessment (June 2, 2026) identified a critical conflict: the original roadmap places the Validation Engine at Phase 3. The Engineering Specification correctly places validation in Phase 1. Shipping financial data to analysts without mathematical validation creates unacceptable data quality and reputational risk. A financial hub that exports unvalidated numbers is not a financial hub — it is a spreadsheet populated with unverified data.</w:t>
      </w:r>
    </w:p>
    <w:p>
      <w:pPr>
        <w:spacing w:after="120" w:before="0"/>
      </w:pPr>
      <w:r>
        <w:rPr>
          <w:rFonts w:ascii="Calibri" w:hAnsi="Calibri"/>
          <w:b w:val="0"/>
          <w:sz w:val="20"/>
        </w:rPr>
        <w:t>Additionally, the original Phase 2 (Annual Report Parsing) is substantially handled in Phase 1 for US companies via XBRL — the SEC mandates iXBRL tagging on all 10-K filings, providing machine-readable structured data without any PDF parsing. Phase 2 is therefore redefined as the PDF/AI extraction fallback and quarterly reports.</w:t>
      </w:r>
    </w:p>
    <w:p>
      <w:pPr>
        <w:spacing w:before="80" w:after="80"/>
        <w:pBdr>
          <w:bottom w:val="single" w:sz="6" w:space="1" w:color="2E75B6"/>
        </w:pBdr>
      </w:pPr>
    </w:p>
    <w:p>
      <w:pPr>
        <w:spacing w:after="120" w:before="0"/>
      </w:pPr>
      <w:r>
        <w:rPr>
          <w:rFonts w:ascii="Calibri" w:hAnsi="Calibri"/>
          <w:b/>
          <w:sz w:val="20"/>
        </w:rPr>
        <w:t>Revised Phase Structure</w:t>
      </w:r>
    </w:p>
    <w:p/>
    <w:p>
      <w:pPr>
        <w:spacing w:before="240" w:after="40"/>
      </w:pPr>
      <w:r>
        <w:rPr>
          <w:rFonts w:ascii="Calibri" w:hAnsi="Calibri"/>
          <w:b/>
          <w:color w:val="1F3864"/>
          <w:sz w:val="24"/>
        </w:rPr>
        <w:t>Phase 1: Foundation + US Annual Financials</w:t>
      </w:r>
    </w:p>
    <w:p>
      <w:pPr>
        <w:spacing w:after="40"/>
      </w:pPr>
      <w:r>
        <w:rPr>
          <w:rFonts w:ascii="Calibri" w:hAnsi="Calibri"/>
          <w:i/>
          <w:color w:val="378644"/>
          <w:sz w:val="18"/>
        </w:rPr>
        <w:t xml:space="preserve">  CHANGED — Validation Engine moved here from Phase 3</w:t>
      </w:r>
    </w:p>
    <w:p>
      <w:pPr>
        <w:spacing w:after="40" w:before="0"/>
      </w:pPr>
      <w:r>
        <w:rPr>
          <w:rFonts w:ascii="Calibri" w:hAnsi="Calibri"/>
          <w:sz w:val="20"/>
        </w:rPr>
        <w:t xml:space="preserve">  - Company search and resolution (SEC EDGAR).</w:t>
      </w:r>
    </w:p>
    <w:p>
      <w:pPr>
        <w:spacing w:after="40" w:before="0"/>
      </w:pPr>
      <w:r>
        <w:rPr>
          <w:rFonts w:ascii="Calibri" w:hAnsi="Calibri"/>
          <w:sz w:val="20"/>
        </w:rPr>
        <w:t xml:space="preserve">  - XBRL/iXBRL extraction for Income Statement, Balance Sheet, Cash Flow.</w:t>
      </w:r>
    </w:p>
    <w:p>
      <w:pPr>
        <w:spacing w:after="40" w:before="0"/>
      </w:pPr>
      <w:r>
        <w:rPr>
          <w:rFonts w:ascii="Calibri" w:hAnsi="Calibri"/>
          <w:sz w:val="20"/>
        </w:rPr>
        <w:t xml:space="preserve">  - Validation Engine — all 13 mathematical and cross-source rules.</w:t>
      </w:r>
    </w:p>
    <w:p>
      <w:pPr>
        <w:spacing w:after="40" w:before="0"/>
      </w:pPr>
      <w:r>
        <w:rPr>
          <w:rFonts w:ascii="Calibri" w:hAnsi="Calibri"/>
          <w:sz w:val="20"/>
        </w:rPr>
        <w:t xml:space="preserve">  - Confidence scoring and export blocking policy.</w:t>
      </w:r>
    </w:p>
    <w:p>
      <w:pPr>
        <w:spacing w:after="40" w:before="0"/>
      </w:pPr>
      <w:r>
        <w:rPr>
          <w:rFonts w:ascii="Calibri" w:hAnsi="Calibri"/>
          <w:sz w:val="20"/>
        </w:rPr>
        <w:t xml:space="preserve">  - Excel export — 10-sheet workbook.</w:t>
      </w:r>
    </w:p>
    <w:p>
      <w:pPr>
        <w:spacing w:after="40" w:before="0"/>
      </w:pPr>
      <w:r>
        <w:rPr>
          <w:rFonts w:ascii="Calibri" w:hAnsi="Calibri"/>
          <w:sz w:val="20"/>
        </w:rPr>
        <w:t xml:space="preserve">  - Authentication and user management.</w:t>
      </w:r>
    </w:p>
    <w:p>
      <w:pPr>
        <w:spacing w:after="40" w:before="0"/>
      </w:pPr>
      <w:r>
        <w:rPr>
          <w:rFonts w:ascii="Calibri" w:hAnsi="Calibri"/>
          <w:sz w:val="20"/>
        </w:rPr>
        <w:t xml:space="preserve">  - Job pipeline (Celery, SSE progress).</w:t>
      </w:r>
    </w:p>
    <w:p>
      <w:pPr>
        <w:spacing w:after="40" w:before="0"/>
      </w:pPr>
      <w:r>
        <w:rPr>
          <w:rFonts w:ascii="Calibri" w:hAnsi="Calibri"/>
          <w:sz w:val="20"/>
        </w:rPr>
        <w:t xml:space="preserve">  - US public companies only.</w:t>
      </w:r>
    </w:p>
    <w:p>
      <w:pPr>
        <w:spacing w:after="40" w:before="0"/>
      </w:pPr>
      <w:r>
        <w:rPr>
          <w:rFonts w:ascii="Calibri" w:hAnsi="Calibri"/>
          <w:sz w:val="20"/>
        </w:rPr>
        <w:t xml:space="preserve">  - Annual reports only.</w:t>
      </w:r>
    </w:p>
    <w:p>
      <w:pPr>
        <w:spacing w:before="240" w:after="40"/>
      </w:pPr>
      <w:r>
        <w:rPr>
          <w:rFonts w:ascii="Calibri" w:hAnsi="Calibri"/>
          <w:b/>
          <w:color w:val="1F3864"/>
          <w:sz w:val="24"/>
        </w:rPr>
        <w:t>Phase 2: PDF/AI Extraction Fallback + Quarterly Reports</w:t>
      </w:r>
    </w:p>
    <w:p>
      <w:pPr>
        <w:spacing w:after="40"/>
      </w:pPr>
      <w:r>
        <w:rPr>
          <w:rFonts w:ascii="Calibri" w:hAnsi="Calibri"/>
          <w:i/>
          <w:color w:val="378644"/>
          <w:sz w:val="18"/>
        </w:rPr>
        <w:t xml:space="preserve">  CHANGED — was 'Annual Report Parsing + Quarterly Report Parsing'</w:t>
      </w:r>
    </w:p>
    <w:p>
      <w:pPr>
        <w:spacing w:after="40" w:before="0"/>
      </w:pPr>
      <w:r>
        <w:rPr>
          <w:rFonts w:ascii="Calibri" w:hAnsi="Calibri"/>
          <w:sz w:val="20"/>
        </w:rPr>
        <w:t xml:space="preserve">  - PDF extraction pipeline (pdfplumber, camelot) for pre-2019 US filings and filings where XBRL is incomplete or missing.</w:t>
      </w:r>
    </w:p>
    <w:p>
      <w:pPr>
        <w:spacing w:after="40" w:before="0"/>
      </w:pPr>
      <w:r>
        <w:rPr>
          <w:rFonts w:ascii="Calibri" w:hAnsi="Calibri"/>
          <w:sz w:val="20"/>
        </w:rPr>
        <w:t xml:space="preserve">  - Claude API extraction fallback with structured prompts.</w:t>
      </w:r>
    </w:p>
    <w:p>
      <w:pPr>
        <w:spacing w:after="40" w:before="0"/>
      </w:pPr>
      <w:r>
        <w:rPr>
          <w:rFonts w:ascii="Calibri" w:hAnsi="Calibri"/>
          <w:sz w:val="20"/>
        </w:rPr>
        <w:t xml:space="preserve">  - Quarterly report (10-Q) support — discovery, extraction, validation, export.</w:t>
      </w:r>
    </w:p>
    <w:p>
      <w:pPr>
        <w:spacing w:after="40" w:before="0"/>
      </w:pPr>
      <w:r>
        <w:rPr>
          <w:rFonts w:ascii="Calibri" w:hAnsi="Calibri"/>
          <w:sz w:val="20"/>
        </w:rPr>
        <w:t xml:space="preserve">  - OCR pipeline (AWS Textract) for scanned documents.</w:t>
      </w:r>
    </w:p>
    <w:p>
      <w:pPr>
        <w:spacing w:after="40" w:before="0"/>
      </w:pPr>
      <w:r>
        <w:rPr>
          <w:rFonts w:ascii="Calibri" w:hAnsi="Calibri"/>
          <w:sz w:val="20"/>
        </w:rPr>
        <w:t xml:space="preserve">  - Extraction benchmark regression test suite.</w:t>
      </w:r>
    </w:p>
    <w:p>
      <w:pPr>
        <w:spacing w:before="240" w:after="40"/>
      </w:pPr>
      <w:r>
        <w:rPr>
          <w:rFonts w:ascii="Calibri" w:hAnsi="Calibri"/>
          <w:b/>
          <w:color w:val="1F3864"/>
          <w:sz w:val="24"/>
        </w:rPr>
        <w:t>Phase 3: Data Quality + Multi-Source Validation</w:t>
      </w:r>
    </w:p>
    <w:p>
      <w:pPr>
        <w:spacing w:after="40"/>
      </w:pPr>
      <w:r>
        <w:rPr>
          <w:rFonts w:ascii="Calibri" w:hAnsi="Calibri"/>
          <w:i/>
          <w:color w:val="378644"/>
          <w:sz w:val="18"/>
        </w:rPr>
        <w:t xml:space="preserve">  CHANGED — was 'Validation Engine' (moved to Phase 1)</w:t>
      </w:r>
    </w:p>
    <w:p>
      <w:pPr>
        <w:spacing w:after="40" w:before="0"/>
      </w:pPr>
      <w:r>
        <w:rPr>
          <w:rFonts w:ascii="Calibri" w:hAnsi="Calibri"/>
          <w:sz w:val="20"/>
        </w:rPr>
        <w:t xml:space="preserve">  - Multi-source cross-validation (compare XBRL vs.</w:t>
      </w:r>
    </w:p>
    <w:p>
      <w:pPr>
        <w:spacing w:after="40" w:before="0"/>
      </w:pPr>
      <w:r>
        <w:rPr>
          <w:rFonts w:ascii="Calibri" w:hAnsi="Calibri"/>
          <w:sz w:val="20"/>
        </w:rPr>
        <w:t xml:space="preserve">  - PDF vs.</w:t>
      </w:r>
    </w:p>
    <w:p>
      <w:pPr>
        <w:spacing w:after="40" w:before="0"/>
      </w:pPr>
      <w:r>
        <w:rPr>
          <w:rFonts w:ascii="Calibri" w:hAnsi="Calibri"/>
          <w:sz w:val="20"/>
        </w:rPr>
        <w:t xml:space="preserve">  - IR website values).</w:t>
      </w:r>
    </w:p>
    <w:p>
      <w:pPr>
        <w:spacing w:after="40" w:before="0"/>
      </w:pPr>
      <w:r>
        <w:rPr>
          <w:rFonts w:ascii="Calibri" w:hAnsi="Calibri"/>
          <w:sz w:val="20"/>
        </w:rPr>
        <w:t xml:space="preserve">  - Tier 2 source integration (earnings presentations, investor fact sheets).</w:t>
      </w:r>
    </w:p>
    <w:p>
      <w:pPr>
        <w:spacing w:after="40" w:before="0"/>
      </w:pPr>
      <w:r>
        <w:rPr>
          <w:rFonts w:ascii="Calibri" w:hAnsi="Calibri"/>
          <w:sz w:val="20"/>
        </w:rPr>
        <w:t xml:space="preserve">  - Source health monitoring and automatic fallback on source failure.</w:t>
      </w:r>
    </w:p>
    <w:p>
      <w:pPr>
        <w:spacing w:after="40" w:before="0"/>
      </w:pPr>
      <w:r>
        <w:rPr>
          <w:rFonts w:ascii="Calibri" w:hAnsi="Calibri"/>
          <w:sz w:val="20"/>
        </w:rPr>
        <w:t xml:space="preserve">  - PostgreSQL read replica for export query routing.</w:t>
      </w:r>
    </w:p>
    <w:p>
      <w:pPr>
        <w:spacing w:after="40" w:before="0"/>
      </w:pPr>
      <w:r>
        <w:rPr>
          <w:rFonts w:ascii="Calibri" w:hAnsi="Calibri"/>
          <w:sz w:val="20"/>
        </w:rPr>
        <w:t xml:space="preserve">  - Confidence score dashboard in frontend.</w:t>
      </w:r>
    </w:p>
    <w:p>
      <w:pPr>
        <w:spacing w:before="240" w:after="40"/>
      </w:pPr>
      <w:r>
        <w:rPr>
          <w:rFonts w:ascii="Calibri" w:hAnsi="Calibri"/>
          <w:b/>
          <w:color w:val="1F3864"/>
          <w:sz w:val="24"/>
        </w:rPr>
        <w:t>Phase 4: Business Segments</w:t>
      </w:r>
    </w:p>
    <w:p>
      <w:pPr>
        <w:spacing w:after="40"/>
      </w:pPr>
      <w:r>
        <w:rPr>
          <w:rFonts w:ascii="Calibri" w:hAnsi="Calibri"/>
          <w:i/>
          <w:color w:val="378644"/>
          <w:sz w:val="18"/>
        </w:rPr>
        <w:t xml:space="preserve">  UNCHANGED</w:t>
      </w:r>
    </w:p>
    <w:p>
      <w:pPr>
        <w:spacing w:after="40" w:before="0"/>
      </w:pPr>
      <w:r>
        <w:rPr>
          <w:rFonts w:ascii="Calibri" w:hAnsi="Calibri"/>
          <w:sz w:val="20"/>
        </w:rPr>
        <w:t xml:space="preserve">  - Business segment extraction (revenue, operating income, assets by segment).</w:t>
      </w:r>
    </w:p>
    <w:p>
      <w:pPr>
        <w:spacing w:after="40" w:before="0"/>
      </w:pPr>
      <w:r>
        <w:rPr>
          <w:rFonts w:ascii="Calibri" w:hAnsi="Calibri"/>
          <w:sz w:val="20"/>
        </w:rPr>
        <w:t xml:space="preserve">  - Geographic segment extraction.</w:t>
      </w:r>
    </w:p>
    <w:p>
      <w:pPr>
        <w:spacing w:after="40" w:before="0"/>
      </w:pPr>
      <w:r>
        <w:rPr>
          <w:rFonts w:ascii="Calibri" w:hAnsi="Calibri"/>
          <w:sz w:val="20"/>
        </w:rPr>
        <w:t xml:space="preserve">  - Segment data in Excel Sheet 6.</w:t>
      </w:r>
    </w:p>
    <w:p>
      <w:pPr>
        <w:spacing w:after="40" w:before="0"/>
      </w:pPr>
      <w:r>
        <w:rPr>
          <w:rFonts w:ascii="Calibri" w:hAnsi="Calibri"/>
          <w:sz w:val="20"/>
        </w:rPr>
        <w:t xml:space="preserve">  - Segment trend analysis over multiple years.</w:t>
      </w:r>
    </w:p>
    <w:p>
      <w:pPr>
        <w:spacing w:before="240" w:after="40"/>
      </w:pPr>
      <w:r>
        <w:rPr>
          <w:rFonts w:ascii="Calibri" w:hAnsi="Calibri"/>
          <w:b/>
          <w:color w:val="1F3864"/>
          <w:sz w:val="24"/>
        </w:rPr>
        <w:t>Phase 5: Strategic Initiatives</w:t>
      </w:r>
    </w:p>
    <w:p>
      <w:pPr>
        <w:spacing w:after="40"/>
      </w:pPr>
      <w:r>
        <w:rPr>
          <w:rFonts w:ascii="Calibri" w:hAnsi="Calibri"/>
          <w:i/>
          <w:color w:val="378644"/>
          <w:sz w:val="18"/>
        </w:rPr>
        <w:t xml:space="preserve">  UNCHANGED</w:t>
      </w:r>
    </w:p>
    <w:p>
      <w:pPr>
        <w:spacing w:after="40" w:before="0"/>
      </w:pPr>
      <w:r>
        <w:rPr>
          <w:rFonts w:ascii="Calibri" w:hAnsi="Calibri"/>
          <w:sz w:val="20"/>
        </w:rPr>
        <w:t xml:space="preserve">  - M&amp;A activity extraction from MD&amp;A and press releases.</w:t>
      </w:r>
    </w:p>
    <w:p>
      <w:pPr>
        <w:spacing w:after="40" w:before="0"/>
      </w:pPr>
      <w:r>
        <w:rPr>
          <w:rFonts w:ascii="Calibri" w:hAnsi="Calibri"/>
          <w:sz w:val="20"/>
        </w:rPr>
        <w:t xml:space="preserve">  - Capital allocation and guidance extraction.</w:t>
      </w:r>
    </w:p>
    <w:p>
      <w:pPr>
        <w:spacing w:after="40" w:before="0"/>
      </w:pPr>
      <w:r>
        <w:rPr>
          <w:rFonts w:ascii="Calibri" w:hAnsi="Calibri"/>
          <w:sz w:val="20"/>
        </w:rPr>
        <w:t xml:space="preserve">  - Strategic initiatives in Excel Sheet 7.</w:t>
      </w:r>
    </w:p>
    <w:p>
      <w:pPr>
        <w:spacing w:after="40" w:before="0"/>
      </w:pPr>
      <w:r>
        <w:rPr>
          <w:rFonts w:ascii="Calibri" w:hAnsi="Calibri"/>
          <w:sz w:val="20"/>
        </w:rPr>
        <w:t xml:space="preserve">  - Management guidance tracking.</w:t>
      </w:r>
    </w:p>
    <w:p>
      <w:pPr>
        <w:spacing w:before="240" w:after="40"/>
      </w:pPr>
      <w:r>
        <w:rPr>
          <w:rFonts w:ascii="Calibri" w:hAnsi="Calibri"/>
          <w:b/>
          <w:color w:val="1F3864"/>
          <w:sz w:val="24"/>
        </w:rPr>
        <w:t>Phase 6: Multi-Country Coverage</w:t>
      </w:r>
    </w:p>
    <w:p>
      <w:pPr>
        <w:spacing w:after="40"/>
      </w:pPr>
      <w:r>
        <w:rPr>
          <w:rFonts w:ascii="Calibri" w:hAnsi="Calibri"/>
          <w:i/>
          <w:color w:val="378644"/>
          <w:sz w:val="18"/>
        </w:rPr>
        <w:t xml:space="preserve">  UNCHANGED</w:t>
      </w:r>
    </w:p>
    <w:p>
      <w:pPr>
        <w:spacing w:after="40" w:before="0"/>
      </w:pPr>
      <w:r>
        <w:rPr>
          <w:rFonts w:ascii="Calibri" w:hAnsi="Calibri"/>
          <w:sz w:val="20"/>
        </w:rPr>
        <w:t xml:space="preserve">  - India (NSE/BSE, SEBI filings).</w:t>
      </w:r>
    </w:p>
    <w:p>
      <w:pPr>
        <w:spacing w:after="40" w:before="0"/>
      </w:pPr>
      <w:r>
        <w:rPr>
          <w:rFonts w:ascii="Calibri" w:hAnsi="Calibri"/>
          <w:sz w:val="20"/>
        </w:rPr>
        <w:t xml:space="preserve">  - United Kingdom (Companies House, LSE).</w:t>
      </w:r>
    </w:p>
    <w:p>
      <w:pPr>
        <w:spacing w:after="40" w:before="0"/>
      </w:pPr>
      <w:r>
        <w:rPr>
          <w:rFonts w:ascii="Calibri" w:hAnsi="Calibri"/>
          <w:sz w:val="20"/>
        </w:rPr>
        <w:t xml:space="preserve">  - Canada (SEDAR, TSX).</w:t>
      </w:r>
    </w:p>
    <w:p>
      <w:pPr>
        <w:spacing w:after="40" w:before="0"/>
      </w:pPr>
      <w:r>
        <w:rPr>
          <w:rFonts w:ascii="Calibri" w:hAnsi="Calibri"/>
          <w:sz w:val="20"/>
        </w:rPr>
        <w:t xml:space="preserve">  - Australia (ASX, ASIC).</w:t>
      </w:r>
    </w:p>
    <w:p>
      <w:pPr>
        <w:spacing w:after="40" w:before="0"/>
      </w:pPr>
      <w:r>
        <w:rPr>
          <w:rFonts w:ascii="Calibri" w:hAnsi="Calibri"/>
          <w:sz w:val="20"/>
        </w:rPr>
        <w:t xml:space="preserve">  - Currency normalization for non-USD companies.</w:t>
      </w:r>
    </w:p>
    <w:p>
      <w:pPr>
        <w:spacing w:after="40" w:before="0"/>
      </w:pPr>
      <w:r>
        <w:rPr>
          <w:rFonts w:ascii="Calibri" w:hAnsi="Calibri"/>
          <w:sz w:val="20"/>
        </w:rPr>
        <w:t xml:space="preserve">  - Non-English document handling.</w:t>
      </w:r>
    </w:p>
    <w:p>
      <w:pPr>
        <w:spacing w:before="240" w:after="40"/>
      </w:pPr>
      <w:r>
        <w:rPr>
          <w:rFonts w:ascii="Calibri" w:hAnsi="Calibri"/>
          <w:b/>
          <w:color w:val="1F3864"/>
          <w:sz w:val="24"/>
        </w:rPr>
        <w:t>Phase 7: Enterprise Features</w:t>
      </w:r>
    </w:p>
    <w:p>
      <w:pPr>
        <w:spacing w:after="40"/>
      </w:pPr>
      <w:r>
        <w:rPr>
          <w:rFonts w:ascii="Calibri" w:hAnsi="Calibri"/>
          <w:i/>
          <w:color w:val="378644"/>
          <w:sz w:val="18"/>
        </w:rPr>
        <w:t xml:space="preserve">  UNCHANGED</w:t>
      </w:r>
    </w:p>
    <w:p>
      <w:pPr>
        <w:spacing w:after="40" w:before="0"/>
      </w:pPr>
      <w:r>
        <w:rPr>
          <w:rFonts w:ascii="Calibri" w:hAnsi="Calibri"/>
          <w:sz w:val="20"/>
        </w:rPr>
        <w:t xml:space="preserve">  - Multi-tenancy enforcement (row-level security, tenant isolation audit).</w:t>
      </w:r>
    </w:p>
    <w:p>
      <w:pPr>
        <w:spacing w:after="40" w:before="0"/>
      </w:pPr>
      <w:r>
        <w:rPr>
          <w:rFonts w:ascii="Calibri" w:hAnsi="Calibri"/>
          <w:sz w:val="20"/>
        </w:rPr>
        <w:t xml:space="preserve">  - SAML 2.0 / OIDC SSO for enterprise customers.</w:t>
      </w:r>
    </w:p>
    <w:p>
      <w:pPr>
        <w:spacing w:after="40" w:before="0"/>
      </w:pPr>
      <w:r>
        <w:rPr>
          <w:rFonts w:ascii="Calibri" w:hAnsi="Calibri"/>
          <w:sz w:val="20"/>
        </w:rPr>
        <w:t xml:space="preserve">  - API key access for programmatic integrations.</w:t>
      </w:r>
    </w:p>
    <w:p>
      <w:pPr>
        <w:spacing w:after="40" w:before="0"/>
      </w:pPr>
      <w:r>
        <w:rPr>
          <w:rFonts w:ascii="Calibri" w:hAnsi="Calibri"/>
          <w:sz w:val="20"/>
        </w:rPr>
        <w:t xml:space="preserve">  - Billing and subscription management (Stripe).</w:t>
      </w:r>
    </w:p>
    <w:p>
      <w:pPr>
        <w:spacing w:after="40" w:before="0"/>
      </w:pPr>
      <w:r>
        <w:rPr>
          <w:rFonts w:ascii="Calibri" w:hAnsi="Calibri"/>
          <w:sz w:val="20"/>
        </w:rPr>
        <w:t xml:space="preserve">  - Webhook notifications for job completion.</w:t>
      </w:r>
    </w:p>
    <w:p>
      <w:pPr>
        <w:spacing w:after="40" w:before="0"/>
      </w:pPr>
      <w:r>
        <w:rPr>
          <w:rFonts w:ascii="Calibri" w:hAnsi="Calibri"/>
          <w:sz w:val="20"/>
        </w:rPr>
        <w:t xml:space="preserve">  - Enterprise SLA (99.9% uptime).</w:t>
      </w:r>
    </w:p>
    <w:p>
      <w:pPr>
        <w:spacing w:before="80" w:after="80"/>
        <w:pBdr>
          <w:bottom w:val="single" w:sz="6" w:space="1" w:color="2E75B6"/>
        </w:pBdr>
      </w:pPr>
    </w:p>
    <w:p>
      <w:pPr>
        <w:spacing w:after="120" w:before="0"/>
      </w:pPr>
      <w:r>
        <w:rPr>
          <w:rFonts w:ascii="Calibri" w:hAnsi="Calibri"/>
          <w:b/>
          <w:sz w:val="20"/>
        </w:rPr>
        <w:t>Phase Scope Change Summary</w:t>
      </w:r>
    </w:p>
    <w:tbl>
      <w:tblPr>
        <w:tblW w:type="auto" w:w="0"/>
        <w:jc w:val="left"/>
        <w:tblLook w:firstColumn="1" w:firstRow="1" w:lastColumn="0" w:lastRow="0" w:noHBand="0" w:noVBand="1" w:val="04A0"/>
      </w:tblPr>
      <w:tblGrid>
        <w:gridCol w:w="3009"/>
        <w:gridCol w:w="3009"/>
        <w:gridCol w:w="3009"/>
      </w:tblGrid>
      <w:tr>
        <w:tc>
          <w:tcPr>
            <w:tcW w:type="dxa" w:w="864"/>
            <w:shd w:val="clear" w:color="auto" w:fill="1F3864"/>
          </w:tcPr>
          <w:p>
            <w:pPr>
              <w:spacing w:after="0" w:before="0"/>
              <w:jc w:val="center"/>
            </w:pPr>
            <w:r/>
            <w:r>
              <w:rPr>
                <w:rFonts w:ascii="Calibri" w:hAnsi="Calibri"/>
                <w:b/>
                <w:color w:val="FFFFFF"/>
                <w:sz w:val="18"/>
              </w:rPr>
              <w:t>Phase</w:t>
            </w:r>
          </w:p>
        </w:tc>
        <w:tc>
          <w:tcPr>
            <w:tcW w:type="dxa" w:w="4320"/>
            <w:shd w:val="clear" w:color="auto" w:fill="1F3864"/>
          </w:tcPr>
          <w:p>
            <w:pPr>
              <w:spacing w:after="0" w:before="0"/>
              <w:jc w:val="center"/>
            </w:pPr>
            <w:r/>
            <w:r>
              <w:rPr>
                <w:rFonts w:ascii="Calibri" w:hAnsi="Calibri"/>
                <w:b/>
                <w:color w:val="FFFFFF"/>
                <w:sz w:val="18"/>
              </w:rPr>
              <w:t>Change</w:t>
            </w:r>
          </w:p>
        </w:tc>
        <w:tc>
          <w:tcPr>
            <w:tcW w:type="dxa" w:w="3456"/>
            <w:shd w:val="clear" w:color="auto" w:fill="1F3864"/>
          </w:tcPr>
          <w:p>
            <w:pPr>
              <w:spacing w:after="0" w:before="0"/>
              <w:jc w:val="center"/>
            </w:pPr>
            <w:r/>
            <w:r>
              <w:rPr>
                <w:rFonts w:ascii="Calibri" w:hAnsi="Calibri"/>
                <w:b/>
                <w:color w:val="FFFFFF"/>
                <w:sz w:val="18"/>
              </w:rPr>
              <w:t>Rationale</w:t>
            </w:r>
          </w:p>
        </w:tc>
      </w:tr>
      <w:tr>
        <w:tc>
          <w:tcPr>
            <w:tcW w:type="dxa" w:w="864"/>
            <w:shd w:val="clear" w:color="auto" w:fill="F2F2F2"/>
          </w:tcPr>
          <w:p>
            <w:pPr>
              <w:spacing w:after="0" w:before="0"/>
              <w:jc w:val="left"/>
            </w:pPr>
            <w:r/>
            <w:r>
              <w:rPr>
                <w:rFonts w:ascii="Calibri" w:hAnsi="Calibri"/>
                <w:b w:val="0"/>
                <w:sz w:val="18"/>
              </w:rPr>
              <w:t>Phase 1</w:t>
            </w:r>
          </w:p>
        </w:tc>
        <w:tc>
          <w:tcPr>
            <w:tcW w:type="dxa" w:w="4320"/>
            <w:shd w:val="clear" w:color="auto" w:fill="F2F2F2"/>
          </w:tcPr>
          <w:p>
            <w:pPr>
              <w:spacing w:after="0" w:before="0"/>
              <w:jc w:val="left"/>
            </w:pPr>
            <w:r/>
            <w:r>
              <w:rPr>
                <w:rFonts w:ascii="Calibri" w:hAnsi="Calibri"/>
                <w:b w:val="0"/>
                <w:sz w:val="18"/>
              </w:rPr>
              <w:t>Added Validation Engine (13 rules, confidence scoring, export blocking)</w:t>
            </w:r>
          </w:p>
        </w:tc>
        <w:tc>
          <w:tcPr>
            <w:tcW w:type="dxa" w:w="3456"/>
            <w:shd w:val="clear" w:color="auto" w:fill="F2F2F2"/>
          </w:tcPr>
          <w:p>
            <w:pPr>
              <w:spacing w:after="0" w:before="0"/>
              <w:jc w:val="left"/>
            </w:pPr>
            <w:r/>
            <w:r>
              <w:rPr>
                <w:rFonts w:ascii="Calibri" w:hAnsi="Calibri"/>
                <w:b w:val="0"/>
                <w:sz w:val="18"/>
              </w:rPr>
              <w:t>Cannot ship financial data without validation</w:t>
            </w:r>
          </w:p>
        </w:tc>
      </w:tr>
      <w:tr>
        <w:tc>
          <w:tcPr>
            <w:tcW w:type="dxa" w:w="864"/>
            <w:shd w:val="clear" w:color="auto" w:fill="FFFFFF"/>
          </w:tcPr>
          <w:p>
            <w:pPr>
              <w:spacing w:after="0" w:before="0"/>
              <w:jc w:val="left"/>
            </w:pPr>
            <w:r/>
            <w:r>
              <w:rPr>
                <w:rFonts w:ascii="Calibri" w:hAnsi="Calibri"/>
                <w:b w:val="0"/>
                <w:sz w:val="18"/>
              </w:rPr>
              <w:t>Phase 2</w:t>
            </w:r>
          </w:p>
        </w:tc>
        <w:tc>
          <w:tcPr>
            <w:tcW w:type="dxa" w:w="4320"/>
            <w:shd w:val="clear" w:color="auto" w:fill="FFFFFF"/>
          </w:tcPr>
          <w:p>
            <w:pPr>
              <w:spacing w:after="0" w:before="0"/>
              <w:jc w:val="left"/>
            </w:pPr>
            <w:r/>
            <w:r>
              <w:rPr>
                <w:rFonts w:ascii="Calibri" w:hAnsi="Calibri"/>
                <w:b w:val="0"/>
                <w:sz w:val="18"/>
              </w:rPr>
              <w:t>Redefined: PDF/AI extraction fallback + quarterly reports (was: Annual + Quarterly Report Parsing)</w:t>
            </w:r>
          </w:p>
        </w:tc>
        <w:tc>
          <w:tcPr>
            <w:tcW w:type="dxa" w:w="3456"/>
            <w:shd w:val="clear" w:color="auto" w:fill="FFFFFF"/>
          </w:tcPr>
          <w:p>
            <w:pPr>
              <w:spacing w:after="0" w:before="0"/>
              <w:jc w:val="left"/>
            </w:pPr>
            <w:r/>
            <w:r>
              <w:rPr>
                <w:rFonts w:ascii="Calibri" w:hAnsi="Calibri"/>
                <w:b w:val="0"/>
                <w:sz w:val="18"/>
              </w:rPr>
              <w:t>US annual reports covered by XBRL in Phase 1; PDF needed only as fallback</w:t>
            </w:r>
          </w:p>
        </w:tc>
      </w:tr>
      <w:tr>
        <w:tc>
          <w:tcPr>
            <w:tcW w:type="dxa" w:w="864"/>
            <w:shd w:val="clear" w:color="auto" w:fill="F2F2F2"/>
          </w:tcPr>
          <w:p>
            <w:pPr>
              <w:spacing w:after="0" w:before="0"/>
              <w:jc w:val="left"/>
            </w:pPr>
            <w:r/>
            <w:r>
              <w:rPr>
                <w:rFonts w:ascii="Calibri" w:hAnsi="Calibri"/>
                <w:b w:val="0"/>
                <w:sz w:val="18"/>
              </w:rPr>
              <w:t>Phase 3</w:t>
            </w:r>
          </w:p>
        </w:tc>
        <w:tc>
          <w:tcPr>
            <w:tcW w:type="dxa" w:w="4320"/>
            <w:shd w:val="clear" w:color="auto" w:fill="F2F2F2"/>
          </w:tcPr>
          <w:p>
            <w:pPr>
              <w:spacing w:after="0" w:before="0"/>
              <w:jc w:val="left"/>
            </w:pPr>
            <w:r/>
            <w:r>
              <w:rPr>
                <w:rFonts w:ascii="Calibri" w:hAnsi="Calibri"/>
                <w:b w:val="0"/>
                <w:sz w:val="18"/>
              </w:rPr>
              <w:t>Redefined: Multi-source validation + data quality (was: Validation Engine)</w:t>
            </w:r>
          </w:p>
        </w:tc>
        <w:tc>
          <w:tcPr>
            <w:tcW w:type="dxa" w:w="3456"/>
            <w:shd w:val="clear" w:color="auto" w:fill="F2F2F2"/>
          </w:tcPr>
          <w:p>
            <w:pPr>
              <w:spacing w:after="0" w:before="0"/>
              <w:jc w:val="left"/>
            </w:pPr>
            <w:r/>
            <w:r>
              <w:rPr>
                <w:rFonts w:ascii="Calibri" w:hAnsi="Calibri"/>
                <w:b w:val="0"/>
                <w:sz w:val="18"/>
              </w:rPr>
              <w:t>Validation moved to Phase 1; Phase 3 now focuses on source diversity and quality</w:t>
            </w:r>
          </w:p>
        </w:tc>
      </w:tr>
      <w:tr>
        <w:tc>
          <w:tcPr>
            <w:tcW w:type="dxa" w:w="864"/>
            <w:shd w:val="clear" w:color="auto" w:fill="FFFFFF"/>
          </w:tcPr>
          <w:p>
            <w:pPr>
              <w:spacing w:after="0" w:before="0"/>
              <w:jc w:val="left"/>
            </w:pPr>
            <w:r/>
            <w:r>
              <w:rPr>
                <w:rFonts w:ascii="Calibri" w:hAnsi="Calibri"/>
                <w:b w:val="0"/>
                <w:sz w:val="18"/>
              </w:rPr>
              <w:t>Phases 4–7</w:t>
            </w:r>
          </w:p>
        </w:tc>
        <w:tc>
          <w:tcPr>
            <w:tcW w:type="dxa" w:w="4320"/>
            <w:shd w:val="clear" w:color="auto" w:fill="FFFFFF"/>
          </w:tcPr>
          <w:p>
            <w:pPr>
              <w:spacing w:after="0" w:before="0"/>
              <w:jc w:val="left"/>
            </w:pPr>
            <w:r/>
            <w:r>
              <w:rPr>
                <w:rFonts w:ascii="Calibri" w:hAnsi="Calibri"/>
                <w:b w:val="0"/>
                <w:sz w:val="18"/>
              </w:rPr>
              <w:t>No changes to scope</w:t>
            </w:r>
          </w:p>
        </w:tc>
        <w:tc>
          <w:tcPr>
            <w:tcW w:type="dxa" w:w="3456"/>
            <w:shd w:val="clear" w:color="auto" w:fill="FFFFFF"/>
          </w:tcPr>
          <w:p>
            <w:pPr>
              <w:spacing w:after="0" w:before="0"/>
              <w:jc w:val="left"/>
            </w:pPr>
            <w:r/>
            <w:r>
              <w:rPr>
                <w:rFonts w:ascii="Calibri" w:hAnsi="Calibri"/>
                <w:b w:val="0"/>
                <w:sz w:val="18"/>
              </w:rPr>
              <w:t>Original roadmap remains correct</w:t>
            </w:r>
          </w:p>
        </w:tc>
      </w:tr>
    </w:tbl>
    <w:p/>
    <w:sectPr w:rsidR="00D67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D7"/>
    <w:rsid w:val="006479B6"/>
    <w:rsid w:val="008E13D7"/>
    <w:rsid w:val="00927D0D"/>
    <w:rsid w:val="00D67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E845"/>
  <w15:chartTrackingRefBased/>
  <w15:docId w15:val="{C3A01275-CF66-47AC-92B0-0E429E1B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D7"/>
    <w:rPr>
      <w:rFonts w:eastAsiaTheme="majorEastAsia" w:cstheme="majorBidi"/>
      <w:color w:val="272727" w:themeColor="text1" w:themeTint="D8"/>
    </w:rPr>
  </w:style>
  <w:style w:type="paragraph" w:styleId="Title">
    <w:name w:val="Title"/>
    <w:basedOn w:val="Normal"/>
    <w:next w:val="Normal"/>
    <w:link w:val="TitleChar"/>
    <w:uiPriority w:val="10"/>
    <w:qFormat/>
    <w:rsid w:val="008E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D7"/>
    <w:pPr>
      <w:spacing w:before="160"/>
      <w:jc w:val="center"/>
    </w:pPr>
    <w:rPr>
      <w:i/>
      <w:iCs/>
      <w:color w:val="404040" w:themeColor="text1" w:themeTint="BF"/>
    </w:rPr>
  </w:style>
  <w:style w:type="character" w:customStyle="1" w:styleId="QuoteChar">
    <w:name w:val="Quote Char"/>
    <w:basedOn w:val="DefaultParagraphFont"/>
    <w:link w:val="Quote"/>
    <w:uiPriority w:val="29"/>
    <w:rsid w:val="008E13D7"/>
    <w:rPr>
      <w:i/>
      <w:iCs/>
      <w:color w:val="404040" w:themeColor="text1" w:themeTint="BF"/>
    </w:rPr>
  </w:style>
  <w:style w:type="paragraph" w:styleId="ListParagraph">
    <w:name w:val="List Paragraph"/>
    <w:basedOn w:val="Normal"/>
    <w:uiPriority w:val="34"/>
    <w:qFormat/>
    <w:rsid w:val="008E13D7"/>
    <w:pPr>
      <w:ind w:left="720"/>
      <w:contextualSpacing/>
    </w:pPr>
  </w:style>
  <w:style w:type="character" w:styleId="IntenseEmphasis">
    <w:name w:val="Intense Emphasis"/>
    <w:basedOn w:val="DefaultParagraphFont"/>
    <w:uiPriority w:val="21"/>
    <w:qFormat/>
    <w:rsid w:val="008E13D7"/>
    <w:rPr>
      <w:i/>
      <w:iCs/>
      <w:color w:val="0F4761" w:themeColor="accent1" w:themeShade="BF"/>
    </w:rPr>
  </w:style>
  <w:style w:type="paragraph" w:styleId="IntenseQuote">
    <w:name w:val="Intense Quote"/>
    <w:basedOn w:val="Normal"/>
    <w:next w:val="Normal"/>
    <w:link w:val="IntenseQuoteChar"/>
    <w:uiPriority w:val="30"/>
    <w:qFormat/>
    <w:rsid w:val="008E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D7"/>
    <w:rPr>
      <w:i/>
      <w:iCs/>
      <w:color w:val="0F4761" w:themeColor="accent1" w:themeShade="BF"/>
    </w:rPr>
  </w:style>
  <w:style w:type="character" w:styleId="IntenseReference">
    <w:name w:val="Intense Reference"/>
    <w:basedOn w:val="DefaultParagraphFont"/>
    <w:uiPriority w:val="32"/>
    <w:qFormat/>
    <w:rsid w:val="008E1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Words>
  <Characters>238</Characters>
  <Application>Microsoft Office Word</Application>
  <DocSecurity>0</DocSecurity>
  <Lines>1</Lines>
  <Paragraphs>1</Paragraphs>
  <ScaleCrop>false</ScaleCrop>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Muhsin</dc:creator>
  <cp:keywords/>
  <dc:description/>
  <cp:lastModifiedBy>Muhammed Muhsin</cp:lastModifiedBy>
  <cp:revision>1</cp:revision>
  <dcterms:created xsi:type="dcterms:W3CDTF">2026-06-02T04:56:00Z</dcterms:created>
  <dcterms:modified xsi:type="dcterms:W3CDTF">2026-06-02T04:57:00Z</dcterms:modified>
</cp:coreProperties>
</file>