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864"/>
          <w:sz w:val="56"/>
        </w:rPr>
        <w:t>ENGINEERING SPECIFICATION REPORT</w:t>
      </w:r>
    </w:p>
    <w:p>
      <w:pPr>
        <w:jc w:val="center"/>
      </w:pPr>
      <w:r>
        <w:rPr>
          <w:rFonts w:ascii="Calibri" w:hAnsi="Calibri"/>
          <w:color w:val="2E75B6"/>
          <w:sz w:val="28"/>
        </w:rPr>
        <w:t>Financial Data Hub — Pre-Implementation Engineering Specification</w:t>
      </w:r>
    </w:p>
    <w:p/>
    <w:p>
      <w:pPr>
        <w:jc w:val="center"/>
      </w:pPr>
      <w:r>
        <w:rPr>
          <w:rFonts w:ascii="Calibri" w:hAnsi="Calibri"/>
          <w:b/>
          <w:color w:val="1F3864"/>
          <w:sz w:val="36"/>
        </w:rPr>
        <w:t>Part 1 of 3:  Database, Backend, Frontend &amp; Document Ingestion</w:t>
      </w:r>
    </w:p>
    <w:p/>
    <w:p>
      <w:pPr>
        <w:spacing w:before="80" w:after="80"/>
        <w:pBdr>
          <w:bottom w:val="single" w:sz="6" w:space="1" w:color="2E75B6"/>
        </w:pBdr>
      </w:pPr>
    </w:p>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D6E4F0"/>
          </w:tcPr>
          <w:p>
            <w:pPr>
              <w:spacing w:after="0" w:before="0"/>
              <w:jc w:val="left"/>
            </w:pPr>
            <w:r/>
            <w:r>
              <w:rPr>
                <w:rFonts w:ascii="Calibri" w:hAnsi="Calibri"/>
                <w:b/>
                <w:sz w:val="20"/>
              </w:rPr>
              <w:t>Version</w:t>
            </w:r>
          </w:p>
        </w:tc>
        <w:tc>
          <w:tcPr>
            <w:tcW w:type="dxa" w:w="5760"/>
          </w:tcPr>
          <w:p>
            <w:pPr>
              <w:spacing w:after="0" w:before="0"/>
              <w:jc w:val="left"/>
            </w:pPr>
            <w:r/>
            <w:r>
              <w:rPr>
                <w:rFonts w:ascii="Calibri" w:hAnsi="Calibri"/>
                <w:b w:val="0"/>
                <w:sz w:val="20"/>
              </w:rPr>
              <w:t>1.0</w:t>
            </w:r>
          </w:p>
        </w:tc>
      </w:tr>
      <w:tr>
        <w:tc>
          <w:tcPr>
            <w:tcW w:type="dxa" w:w="2160"/>
            <w:shd w:val="clear" w:color="auto" w:fill="D6E4F0"/>
          </w:tcPr>
          <w:p>
            <w:pPr>
              <w:spacing w:after="0" w:before="0"/>
              <w:jc w:val="left"/>
            </w:pPr>
            <w:r/>
            <w:r>
              <w:rPr>
                <w:rFonts w:ascii="Calibri" w:hAnsi="Calibri"/>
                <w:b/>
                <w:sz w:val="20"/>
              </w:rPr>
              <w:t>Date</w:t>
            </w:r>
          </w:p>
        </w:tc>
        <w:tc>
          <w:tcPr>
            <w:tcW w:type="dxa" w:w="5760"/>
          </w:tcPr>
          <w:p>
            <w:pPr>
              <w:spacing w:after="0" w:before="0"/>
              <w:jc w:val="left"/>
            </w:pPr>
            <w:r/>
            <w:r>
              <w:rPr>
                <w:rFonts w:ascii="Calibri" w:hAnsi="Calibri"/>
                <w:b w:val="0"/>
                <w:sz w:val="20"/>
              </w:rPr>
              <w:t>June 2, 2026</w:t>
            </w:r>
          </w:p>
        </w:tc>
      </w:tr>
      <w:tr>
        <w:tc>
          <w:tcPr>
            <w:tcW w:type="dxa" w:w="2160"/>
            <w:shd w:val="clear" w:color="auto" w:fill="D6E4F0"/>
          </w:tcPr>
          <w:p>
            <w:pPr>
              <w:spacing w:after="0" w:before="0"/>
              <w:jc w:val="left"/>
            </w:pPr>
            <w:r/>
            <w:r>
              <w:rPr>
                <w:rFonts w:ascii="Calibri" w:hAnsi="Calibri"/>
                <w:b/>
                <w:sz w:val="20"/>
              </w:rPr>
              <w:t>Status</w:t>
            </w:r>
          </w:p>
        </w:tc>
        <w:tc>
          <w:tcPr>
            <w:tcW w:type="dxa" w:w="5760"/>
          </w:tcPr>
          <w:p>
            <w:pPr>
              <w:spacing w:after="0" w:before="0"/>
              <w:jc w:val="left"/>
            </w:pPr>
            <w:r/>
            <w:r>
              <w:rPr>
                <w:rFonts w:ascii="Calibri" w:hAnsi="Calibri"/>
                <w:b w:val="0"/>
                <w:sz w:val="20"/>
              </w:rPr>
              <w:t>Final Draft — Pending Engineering Review</w:t>
            </w:r>
          </w:p>
        </w:tc>
      </w:tr>
      <w:tr>
        <w:tc>
          <w:tcPr>
            <w:tcW w:type="dxa" w:w="2160"/>
            <w:shd w:val="clear" w:color="auto" w:fill="D6E4F0"/>
          </w:tcPr>
          <w:p>
            <w:pPr>
              <w:spacing w:after="0" w:before="0"/>
              <w:jc w:val="left"/>
            </w:pPr>
            <w:r/>
            <w:r>
              <w:rPr>
                <w:rFonts w:ascii="Calibri" w:hAnsi="Calibri"/>
                <w:b/>
                <w:sz w:val="20"/>
              </w:rPr>
              <w:t>Scope</w:t>
            </w:r>
          </w:p>
        </w:tc>
        <w:tc>
          <w:tcPr>
            <w:tcW w:type="dxa" w:w="5760"/>
          </w:tcPr>
          <w:p>
            <w:pPr>
              <w:spacing w:after="0" w:before="0"/>
              <w:jc w:val="left"/>
            </w:pPr>
            <w:r/>
            <w:r>
              <w:rPr>
                <w:rFonts w:ascii="Calibri" w:hAnsi="Calibri"/>
                <w:b w:val="0"/>
                <w:sz w:val="20"/>
              </w:rPr>
              <w:t>Phase 1: US Public Companies, Annual Financials, Excel Export</w:t>
            </w:r>
          </w:p>
        </w:tc>
      </w:tr>
      <w:tr>
        <w:tc>
          <w:tcPr>
            <w:tcW w:type="dxa" w:w="2160"/>
            <w:shd w:val="clear" w:color="auto" w:fill="D6E4F0"/>
          </w:tcPr>
          <w:p>
            <w:pPr>
              <w:spacing w:after="0" w:before="0"/>
              <w:jc w:val="left"/>
            </w:pPr>
            <w:r/>
            <w:r>
              <w:rPr>
                <w:rFonts w:ascii="Calibri" w:hAnsi="Calibri"/>
                <w:b/>
                <w:sz w:val="20"/>
              </w:rPr>
              <w:t>Sections</w:t>
            </w:r>
          </w:p>
        </w:tc>
        <w:tc>
          <w:tcPr>
            <w:tcW w:type="dxa" w:w="5760"/>
          </w:tcPr>
          <w:p>
            <w:pPr>
              <w:spacing w:after="0" w:before="0"/>
              <w:jc w:val="left"/>
            </w:pPr>
            <w:r/>
            <w:r>
              <w:rPr>
                <w:rFonts w:ascii="Calibri" w:hAnsi="Calibri"/>
                <w:b w:val="0"/>
                <w:sz w:val="20"/>
              </w:rPr>
              <w:t>Executive Summary · Sections 1–4</w:t>
            </w:r>
          </w:p>
        </w:tc>
      </w:tr>
    </w:tbl>
    <w:p>
      <w:r>
        <w:br w:type="page"/>
      </w:r>
    </w:p>
    <w:p>
      <w:pPr>
        <w:pStyle w:val="Heading1"/>
        <w:spacing w:before="280" w:after="80"/>
      </w:pPr>
      <w:r>
        <w:rPr>
          <w:rFonts w:ascii="Calibri" w:hAnsi="Calibri"/>
          <w:color w:val="1F3864"/>
          <w:sz w:val="32"/>
        </w:rPr>
        <w:t>Table of Contents</w:t>
      </w:r>
    </w:p>
    <w:p>
      <w:pPr>
        <w:spacing w:after="60"/>
      </w:pPr>
      <w:r>
        <w:rPr>
          <w:rFonts w:ascii="Calibri" w:hAnsi="Calibri"/>
          <w:sz w:val="20"/>
        </w:rPr>
        <w:t>Executive Summary</w:t>
      </w:r>
    </w:p>
    <w:p>
      <w:pPr>
        <w:spacing w:after="60"/>
      </w:pPr>
      <w:r>
        <w:rPr>
          <w:rFonts w:ascii="Calibri" w:hAnsi="Calibri"/>
          <w:sz w:val="20"/>
        </w:rPr>
        <w:t>Section 1 — Database Architecture</w:t>
      </w:r>
    </w:p>
    <w:p>
      <w:pPr>
        <w:spacing w:after="60"/>
      </w:pPr>
      <w:r>
        <w:rPr>
          <w:rFonts w:ascii="Calibri" w:hAnsi="Calibri"/>
          <w:sz w:val="20"/>
        </w:rPr>
        <w:t xml:space="preserve">  1.1  Missing Information</w:t>
      </w:r>
    </w:p>
    <w:p>
      <w:pPr>
        <w:spacing w:after="60"/>
      </w:pPr>
      <w:r>
        <w:rPr>
          <w:rFonts w:ascii="Calibri" w:hAnsi="Calibri"/>
          <w:sz w:val="20"/>
        </w:rPr>
        <w:t xml:space="preserve">  1.2  Required Decisions</w:t>
      </w:r>
    </w:p>
    <w:p>
      <w:pPr>
        <w:spacing w:after="60"/>
      </w:pPr>
      <w:r>
        <w:rPr>
          <w:rFonts w:ascii="Calibri" w:hAnsi="Calibri"/>
          <w:sz w:val="20"/>
        </w:rPr>
        <w:t xml:space="preserve">  1.3  Recommended Design</w:t>
      </w:r>
    </w:p>
    <w:p>
      <w:pPr>
        <w:spacing w:after="60"/>
      </w:pPr>
      <w:r>
        <w:rPr>
          <w:rFonts w:ascii="Calibri" w:hAnsi="Calibri"/>
          <w:sz w:val="20"/>
        </w:rPr>
        <w:t>Section 2 — Backend Architecture</w:t>
      </w:r>
    </w:p>
    <w:p>
      <w:pPr>
        <w:spacing w:after="60"/>
      </w:pPr>
      <w:r>
        <w:rPr>
          <w:rFonts w:ascii="Calibri" w:hAnsi="Calibri"/>
          <w:sz w:val="20"/>
        </w:rPr>
        <w:t xml:space="preserve">  2.1  Missing Information</w:t>
      </w:r>
    </w:p>
    <w:p>
      <w:pPr>
        <w:spacing w:after="60"/>
      </w:pPr>
      <w:r>
        <w:rPr>
          <w:rFonts w:ascii="Calibri" w:hAnsi="Calibri"/>
          <w:sz w:val="20"/>
        </w:rPr>
        <w:t xml:space="preserve">  2.2  Required Decisions</w:t>
      </w:r>
    </w:p>
    <w:p>
      <w:pPr>
        <w:spacing w:after="60"/>
      </w:pPr>
      <w:r>
        <w:rPr>
          <w:rFonts w:ascii="Calibri" w:hAnsi="Calibri"/>
          <w:sz w:val="20"/>
        </w:rPr>
        <w:t xml:space="preserve">  2.3  Recommended Design</w:t>
      </w:r>
    </w:p>
    <w:p>
      <w:pPr>
        <w:spacing w:after="60"/>
      </w:pPr>
      <w:r>
        <w:rPr>
          <w:rFonts w:ascii="Calibri" w:hAnsi="Calibri"/>
          <w:sz w:val="20"/>
        </w:rPr>
        <w:t>Section 3 — Frontend Architecture</w:t>
      </w:r>
    </w:p>
    <w:p>
      <w:pPr>
        <w:spacing w:after="60"/>
      </w:pPr>
      <w:r>
        <w:rPr>
          <w:rFonts w:ascii="Calibri" w:hAnsi="Calibri"/>
          <w:sz w:val="20"/>
        </w:rPr>
        <w:t xml:space="preserve">  3.1  Missing Information</w:t>
      </w:r>
    </w:p>
    <w:p>
      <w:pPr>
        <w:spacing w:after="60"/>
      </w:pPr>
      <w:r>
        <w:rPr>
          <w:rFonts w:ascii="Calibri" w:hAnsi="Calibri"/>
          <w:sz w:val="20"/>
        </w:rPr>
        <w:t xml:space="preserve">  3.2  Required Decisions</w:t>
      </w:r>
    </w:p>
    <w:p>
      <w:pPr>
        <w:spacing w:after="60"/>
      </w:pPr>
      <w:r>
        <w:rPr>
          <w:rFonts w:ascii="Calibri" w:hAnsi="Calibri"/>
          <w:sz w:val="20"/>
        </w:rPr>
        <w:t xml:space="preserve">  3.3  Recommended Design</w:t>
      </w:r>
    </w:p>
    <w:p>
      <w:pPr>
        <w:spacing w:after="60"/>
      </w:pPr>
      <w:r>
        <w:rPr>
          <w:rFonts w:ascii="Calibri" w:hAnsi="Calibri"/>
          <w:sz w:val="20"/>
        </w:rPr>
        <w:t>Section 4 — Document Ingestion Pipeline</w:t>
      </w:r>
    </w:p>
    <w:p>
      <w:pPr>
        <w:spacing w:after="60"/>
      </w:pPr>
      <w:r>
        <w:rPr>
          <w:rFonts w:ascii="Calibri" w:hAnsi="Calibri"/>
          <w:sz w:val="20"/>
        </w:rPr>
        <w:t xml:space="preserve">  4.1  Missing Information</w:t>
      </w:r>
    </w:p>
    <w:p>
      <w:pPr>
        <w:spacing w:after="60"/>
      </w:pPr>
      <w:r>
        <w:rPr>
          <w:rFonts w:ascii="Calibri" w:hAnsi="Calibri"/>
          <w:sz w:val="20"/>
        </w:rPr>
        <w:t xml:space="preserve">  4.2  Required Decisions</w:t>
      </w:r>
    </w:p>
    <w:p>
      <w:pPr>
        <w:spacing w:after="60"/>
      </w:pPr>
      <w:r>
        <w:rPr>
          <w:rFonts w:ascii="Calibri" w:hAnsi="Calibri"/>
          <w:sz w:val="20"/>
        </w:rPr>
        <w:t xml:space="preserve">  4.3  Recommended Design</w:t>
      </w:r>
    </w:p>
    <w:p>
      <w:r>
        <w:br w:type="page"/>
      </w:r>
    </w:p>
    <w:p>
      <w:pPr>
        <w:pStyle w:val="Heading1"/>
        <w:spacing w:before="280" w:after="80"/>
      </w:pPr>
      <w:r>
        <w:rPr>
          <w:rFonts w:ascii="Calibri" w:hAnsi="Calibri"/>
          <w:color w:val="1F3864"/>
          <w:sz w:val="32"/>
        </w:rPr>
        <w:t>Executive Summary</w:t>
      </w:r>
    </w:p>
    <w:p>
      <w:pPr>
        <w:spacing w:before="80" w:after="80"/>
        <w:pBdr>
          <w:bottom w:val="single" w:sz="6" w:space="1" w:color="2E75B6"/>
        </w:pBdr>
      </w:pPr>
    </w:p>
    <w:p>
      <w:pPr>
        <w:spacing w:after="120" w:before="0"/>
      </w:pPr>
      <w:r>
        <w:rPr>
          <w:rFonts w:ascii="Calibri" w:hAnsi="Calibri"/>
          <w:b w:val="0"/>
          <w:i w:val="0"/>
          <w:sz w:val="20"/>
        </w:rPr>
        <w:t>This document is Part 1 of the three-part Engineering Specification Report for the Financial Data Hub system. It was produced following a comprehensive architecture review of five planning documents: Project Requirements, Data Acquisition Architecture, Technical Stack Specification, Database Design, and Development Phases.</w:t>
      </w:r>
    </w:p>
    <w:p>
      <w:pPr>
        <w:spacing w:after="120" w:before="0"/>
      </w:pPr>
      <w:r>
        <w:rPr>
          <w:rFonts w:ascii="Calibri" w:hAnsi="Calibri"/>
          <w:b w:val="0"/>
          <w:i w:val="0"/>
          <w:sz w:val="20"/>
        </w:rPr>
        <w:t>The architecture review determined that the project is well-conceived at the product level but significantly underspecified at the engineering level. The five planning documents collectively define what to build with sufficient clarity. This specification defines how to build it — the decisions, constraints, data contracts, interfaces, and designs required before a single line of production code is written.</w:t>
      </w:r>
    </w:p>
    <w:p>
      <w:pPr>
        <w:spacing w:after="120" w:before="0"/>
      </w:pPr>
      <w:r>
        <w:rPr>
          <w:rFonts w:ascii="Calibri" w:hAnsi="Calibri"/>
          <w:b/>
          <w:i w:val="0"/>
          <w:sz w:val="20"/>
        </w:rPr>
        <w:t>This three-part report covers 13 engineering domains: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160"/>
            <w:shd w:val="clear" w:color="auto" w:fill="1F3864"/>
          </w:tcPr>
          <w:p>
            <w:pPr>
              <w:spacing w:after="0" w:before="0"/>
              <w:jc w:val="center"/>
            </w:pPr>
            <w:r/>
            <w:r>
              <w:rPr>
                <w:rFonts w:ascii="Calibri" w:hAnsi="Calibri"/>
                <w:b/>
                <w:color w:val="FFFFFF"/>
                <w:sz w:val="18"/>
              </w:rPr>
              <w:t>Part</w:t>
            </w:r>
          </w:p>
        </w:tc>
        <w:tc>
          <w:tcPr>
            <w:tcW w:type="dxa" w:w="6480"/>
            <w:shd w:val="clear" w:color="auto" w:fill="1F3864"/>
          </w:tcPr>
          <w:p>
            <w:pPr>
              <w:spacing w:after="0" w:before="0"/>
              <w:jc w:val="center"/>
            </w:pPr>
            <w:r/>
            <w:r>
              <w:rPr>
                <w:rFonts w:ascii="Calibri" w:hAnsi="Calibri"/>
                <w:b/>
                <w:color w:val="FFFFFF"/>
                <w:sz w:val="18"/>
              </w:rPr>
              <w:t>Sections Covered</w:t>
            </w:r>
          </w:p>
        </w:tc>
      </w:tr>
      <w:tr>
        <w:tc>
          <w:tcPr>
            <w:tcW w:type="dxa" w:w="2160"/>
            <w:shd w:val="clear" w:color="auto" w:fill="F2F2F2"/>
          </w:tcPr>
          <w:p>
            <w:pPr>
              <w:spacing w:after="0" w:before="0"/>
              <w:jc w:val="left"/>
            </w:pPr>
            <w:r/>
            <w:r>
              <w:rPr>
                <w:rFonts w:ascii="Calibri" w:hAnsi="Calibri"/>
                <w:b w:val="0"/>
                <w:sz w:val="18"/>
              </w:rPr>
              <w:t>Part 1 (this document)</w:t>
            </w:r>
          </w:p>
        </w:tc>
        <w:tc>
          <w:tcPr>
            <w:tcW w:type="dxa" w:w="6480"/>
            <w:shd w:val="clear" w:color="auto" w:fill="F2F2F2"/>
          </w:tcPr>
          <w:p>
            <w:pPr>
              <w:spacing w:after="0" w:before="0"/>
              <w:jc w:val="left"/>
            </w:pPr>
            <w:r/>
            <w:r>
              <w:rPr>
                <w:rFonts w:ascii="Calibri" w:hAnsi="Calibri"/>
                <w:b w:val="0"/>
                <w:sz w:val="18"/>
              </w:rPr>
              <w:t>Database Architecture, Backend Architecture, Frontend Architecture, Document Ingestion Pipeline</w:t>
            </w:r>
          </w:p>
        </w:tc>
      </w:tr>
      <w:tr>
        <w:tc>
          <w:tcPr>
            <w:tcW w:type="dxa" w:w="2160"/>
            <w:shd w:val="clear" w:color="auto" w:fill="FFFFFF"/>
          </w:tcPr>
          <w:p>
            <w:pPr>
              <w:spacing w:after="0" w:before="0"/>
              <w:jc w:val="left"/>
            </w:pPr>
            <w:r/>
            <w:r>
              <w:rPr>
                <w:rFonts w:ascii="Calibri" w:hAnsi="Calibri"/>
                <w:b w:val="0"/>
                <w:sz w:val="18"/>
              </w:rPr>
              <w:t>Part 2</w:t>
            </w:r>
          </w:p>
        </w:tc>
        <w:tc>
          <w:tcPr>
            <w:tcW w:type="dxa" w:w="6480"/>
            <w:shd w:val="clear" w:color="auto" w:fill="FFFFFF"/>
          </w:tcPr>
          <w:p>
            <w:pPr>
              <w:spacing w:after="0" w:before="0"/>
              <w:jc w:val="left"/>
            </w:pPr>
            <w:r/>
            <w:r>
              <w:rPr>
                <w:rFonts w:ascii="Calibri" w:hAnsi="Calibri"/>
                <w:b w:val="0"/>
                <w:sz w:val="18"/>
              </w:rPr>
              <w:t>Financial Statement Extraction, Validation Engine, Excel Export Engine, Authentication &amp; User Management, Background Job Processing</w:t>
            </w:r>
          </w:p>
        </w:tc>
      </w:tr>
      <w:tr>
        <w:tc>
          <w:tcPr>
            <w:tcW w:type="dxa" w:w="2160"/>
            <w:shd w:val="clear" w:color="auto" w:fill="F2F2F2"/>
          </w:tcPr>
          <w:p>
            <w:pPr>
              <w:spacing w:after="0" w:before="0"/>
              <w:jc w:val="left"/>
            </w:pPr>
            <w:r/>
            <w:r>
              <w:rPr>
                <w:rFonts w:ascii="Calibri" w:hAnsi="Calibri"/>
                <w:b w:val="0"/>
                <w:sz w:val="18"/>
              </w:rPr>
              <w:t>Part 3</w:t>
            </w:r>
          </w:p>
        </w:tc>
        <w:tc>
          <w:tcPr>
            <w:tcW w:type="dxa" w:w="6480"/>
            <w:shd w:val="clear" w:color="auto" w:fill="F2F2F2"/>
          </w:tcPr>
          <w:p>
            <w:pPr>
              <w:spacing w:after="0" w:before="0"/>
              <w:jc w:val="left"/>
            </w:pPr>
            <w:r/>
            <w:r>
              <w:rPr>
                <w:rFonts w:ascii="Calibri" w:hAnsi="Calibri"/>
                <w:b w:val="0"/>
                <w:sz w:val="18"/>
              </w:rPr>
              <w:t>File Storage, API Design, Logging &amp; Monitoring, Deployment Architecture, Appendix A (Checklist), Appendix B (Technology Decisions)</w:t>
            </w:r>
          </w:p>
        </w:tc>
      </w:tr>
    </w:tbl>
    <w:p/>
    <w:p>
      <w:pPr>
        <w:spacing w:after="120" w:before="0"/>
      </w:pPr>
      <w:r>
        <w:rPr>
          <w:rFonts w:ascii="Calibri" w:hAnsi="Calibri"/>
          <w:b w:val="0"/>
          <w:i w:val="0"/>
          <w:sz w:val="20"/>
        </w:rPr>
        <w:t>Each domain identifies: (1) Missing Information from the original planning documents, (2) Required Decisions that must be made before implementation begins, and (3) the Recommended Design with sufficient detail to start coding.</w:t>
      </w:r>
    </w:p>
    <w:p>
      <w:pPr>
        <w:spacing w:after="120" w:before="0"/>
      </w:pPr>
      <w:r>
        <w:rPr>
          <w:rFonts w:ascii="Calibri" w:hAnsi="Calibri"/>
          <w:b/>
          <w:i w:val="0"/>
          <w:sz w:val="20"/>
        </w:rPr>
        <w:t>Scope: Phase 1 — US Public Companies, Annual Financials, Excel Export.</w:t>
      </w:r>
    </w:p>
    <w:p>
      <w:r>
        <w:br w:type="page"/>
      </w:r>
    </w:p>
    <w:p>
      <w:pPr>
        <w:pStyle w:val="Heading1"/>
        <w:spacing w:before="280" w:after="80"/>
      </w:pPr>
      <w:r>
        <w:rPr>
          <w:rFonts w:ascii="Calibri" w:hAnsi="Calibri"/>
          <w:color w:val="1F3864"/>
          <w:sz w:val="32"/>
        </w:rPr>
        <w:t>Section 1 — Database Architecture</w:t>
      </w:r>
    </w:p>
    <w:p>
      <w:pPr>
        <w:spacing w:before="80" w:after="80"/>
        <w:pBdr>
          <w:bottom w:val="single" w:sz="6" w:space="1" w:color="2E75B6"/>
        </w:pBdr>
      </w:pPr>
    </w:p>
    <w:p>
      <w:pPr>
        <w:pStyle w:val="Heading2"/>
        <w:spacing w:before="280" w:after="80"/>
      </w:pPr>
      <w:r>
        <w:rPr>
          <w:rFonts w:ascii="Calibri" w:hAnsi="Calibri"/>
          <w:color w:val="2E75B6"/>
          <w:sz w:val="26"/>
        </w:rPr>
        <w:t>1.1  Missing Information</w:t>
      </w:r>
    </w:p>
    <w:p>
      <w:pPr>
        <w:pStyle w:val="ListBullet"/>
        <w:spacing w:after="60" w:before="0"/>
      </w:pPr>
      <w:r>
        <w:rPr>
          <w:rFonts w:ascii="Calibri" w:hAnsi="Calibri"/>
          <w:sz w:val="20"/>
        </w:rPr>
        <w:t>No column definitions on any table — the original design is a list of table names only</w:t>
      </w:r>
    </w:p>
    <w:p>
      <w:pPr>
        <w:pStyle w:val="ListBullet"/>
        <w:spacing w:after="60" w:before="0"/>
      </w:pPr>
      <w:r>
        <w:rPr>
          <w:rFonts w:ascii="Calibri" w:hAnsi="Calibri"/>
          <w:sz w:val="20"/>
        </w:rPr>
        <w:t>No data types specified for any field</w:t>
      </w:r>
    </w:p>
    <w:p>
      <w:pPr>
        <w:pStyle w:val="ListBullet"/>
        <w:spacing w:after="60" w:before="0"/>
      </w:pPr>
      <w:r>
        <w:rPr>
          <w:rFonts w:ascii="Calibri" w:hAnsi="Calibri"/>
          <w:sz w:val="20"/>
        </w:rPr>
        <w:t>No primary key strategy defined (UUID vs. serial integer)</w:t>
      </w:r>
    </w:p>
    <w:p>
      <w:pPr>
        <w:pStyle w:val="ListBullet"/>
        <w:spacing w:after="60" w:before="0"/>
      </w:pPr>
      <w:r>
        <w:rPr>
          <w:rFonts w:ascii="Calibri" w:hAnsi="Calibri"/>
          <w:sz w:val="20"/>
        </w:rPr>
        <w:t>No foreign key relationships defined</w:t>
      </w:r>
    </w:p>
    <w:p>
      <w:pPr>
        <w:pStyle w:val="ListBullet"/>
        <w:spacing w:after="60" w:before="0"/>
      </w:pPr>
      <w:r>
        <w:rPr>
          <w:rFonts w:ascii="Calibri" w:hAnsi="Calibri"/>
          <w:sz w:val="20"/>
        </w:rPr>
        <w:t>No index strategy — critical for query performance at scale</w:t>
      </w:r>
    </w:p>
    <w:p>
      <w:pPr>
        <w:pStyle w:val="ListBullet"/>
        <w:spacing w:after="60" w:before="0"/>
      </w:pPr>
      <w:r>
        <w:rPr>
          <w:rFonts w:ascii="Calibri" w:hAnsi="Calibri"/>
          <w:sz w:val="20"/>
        </w:rPr>
        <w:t>No partitioning strategy for high-volume tables (financial_line_items will have millions of rows)</w:t>
      </w:r>
    </w:p>
    <w:p>
      <w:pPr>
        <w:pStyle w:val="ListBullet"/>
        <w:spacing w:after="60" w:before="0"/>
      </w:pPr>
      <w:r>
        <w:rPr>
          <w:rFonts w:ascii="Calibri" w:hAnsi="Calibri"/>
          <w:sz w:val="20"/>
        </w:rPr>
        <w:t>No data retention policy per table category</w:t>
      </w:r>
    </w:p>
    <w:p>
      <w:pPr>
        <w:pStyle w:val="ListBullet"/>
        <w:spacing w:after="60" w:before="0"/>
      </w:pPr>
      <w:r>
        <w:rPr>
          <w:rFonts w:ascii="Calibri" w:hAnsi="Calibri"/>
          <w:sz w:val="20"/>
        </w:rPr>
        <w:t>No replication topology (single node vs. primary + read replica)</w:t>
      </w:r>
    </w:p>
    <w:p>
      <w:pPr>
        <w:pStyle w:val="ListBullet"/>
        <w:spacing w:after="60" w:before="0"/>
      </w:pPr>
      <w:r>
        <w:rPr>
          <w:rFonts w:ascii="Calibri" w:hAnsi="Calibri"/>
          <w:sz w:val="20"/>
        </w:rPr>
        <w:t>No connection pooling specification — Celery workers will exhaust connections without it</w:t>
      </w:r>
    </w:p>
    <w:p>
      <w:pPr>
        <w:pStyle w:val="ListBullet"/>
        <w:spacing w:after="60" w:before="0"/>
      </w:pPr>
      <w:r>
        <w:rPr>
          <w:rFonts w:ascii="Calibri" w:hAnsi="Calibri"/>
          <w:sz w:val="20"/>
        </w:rPr>
        <w:t>No migration framework selected</w:t>
      </w:r>
    </w:p>
    <w:p>
      <w:pPr>
        <w:pStyle w:val="ListBullet"/>
        <w:spacing w:after="60" w:before="0"/>
      </w:pPr>
      <w:r>
        <w:rPr>
          <w:rFonts w:ascii="Calibri" w:hAnsi="Calibri"/>
          <w:sz w:val="20"/>
        </w:rPr>
        <w:t>No backup and recovery strategy</w:t>
      </w:r>
    </w:p>
    <w:p>
      <w:pPr>
        <w:pStyle w:val="ListBullet"/>
        <w:spacing w:after="60" w:before="0"/>
      </w:pPr>
      <w:r>
        <w:rPr>
          <w:rFonts w:ascii="Calibri" w:hAnsi="Calibri"/>
          <w:sz w:val="20"/>
        </w:rPr>
        <w:t>Financial values data type unspecified — FLOAT would introduce IEEE 754 rounding errors unacceptable in financial data</w:t>
      </w:r>
    </w:p>
    <w:p>
      <w:pPr>
        <w:pStyle w:val="Heading2"/>
        <w:spacing w:before="280" w:after="80"/>
      </w:pPr>
      <w:r>
        <w:rPr>
          <w:rFonts w:ascii="Calibri" w:hAnsi="Calibri"/>
          <w:color w:val="2E75B6"/>
          <w:sz w:val="26"/>
        </w:rPr>
        <w:t>1.2  Required Decisions</w:t>
      </w:r>
    </w:p>
    <w:p>
      <w:pPr>
        <w:spacing w:before="160" w:after="40"/>
      </w:pPr>
      <w:r>
        <w:rPr>
          <w:rFonts w:ascii="Calibri" w:hAnsi="Calibri"/>
          <w:b/>
          <w:color w:val="2E75B6"/>
          <w:sz w:val="20"/>
        </w:rPr>
        <w:t>Decision 1: Primary Key Strategy</w:t>
      </w:r>
    </w:p>
    <w:p>
      <w:pPr>
        <w:spacing w:after="40" w:before="0"/>
      </w:pPr>
      <w:r>
        <w:rPr>
          <w:rFonts w:ascii="Calibri" w:hAnsi="Calibri"/>
          <w:b w:val="0"/>
          <w:i/>
          <w:sz w:val="20"/>
        </w:rPr>
        <w:t>Options: UUID v4 (random), UUID v7 (time-ordered), BIGSERIAL integer</w:t>
      </w:r>
    </w:p>
    <w:p>
      <w:pPr>
        <w:spacing w:after="120" w:before="0"/>
      </w:pPr>
      <w:r>
        <w:rPr>
          <w:rFonts w:ascii="Calibri" w:hAnsi="Calibri"/>
          <w:b w:val="0"/>
          <w:i w:val="0"/>
          <w:sz w:val="20"/>
        </w:rPr>
        <w:t>Recommendation: UUID v7 — time-ordered UUIDs preserve B-tree insert performance while providing globally unique IDs safe for distributed systems and external API exposure. Never expose BIGSERIAL IDs in APIs (enumeration attack risk).</w:t>
      </w:r>
    </w:p>
    <w:p>
      <w:pPr>
        <w:spacing w:before="160" w:after="40"/>
      </w:pPr>
      <w:r>
        <w:rPr>
          <w:rFonts w:ascii="Calibri" w:hAnsi="Calibri"/>
          <w:b/>
          <w:color w:val="2E75B6"/>
          <w:sz w:val="20"/>
        </w:rPr>
        <w:t>Decision 2: Financial Value Precision</w:t>
      </w:r>
    </w:p>
    <w:p>
      <w:pPr>
        <w:spacing w:after="40" w:before="0"/>
      </w:pPr>
      <w:r>
        <w:rPr>
          <w:rFonts w:ascii="Calibri" w:hAnsi="Calibri"/>
          <w:b w:val="0"/>
          <w:i/>
          <w:sz w:val="20"/>
        </w:rPr>
        <w:t>Options: FLOAT (double precision), NUMERIC(20,4), NUMERIC(38,10)</w:t>
      </w:r>
    </w:p>
    <w:p>
      <w:pPr>
        <w:spacing w:after="120" w:before="0"/>
      </w:pPr>
      <w:r>
        <w:rPr>
          <w:rFonts w:ascii="Calibri" w:hAnsi="Calibri"/>
          <w:b w:val="0"/>
          <w:i w:val="0"/>
          <w:sz w:val="20"/>
        </w:rPr>
        <w:t>Recommendation: NUMERIC(20,4) for all monetary and financial values. FLOAT introduces IEEE 754 rounding errors that are unacceptable in financial data. NUMERIC(20,4) supports values up to 10^16 with 4 decimal places — sufficient for any company in any currency.</w:t>
      </w:r>
    </w:p>
    <w:p>
      <w:pPr>
        <w:spacing w:before="160" w:after="40"/>
      </w:pPr>
      <w:r>
        <w:rPr>
          <w:rFonts w:ascii="Calibri" w:hAnsi="Calibri"/>
          <w:b/>
          <w:color w:val="2E75B6"/>
          <w:sz w:val="20"/>
        </w:rPr>
        <w:t>Decision 3: Multi-Tenancy Isolation Model</w:t>
      </w:r>
    </w:p>
    <w:p>
      <w:pPr>
        <w:spacing w:after="40" w:before="0"/>
      </w:pPr>
      <w:r>
        <w:rPr>
          <w:rFonts w:ascii="Calibri" w:hAnsi="Calibri"/>
          <w:b w:val="0"/>
          <w:i/>
          <w:sz w:val="20"/>
        </w:rPr>
        <w:t>Options: (a) Separate database per tenant, (b) Separate schema per tenant, (c) Shared schema with tenant_id column</w:t>
      </w:r>
    </w:p>
    <w:p>
      <w:pPr>
        <w:spacing w:after="120" w:before="0"/>
      </w:pPr>
      <w:r>
        <w:rPr>
          <w:rFonts w:ascii="Calibri" w:hAnsi="Calibri"/>
          <w:b w:val="0"/>
          <w:i w:val="0"/>
          <w:sz w:val="20"/>
        </w:rPr>
        <w:t>Recommendation: Shared schema with tenant_id on all user-data tables. Separate databases/schemas are operationally expensive at early scale. Enforce isolation via PostgreSQL Row-Level Security (RLS) policies. tenant_id must be present from migration 001 — retrofitting it later is a major breaking migration.</w:t>
      </w:r>
    </w:p>
    <w:p>
      <w:pPr>
        <w:spacing w:before="160" w:after="40"/>
      </w:pPr>
      <w:r>
        <w:rPr>
          <w:rFonts w:ascii="Calibri" w:hAnsi="Calibri"/>
          <w:b/>
          <w:color w:val="2E75B6"/>
          <w:sz w:val="20"/>
        </w:rPr>
        <w:t>Decision 4: Soft Delete vs. Hard Delete</w:t>
      </w:r>
    </w:p>
    <w:p>
      <w:pPr>
        <w:spacing w:after="40" w:before="0"/>
      </w:pPr>
      <w:r>
        <w:rPr>
          <w:rFonts w:ascii="Calibri" w:hAnsi="Calibri"/>
          <w:b w:val="0"/>
          <w:i/>
          <w:sz w:val="20"/>
        </w:rPr>
        <w:t>Options: Hard delete rows, soft delete via deleted_at timestamp</w:t>
      </w:r>
    </w:p>
    <w:p>
      <w:pPr>
        <w:spacing w:after="120" w:before="0"/>
      </w:pPr>
      <w:r>
        <w:rPr>
          <w:rFonts w:ascii="Calibri" w:hAnsi="Calibri"/>
          <w:b w:val="0"/>
          <w:i w:val="0"/>
          <w:sz w:val="20"/>
        </w:rPr>
        <w:t>Recommendation: Soft delete (deleted_at TIMESTAMPTZ) on all entity tables. Hard delete is never permitted on financial_line_items, documents, or audit_log. Financial data is auditable and must be recoverable.</w:t>
      </w:r>
    </w:p>
    <w:p>
      <w:pPr>
        <w:spacing w:before="160" w:after="40"/>
      </w:pPr>
      <w:r>
        <w:rPr>
          <w:rFonts w:ascii="Calibri" w:hAnsi="Calibri"/>
          <w:b/>
          <w:color w:val="2E75B6"/>
          <w:sz w:val="20"/>
        </w:rPr>
        <w:t>Decision 5: Migration Framework</w:t>
      </w:r>
    </w:p>
    <w:p>
      <w:pPr>
        <w:spacing w:after="40" w:before="0"/>
      </w:pPr>
      <w:r>
        <w:rPr>
          <w:rFonts w:ascii="Calibri" w:hAnsi="Calibri"/>
          <w:b w:val="0"/>
          <w:i/>
          <w:sz w:val="20"/>
        </w:rPr>
        <w:t>Options: Alembic (Python), Flyway, Liquibase</w:t>
      </w:r>
    </w:p>
    <w:p>
      <w:pPr>
        <w:spacing w:after="120" w:before="0"/>
      </w:pPr>
      <w:r>
        <w:rPr>
          <w:rFonts w:ascii="Calibri" w:hAnsi="Calibri"/>
          <w:b w:val="0"/>
          <w:i w:val="0"/>
          <w:sz w:val="20"/>
        </w:rPr>
        <w:t>Recommendation: Alembic — native to the Python/SQLAlchemy stack. All schema changes go through versioned migration files. No manual DDL in production ever.</w:t>
      </w:r>
    </w:p>
    <w:p>
      <w:pPr>
        <w:spacing w:before="160" w:after="40"/>
      </w:pPr>
      <w:r>
        <w:rPr>
          <w:rFonts w:ascii="Calibri" w:hAnsi="Calibri"/>
          <w:b/>
          <w:color w:val="2E75B6"/>
          <w:sz w:val="20"/>
        </w:rPr>
        <w:t>Decision 6: Connection Pooling</w:t>
      </w:r>
    </w:p>
    <w:p>
      <w:pPr>
        <w:spacing w:after="40" w:before="0"/>
      </w:pPr>
      <w:r>
        <w:rPr>
          <w:rFonts w:ascii="Calibri" w:hAnsi="Calibri"/>
          <w:b w:val="0"/>
          <w:i/>
          <w:sz w:val="20"/>
        </w:rPr>
        <w:t>Options: SQLAlchemy built-in pool, PgBouncer, RDS Proxy</w:t>
      </w:r>
    </w:p>
    <w:p>
      <w:pPr>
        <w:spacing w:after="120" w:before="0"/>
      </w:pPr>
      <w:r>
        <w:rPr>
          <w:rFonts w:ascii="Calibri" w:hAnsi="Calibri"/>
          <w:b w:val="0"/>
          <w:i w:val="0"/>
          <w:sz w:val="20"/>
        </w:rPr>
        <w:t>Recommendation: PgBouncer in transaction mode for production. Celery workers create many short-lived connections; without pooling, this exhausts PostgreSQL's connection limit rapidly under load.</w:t>
      </w:r>
    </w:p>
    <w:p>
      <w:pPr>
        <w:pStyle w:val="Heading2"/>
        <w:spacing w:before="280" w:after="80"/>
      </w:pPr>
      <w:r>
        <w:rPr>
          <w:rFonts w:ascii="Calibri" w:hAnsi="Calibri"/>
          <w:color w:val="2E75B6"/>
          <w:sz w:val="26"/>
        </w:rPr>
        <w:t>1.3  Recommended Design</w:t>
      </w:r>
    </w:p>
    <w:p>
      <w:pPr>
        <w:spacing w:after="120" w:before="0"/>
      </w:pPr>
      <w:r>
        <w:rPr>
          <w:rFonts w:ascii="Calibri" w:hAnsi="Calibri"/>
          <w:b/>
          <w:i w:val="0"/>
          <w:sz w:val="20"/>
        </w:rPr>
        <w:t>Core Technology Choices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Component</w:t>
            </w:r>
          </w:p>
        </w:tc>
        <w:tc>
          <w:tcPr>
            <w:tcW w:type="dxa" w:w="5760"/>
            <w:shd w:val="clear" w:color="auto" w:fill="1F3864"/>
          </w:tcPr>
          <w:p>
            <w:pPr>
              <w:spacing w:after="0" w:before="0"/>
              <w:jc w:val="center"/>
            </w:pPr>
            <w:r/>
            <w:r>
              <w:rPr>
                <w:rFonts w:ascii="Calibri" w:hAnsi="Calibri"/>
                <w:b/>
                <w:color w:val="FFFFFF"/>
                <w:sz w:val="18"/>
              </w:rPr>
              <w:t>Decision</w:t>
            </w:r>
          </w:p>
        </w:tc>
      </w:tr>
      <w:tr>
        <w:tc>
          <w:tcPr>
            <w:tcW w:type="dxa" w:w="2880"/>
            <w:shd w:val="clear" w:color="auto" w:fill="F2F2F2"/>
          </w:tcPr>
          <w:p>
            <w:pPr>
              <w:spacing w:after="0" w:before="0"/>
              <w:jc w:val="left"/>
            </w:pPr>
            <w:r/>
            <w:r>
              <w:rPr>
                <w:rFonts w:ascii="Calibri" w:hAnsi="Calibri"/>
                <w:b w:val="0"/>
                <w:sz w:val="18"/>
              </w:rPr>
              <w:t>Database Engine</w:t>
            </w:r>
          </w:p>
        </w:tc>
        <w:tc>
          <w:tcPr>
            <w:tcW w:type="dxa" w:w="5760"/>
            <w:shd w:val="clear" w:color="auto" w:fill="F2F2F2"/>
          </w:tcPr>
          <w:p>
            <w:pPr>
              <w:spacing w:after="0" w:before="0"/>
              <w:jc w:val="left"/>
            </w:pPr>
            <w:r/>
            <w:r>
              <w:rPr>
                <w:rFonts w:ascii="Calibri" w:hAnsi="Calibri"/>
                <w:b w:val="0"/>
                <w:sz w:val="18"/>
              </w:rPr>
              <w:t>PostgreSQL 16+</w:t>
            </w:r>
          </w:p>
        </w:tc>
      </w:tr>
      <w:tr>
        <w:tc>
          <w:tcPr>
            <w:tcW w:type="dxa" w:w="2880"/>
            <w:shd w:val="clear" w:color="auto" w:fill="FFFFFF"/>
          </w:tcPr>
          <w:p>
            <w:pPr>
              <w:spacing w:after="0" w:before="0"/>
              <w:jc w:val="left"/>
            </w:pPr>
            <w:r/>
            <w:r>
              <w:rPr>
                <w:rFonts w:ascii="Calibri" w:hAnsi="Calibri"/>
                <w:b w:val="0"/>
                <w:sz w:val="18"/>
              </w:rPr>
              <w:t>ORM</w:t>
            </w:r>
          </w:p>
        </w:tc>
        <w:tc>
          <w:tcPr>
            <w:tcW w:type="dxa" w:w="5760"/>
            <w:shd w:val="clear" w:color="auto" w:fill="FFFFFF"/>
          </w:tcPr>
          <w:p>
            <w:pPr>
              <w:spacing w:after="0" w:before="0"/>
              <w:jc w:val="left"/>
            </w:pPr>
            <w:r/>
            <w:r>
              <w:rPr>
                <w:rFonts w:ascii="Calibri" w:hAnsi="Calibri"/>
                <w:b w:val="0"/>
                <w:sz w:val="18"/>
              </w:rPr>
              <w:t>SQLAlchemy 2.x with async support</w:t>
            </w:r>
          </w:p>
        </w:tc>
      </w:tr>
      <w:tr>
        <w:tc>
          <w:tcPr>
            <w:tcW w:type="dxa" w:w="2880"/>
            <w:shd w:val="clear" w:color="auto" w:fill="F2F2F2"/>
          </w:tcPr>
          <w:p>
            <w:pPr>
              <w:spacing w:after="0" w:before="0"/>
              <w:jc w:val="left"/>
            </w:pPr>
            <w:r/>
            <w:r>
              <w:rPr>
                <w:rFonts w:ascii="Calibri" w:hAnsi="Calibri"/>
                <w:b w:val="0"/>
                <w:sz w:val="18"/>
              </w:rPr>
              <w:t>Migration Tool</w:t>
            </w:r>
          </w:p>
        </w:tc>
        <w:tc>
          <w:tcPr>
            <w:tcW w:type="dxa" w:w="5760"/>
            <w:shd w:val="clear" w:color="auto" w:fill="F2F2F2"/>
          </w:tcPr>
          <w:p>
            <w:pPr>
              <w:spacing w:after="0" w:before="0"/>
              <w:jc w:val="left"/>
            </w:pPr>
            <w:r/>
            <w:r>
              <w:rPr>
                <w:rFonts w:ascii="Calibri" w:hAnsi="Calibri"/>
                <w:b w:val="0"/>
                <w:sz w:val="18"/>
              </w:rPr>
              <w:t>Alembic</w:t>
            </w:r>
          </w:p>
        </w:tc>
      </w:tr>
      <w:tr>
        <w:tc>
          <w:tcPr>
            <w:tcW w:type="dxa" w:w="2880"/>
            <w:shd w:val="clear" w:color="auto" w:fill="FFFFFF"/>
          </w:tcPr>
          <w:p>
            <w:pPr>
              <w:spacing w:after="0" w:before="0"/>
              <w:jc w:val="left"/>
            </w:pPr>
            <w:r/>
            <w:r>
              <w:rPr>
                <w:rFonts w:ascii="Calibri" w:hAnsi="Calibri"/>
                <w:b w:val="0"/>
                <w:sz w:val="18"/>
              </w:rPr>
              <w:t>Connection Pooler</w:t>
            </w:r>
          </w:p>
        </w:tc>
        <w:tc>
          <w:tcPr>
            <w:tcW w:type="dxa" w:w="5760"/>
            <w:shd w:val="clear" w:color="auto" w:fill="FFFFFF"/>
          </w:tcPr>
          <w:p>
            <w:pPr>
              <w:spacing w:after="0" w:before="0"/>
              <w:jc w:val="left"/>
            </w:pPr>
            <w:r/>
            <w:r>
              <w:rPr>
                <w:rFonts w:ascii="Calibri" w:hAnsi="Calibri"/>
                <w:b w:val="0"/>
                <w:sz w:val="18"/>
              </w:rPr>
              <w:t>PgBouncer (production) / SQLAlchemy pool (development)</w:t>
            </w:r>
          </w:p>
        </w:tc>
      </w:tr>
      <w:tr>
        <w:tc>
          <w:tcPr>
            <w:tcW w:type="dxa" w:w="2880"/>
            <w:shd w:val="clear" w:color="auto" w:fill="F2F2F2"/>
          </w:tcPr>
          <w:p>
            <w:pPr>
              <w:spacing w:after="0" w:before="0"/>
              <w:jc w:val="left"/>
            </w:pPr>
            <w:r/>
            <w:r>
              <w:rPr>
                <w:rFonts w:ascii="Calibri" w:hAnsi="Calibri"/>
                <w:b w:val="0"/>
                <w:sz w:val="18"/>
              </w:rPr>
              <w:t>Backup Strategy</w:t>
            </w:r>
          </w:p>
        </w:tc>
        <w:tc>
          <w:tcPr>
            <w:tcW w:type="dxa" w:w="5760"/>
            <w:shd w:val="clear" w:color="auto" w:fill="F2F2F2"/>
          </w:tcPr>
          <w:p>
            <w:pPr>
              <w:spacing w:after="0" w:before="0"/>
              <w:jc w:val="left"/>
            </w:pPr>
            <w:r/>
            <w:r>
              <w:rPr>
                <w:rFonts w:ascii="Calibri" w:hAnsi="Calibri"/>
                <w:b w:val="0"/>
                <w:sz w:val="18"/>
              </w:rPr>
              <w:t>Daily full backup + continuous WAL archiving to S3, 30-day retention</w:t>
            </w:r>
          </w:p>
        </w:tc>
      </w:tr>
      <w:tr>
        <w:tc>
          <w:tcPr>
            <w:tcW w:type="dxa" w:w="2880"/>
            <w:shd w:val="clear" w:color="auto" w:fill="FFFFFF"/>
          </w:tcPr>
          <w:p>
            <w:pPr>
              <w:spacing w:after="0" w:before="0"/>
              <w:jc w:val="left"/>
            </w:pPr>
            <w:r/>
            <w:r>
              <w:rPr>
                <w:rFonts w:ascii="Calibri" w:hAnsi="Calibri"/>
                <w:b w:val="0"/>
                <w:sz w:val="18"/>
              </w:rPr>
              <w:t>Read Replica</w:t>
            </w:r>
          </w:p>
        </w:tc>
        <w:tc>
          <w:tcPr>
            <w:tcW w:type="dxa" w:w="5760"/>
            <w:shd w:val="clear" w:color="auto" w:fill="FFFFFF"/>
          </w:tcPr>
          <w:p>
            <w:pPr>
              <w:spacing w:after="0" w:before="0"/>
              <w:jc w:val="left"/>
            </w:pPr>
            <w:r/>
            <w:r>
              <w:rPr>
                <w:rFonts w:ascii="Calibri" w:hAnsi="Calibri"/>
                <w:b w:val="0"/>
                <w:sz w:val="18"/>
              </w:rPr>
              <w:t>Add one read replica at Phase 3; route export generation queries to replica</w:t>
            </w:r>
          </w:p>
        </w:tc>
      </w:tr>
    </w:tbl>
    <w:p/>
    <w:p>
      <w:pPr>
        <w:spacing w:after="120" w:before="0"/>
      </w:pPr>
      <w:r>
        <w:rPr>
          <w:rFonts w:ascii="Calibri" w:hAnsi="Calibri"/>
          <w:b/>
          <w:i w:val="0"/>
          <w:sz w:val="20"/>
        </w:rPr>
        <w:t>Table Retention Policies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4320"/>
            <w:shd w:val="clear" w:color="auto" w:fill="1F3864"/>
          </w:tcPr>
          <w:p>
            <w:pPr>
              <w:spacing w:after="0" w:before="0"/>
              <w:jc w:val="center"/>
            </w:pPr>
            <w:r/>
            <w:r>
              <w:rPr>
                <w:rFonts w:ascii="Calibri" w:hAnsi="Calibri"/>
                <w:b/>
                <w:color w:val="FFFFFF"/>
                <w:sz w:val="18"/>
              </w:rPr>
              <w:t>Table Category</w:t>
            </w:r>
          </w:p>
        </w:tc>
        <w:tc>
          <w:tcPr>
            <w:tcW w:type="dxa" w:w="4320"/>
            <w:shd w:val="clear" w:color="auto" w:fill="1F3864"/>
          </w:tcPr>
          <w:p>
            <w:pPr>
              <w:spacing w:after="0" w:before="0"/>
              <w:jc w:val="center"/>
            </w:pPr>
            <w:r/>
            <w:r>
              <w:rPr>
                <w:rFonts w:ascii="Calibri" w:hAnsi="Calibri"/>
                <w:b/>
                <w:color w:val="FFFFFF"/>
                <w:sz w:val="18"/>
              </w:rPr>
              <w:t>Retention Policy</w:t>
            </w:r>
          </w:p>
        </w:tc>
      </w:tr>
      <w:tr>
        <w:tc>
          <w:tcPr>
            <w:tcW w:type="dxa" w:w="4320"/>
            <w:shd w:val="clear" w:color="auto" w:fill="F2F2F2"/>
          </w:tcPr>
          <w:p>
            <w:pPr>
              <w:spacing w:after="0" w:before="0"/>
              <w:jc w:val="left"/>
            </w:pPr>
            <w:r/>
            <w:r>
              <w:rPr>
                <w:rFonts w:ascii="Calibri" w:hAnsi="Calibri"/>
                <w:b w:val="0"/>
                <w:sz w:val="18"/>
              </w:rPr>
              <w:t>System tables (tenants, users, source_configs)</w:t>
            </w:r>
          </w:p>
        </w:tc>
        <w:tc>
          <w:tcPr>
            <w:tcW w:type="dxa" w:w="4320"/>
            <w:shd w:val="clear" w:color="auto" w:fill="F2F2F2"/>
          </w:tcPr>
          <w:p>
            <w:pPr>
              <w:spacing w:after="0" w:before="0"/>
              <w:jc w:val="left"/>
            </w:pPr>
            <w:r/>
            <w:r>
              <w:rPr>
                <w:rFonts w:ascii="Calibri" w:hAnsi="Calibri"/>
                <w:b w:val="0"/>
                <w:sz w:val="18"/>
              </w:rPr>
              <w:t>Indefinite</w:t>
            </w:r>
          </w:p>
        </w:tc>
      </w:tr>
      <w:tr>
        <w:tc>
          <w:tcPr>
            <w:tcW w:type="dxa" w:w="4320"/>
            <w:shd w:val="clear" w:color="auto" w:fill="FFFFFF"/>
          </w:tcPr>
          <w:p>
            <w:pPr>
              <w:spacing w:after="0" w:before="0"/>
              <w:jc w:val="left"/>
            </w:pPr>
            <w:r/>
            <w:r>
              <w:rPr>
                <w:rFonts w:ascii="Calibri" w:hAnsi="Calibri"/>
                <w:b w:val="0"/>
                <w:sz w:val="18"/>
              </w:rPr>
              <w:t>Job tables (jobs, job_steps)</w:t>
            </w:r>
          </w:p>
        </w:tc>
        <w:tc>
          <w:tcPr>
            <w:tcW w:type="dxa" w:w="4320"/>
            <w:shd w:val="clear" w:color="auto" w:fill="FFFFFF"/>
          </w:tcPr>
          <w:p>
            <w:pPr>
              <w:spacing w:after="0" w:before="0"/>
              <w:jc w:val="left"/>
            </w:pPr>
            <w:r/>
            <w:r>
              <w:rPr>
                <w:rFonts w:ascii="Calibri" w:hAnsi="Calibri"/>
                <w:b w:val="0"/>
                <w:sz w:val="18"/>
              </w:rPr>
              <w:t>90 days for completed jobs, then archive to cold storage</w:t>
            </w:r>
          </w:p>
        </w:tc>
      </w:tr>
      <w:tr>
        <w:tc>
          <w:tcPr>
            <w:tcW w:type="dxa" w:w="4320"/>
            <w:shd w:val="clear" w:color="auto" w:fill="F2F2F2"/>
          </w:tcPr>
          <w:p>
            <w:pPr>
              <w:spacing w:after="0" w:before="0"/>
              <w:jc w:val="left"/>
            </w:pPr>
            <w:r/>
            <w:r>
              <w:rPr>
                <w:rFonts w:ascii="Calibri" w:hAnsi="Calibri"/>
                <w:b w:val="0"/>
                <w:sz w:val="18"/>
              </w:rPr>
              <w:t>Document metadata (documents)</w:t>
            </w:r>
          </w:p>
        </w:tc>
        <w:tc>
          <w:tcPr>
            <w:tcW w:type="dxa" w:w="4320"/>
            <w:shd w:val="clear" w:color="auto" w:fill="F2F2F2"/>
          </w:tcPr>
          <w:p>
            <w:pPr>
              <w:spacing w:after="0" w:before="0"/>
              <w:jc w:val="left"/>
            </w:pPr>
            <w:r/>
            <w:r>
              <w:rPr>
                <w:rFonts w:ascii="Calibri" w:hAnsi="Calibri"/>
                <w:b w:val="0"/>
                <w:sz w:val="18"/>
              </w:rPr>
              <w:t>Indefinite</w:t>
            </w:r>
          </w:p>
        </w:tc>
      </w:tr>
      <w:tr>
        <w:tc>
          <w:tcPr>
            <w:tcW w:type="dxa" w:w="4320"/>
            <w:shd w:val="clear" w:color="auto" w:fill="FFFFFF"/>
          </w:tcPr>
          <w:p>
            <w:pPr>
              <w:spacing w:after="0" w:before="0"/>
              <w:jc w:val="left"/>
            </w:pPr>
            <w:r/>
            <w:r>
              <w:rPr>
                <w:rFonts w:ascii="Calibri" w:hAnsi="Calibri"/>
                <w:b w:val="0"/>
                <w:sz w:val="18"/>
              </w:rPr>
              <w:t>Financial data (financial_statements, financial_line_items)</w:t>
            </w:r>
          </w:p>
        </w:tc>
        <w:tc>
          <w:tcPr>
            <w:tcW w:type="dxa" w:w="4320"/>
            <w:shd w:val="clear" w:color="auto" w:fill="FFFFFF"/>
          </w:tcPr>
          <w:p>
            <w:pPr>
              <w:spacing w:after="0" w:before="0"/>
              <w:jc w:val="left"/>
            </w:pPr>
            <w:r/>
            <w:r>
              <w:rPr>
                <w:rFonts w:ascii="Calibri" w:hAnsi="Calibri"/>
                <w:b w:val="0"/>
                <w:sz w:val="18"/>
              </w:rPr>
              <w:t>Indefinite — never delete</w:t>
            </w:r>
          </w:p>
        </w:tc>
      </w:tr>
      <w:tr>
        <w:tc>
          <w:tcPr>
            <w:tcW w:type="dxa" w:w="4320"/>
            <w:shd w:val="clear" w:color="auto" w:fill="F2F2F2"/>
          </w:tcPr>
          <w:p>
            <w:pPr>
              <w:spacing w:after="0" w:before="0"/>
              <w:jc w:val="left"/>
            </w:pPr>
            <w:r/>
            <w:r>
              <w:rPr>
                <w:rFonts w:ascii="Calibri" w:hAnsi="Calibri"/>
                <w:b w:val="0"/>
                <w:sz w:val="18"/>
              </w:rPr>
              <w:t>Audit log</w:t>
            </w:r>
          </w:p>
        </w:tc>
        <w:tc>
          <w:tcPr>
            <w:tcW w:type="dxa" w:w="4320"/>
            <w:shd w:val="clear" w:color="auto" w:fill="F2F2F2"/>
          </w:tcPr>
          <w:p>
            <w:pPr>
              <w:spacing w:after="0" w:before="0"/>
              <w:jc w:val="left"/>
            </w:pPr>
            <w:r/>
            <w:r>
              <w:rPr>
                <w:rFonts w:ascii="Calibri" w:hAnsi="Calibri"/>
                <w:b w:val="0"/>
                <w:sz w:val="18"/>
              </w:rPr>
              <w:t>7 years (financial compliance standard), append-only, no updates</w:t>
            </w:r>
          </w:p>
        </w:tc>
      </w:tr>
      <w:tr>
        <w:tc>
          <w:tcPr>
            <w:tcW w:type="dxa" w:w="4320"/>
            <w:shd w:val="clear" w:color="auto" w:fill="FFFFFF"/>
          </w:tcPr>
          <w:p>
            <w:pPr>
              <w:spacing w:after="0" w:before="0"/>
              <w:jc w:val="left"/>
            </w:pPr>
            <w:r/>
            <w:r>
              <w:rPr>
                <w:rFonts w:ascii="Calibri" w:hAnsi="Calibri"/>
                <w:b w:val="0"/>
                <w:sz w:val="18"/>
              </w:rPr>
              <w:t>Exports</w:t>
            </w:r>
          </w:p>
        </w:tc>
        <w:tc>
          <w:tcPr>
            <w:tcW w:type="dxa" w:w="4320"/>
            <w:shd w:val="clear" w:color="auto" w:fill="FFFFFF"/>
          </w:tcPr>
          <w:p>
            <w:pPr>
              <w:spacing w:after="0" w:before="0"/>
              <w:jc w:val="left"/>
            </w:pPr>
            <w:r/>
            <w:r>
              <w:rPr>
                <w:rFonts w:ascii="Calibri" w:hAnsi="Calibri"/>
                <w:b w:val="0"/>
                <w:sz w:val="18"/>
              </w:rPr>
              <w:t>30-day file retention; metadata indefinite</w:t>
            </w:r>
          </w:p>
        </w:tc>
      </w:tr>
    </w:tbl>
    <w:p/>
    <w:p>
      <w:pPr>
        <w:spacing w:after="120" w:before="0"/>
      </w:pPr>
      <w:r>
        <w:rPr>
          <w:rFonts w:ascii="Calibri" w:hAnsi="Calibri"/>
          <w:b/>
          <w:i w:val="0"/>
          <w:sz w:val="20"/>
        </w:rPr>
        <w:t>Critical Index Strategy</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Table</w:t>
            </w:r>
          </w:p>
        </w:tc>
        <w:tc>
          <w:tcPr>
            <w:tcW w:type="dxa" w:w="5760"/>
            <w:shd w:val="clear" w:color="auto" w:fill="1F3864"/>
          </w:tcPr>
          <w:p>
            <w:pPr>
              <w:spacing w:after="0" w:before="0"/>
              <w:jc w:val="center"/>
            </w:pPr>
            <w:r/>
            <w:r>
              <w:rPr>
                <w:rFonts w:ascii="Calibri" w:hAnsi="Calibri"/>
                <w:b/>
                <w:color w:val="FFFFFF"/>
                <w:sz w:val="18"/>
              </w:rPr>
              <w:t>Indexes</w:t>
            </w:r>
          </w:p>
        </w:tc>
      </w:tr>
      <w:tr>
        <w:tc>
          <w:tcPr>
            <w:tcW w:type="dxa" w:w="2880"/>
            <w:shd w:val="clear" w:color="auto" w:fill="F2F2F2"/>
          </w:tcPr>
          <w:p>
            <w:pPr>
              <w:spacing w:after="0" w:before="0"/>
              <w:jc w:val="left"/>
            </w:pPr>
            <w:r/>
            <w:r>
              <w:rPr>
                <w:rFonts w:ascii="Calibri" w:hAnsi="Calibri"/>
                <w:b w:val="0"/>
                <w:sz w:val="18"/>
              </w:rPr>
              <w:t>companies</w:t>
            </w:r>
          </w:p>
        </w:tc>
        <w:tc>
          <w:tcPr>
            <w:tcW w:type="dxa" w:w="5760"/>
            <w:shd w:val="clear" w:color="auto" w:fill="F2F2F2"/>
          </w:tcPr>
          <w:p>
            <w:pPr>
              <w:spacing w:after="0" w:before="0"/>
              <w:jc w:val="left"/>
            </w:pPr>
            <w:r/>
            <w:r>
              <w:rPr>
                <w:rFonts w:ascii="Calibri" w:hAnsi="Calibri"/>
                <w:b w:val="0"/>
                <w:sz w:val="18"/>
              </w:rPr>
              <w:t>(ticker); (country_code, exchange); (canonical_name) trigram for fuzzy search</w:t>
            </w:r>
          </w:p>
        </w:tc>
      </w:tr>
      <w:tr>
        <w:tc>
          <w:tcPr>
            <w:tcW w:type="dxa" w:w="2880"/>
            <w:shd w:val="clear" w:color="auto" w:fill="FFFFFF"/>
          </w:tcPr>
          <w:p>
            <w:pPr>
              <w:spacing w:after="0" w:before="0"/>
              <w:jc w:val="left"/>
            </w:pPr>
            <w:r/>
            <w:r>
              <w:rPr>
                <w:rFonts w:ascii="Calibri" w:hAnsi="Calibri"/>
                <w:b w:val="0"/>
                <w:sz w:val="18"/>
              </w:rPr>
              <w:t>company_aliases</w:t>
            </w:r>
          </w:p>
        </w:tc>
        <w:tc>
          <w:tcPr>
            <w:tcW w:type="dxa" w:w="5760"/>
            <w:shd w:val="clear" w:color="auto" w:fill="FFFFFF"/>
          </w:tcPr>
          <w:p>
            <w:pPr>
              <w:spacing w:after="0" w:before="0"/>
              <w:jc w:val="left"/>
            </w:pPr>
            <w:r/>
            <w:r>
              <w:rPr>
                <w:rFonts w:ascii="Calibri" w:hAnsi="Calibri"/>
                <w:b w:val="0"/>
                <w:sz w:val="18"/>
              </w:rPr>
              <w:t>(alias) — fast resolution from user input</w:t>
            </w:r>
          </w:p>
        </w:tc>
      </w:tr>
      <w:tr>
        <w:tc>
          <w:tcPr>
            <w:tcW w:type="dxa" w:w="2880"/>
            <w:shd w:val="clear" w:color="auto" w:fill="F2F2F2"/>
          </w:tcPr>
          <w:p>
            <w:pPr>
              <w:spacing w:after="0" w:before="0"/>
              <w:jc w:val="left"/>
            </w:pPr>
            <w:r/>
            <w:r>
              <w:rPr>
                <w:rFonts w:ascii="Calibri" w:hAnsi="Calibri"/>
                <w:b w:val="0"/>
                <w:sz w:val="18"/>
              </w:rPr>
              <w:t>financial_line_items</w:t>
            </w:r>
          </w:p>
        </w:tc>
        <w:tc>
          <w:tcPr>
            <w:tcW w:type="dxa" w:w="5760"/>
            <w:shd w:val="clear" w:color="auto" w:fill="F2F2F2"/>
          </w:tcPr>
          <w:p>
            <w:pPr>
              <w:spacing w:after="0" w:before="0"/>
              <w:jc w:val="left"/>
            </w:pPr>
            <w:r/>
            <w:r>
              <w:rPr>
                <w:rFonts w:ascii="Calibri" w:hAnsi="Calibri"/>
                <w:b w:val="0"/>
                <w:sz w:val="18"/>
              </w:rPr>
              <w:t>(statement_id, canonical_field); (company_id, fiscal_year, fiscal_period)</w:t>
            </w:r>
          </w:p>
        </w:tc>
      </w:tr>
      <w:tr>
        <w:tc>
          <w:tcPr>
            <w:tcW w:type="dxa" w:w="2880"/>
            <w:shd w:val="clear" w:color="auto" w:fill="FFFFFF"/>
          </w:tcPr>
          <w:p>
            <w:pPr>
              <w:spacing w:after="0" w:before="0"/>
              <w:jc w:val="left"/>
            </w:pPr>
            <w:r/>
            <w:r>
              <w:rPr>
                <w:rFonts w:ascii="Calibri" w:hAnsi="Calibri"/>
                <w:b w:val="0"/>
                <w:sz w:val="18"/>
              </w:rPr>
              <w:t>documents</w:t>
            </w:r>
          </w:p>
        </w:tc>
        <w:tc>
          <w:tcPr>
            <w:tcW w:type="dxa" w:w="5760"/>
            <w:shd w:val="clear" w:color="auto" w:fill="FFFFFF"/>
          </w:tcPr>
          <w:p>
            <w:pPr>
              <w:spacing w:after="0" w:before="0"/>
              <w:jc w:val="left"/>
            </w:pPr>
            <w:r/>
            <w:r>
              <w:rPr>
                <w:rFonts w:ascii="Calibri" w:hAnsi="Calibri"/>
                <w:b w:val="0"/>
                <w:sz w:val="18"/>
              </w:rPr>
              <w:t>UNIQUE (content_hash) — deduplication</w:t>
            </w:r>
          </w:p>
        </w:tc>
      </w:tr>
      <w:tr>
        <w:tc>
          <w:tcPr>
            <w:tcW w:type="dxa" w:w="2880"/>
            <w:shd w:val="clear" w:color="auto" w:fill="F2F2F2"/>
          </w:tcPr>
          <w:p>
            <w:pPr>
              <w:spacing w:after="0" w:before="0"/>
              <w:jc w:val="left"/>
            </w:pPr>
            <w:r/>
            <w:r>
              <w:rPr>
                <w:rFonts w:ascii="Calibri" w:hAnsi="Calibri"/>
                <w:b w:val="0"/>
                <w:sz w:val="18"/>
              </w:rPr>
              <w:t>jobs</w:t>
            </w:r>
          </w:p>
        </w:tc>
        <w:tc>
          <w:tcPr>
            <w:tcW w:type="dxa" w:w="5760"/>
            <w:shd w:val="clear" w:color="auto" w:fill="F2F2F2"/>
          </w:tcPr>
          <w:p>
            <w:pPr>
              <w:spacing w:after="0" w:before="0"/>
              <w:jc w:val="left"/>
            </w:pPr>
            <w:r/>
            <w:r>
              <w:rPr>
                <w:rFonts w:ascii="Calibri" w:hAnsi="Calibri"/>
                <w:b w:val="0"/>
                <w:sz w:val="18"/>
              </w:rPr>
              <w:t>(tenant_id, status); (user_id, created_at DESC)</w:t>
            </w:r>
          </w:p>
        </w:tc>
      </w:tr>
      <w:tr>
        <w:tc>
          <w:tcPr>
            <w:tcW w:type="dxa" w:w="2880"/>
            <w:shd w:val="clear" w:color="auto" w:fill="FFFFFF"/>
          </w:tcPr>
          <w:p>
            <w:pPr>
              <w:spacing w:after="0" w:before="0"/>
              <w:jc w:val="left"/>
            </w:pPr>
            <w:r/>
            <w:r>
              <w:rPr>
                <w:rFonts w:ascii="Calibri" w:hAnsi="Calibri"/>
                <w:b w:val="0"/>
                <w:sz w:val="18"/>
              </w:rPr>
              <w:t>audit_log</w:t>
            </w:r>
          </w:p>
        </w:tc>
        <w:tc>
          <w:tcPr>
            <w:tcW w:type="dxa" w:w="5760"/>
            <w:shd w:val="clear" w:color="auto" w:fill="FFFFFF"/>
          </w:tcPr>
          <w:p>
            <w:pPr>
              <w:spacing w:after="0" w:before="0"/>
              <w:jc w:val="left"/>
            </w:pPr>
            <w:r/>
            <w:r>
              <w:rPr>
                <w:rFonts w:ascii="Calibri" w:hAnsi="Calibri"/>
                <w:b w:val="0"/>
                <w:sz w:val="18"/>
              </w:rPr>
              <w:t>(tenant_id, created_at); (entity_type, entity_id)</w:t>
            </w:r>
          </w:p>
        </w:tc>
      </w:tr>
      <w:tr>
        <w:tc>
          <w:tcPr>
            <w:tcW w:type="dxa" w:w="2880"/>
            <w:shd w:val="clear" w:color="auto" w:fill="F2F2F2"/>
          </w:tcPr>
          <w:p>
            <w:pPr>
              <w:spacing w:after="0" w:before="0"/>
              <w:jc w:val="left"/>
            </w:pPr>
            <w:r/>
            <w:r>
              <w:rPr>
                <w:rFonts w:ascii="Calibri" w:hAnsi="Calibri"/>
                <w:b w:val="0"/>
                <w:sz w:val="18"/>
              </w:rPr>
              <w:t>currency_rates</w:t>
            </w:r>
          </w:p>
        </w:tc>
        <w:tc>
          <w:tcPr>
            <w:tcW w:type="dxa" w:w="5760"/>
            <w:shd w:val="clear" w:color="auto" w:fill="F2F2F2"/>
          </w:tcPr>
          <w:p>
            <w:pPr>
              <w:spacing w:after="0" w:before="0"/>
              <w:jc w:val="left"/>
            </w:pPr>
            <w:r/>
            <w:r>
              <w:rPr>
                <w:rFonts w:ascii="Calibri" w:hAnsi="Calibri"/>
                <w:b w:val="0"/>
                <w:sz w:val="18"/>
              </w:rPr>
              <w:t>(from_currency, to_currency, rate_date)</w:t>
            </w:r>
          </w:p>
        </w:tc>
      </w:tr>
    </w:tbl>
    <w:p/>
    <w:p>
      <w:pPr>
        <w:spacing w:after="120" w:before="0"/>
      </w:pPr>
      <w:r>
        <w:rPr>
          <w:rFonts w:ascii="Calibri" w:hAnsi="Calibri"/>
          <w:b/>
          <w:i w:val="0"/>
          <w:sz w:val="20"/>
        </w:rPr>
        <w:t>Required PostgreSQL Extensions</w:t>
      </w:r>
    </w:p>
    <w:p>
      <w:pPr>
        <w:pStyle w:val="ListBullet"/>
        <w:spacing w:after="60" w:before="0"/>
      </w:pPr>
      <w:r>
        <w:rPr>
          <w:rFonts w:ascii="Calibri" w:hAnsi="Calibri"/>
          <w:sz w:val="20"/>
        </w:rPr>
        <w:t>pg_trgm — Trigram indexes for fuzzy company name search</w:t>
      </w:r>
    </w:p>
    <w:p>
      <w:pPr>
        <w:pStyle w:val="ListBullet"/>
        <w:spacing w:after="60" w:before="0"/>
      </w:pPr>
      <w:r>
        <w:rPr>
          <w:rFonts w:ascii="Calibri" w:hAnsi="Calibri"/>
          <w:sz w:val="20"/>
        </w:rPr>
        <w:t>uuid-ossp / pgcrypto — UUID v7 generation</w:t>
      </w:r>
    </w:p>
    <w:p>
      <w:pPr>
        <w:pStyle w:val="ListBullet"/>
        <w:spacing w:after="60" w:before="0"/>
      </w:pPr>
      <w:r>
        <w:rPr>
          <w:rFonts w:ascii="Calibri" w:hAnsi="Calibri"/>
          <w:sz w:val="20"/>
        </w:rPr>
        <w:t>btree_gin — Composite GIN indexes for multi-column queries</w:t>
      </w:r>
    </w:p>
    <w:p>
      <w:r>
        <w:br w:type="page"/>
      </w:r>
    </w:p>
    <w:p>
      <w:pPr>
        <w:pStyle w:val="Heading1"/>
        <w:spacing w:before="280" w:after="80"/>
      </w:pPr>
      <w:r>
        <w:rPr>
          <w:rFonts w:ascii="Calibri" w:hAnsi="Calibri"/>
          <w:color w:val="1F3864"/>
          <w:sz w:val="32"/>
        </w:rPr>
        <w:t>Section 2 — Backend Architecture</w:t>
      </w:r>
    </w:p>
    <w:p>
      <w:pPr>
        <w:spacing w:before="80" w:after="80"/>
        <w:pBdr>
          <w:bottom w:val="single" w:sz="6" w:space="1" w:color="2E75B6"/>
        </w:pBdr>
      </w:pPr>
    </w:p>
    <w:p>
      <w:pPr>
        <w:pStyle w:val="Heading2"/>
        <w:spacing w:before="280" w:after="80"/>
      </w:pPr>
      <w:r>
        <w:rPr>
          <w:rFonts w:ascii="Calibri" w:hAnsi="Calibri"/>
          <w:color w:val="2E75B6"/>
          <w:sz w:val="26"/>
        </w:rPr>
        <w:t>2.1  Missing Information</w:t>
      </w:r>
    </w:p>
    <w:p>
      <w:pPr>
        <w:pStyle w:val="ListBullet"/>
        <w:spacing w:after="60" w:before="0"/>
      </w:pPr>
      <w:r>
        <w:rPr>
          <w:rFonts w:ascii="Calibri" w:hAnsi="Calibri"/>
          <w:sz w:val="20"/>
        </w:rPr>
        <w:t>No API versioning strategy — no /v1/ prefix or header versioning defined</w:t>
      </w:r>
    </w:p>
    <w:p>
      <w:pPr>
        <w:pStyle w:val="ListBullet"/>
        <w:spacing w:after="60" w:before="0"/>
      </w:pPr>
      <w:r>
        <w:rPr>
          <w:rFonts w:ascii="Calibri" w:hAnsi="Calibri"/>
          <w:sz w:val="20"/>
        </w:rPr>
        <w:t>No service boundary definitions — monolith vs. microservices undecided</w:t>
      </w:r>
    </w:p>
    <w:p>
      <w:pPr>
        <w:pStyle w:val="ListBullet"/>
        <w:spacing w:after="60" w:before="0"/>
      </w:pPr>
      <w:r>
        <w:rPr>
          <w:rFonts w:ascii="Calibri" w:hAnsi="Calibri"/>
          <w:sz w:val="20"/>
        </w:rPr>
        <w:t>No internal communication pattern between services</w:t>
      </w:r>
    </w:p>
    <w:p>
      <w:pPr>
        <w:pStyle w:val="ListBullet"/>
        <w:spacing w:after="60" w:before="0"/>
      </w:pPr>
      <w:r>
        <w:rPr>
          <w:rFonts w:ascii="Calibri" w:hAnsi="Calibri"/>
          <w:sz w:val="20"/>
        </w:rPr>
        <w:t>No standard error handling schema — each endpoint currently handles errors independently</w:t>
      </w:r>
    </w:p>
    <w:p>
      <w:pPr>
        <w:pStyle w:val="ListBullet"/>
        <w:spacing w:after="60" w:before="0"/>
      </w:pPr>
      <w:r>
        <w:rPr>
          <w:rFonts w:ascii="Calibri" w:hAnsi="Calibri"/>
          <w:sz w:val="20"/>
        </w:rPr>
        <w:t>No retry and circuit breaker design for external dependencies</w:t>
      </w:r>
    </w:p>
    <w:p>
      <w:pPr>
        <w:pStyle w:val="ListBullet"/>
        <w:spacing w:after="60" w:before="0"/>
      </w:pPr>
      <w:r>
        <w:rPr>
          <w:rFonts w:ascii="Calibri" w:hAnsi="Calibri"/>
          <w:sz w:val="20"/>
        </w:rPr>
        <w:t>No configuration management strategy — secrets handling undefined</w:t>
      </w:r>
    </w:p>
    <w:p>
      <w:pPr>
        <w:pStyle w:val="ListBullet"/>
        <w:spacing w:after="60" w:before="0"/>
      </w:pPr>
      <w:r>
        <w:rPr>
          <w:rFonts w:ascii="Calibri" w:hAnsi="Calibri"/>
          <w:sz w:val="20"/>
        </w:rPr>
        <w:t>No dependency injection pattern — services directly instantiate dependencies</w:t>
      </w:r>
    </w:p>
    <w:p>
      <w:pPr>
        <w:pStyle w:val="ListBullet"/>
        <w:spacing w:after="60" w:before="0"/>
      </w:pPr>
      <w:r>
        <w:rPr>
          <w:rFonts w:ascii="Calibri" w:hAnsi="Calibri"/>
          <w:sz w:val="20"/>
        </w:rPr>
        <w:t>No health check endpoint design for container orchestration</w:t>
      </w:r>
    </w:p>
    <w:p>
      <w:pPr>
        <w:pStyle w:val="ListBullet"/>
        <w:spacing w:after="60" w:before="0"/>
      </w:pPr>
      <w:r>
        <w:rPr>
          <w:rFonts w:ascii="Calibri" w:hAnsi="Calibri"/>
          <w:sz w:val="20"/>
        </w:rPr>
        <w:t>No graceful shutdown handling — in-flight requests can be lost on restart</w:t>
      </w:r>
    </w:p>
    <w:p>
      <w:pPr>
        <w:pStyle w:val="ListBullet"/>
        <w:spacing w:after="60" w:before="0"/>
      </w:pPr>
      <w:r>
        <w:rPr>
          <w:rFonts w:ascii="Calibri" w:hAnsi="Calibri"/>
          <w:sz w:val="20"/>
        </w:rPr>
        <w:t>Background task orchestration design missing entirely beyond 'use Celery'</w:t>
      </w:r>
    </w:p>
    <w:p>
      <w:pPr>
        <w:pStyle w:val="Heading2"/>
        <w:spacing w:before="280" w:after="80"/>
      </w:pPr>
      <w:r>
        <w:rPr>
          <w:rFonts w:ascii="Calibri" w:hAnsi="Calibri"/>
          <w:color w:val="2E75B6"/>
          <w:sz w:val="26"/>
        </w:rPr>
        <w:t>2.2  Required Decisions</w:t>
      </w:r>
    </w:p>
    <w:p>
      <w:pPr>
        <w:spacing w:before="160" w:after="40"/>
      </w:pPr>
      <w:r>
        <w:rPr>
          <w:rFonts w:ascii="Calibri" w:hAnsi="Calibri"/>
          <w:b/>
          <w:color w:val="2E75B6"/>
          <w:sz w:val="20"/>
        </w:rPr>
        <w:t>Decision 1: Monolith vs. Service-Oriented Architecture</w:t>
      </w:r>
    </w:p>
    <w:p>
      <w:pPr>
        <w:spacing w:after="40" w:before="0"/>
      </w:pPr>
      <w:r>
        <w:rPr>
          <w:rFonts w:ascii="Calibri" w:hAnsi="Calibri"/>
          <w:b w:val="0"/>
          <w:i/>
          <w:sz w:val="20"/>
        </w:rPr>
        <w:t>Options: (a) Single FastAPI monolith with Celery workers, (b) Multiple microservices</w:t>
      </w:r>
    </w:p>
    <w:p>
      <w:pPr>
        <w:spacing w:after="120" w:before="0"/>
      </w:pPr>
      <w:r>
        <w:rPr>
          <w:rFonts w:ascii="Calibri" w:hAnsi="Calibri"/>
          <w:b w:val="0"/>
          <w:i w:val="0"/>
          <w:sz w:val="20"/>
        </w:rPr>
        <w:t>Recommendation: Modular monolith with Celery workers for Phases 1–3. Services are defined as Python packages within one codebase sharing a database. Extraction into independent deployable services deferred to Phase 6+. Microservices at this stage add operational complexity without meaningful scaling benefit.</w:t>
      </w:r>
    </w:p>
    <w:p>
      <w:pPr>
        <w:spacing w:before="160" w:after="40"/>
      </w:pPr>
      <w:r>
        <w:rPr>
          <w:rFonts w:ascii="Calibri" w:hAnsi="Calibri"/>
          <w:b/>
          <w:color w:val="2E75B6"/>
          <w:sz w:val="20"/>
        </w:rPr>
        <w:t>Decision 2: Internal Service Communication</w:t>
      </w:r>
    </w:p>
    <w:p>
      <w:pPr>
        <w:spacing w:after="40" w:before="0"/>
      </w:pPr>
      <w:r>
        <w:rPr>
          <w:rFonts w:ascii="Calibri" w:hAnsi="Calibri"/>
          <w:b w:val="0"/>
          <w:i/>
          <w:sz w:val="20"/>
        </w:rPr>
        <w:t>Options: Direct function calls, Celery tasks, REST internal APIs, gRPC</w:t>
      </w:r>
    </w:p>
    <w:p>
      <w:pPr>
        <w:spacing w:after="120" w:before="0"/>
      </w:pPr>
      <w:r>
        <w:rPr>
          <w:rFonts w:ascii="Calibri" w:hAnsi="Calibri"/>
          <w:b w:val="0"/>
          <w:i w:val="0"/>
          <w:sz w:val="20"/>
        </w:rPr>
        <w:t>Recommendation: Celery tasks for all async cross-service work. Direct function calls for synchronous in-request operations. No internal REST APIs — unnecessary network overhead in a monolith.</w:t>
      </w:r>
    </w:p>
    <w:p>
      <w:pPr>
        <w:spacing w:before="160" w:after="40"/>
      </w:pPr>
      <w:r>
        <w:rPr>
          <w:rFonts w:ascii="Calibri" w:hAnsi="Calibri"/>
          <w:b/>
          <w:color w:val="2E75B6"/>
          <w:sz w:val="20"/>
        </w:rPr>
        <w:t>Decision 3: Configuration Management</w:t>
      </w:r>
    </w:p>
    <w:p>
      <w:pPr>
        <w:spacing w:after="40" w:before="0"/>
      </w:pPr>
      <w:r>
        <w:rPr>
          <w:rFonts w:ascii="Calibri" w:hAnsi="Calibri"/>
          <w:b w:val="0"/>
          <w:i/>
          <w:sz w:val="20"/>
        </w:rPr>
        <w:t>Options: .env files, Pydantic Settings, AWS Parameter Store, HashiCorp Vault</w:t>
      </w:r>
    </w:p>
    <w:p>
      <w:pPr>
        <w:spacing w:after="120" w:before="0"/>
      </w:pPr>
      <w:r>
        <w:rPr>
          <w:rFonts w:ascii="Calibri" w:hAnsi="Calibri"/>
          <w:b w:val="0"/>
          <w:i w:val="0"/>
          <w:sz w:val="20"/>
        </w:rPr>
        <w:t>Recommendation: Pydantic Settings v2 reading from environment variables. Local dev uses .env files (never committed to git). Production uses environment variables injected by the deployment platform. Secrets stored in AWS Secrets Manager — never in code.</w:t>
      </w:r>
    </w:p>
    <w:p>
      <w:pPr>
        <w:spacing w:before="160" w:after="40"/>
      </w:pPr>
      <w:r>
        <w:rPr>
          <w:rFonts w:ascii="Calibri" w:hAnsi="Calibri"/>
          <w:b/>
          <w:color w:val="2E75B6"/>
          <w:sz w:val="20"/>
        </w:rPr>
        <w:t>Decision 4: Error Handling Standard</w:t>
      </w:r>
    </w:p>
    <w:p>
      <w:pPr>
        <w:spacing w:after="120" w:before="0"/>
      </w:pPr>
      <w:r>
        <w:rPr>
          <w:rFonts w:ascii="Calibri" w:hAnsi="Calibri"/>
          <w:b w:val="0"/>
          <w:i w:val="0"/>
          <w:sz w:val="20"/>
        </w:rPr>
        <w:t>Recommendation: All exceptions map to a standard error response schema: { "error": { "code": "COMPANY_NOT_FOUND", "message": "...", "details": {}, "request_id": "uuid", "timestamp": "ISO8601" } }. Error codes are documented, stable across API versions, and never expose internal stack traces.</w:t>
      </w:r>
    </w:p>
    <w:p>
      <w:pPr>
        <w:spacing w:before="160" w:after="40"/>
      </w:pPr>
      <w:r>
        <w:rPr>
          <w:rFonts w:ascii="Calibri" w:hAnsi="Calibri"/>
          <w:b/>
          <w:color w:val="2E75B6"/>
          <w:sz w:val="20"/>
        </w:rPr>
        <w:t>Decision 5: API Versioning Strategy</w:t>
      </w:r>
    </w:p>
    <w:p>
      <w:pPr>
        <w:spacing w:after="40" w:before="0"/>
      </w:pPr>
      <w:r>
        <w:rPr>
          <w:rFonts w:ascii="Calibri" w:hAnsi="Calibri"/>
          <w:b w:val="0"/>
          <w:i/>
          <w:sz w:val="20"/>
        </w:rPr>
        <w:t>Options: URL path versioning (/api/v1/), header versioning, query param versioning</w:t>
      </w:r>
    </w:p>
    <w:p>
      <w:pPr>
        <w:spacing w:after="120" w:before="0"/>
      </w:pPr>
      <w:r>
        <w:rPr>
          <w:rFonts w:ascii="Calibri" w:hAnsi="Calibri"/>
          <w:b w:val="0"/>
          <w:i w:val="0"/>
          <w:sz w:val="20"/>
        </w:rPr>
        <w:t>Recommendation: URL path versioning (/api/v1/). Simple, explicit, and cache-friendly. All routes prefixed from day one.</w:t>
      </w:r>
    </w:p>
    <w:p>
      <w:pPr>
        <w:pStyle w:val="Heading2"/>
        <w:spacing w:before="280" w:after="80"/>
      </w:pPr>
      <w:r>
        <w:rPr>
          <w:rFonts w:ascii="Calibri" w:hAnsi="Calibri"/>
          <w:color w:val="2E75B6"/>
          <w:sz w:val="26"/>
        </w:rPr>
        <w:t>2.3  Recommended Design</w:t>
      </w:r>
    </w:p>
    <w:p>
      <w:pPr>
        <w:spacing w:after="120" w:before="0"/>
      </w:pPr>
      <w:r>
        <w:rPr>
          <w:rFonts w:ascii="Calibri" w:hAnsi="Calibri"/>
          <w:b/>
          <w:i w:val="0"/>
          <w:sz w:val="20"/>
        </w:rPr>
        <w:t>Core Technology Stack</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Component</w:t>
            </w:r>
          </w:p>
        </w:tc>
        <w:tc>
          <w:tcPr>
            <w:tcW w:type="dxa" w:w="5760"/>
            <w:shd w:val="clear" w:color="auto" w:fill="1F3864"/>
          </w:tcPr>
          <w:p>
            <w:pPr>
              <w:spacing w:after="0" w:before="0"/>
              <w:jc w:val="center"/>
            </w:pPr>
            <w:r/>
            <w:r>
              <w:rPr>
                <w:rFonts w:ascii="Calibri" w:hAnsi="Calibri"/>
                <w:b/>
                <w:color w:val="FFFFFF"/>
                <w:sz w:val="18"/>
              </w:rPr>
              <w:t>Technology</w:t>
            </w:r>
          </w:p>
        </w:tc>
      </w:tr>
      <w:tr>
        <w:tc>
          <w:tcPr>
            <w:tcW w:type="dxa" w:w="2880"/>
            <w:shd w:val="clear" w:color="auto" w:fill="F2F2F2"/>
          </w:tcPr>
          <w:p>
            <w:pPr>
              <w:spacing w:after="0" w:before="0"/>
              <w:jc w:val="left"/>
            </w:pPr>
            <w:r/>
            <w:r>
              <w:rPr>
                <w:rFonts w:ascii="Calibri" w:hAnsi="Calibri"/>
                <w:b w:val="0"/>
                <w:sz w:val="18"/>
              </w:rPr>
              <w:t>API Framework</w:t>
            </w:r>
          </w:p>
        </w:tc>
        <w:tc>
          <w:tcPr>
            <w:tcW w:type="dxa" w:w="5760"/>
            <w:shd w:val="clear" w:color="auto" w:fill="F2F2F2"/>
          </w:tcPr>
          <w:p>
            <w:pPr>
              <w:spacing w:after="0" w:before="0"/>
              <w:jc w:val="left"/>
            </w:pPr>
            <w:r/>
            <w:r>
              <w:rPr>
                <w:rFonts w:ascii="Calibri" w:hAnsi="Calibri"/>
                <w:b w:val="0"/>
                <w:sz w:val="18"/>
              </w:rPr>
              <w:t>FastAPI 0.115+ with full async/await</w:t>
            </w:r>
          </w:p>
        </w:tc>
      </w:tr>
      <w:tr>
        <w:tc>
          <w:tcPr>
            <w:tcW w:type="dxa" w:w="2880"/>
            <w:shd w:val="clear" w:color="auto" w:fill="FFFFFF"/>
          </w:tcPr>
          <w:p>
            <w:pPr>
              <w:spacing w:after="0" w:before="0"/>
              <w:jc w:val="left"/>
            </w:pPr>
            <w:r/>
            <w:r>
              <w:rPr>
                <w:rFonts w:ascii="Calibri" w:hAnsi="Calibri"/>
                <w:b w:val="0"/>
                <w:sz w:val="18"/>
              </w:rPr>
              <w:t>Python Version</w:t>
            </w:r>
          </w:p>
        </w:tc>
        <w:tc>
          <w:tcPr>
            <w:tcW w:type="dxa" w:w="5760"/>
            <w:shd w:val="clear" w:color="auto" w:fill="FFFFFF"/>
          </w:tcPr>
          <w:p>
            <w:pPr>
              <w:spacing w:after="0" w:before="0"/>
              <w:jc w:val="left"/>
            </w:pPr>
            <w:r/>
            <w:r>
              <w:rPr>
                <w:rFonts w:ascii="Calibri" w:hAnsi="Calibri"/>
                <w:b w:val="0"/>
                <w:sz w:val="18"/>
              </w:rPr>
              <w:t>3.12+</w:t>
            </w:r>
          </w:p>
        </w:tc>
      </w:tr>
      <w:tr>
        <w:tc>
          <w:tcPr>
            <w:tcW w:type="dxa" w:w="2880"/>
            <w:shd w:val="clear" w:color="auto" w:fill="F2F2F2"/>
          </w:tcPr>
          <w:p>
            <w:pPr>
              <w:spacing w:after="0" w:before="0"/>
              <w:jc w:val="left"/>
            </w:pPr>
            <w:r/>
            <w:r>
              <w:rPr>
                <w:rFonts w:ascii="Calibri" w:hAnsi="Calibri"/>
                <w:b w:val="0"/>
                <w:sz w:val="18"/>
              </w:rPr>
              <w:t>Dependency Management</w:t>
            </w:r>
          </w:p>
        </w:tc>
        <w:tc>
          <w:tcPr>
            <w:tcW w:type="dxa" w:w="5760"/>
            <w:shd w:val="clear" w:color="auto" w:fill="F2F2F2"/>
          </w:tcPr>
          <w:p>
            <w:pPr>
              <w:spacing w:after="0" w:before="0"/>
              <w:jc w:val="left"/>
            </w:pPr>
            <w:r/>
            <w:r>
              <w:rPr>
                <w:rFonts w:ascii="Calibri" w:hAnsi="Calibri"/>
                <w:b w:val="0"/>
                <w:sz w:val="18"/>
              </w:rPr>
              <w:t>uv (recommended) or Poetry</w:t>
            </w:r>
          </w:p>
        </w:tc>
      </w:tr>
      <w:tr>
        <w:tc>
          <w:tcPr>
            <w:tcW w:type="dxa" w:w="2880"/>
            <w:shd w:val="clear" w:color="auto" w:fill="FFFFFF"/>
          </w:tcPr>
          <w:p>
            <w:pPr>
              <w:spacing w:after="0" w:before="0"/>
              <w:jc w:val="left"/>
            </w:pPr>
            <w:r/>
            <w:r>
              <w:rPr>
                <w:rFonts w:ascii="Calibri" w:hAnsi="Calibri"/>
                <w:b w:val="0"/>
                <w:sz w:val="18"/>
              </w:rPr>
              <w:t>Task Queue</w:t>
            </w:r>
          </w:p>
        </w:tc>
        <w:tc>
          <w:tcPr>
            <w:tcW w:type="dxa" w:w="5760"/>
            <w:shd w:val="clear" w:color="auto" w:fill="FFFFFF"/>
          </w:tcPr>
          <w:p>
            <w:pPr>
              <w:spacing w:after="0" w:before="0"/>
              <w:jc w:val="left"/>
            </w:pPr>
            <w:r/>
            <w:r>
              <w:rPr>
                <w:rFonts w:ascii="Calibri" w:hAnsi="Calibri"/>
                <w:b w:val="0"/>
                <w:sz w:val="18"/>
              </w:rPr>
              <w:t>Celery 5.x with Redis broker</w:t>
            </w:r>
          </w:p>
        </w:tc>
      </w:tr>
      <w:tr>
        <w:tc>
          <w:tcPr>
            <w:tcW w:type="dxa" w:w="2880"/>
            <w:shd w:val="clear" w:color="auto" w:fill="F2F2F2"/>
          </w:tcPr>
          <w:p>
            <w:pPr>
              <w:spacing w:after="0" w:before="0"/>
              <w:jc w:val="left"/>
            </w:pPr>
            <w:r/>
            <w:r>
              <w:rPr>
                <w:rFonts w:ascii="Calibri" w:hAnsi="Calibri"/>
                <w:b w:val="0"/>
                <w:sz w:val="18"/>
              </w:rPr>
              <w:t>Result Backend</w:t>
            </w:r>
          </w:p>
        </w:tc>
        <w:tc>
          <w:tcPr>
            <w:tcW w:type="dxa" w:w="5760"/>
            <w:shd w:val="clear" w:color="auto" w:fill="F2F2F2"/>
          </w:tcPr>
          <w:p>
            <w:pPr>
              <w:spacing w:after="0" w:before="0"/>
              <w:jc w:val="left"/>
            </w:pPr>
            <w:r/>
            <w:r>
              <w:rPr>
                <w:rFonts w:ascii="Calibri" w:hAnsi="Calibri"/>
                <w:b w:val="0"/>
                <w:sz w:val="18"/>
              </w:rPr>
              <w:t>Redis (hot status) + PostgreSQL (persistent records)</w:t>
            </w:r>
          </w:p>
        </w:tc>
      </w:tr>
    </w:tbl>
    <w:p/>
    <w:p>
      <w:pPr>
        <w:spacing w:after="120" w:before="0"/>
      </w:pPr>
      <w:r>
        <w:rPr>
          <w:rFonts w:ascii="Calibri" w:hAnsi="Calibri"/>
          <w:b/>
          <w:i w:val="0"/>
          <w:sz w:val="20"/>
        </w:rPr>
        <w:t>Request Lifecycle</w:t>
      </w:r>
    </w:p>
    <w:p>
      <w:pPr>
        <w:pStyle w:val="ListNumber"/>
        <w:spacing w:after="60"/>
      </w:pPr>
      <w:r>
        <w:rPr>
          <w:rFonts w:ascii="Calibri" w:hAnsi="Calibri"/>
          <w:sz w:val="20"/>
        </w:rPr>
        <w:t>Request arrives at FastAPI with JWT in Authorization header</w:t>
      </w:r>
    </w:p>
    <w:p>
      <w:pPr>
        <w:pStyle w:val="ListNumber"/>
        <w:spacing w:after="60"/>
      </w:pPr>
      <w:r>
        <w:rPr>
          <w:rFonts w:ascii="Calibri" w:hAnsi="Calibri"/>
          <w:sz w:val="20"/>
        </w:rPr>
        <w:t>Auth middleware validates JWT, extracts tenant_id and user_id, attaches to request state</w:t>
      </w:r>
    </w:p>
    <w:p>
      <w:pPr>
        <w:pStyle w:val="ListNumber"/>
        <w:spacing w:after="60"/>
      </w:pPr>
      <w:r>
        <w:rPr>
          <w:rFonts w:ascii="Calibri" w:hAnsi="Calibri"/>
          <w:sz w:val="20"/>
        </w:rPr>
        <w:t>Audit middleware logs inbound request to audit_log</w:t>
      </w:r>
    </w:p>
    <w:p>
      <w:pPr>
        <w:pStyle w:val="ListNumber"/>
        <w:spacing w:after="60"/>
      </w:pPr>
      <w:r>
        <w:rPr>
          <w:rFonts w:ascii="Calibri" w:hAnsi="Calibri"/>
          <w:sz w:val="20"/>
        </w:rPr>
        <w:t>Router handler validates input via Pydantic request schema</w:t>
      </w:r>
    </w:p>
    <w:p>
      <w:pPr>
        <w:pStyle w:val="ListNumber"/>
        <w:spacing w:after="60"/>
      </w:pPr>
      <w:r>
        <w:rPr>
          <w:rFonts w:ascii="Calibri" w:hAnsi="Calibri"/>
          <w:sz w:val="20"/>
        </w:rPr>
        <w:t>Handler calls service layer (never calls ORM directly)</w:t>
      </w:r>
    </w:p>
    <w:p>
      <w:pPr>
        <w:pStyle w:val="ListNumber"/>
        <w:spacing w:after="60"/>
      </w:pPr>
      <w:r>
        <w:rPr>
          <w:rFonts w:ascii="Calibri" w:hAnsi="Calibri"/>
          <w:sz w:val="20"/>
        </w:rPr>
        <w:t>Service layer calls repository layer (all database queries isolated here)</w:t>
      </w:r>
    </w:p>
    <w:p>
      <w:pPr>
        <w:pStyle w:val="ListNumber"/>
        <w:spacing w:after="60"/>
      </w:pPr>
      <w:r>
        <w:rPr>
          <w:rFonts w:ascii="Calibri" w:hAnsi="Calibri"/>
          <w:sz w:val="20"/>
        </w:rPr>
        <w:t>For long operations: service dispatches Celery task, returns job_id immediately (202 Accepted)</w:t>
      </w:r>
    </w:p>
    <w:p>
      <w:pPr>
        <w:pStyle w:val="ListNumber"/>
        <w:spacing w:after="60"/>
      </w:pPr>
      <w:r>
        <w:rPr>
          <w:rFonts w:ascii="Calibri" w:hAnsi="Calibri"/>
          <w:sz w:val="20"/>
        </w:rPr>
        <w:t>Response serialized via Pydantic response schema</w:t>
      </w:r>
    </w:p>
    <w:p>
      <w:pPr>
        <w:spacing w:after="120" w:before="0"/>
      </w:pPr>
      <w:r>
        <w:rPr>
          <w:rFonts w:ascii="Calibri" w:hAnsi="Calibri"/>
          <w:b/>
          <w:i w:val="0"/>
          <w:sz w:val="20"/>
        </w:rPr>
        <w:t>Health Check Endpoints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Endpoint</w:t>
            </w:r>
          </w:p>
        </w:tc>
        <w:tc>
          <w:tcPr>
            <w:tcW w:type="dxa" w:w="5760"/>
            <w:shd w:val="clear" w:color="auto" w:fill="1F3864"/>
          </w:tcPr>
          <w:p>
            <w:pPr>
              <w:spacing w:after="0" w:before="0"/>
              <w:jc w:val="center"/>
            </w:pPr>
            <w:r/>
            <w:r>
              <w:rPr>
                <w:rFonts w:ascii="Calibri" w:hAnsi="Calibri"/>
                <w:b/>
                <w:color w:val="FFFFFF"/>
                <w:sz w:val="18"/>
              </w:rPr>
              <w:t>Purpose</w:t>
            </w:r>
          </w:p>
        </w:tc>
      </w:tr>
      <w:tr>
        <w:tc>
          <w:tcPr>
            <w:tcW w:type="dxa" w:w="2880"/>
            <w:shd w:val="clear" w:color="auto" w:fill="F2F2F2"/>
          </w:tcPr>
          <w:p>
            <w:pPr>
              <w:spacing w:after="0" w:before="0"/>
              <w:jc w:val="left"/>
            </w:pPr>
            <w:r/>
            <w:r>
              <w:rPr>
                <w:rFonts w:ascii="Calibri" w:hAnsi="Calibri"/>
                <w:b w:val="0"/>
                <w:sz w:val="18"/>
              </w:rPr>
              <w:t>GET /health</w:t>
            </w:r>
          </w:p>
        </w:tc>
        <w:tc>
          <w:tcPr>
            <w:tcW w:type="dxa" w:w="5760"/>
            <w:shd w:val="clear" w:color="auto" w:fill="F2F2F2"/>
          </w:tcPr>
          <w:p>
            <w:pPr>
              <w:spacing w:after="0" w:before="0"/>
              <w:jc w:val="left"/>
            </w:pPr>
            <w:r/>
            <w:r>
              <w:rPr>
                <w:rFonts w:ascii="Calibri" w:hAnsi="Calibri"/>
                <w:b w:val="0"/>
                <w:sz w:val="18"/>
              </w:rPr>
              <w:t>Liveness probe — returns 200 if process is running</w:t>
            </w:r>
          </w:p>
        </w:tc>
      </w:tr>
      <w:tr>
        <w:tc>
          <w:tcPr>
            <w:tcW w:type="dxa" w:w="2880"/>
            <w:shd w:val="clear" w:color="auto" w:fill="FFFFFF"/>
          </w:tcPr>
          <w:p>
            <w:pPr>
              <w:spacing w:after="0" w:before="0"/>
              <w:jc w:val="left"/>
            </w:pPr>
            <w:r/>
            <w:r>
              <w:rPr>
                <w:rFonts w:ascii="Calibri" w:hAnsi="Calibri"/>
                <w:b w:val="0"/>
                <w:sz w:val="18"/>
              </w:rPr>
              <w:t>GET /health/ready</w:t>
            </w:r>
          </w:p>
        </w:tc>
        <w:tc>
          <w:tcPr>
            <w:tcW w:type="dxa" w:w="5760"/>
            <w:shd w:val="clear" w:color="auto" w:fill="FFFFFF"/>
          </w:tcPr>
          <w:p>
            <w:pPr>
              <w:spacing w:after="0" w:before="0"/>
              <w:jc w:val="left"/>
            </w:pPr>
            <w:r/>
            <w:r>
              <w:rPr>
                <w:rFonts w:ascii="Calibri" w:hAnsi="Calibri"/>
                <w:b w:val="0"/>
                <w:sz w:val="18"/>
              </w:rPr>
              <w:t>Readiness probe — checks DB + Redis; returns 200 only if all healthy</w:t>
            </w:r>
          </w:p>
        </w:tc>
      </w:tr>
      <w:tr>
        <w:tc>
          <w:tcPr>
            <w:tcW w:type="dxa" w:w="2880"/>
            <w:shd w:val="clear" w:color="auto" w:fill="F2F2F2"/>
          </w:tcPr>
          <w:p>
            <w:pPr>
              <w:spacing w:after="0" w:before="0"/>
              <w:jc w:val="left"/>
            </w:pPr>
            <w:r/>
            <w:r>
              <w:rPr>
                <w:rFonts w:ascii="Calibri" w:hAnsi="Calibri"/>
                <w:b w:val="0"/>
                <w:sz w:val="18"/>
              </w:rPr>
              <w:t>GET /health/detailed</w:t>
            </w:r>
          </w:p>
        </w:tc>
        <w:tc>
          <w:tcPr>
            <w:tcW w:type="dxa" w:w="5760"/>
            <w:shd w:val="clear" w:color="auto" w:fill="F2F2F2"/>
          </w:tcPr>
          <w:p>
            <w:pPr>
              <w:spacing w:after="0" w:before="0"/>
              <w:jc w:val="left"/>
            </w:pPr>
            <w:r/>
            <w:r>
              <w:rPr>
                <w:rFonts w:ascii="Calibri" w:hAnsi="Calibri"/>
                <w:b w:val="0"/>
                <w:sz w:val="18"/>
              </w:rPr>
              <w:t>Internal only — component status, queue depths, dependency versions</w:t>
            </w:r>
          </w:p>
        </w:tc>
      </w:tr>
    </w:tbl>
    <w:p/>
    <w:p>
      <w:pPr>
        <w:spacing w:after="120" w:before="0"/>
      </w:pPr>
      <w:r>
        <w:rPr>
          <w:rFonts w:ascii="Calibri" w:hAnsi="Calibri"/>
          <w:b w:val="0"/>
          <w:i w:val="0"/>
          <w:sz w:val="20"/>
        </w:rPr>
        <w:t>Graceful Shutdown: On SIGTERM — stop accepting new requests, complete in-flight requests up to 30-second timeout, flush audit log buffer, close database connections cleanly.</w:t>
      </w:r>
    </w:p>
    <w:p>
      <w:r>
        <w:br w:type="page"/>
      </w:r>
    </w:p>
    <w:p>
      <w:pPr>
        <w:pStyle w:val="Heading1"/>
        <w:spacing w:before="280" w:after="80"/>
      </w:pPr>
      <w:r>
        <w:rPr>
          <w:rFonts w:ascii="Calibri" w:hAnsi="Calibri"/>
          <w:color w:val="1F3864"/>
          <w:sz w:val="32"/>
        </w:rPr>
        <w:t>Section 3 — Frontend Architecture</w:t>
      </w:r>
    </w:p>
    <w:p>
      <w:pPr>
        <w:spacing w:before="80" w:after="80"/>
        <w:pBdr>
          <w:bottom w:val="single" w:sz="6" w:space="1" w:color="2E75B6"/>
        </w:pBdr>
      </w:pPr>
    </w:p>
    <w:p>
      <w:pPr>
        <w:pStyle w:val="Heading2"/>
        <w:spacing w:before="280" w:after="80"/>
      </w:pPr>
      <w:r>
        <w:rPr>
          <w:rFonts w:ascii="Calibri" w:hAnsi="Calibri"/>
          <w:color w:val="2E75B6"/>
          <w:sz w:val="26"/>
        </w:rPr>
        <w:t>3.1  Missing Information</w:t>
      </w:r>
    </w:p>
    <w:p>
      <w:pPr>
        <w:pStyle w:val="ListBullet"/>
        <w:spacing w:after="60" w:before="0"/>
      </w:pPr>
      <w:r>
        <w:rPr>
          <w:rFonts w:ascii="Calibri" w:hAnsi="Calibri"/>
          <w:sz w:val="20"/>
        </w:rPr>
        <w:t>No state management strategy — no decision on how global and server state are managed</w:t>
      </w:r>
    </w:p>
    <w:p>
      <w:pPr>
        <w:pStyle w:val="ListBullet"/>
        <w:spacing w:after="60" w:before="0"/>
      </w:pPr>
      <w:r>
        <w:rPr>
          <w:rFonts w:ascii="Calibri" w:hAnsi="Calibri"/>
          <w:sz w:val="20"/>
        </w:rPr>
        <w:t>No component library selection</w:t>
      </w:r>
    </w:p>
    <w:p>
      <w:pPr>
        <w:pStyle w:val="ListBullet"/>
        <w:spacing w:after="60" w:before="0"/>
      </w:pPr>
      <w:r>
        <w:rPr>
          <w:rFonts w:ascii="Calibri" w:hAnsi="Calibri"/>
          <w:sz w:val="20"/>
        </w:rPr>
        <w:t>No real-time update mechanism for job progress (polling vs. WebSocket vs. SSE)</w:t>
      </w:r>
    </w:p>
    <w:p>
      <w:pPr>
        <w:pStyle w:val="ListBullet"/>
        <w:spacing w:after="60" w:before="0"/>
      </w:pPr>
      <w:r>
        <w:rPr>
          <w:rFonts w:ascii="Calibri" w:hAnsi="Calibri"/>
          <w:sz w:val="20"/>
        </w:rPr>
        <w:t>No error boundary design for graceful UI failure handling</w:t>
      </w:r>
    </w:p>
    <w:p>
      <w:pPr>
        <w:pStyle w:val="ListBullet"/>
        <w:spacing w:after="60" w:before="0"/>
      </w:pPr>
      <w:r>
        <w:rPr>
          <w:rFonts w:ascii="Calibri" w:hAnsi="Calibri"/>
          <w:sz w:val="20"/>
        </w:rPr>
        <w:t>No loading and empty state design patterns</w:t>
      </w:r>
    </w:p>
    <w:p>
      <w:pPr>
        <w:pStyle w:val="ListBullet"/>
        <w:spacing w:after="60" w:before="0"/>
      </w:pPr>
      <w:r>
        <w:rPr>
          <w:rFonts w:ascii="Calibri" w:hAnsi="Calibri"/>
          <w:sz w:val="20"/>
        </w:rPr>
        <w:t>No responsive design breakpoints defined</w:t>
      </w:r>
    </w:p>
    <w:p>
      <w:pPr>
        <w:pStyle w:val="ListBullet"/>
        <w:spacing w:after="60" w:before="0"/>
      </w:pPr>
      <w:r>
        <w:rPr>
          <w:rFonts w:ascii="Calibri" w:hAnsi="Calibri"/>
          <w:sz w:val="20"/>
        </w:rPr>
        <w:t>No accessibility standard specified</w:t>
      </w:r>
    </w:p>
    <w:p>
      <w:pPr>
        <w:pStyle w:val="ListBullet"/>
        <w:spacing w:after="60" w:before="0"/>
      </w:pPr>
      <w:r>
        <w:rPr>
          <w:rFonts w:ascii="Calibri" w:hAnsi="Calibri"/>
          <w:sz w:val="20"/>
        </w:rPr>
        <w:t>No internationalization strategy</w:t>
      </w:r>
    </w:p>
    <w:p>
      <w:pPr>
        <w:pStyle w:val="ListBullet"/>
        <w:spacing w:after="60" w:before="0"/>
      </w:pPr>
      <w:r>
        <w:rPr>
          <w:rFonts w:ascii="Calibri" w:hAnsi="Calibri"/>
          <w:sz w:val="20"/>
        </w:rPr>
        <w:t>No analytics or tracking design</w:t>
      </w:r>
    </w:p>
    <w:p>
      <w:pPr>
        <w:pStyle w:val="ListBullet"/>
        <w:spacing w:after="60" w:before="0"/>
      </w:pPr>
      <w:r>
        <w:rPr>
          <w:rFonts w:ascii="Calibri" w:hAnsi="Calibri"/>
          <w:sz w:val="20"/>
        </w:rPr>
        <w:t>No TypeScript API contract strategy — manual type maintenance will drift from backend</w:t>
      </w:r>
    </w:p>
    <w:p>
      <w:pPr>
        <w:pStyle w:val="Heading2"/>
        <w:spacing w:before="280" w:after="80"/>
      </w:pPr>
      <w:r>
        <w:rPr>
          <w:rFonts w:ascii="Calibri" w:hAnsi="Calibri"/>
          <w:color w:val="2E75B6"/>
          <w:sz w:val="26"/>
        </w:rPr>
        <w:t>3.2  Required Decisions</w:t>
      </w:r>
    </w:p>
    <w:p>
      <w:pPr>
        <w:spacing w:before="160" w:after="40"/>
      </w:pPr>
      <w:r>
        <w:rPr>
          <w:rFonts w:ascii="Calibri" w:hAnsi="Calibri"/>
          <w:b/>
          <w:color w:val="2E75B6"/>
          <w:sz w:val="20"/>
        </w:rPr>
        <w:t>Decision 1: State Management</w:t>
      </w:r>
    </w:p>
    <w:p>
      <w:pPr>
        <w:spacing w:after="40" w:before="0"/>
      </w:pPr>
      <w:r>
        <w:rPr>
          <w:rFonts w:ascii="Calibri" w:hAnsi="Calibri"/>
          <w:b w:val="0"/>
          <w:i/>
          <w:sz w:val="20"/>
        </w:rPr>
        <w:t>Options: React Context + useReducer, Zustand, Redux Toolkit, Jotai</w:t>
      </w:r>
    </w:p>
    <w:p>
      <w:pPr>
        <w:spacing w:after="120" w:before="0"/>
      </w:pPr>
      <w:r>
        <w:rPr>
          <w:rFonts w:ascii="Calibri" w:hAnsi="Calibri"/>
          <w:b w:val="0"/>
          <w:i w:val="0"/>
          <w:sz w:val="20"/>
        </w:rPr>
        <w:t>Recommendation: Zustand for global client state (auth session, active job status). TanStack Query (React Query) for all server state (data fetching, caching, background refetch). Redux is overkill for this application's complexity.</w:t>
      </w:r>
    </w:p>
    <w:p>
      <w:pPr>
        <w:spacing w:before="160" w:after="40"/>
      </w:pPr>
      <w:r>
        <w:rPr>
          <w:rFonts w:ascii="Calibri" w:hAnsi="Calibri"/>
          <w:b/>
          <w:color w:val="2E75B6"/>
          <w:sz w:val="20"/>
        </w:rPr>
        <w:t>Decision 2: Component Library</w:t>
      </w:r>
    </w:p>
    <w:p>
      <w:pPr>
        <w:spacing w:after="40" w:before="0"/>
      </w:pPr>
      <w:r>
        <w:rPr>
          <w:rFonts w:ascii="Calibri" w:hAnsi="Calibri"/>
          <w:b w:val="0"/>
          <w:i/>
          <w:sz w:val="20"/>
        </w:rPr>
        <w:t>Options: shadcn/ui, Radix UI, Chakra UI, MUI, Ant Design</w:t>
      </w:r>
    </w:p>
    <w:p>
      <w:pPr>
        <w:spacing w:after="120" w:before="0"/>
      </w:pPr>
      <w:r>
        <w:rPr>
          <w:rFonts w:ascii="Calibri" w:hAnsi="Calibri"/>
          <w:b w:val="0"/>
          <w:i w:val="0"/>
          <w:sz w:val="20"/>
        </w:rPr>
        <w:t>Recommendation: shadcn/ui built on Radix UI primitives. Unstyled accessible components + Tailwind CSS gives full design control. Financial data tables require custom column configurations that pre-built libraries handle poorly.</w:t>
      </w:r>
    </w:p>
    <w:p>
      <w:pPr>
        <w:spacing w:before="160" w:after="40"/>
      </w:pPr>
      <w:r>
        <w:rPr>
          <w:rFonts w:ascii="Calibri" w:hAnsi="Calibri"/>
          <w:b/>
          <w:color w:val="2E75B6"/>
          <w:sz w:val="20"/>
        </w:rPr>
        <w:t>Decision 3: Real-Time Job Progress Mechanism</w:t>
      </w:r>
    </w:p>
    <w:p>
      <w:pPr>
        <w:spacing w:after="40" w:before="0"/>
      </w:pPr>
      <w:r>
        <w:rPr>
          <w:rFonts w:ascii="Calibri" w:hAnsi="Calibri"/>
          <w:b w:val="0"/>
          <w:i/>
          <w:sz w:val="20"/>
        </w:rPr>
        <w:t>Options: Polling (setInterval), WebSocket, Server-Sent Events (SSE)</w:t>
      </w:r>
    </w:p>
    <w:p>
      <w:pPr>
        <w:spacing w:after="120" w:before="0"/>
      </w:pPr>
      <w:r>
        <w:rPr>
          <w:rFonts w:ascii="Calibri" w:hAnsi="Calibri"/>
          <w:b w:val="0"/>
          <w:i w:val="0"/>
          <w:sz w:val="20"/>
        </w:rPr>
        <w:t>Recommendation: Server-Sent Events (SSE). Job progress is unidirectional (server to client only). SSE is simpler than WebSocket, works through proxies and load balancers without special configuration, and is natively supported by FastAPI and browsers.</w:t>
      </w:r>
    </w:p>
    <w:p>
      <w:pPr>
        <w:spacing w:before="160" w:after="40"/>
      </w:pPr>
      <w:r>
        <w:rPr>
          <w:rFonts w:ascii="Calibri" w:hAnsi="Calibri"/>
          <w:b/>
          <w:color w:val="2E75B6"/>
          <w:sz w:val="20"/>
        </w:rPr>
        <w:t>Decision 4: Data Table Library</w:t>
      </w:r>
    </w:p>
    <w:p>
      <w:pPr>
        <w:spacing w:after="40" w:before="0"/>
      </w:pPr>
      <w:r>
        <w:rPr>
          <w:rFonts w:ascii="Calibri" w:hAnsi="Calibri"/>
          <w:b w:val="0"/>
          <w:i/>
          <w:sz w:val="20"/>
        </w:rPr>
        <w:t>Options: TanStack Table v8, AG Grid Community, react-table</w:t>
      </w:r>
    </w:p>
    <w:p>
      <w:pPr>
        <w:spacing w:after="120" w:before="0"/>
      </w:pPr>
      <w:r>
        <w:rPr>
          <w:rFonts w:ascii="Calibri" w:hAnsi="Calibri"/>
          <w:b w:val="0"/>
          <w:i w:val="0"/>
          <w:sz w:val="20"/>
        </w:rPr>
        <w:t>Recommendation: TanStack Table v8 (headless). Financial grids require column pinning, multi-level headers (FY groups), per-column number formatting, conditional formatting for negatives, and row grouping. TanStack Table provides all of these as headless primitives styled with Tailwind.</w:t>
      </w:r>
    </w:p>
    <w:p>
      <w:pPr>
        <w:spacing w:before="160" w:after="40"/>
      </w:pPr>
      <w:r>
        <w:rPr>
          <w:rFonts w:ascii="Calibri" w:hAnsi="Calibri"/>
          <w:b/>
          <w:color w:val="2E75B6"/>
          <w:sz w:val="20"/>
        </w:rPr>
        <w:t>Decision 5: TypeScript API Contract</w:t>
      </w:r>
    </w:p>
    <w:p>
      <w:pPr>
        <w:spacing w:after="40" w:before="0"/>
      </w:pPr>
      <w:r>
        <w:rPr>
          <w:rFonts w:ascii="Calibri" w:hAnsi="Calibri"/>
          <w:b w:val="0"/>
          <w:i/>
          <w:sz w:val="20"/>
        </w:rPr>
        <w:t>Options: Manually maintained types, openapi-typescript codegen</w:t>
      </w:r>
    </w:p>
    <w:p>
      <w:pPr>
        <w:spacing w:after="120" w:before="0"/>
      </w:pPr>
      <w:r>
        <w:rPr>
          <w:rFonts w:ascii="Calibri" w:hAnsi="Calibri"/>
          <w:b w:val="0"/>
          <w:i w:val="0"/>
          <w:sz w:val="20"/>
        </w:rPr>
        <w:t>Recommendation: Generate TypeScript types from FastAPI's OpenAPI schema automatically using openapi-typescript. Never manually maintain frontend type definitions for API responses — they will drift from the backend within weeks.</w:t>
      </w:r>
    </w:p>
    <w:p>
      <w:pPr>
        <w:pStyle w:val="Heading2"/>
        <w:spacing w:before="280" w:after="80"/>
      </w:pPr>
      <w:r>
        <w:rPr>
          <w:rFonts w:ascii="Calibri" w:hAnsi="Calibri"/>
          <w:color w:val="2E75B6"/>
          <w:sz w:val="26"/>
        </w:rPr>
        <w:t>3.3  Recommended Design</w:t>
      </w:r>
    </w:p>
    <w:p>
      <w:pPr>
        <w:spacing w:after="120" w:before="0"/>
      </w:pPr>
      <w:r>
        <w:rPr>
          <w:rFonts w:ascii="Calibri" w:hAnsi="Calibri"/>
          <w:b/>
          <w:i w:val="0"/>
          <w:sz w:val="20"/>
        </w:rPr>
        <w:t>Technology Stack</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Concern</w:t>
            </w:r>
          </w:p>
        </w:tc>
        <w:tc>
          <w:tcPr>
            <w:tcW w:type="dxa" w:w="5760"/>
            <w:shd w:val="clear" w:color="auto" w:fill="1F3864"/>
          </w:tcPr>
          <w:p>
            <w:pPr>
              <w:spacing w:after="0" w:before="0"/>
              <w:jc w:val="center"/>
            </w:pPr>
            <w:r/>
            <w:r>
              <w:rPr>
                <w:rFonts w:ascii="Calibri" w:hAnsi="Calibri"/>
                <w:b/>
                <w:color w:val="FFFFFF"/>
                <w:sz w:val="18"/>
              </w:rPr>
              <w:t>Technology</w:t>
            </w:r>
          </w:p>
        </w:tc>
      </w:tr>
      <w:tr>
        <w:tc>
          <w:tcPr>
            <w:tcW w:type="dxa" w:w="2880"/>
            <w:shd w:val="clear" w:color="auto" w:fill="F2F2F2"/>
          </w:tcPr>
          <w:p>
            <w:pPr>
              <w:spacing w:after="0" w:before="0"/>
              <w:jc w:val="left"/>
            </w:pPr>
            <w:r/>
            <w:r>
              <w:rPr>
                <w:rFonts w:ascii="Calibri" w:hAnsi="Calibri"/>
                <w:b w:val="0"/>
                <w:sz w:val="18"/>
              </w:rPr>
              <w:t>Framework</w:t>
            </w:r>
          </w:p>
        </w:tc>
        <w:tc>
          <w:tcPr>
            <w:tcW w:type="dxa" w:w="5760"/>
            <w:shd w:val="clear" w:color="auto" w:fill="F2F2F2"/>
          </w:tcPr>
          <w:p>
            <w:pPr>
              <w:spacing w:after="0" w:before="0"/>
              <w:jc w:val="left"/>
            </w:pPr>
            <w:r/>
            <w:r>
              <w:rPr>
                <w:rFonts w:ascii="Calibri" w:hAnsi="Calibri"/>
                <w:b w:val="0"/>
                <w:sz w:val="18"/>
              </w:rPr>
              <w:t>Next.js 14+ with App Router</w:t>
            </w:r>
          </w:p>
        </w:tc>
      </w:tr>
      <w:tr>
        <w:tc>
          <w:tcPr>
            <w:tcW w:type="dxa" w:w="2880"/>
            <w:shd w:val="clear" w:color="auto" w:fill="FFFFFF"/>
          </w:tcPr>
          <w:p>
            <w:pPr>
              <w:spacing w:after="0" w:before="0"/>
              <w:jc w:val="left"/>
            </w:pPr>
            <w:r/>
            <w:r>
              <w:rPr>
                <w:rFonts w:ascii="Calibri" w:hAnsi="Calibri"/>
                <w:b w:val="0"/>
                <w:sz w:val="18"/>
              </w:rPr>
              <w:t>Language</w:t>
            </w:r>
          </w:p>
        </w:tc>
        <w:tc>
          <w:tcPr>
            <w:tcW w:type="dxa" w:w="5760"/>
            <w:shd w:val="clear" w:color="auto" w:fill="FFFFFF"/>
          </w:tcPr>
          <w:p>
            <w:pPr>
              <w:spacing w:after="0" w:before="0"/>
              <w:jc w:val="left"/>
            </w:pPr>
            <w:r/>
            <w:r>
              <w:rPr>
                <w:rFonts w:ascii="Calibri" w:hAnsi="Calibri"/>
                <w:b w:val="0"/>
                <w:sz w:val="18"/>
              </w:rPr>
              <w:t>TypeScript 5.x strict mode (no any, no implicit any)</w:t>
            </w:r>
          </w:p>
        </w:tc>
      </w:tr>
      <w:tr>
        <w:tc>
          <w:tcPr>
            <w:tcW w:type="dxa" w:w="2880"/>
            <w:shd w:val="clear" w:color="auto" w:fill="F2F2F2"/>
          </w:tcPr>
          <w:p>
            <w:pPr>
              <w:spacing w:after="0" w:before="0"/>
              <w:jc w:val="left"/>
            </w:pPr>
            <w:r/>
            <w:r>
              <w:rPr>
                <w:rFonts w:ascii="Calibri" w:hAnsi="Calibri"/>
                <w:b w:val="0"/>
                <w:sz w:val="18"/>
              </w:rPr>
              <w:t>Styling</w:t>
            </w:r>
          </w:p>
        </w:tc>
        <w:tc>
          <w:tcPr>
            <w:tcW w:type="dxa" w:w="5760"/>
            <w:shd w:val="clear" w:color="auto" w:fill="F2F2F2"/>
          </w:tcPr>
          <w:p>
            <w:pPr>
              <w:spacing w:after="0" w:before="0"/>
              <w:jc w:val="left"/>
            </w:pPr>
            <w:r/>
            <w:r>
              <w:rPr>
                <w:rFonts w:ascii="Calibri" w:hAnsi="Calibri"/>
                <w:b w:val="0"/>
                <w:sz w:val="18"/>
              </w:rPr>
              <w:t>Tailwind CSS v3</w:t>
            </w:r>
          </w:p>
        </w:tc>
      </w:tr>
      <w:tr>
        <w:tc>
          <w:tcPr>
            <w:tcW w:type="dxa" w:w="2880"/>
            <w:shd w:val="clear" w:color="auto" w:fill="FFFFFF"/>
          </w:tcPr>
          <w:p>
            <w:pPr>
              <w:spacing w:after="0" w:before="0"/>
              <w:jc w:val="left"/>
            </w:pPr>
            <w:r/>
            <w:r>
              <w:rPr>
                <w:rFonts w:ascii="Calibri" w:hAnsi="Calibri"/>
                <w:b w:val="0"/>
                <w:sz w:val="18"/>
              </w:rPr>
              <w:t>Component Primitives</w:t>
            </w:r>
          </w:p>
        </w:tc>
        <w:tc>
          <w:tcPr>
            <w:tcW w:type="dxa" w:w="5760"/>
            <w:shd w:val="clear" w:color="auto" w:fill="FFFFFF"/>
          </w:tcPr>
          <w:p>
            <w:pPr>
              <w:spacing w:after="0" w:before="0"/>
              <w:jc w:val="left"/>
            </w:pPr>
            <w:r/>
            <w:r>
              <w:rPr>
                <w:rFonts w:ascii="Calibri" w:hAnsi="Calibri"/>
                <w:b w:val="0"/>
                <w:sz w:val="18"/>
              </w:rPr>
              <w:t>shadcn/ui + Radix UI</w:t>
            </w:r>
          </w:p>
        </w:tc>
      </w:tr>
      <w:tr>
        <w:tc>
          <w:tcPr>
            <w:tcW w:type="dxa" w:w="2880"/>
            <w:shd w:val="clear" w:color="auto" w:fill="F2F2F2"/>
          </w:tcPr>
          <w:p>
            <w:pPr>
              <w:spacing w:after="0" w:before="0"/>
              <w:jc w:val="left"/>
            </w:pPr>
            <w:r/>
            <w:r>
              <w:rPr>
                <w:rFonts w:ascii="Calibri" w:hAnsi="Calibri"/>
                <w:b w:val="0"/>
                <w:sz w:val="18"/>
              </w:rPr>
              <w:t>Server State</w:t>
            </w:r>
          </w:p>
        </w:tc>
        <w:tc>
          <w:tcPr>
            <w:tcW w:type="dxa" w:w="5760"/>
            <w:shd w:val="clear" w:color="auto" w:fill="F2F2F2"/>
          </w:tcPr>
          <w:p>
            <w:pPr>
              <w:spacing w:after="0" w:before="0"/>
              <w:jc w:val="left"/>
            </w:pPr>
            <w:r/>
            <w:r>
              <w:rPr>
                <w:rFonts w:ascii="Calibri" w:hAnsi="Calibri"/>
                <w:b w:val="0"/>
                <w:sz w:val="18"/>
              </w:rPr>
              <w:t>TanStack Query v5</w:t>
            </w:r>
          </w:p>
        </w:tc>
      </w:tr>
      <w:tr>
        <w:tc>
          <w:tcPr>
            <w:tcW w:type="dxa" w:w="2880"/>
            <w:shd w:val="clear" w:color="auto" w:fill="FFFFFF"/>
          </w:tcPr>
          <w:p>
            <w:pPr>
              <w:spacing w:after="0" w:before="0"/>
              <w:jc w:val="left"/>
            </w:pPr>
            <w:r/>
            <w:r>
              <w:rPr>
                <w:rFonts w:ascii="Calibri" w:hAnsi="Calibri"/>
                <w:b w:val="0"/>
                <w:sz w:val="18"/>
              </w:rPr>
              <w:t>Client State</w:t>
            </w:r>
          </w:p>
        </w:tc>
        <w:tc>
          <w:tcPr>
            <w:tcW w:type="dxa" w:w="5760"/>
            <w:shd w:val="clear" w:color="auto" w:fill="FFFFFF"/>
          </w:tcPr>
          <w:p>
            <w:pPr>
              <w:spacing w:after="0" w:before="0"/>
              <w:jc w:val="left"/>
            </w:pPr>
            <w:r/>
            <w:r>
              <w:rPr>
                <w:rFonts w:ascii="Calibri" w:hAnsi="Calibri"/>
                <w:b w:val="0"/>
                <w:sz w:val="18"/>
              </w:rPr>
              <w:t>Zustand v4</w:t>
            </w:r>
          </w:p>
        </w:tc>
      </w:tr>
      <w:tr>
        <w:tc>
          <w:tcPr>
            <w:tcW w:type="dxa" w:w="2880"/>
            <w:shd w:val="clear" w:color="auto" w:fill="F2F2F2"/>
          </w:tcPr>
          <w:p>
            <w:pPr>
              <w:spacing w:after="0" w:before="0"/>
              <w:jc w:val="left"/>
            </w:pPr>
            <w:r/>
            <w:r>
              <w:rPr>
                <w:rFonts w:ascii="Calibri" w:hAnsi="Calibri"/>
                <w:b w:val="0"/>
                <w:sz w:val="18"/>
              </w:rPr>
              <w:t>Forms</w:t>
            </w:r>
          </w:p>
        </w:tc>
        <w:tc>
          <w:tcPr>
            <w:tcW w:type="dxa" w:w="5760"/>
            <w:shd w:val="clear" w:color="auto" w:fill="F2F2F2"/>
          </w:tcPr>
          <w:p>
            <w:pPr>
              <w:spacing w:after="0" w:before="0"/>
              <w:jc w:val="left"/>
            </w:pPr>
            <w:r/>
            <w:r>
              <w:rPr>
                <w:rFonts w:ascii="Calibri" w:hAnsi="Calibri"/>
                <w:b w:val="0"/>
                <w:sz w:val="18"/>
              </w:rPr>
              <w:t>React Hook Form + Zod</w:t>
            </w:r>
          </w:p>
        </w:tc>
      </w:tr>
      <w:tr>
        <w:tc>
          <w:tcPr>
            <w:tcW w:type="dxa" w:w="2880"/>
            <w:shd w:val="clear" w:color="auto" w:fill="FFFFFF"/>
          </w:tcPr>
          <w:p>
            <w:pPr>
              <w:spacing w:after="0" w:before="0"/>
              <w:jc w:val="left"/>
            </w:pPr>
            <w:r/>
            <w:r>
              <w:rPr>
                <w:rFonts w:ascii="Calibri" w:hAnsi="Calibri"/>
                <w:b w:val="0"/>
                <w:sz w:val="18"/>
              </w:rPr>
              <w:t>Data Tables</w:t>
            </w:r>
          </w:p>
        </w:tc>
        <w:tc>
          <w:tcPr>
            <w:tcW w:type="dxa" w:w="5760"/>
            <w:shd w:val="clear" w:color="auto" w:fill="FFFFFF"/>
          </w:tcPr>
          <w:p>
            <w:pPr>
              <w:spacing w:after="0" w:before="0"/>
              <w:jc w:val="left"/>
            </w:pPr>
            <w:r/>
            <w:r>
              <w:rPr>
                <w:rFonts w:ascii="Calibri" w:hAnsi="Calibri"/>
                <w:b w:val="0"/>
                <w:sz w:val="18"/>
              </w:rPr>
              <w:t>TanStack Table v8</w:t>
            </w:r>
          </w:p>
        </w:tc>
      </w:tr>
      <w:tr>
        <w:tc>
          <w:tcPr>
            <w:tcW w:type="dxa" w:w="2880"/>
            <w:shd w:val="clear" w:color="auto" w:fill="F2F2F2"/>
          </w:tcPr>
          <w:p>
            <w:pPr>
              <w:spacing w:after="0" w:before="0"/>
              <w:jc w:val="left"/>
            </w:pPr>
            <w:r/>
            <w:r>
              <w:rPr>
                <w:rFonts w:ascii="Calibri" w:hAnsi="Calibri"/>
                <w:b w:val="0"/>
                <w:sz w:val="18"/>
              </w:rPr>
              <w:t>HTTP Client</w:t>
            </w:r>
          </w:p>
        </w:tc>
        <w:tc>
          <w:tcPr>
            <w:tcW w:type="dxa" w:w="5760"/>
            <w:shd w:val="clear" w:color="auto" w:fill="F2F2F2"/>
          </w:tcPr>
          <w:p>
            <w:pPr>
              <w:spacing w:after="0" w:before="0"/>
              <w:jc w:val="left"/>
            </w:pPr>
            <w:r/>
            <w:r>
              <w:rPr>
                <w:rFonts w:ascii="Calibri" w:hAnsi="Calibri"/>
                <w:b w:val="0"/>
                <w:sz w:val="18"/>
              </w:rPr>
              <w:t>Axios with typed response interceptors</w:t>
            </w:r>
          </w:p>
        </w:tc>
      </w:tr>
      <w:tr>
        <w:tc>
          <w:tcPr>
            <w:tcW w:type="dxa" w:w="2880"/>
            <w:shd w:val="clear" w:color="auto" w:fill="FFFFFF"/>
          </w:tcPr>
          <w:p>
            <w:pPr>
              <w:spacing w:after="0" w:before="0"/>
              <w:jc w:val="left"/>
            </w:pPr>
            <w:r/>
            <w:r>
              <w:rPr>
                <w:rFonts w:ascii="Calibri" w:hAnsi="Calibri"/>
                <w:b w:val="0"/>
                <w:sz w:val="18"/>
              </w:rPr>
              <w:t>Real-Time</w:t>
            </w:r>
          </w:p>
        </w:tc>
        <w:tc>
          <w:tcPr>
            <w:tcW w:type="dxa" w:w="5760"/>
            <w:shd w:val="clear" w:color="auto" w:fill="FFFFFF"/>
          </w:tcPr>
          <w:p>
            <w:pPr>
              <w:spacing w:after="0" w:before="0"/>
              <w:jc w:val="left"/>
            </w:pPr>
            <w:r/>
            <w:r>
              <w:rPr>
                <w:rFonts w:ascii="Calibri" w:hAnsi="Calibri"/>
                <w:b w:val="0"/>
                <w:sz w:val="18"/>
              </w:rPr>
              <w:t>Native EventSource (SSE)</w:t>
            </w:r>
          </w:p>
        </w:tc>
      </w:tr>
      <w:tr>
        <w:tc>
          <w:tcPr>
            <w:tcW w:type="dxa" w:w="2880"/>
            <w:shd w:val="clear" w:color="auto" w:fill="F2F2F2"/>
          </w:tcPr>
          <w:p>
            <w:pPr>
              <w:spacing w:after="0" w:before="0"/>
              <w:jc w:val="left"/>
            </w:pPr>
            <w:r/>
            <w:r>
              <w:rPr>
                <w:rFonts w:ascii="Calibri" w:hAnsi="Calibri"/>
                <w:b w:val="0"/>
                <w:sz w:val="18"/>
              </w:rPr>
              <w:t>Accessibility</w:t>
            </w:r>
          </w:p>
        </w:tc>
        <w:tc>
          <w:tcPr>
            <w:tcW w:type="dxa" w:w="5760"/>
            <w:shd w:val="clear" w:color="auto" w:fill="F2F2F2"/>
          </w:tcPr>
          <w:p>
            <w:pPr>
              <w:spacing w:after="0" w:before="0"/>
              <w:jc w:val="left"/>
            </w:pPr>
            <w:r/>
            <w:r>
              <w:rPr>
                <w:rFonts w:ascii="Calibri" w:hAnsi="Calibri"/>
                <w:b w:val="0"/>
                <w:sz w:val="18"/>
              </w:rPr>
              <w:t>WCAG 2.1 AA minimum</w:t>
            </w:r>
          </w:p>
        </w:tc>
      </w:tr>
    </w:tbl>
    <w:p/>
    <w:p>
      <w:pPr>
        <w:spacing w:after="120" w:before="0"/>
      </w:pPr>
      <w:r>
        <w:rPr>
          <w:rFonts w:ascii="Calibri" w:hAnsi="Calibri"/>
          <w:b/>
          <w:i w:val="0"/>
          <w:sz w:val="20"/>
        </w:rPr>
        <w:t>Page Structure</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3600"/>
            <w:shd w:val="clear" w:color="auto" w:fill="1F3864"/>
          </w:tcPr>
          <w:p>
            <w:pPr>
              <w:spacing w:after="0" w:before="0"/>
              <w:jc w:val="center"/>
            </w:pPr>
            <w:r/>
            <w:r>
              <w:rPr>
                <w:rFonts w:ascii="Calibri" w:hAnsi="Calibri"/>
                <w:b/>
                <w:color w:val="FFFFFF"/>
                <w:sz w:val="18"/>
              </w:rPr>
              <w:t>Route</w:t>
            </w:r>
          </w:p>
        </w:tc>
        <w:tc>
          <w:tcPr>
            <w:tcW w:type="dxa" w:w="5040"/>
            <w:shd w:val="clear" w:color="auto" w:fill="1F3864"/>
          </w:tcPr>
          <w:p>
            <w:pPr>
              <w:spacing w:after="0" w:before="0"/>
              <w:jc w:val="center"/>
            </w:pPr>
            <w:r/>
            <w:r>
              <w:rPr>
                <w:rFonts w:ascii="Calibri" w:hAnsi="Calibri"/>
                <w:b/>
                <w:color w:val="FFFFFF"/>
                <w:sz w:val="18"/>
              </w:rPr>
              <w:t>Purpose</w:t>
            </w:r>
          </w:p>
        </w:tc>
      </w:tr>
      <w:tr>
        <w:tc>
          <w:tcPr>
            <w:tcW w:type="dxa" w:w="3600"/>
            <w:shd w:val="clear" w:color="auto" w:fill="F2F2F2"/>
          </w:tcPr>
          <w:p>
            <w:pPr>
              <w:spacing w:after="0" w:before="0"/>
              <w:jc w:val="left"/>
            </w:pPr>
            <w:r/>
            <w:r>
              <w:rPr>
                <w:rFonts w:ascii="Calibri" w:hAnsi="Calibri"/>
                <w:b w:val="0"/>
                <w:sz w:val="18"/>
              </w:rPr>
              <w:t>/login</w:t>
            </w:r>
          </w:p>
        </w:tc>
        <w:tc>
          <w:tcPr>
            <w:tcW w:type="dxa" w:w="5040"/>
            <w:shd w:val="clear" w:color="auto" w:fill="F2F2F2"/>
          </w:tcPr>
          <w:p>
            <w:pPr>
              <w:spacing w:after="0" w:before="0"/>
              <w:jc w:val="left"/>
            </w:pPr>
            <w:r/>
            <w:r>
              <w:rPr>
                <w:rFonts w:ascii="Calibri" w:hAnsi="Calibri"/>
                <w:b w:val="0"/>
                <w:sz w:val="18"/>
              </w:rPr>
              <w:t>Authentication</w:t>
            </w:r>
          </w:p>
        </w:tc>
      </w:tr>
      <w:tr>
        <w:tc>
          <w:tcPr>
            <w:tcW w:type="dxa" w:w="3600"/>
            <w:shd w:val="clear" w:color="auto" w:fill="FFFFFF"/>
          </w:tcPr>
          <w:p>
            <w:pPr>
              <w:spacing w:after="0" w:before="0"/>
              <w:jc w:val="left"/>
            </w:pPr>
            <w:r/>
            <w:r>
              <w:rPr>
                <w:rFonts w:ascii="Calibri" w:hAnsi="Calibri"/>
                <w:b w:val="0"/>
                <w:sz w:val="18"/>
              </w:rPr>
              <w:t>/register</w:t>
            </w:r>
          </w:p>
        </w:tc>
        <w:tc>
          <w:tcPr>
            <w:tcW w:type="dxa" w:w="5040"/>
            <w:shd w:val="clear" w:color="auto" w:fill="FFFFFF"/>
          </w:tcPr>
          <w:p>
            <w:pPr>
              <w:spacing w:after="0" w:before="0"/>
              <w:jc w:val="left"/>
            </w:pPr>
            <w:r/>
            <w:r>
              <w:rPr>
                <w:rFonts w:ascii="Calibri" w:hAnsi="Calibri"/>
                <w:b w:val="0"/>
                <w:sz w:val="18"/>
              </w:rPr>
              <w:t>User registration</w:t>
            </w:r>
          </w:p>
        </w:tc>
      </w:tr>
      <w:tr>
        <w:tc>
          <w:tcPr>
            <w:tcW w:type="dxa" w:w="3600"/>
            <w:shd w:val="clear" w:color="auto" w:fill="F2F2F2"/>
          </w:tcPr>
          <w:p>
            <w:pPr>
              <w:spacing w:after="0" w:before="0"/>
              <w:jc w:val="left"/>
            </w:pPr>
            <w:r/>
            <w:r>
              <w:rPr>
                <w:rFonts w:ascii="Calibri" w:hAnsi="Calibri"/>
                <w:b w:val="0"/>
                <w:sz w:val="18"/>
              </w:rPr>
              <w:t>/dashboard</w:t>
            </w:r>
          </w:p>
        </w:tc>
        <w:tc>
          <w:tcPr>
            <w:tcW w:type="dxa" w:w="5040"/>
            <w:shd w:val="clear" w:color="auto" w:fill="F2F2F2"/>
          </w:tcPr>
          <w:p>
            <w:pPr>
              <w:spacing w:after="0" w:before="0"/>
              <w:jc w:val="left"/>
            </w:pPr>
            <w:r/>
            <w:r>
              <w:rPr>
                <w:rFonts w:ascii="Calibri" w:hAnsi="Calibri"/>
                <w:b w:val="0"/>
                <w:sz w:val="18"/>
              </w:rPr>
              <w:t>Main workspace — recent jobs and exports</w:t>
            </w:r>
          </w:p>
        </w:tc>
      </w:tr>
      <w:tr>
        <w:tc>
          <w:tcPr>
            <w:tcW w:type="dxa" w:w="3600"/>
            <w:shd w:val="clear" w:color="auto" w:fill="FFFFFF"/>
          </w:tcPr>
          <w:p>
            <w:pPr>
              <w:spacing w:after="0" w:before="0"/>
              <w:jc w:val="left"/>
            </w:pPr>
            <w:r/>
            <w:r>
              <w:rPr>
                <w:rFonts w:ascii="Calibri" w:hAnsi="Calibri"/>
                <w:b w:val="0"/>
                <w:sz w:val="18"/>
              </w:rPr>
              <w:t>/companies/search</w:t>
            </w:r>
          </w:p>
        </w:tc>
        <w:tc>
          <w:tcPr>
            <w:tcW w:type="dxa" w:w="5040"/>
            <w:shd w:val="clear" w:color="auto" w:fill="FFFFFF"/>
          </w:tcPr>
          <w:p>
            <w:pPr>
              <w:spacing w:after="0" w:before="0"/>
              <w:jc w:val="left"/>
            </w:pPr>
            <w:r/>
            <w:r>
              <w:rPr>
                <w:rFonts w:ascii="Calibri" w:hAnsi="Calibri"/>
                <w:b w:val="0"/>
                <w:sz w:val="18"/>
              </w:rPr>
              <w:t>Company search results and autocomplete</w:t>
            </w:r>
          </w:p>
        </w:tc>
      </w:tr>
      <w:tr>
        <w:tc>
          <w:tcPr>
            <w:tcW w:type="dxa" w:w="3600"/>
            <w:shd w:val="clear" w:color="auto" w:fill="F2F2F2"/>
          </w:tcPr>
          <w:p>
            <w:pPr>
              <w:spacing w:after="0" w:before="0"/>
              <w:jc w:val="left"/>
            </w:pPr>
            <w:r/>
            <w:r>
              <w:rPr>
                <w:rFonts w:ascii="Calibri" w:hAnsi="Calibri"/>
                <w:b w:val="0"/>
                <w:sz w:val="18"/>
              </w:rPr>
              <w:t>/jobs/[id]</w:t>
            </w:r>
          </w:p>
        </w:tc>
        <w:tc>
          <w:tcPr>
            <w:tcW w:type="dxa" w:w="5040"/>
            <w:shd w:val="clear" w:color="auto" w:fill="F2F2F2"/>
          </w:tcPr>
          <w:p>
            <w:pPr>
              <w:spacing w:after="0" w:before="0"/>
              <w:jc w:val="left"/>
            </w:pPr>
            <w:r/>
            <w:r>
              <w:rPr>
                <w:rFonts w:ascii="Calibri" w:hAnsi="Calibri"/>
                <w:b w:val="0"/>
                <w:sz w:val="18"/>
              </w:rPr>
              <w:t>Job detail with live SSE progress tracker</w:t>
            </w:r>
          </w:p>
        </w:tc>
      </w:tr>
      <w:tr>
        <w:tc>
          <w:tcPr>
            <w:tcW w:type="dxa" w:w="3600"/>
            <w:shd w:val="clear" w:color="auto" w:fill="FFFFFF"/>
          </w:tcPr>
          <w:p>
            <w:pPr>
              <w:spacing w:after="0" w:before="0"/>
              <w:jc w:val="left"/>
            </w:pPr>
            <w:r/>
            <w:r>
              <w:rPr>
                <w:rFonts w:ascii="Calibri" w:hAnsi="Calibri"/>
                <w:b w:val="0"/>
                <w:sz w:val="18"/>
              </w:rPr>
              <w:t>/exports</w:t>
            </w:r>
          </w:p>
        </w:tc>
        <w:tc>
          <w:tcPr>
            <w:tcW w:type="dxa" w:w="5040"/>
            <w:shd w:val="clear" w:color="auto" w:fill="FFFFFF"/>
          </w:tcPr>
          <w:p>
            <w:pPr>
              <w:spacing w:after="0" w:before="0"/>
              <w:jc w:val="left"/>
            </w:pPr>
            <w:r/>
            <w:r>
              <w:rPr>
                <w:rFonts w:ascii="Calibri" w:hAnsi="Calibri"/>
                <w:b w:val="0"/>
                <w:sz w:val="18"/>
              </w:rPr>
              <w:t>Export history and download centre</w:t>
            </w:r>
          </w:p>
        </w:tc>
      </w:tr>
      <w:tr>
        <w:tc>
          <w:tcPr>
            <w:tcW w:type="dxa" w:w="3600"/>
            <w:shd w:val="clear" w:color="auto" w:fill="F2F2F2"/>
          </w:tcPr>
          <w:p>
            <w:pPr>
              <w:spacing w:after="0" w:before="0"/>
              <w:jc w:val="left"/>
            </w:pPr>
            <w:r/>
            <w:r>
              <w:rPr>
                <w:rFonts w:ascii="Calibri" w:hAnsi="Calibri"/>
                <w:b w:val="0"/>
                <w:sz w:val="18"/>
              </w:rPr>
              <w:t>/settings</w:t>
            </w:r>
          </w:p>
        </w:tc>
        <w:tc>
          <w:tcPr>
            <w:tcW w:type="dxa" w:w="5040"/>
            <w:shd w:val="clear" w:color="auto" w:fill="F2F2F2"/>
          </w:tcPr>
          <w:p>
            <w:pPr>
              <w:spacing w:after="0" w:before="0"/>
              <w:jc w:val="left"/>
            </w:pPr>
            <w:r/>
            <w:r>
              <w:rPr>
                <w:rFonts w:ascii="Calibri" w:hAnsi="Calibri"/>
                <w:b w:val="0"/>
                <w:sz w:val="18"/>
              </w:rPr>
              <w:t>User profile and workspace settings</w:t>
            </w:r>
          </w:p>
        </w:tc>
      </w:tr>
    </w:tbl>
    <w:p/>
    <w:p>
      <w:pPr>
        <w:spacing w:after="120" w:before="0"/>
      </w:pPr>
      <w:r>
        <w:rPr>
          <w:rFonts w:ascii="Calibri" w:hAnsi="Calibri"/>
          <w:b/>
          <w:i w:val="0"/>
          <w:sz w:val="20"/>
        </w:rPr>
        <w:t>Key Frontend Components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Component</w:t>
            </w:r>
          </w:p>
        </w:tc>
        <w:tc>
          <w:tcPr>
            <w:tcW w:type="dxa" w:w="5760"/>
            <w:shd w:val="clear" w:color="auto" w:fill="1F3864"/>
          </w:tcPr>
          <w:p>
            <w:pPr>
              <w:spacing w:after="0" w:before="0"/>
              <w:jc w:val="center"/>
            </w:pPr>
            <w:r/>
            <w:r>
              <w:rPr>
                <w:rFonts w:ascii="Calibri" w:hAnsi="Calibri"/>
                <w:b/>
                <w:color w:val="FFFFFF"/>
                <w:sz w:val="18"/>
              </w:rPr>
              <w:t>Responsibility</w:t>
            </w:r>
          </w:p>
        </w:tc>
      </w:tr>
      <w:tr>
        <w:tc>
          <w:tcPr>
            <w:tcW w:type="dxa" w:w="2880"/>
            <w:shd w:val="clear" w:color="auto" w:fill="F2F2F2"/>
          </w:tcPr>
          <w:p>
            <w:pPr>
              <w:spacing w:after="0" w:before="0"/>
              <w:jc w:val="left"/>
            </w:pPr>
            <w:r/>
            <w:r>
              <w:rPr>
                <w:rFonts w:ascii="Calibri" w:hAnsi="Calibri"/>
                <w:b w:val="0"/>
                <w:sz w:val="18"/>
              </w:rPr>
              <w:t>CompanySearchBar</w:t>
            </w:r>
          </w:p>
        </w:tc>
        <w:tc>
          <w:tcPr>
            <w:tcW w:type="dxa" w:w="5760"/>
            <w:shd w:val="clear" w:color="auto" w:fill="F2F2F2"/>
          </w:tcPr>
          <w:p>
            <w:pPr>
              <w:spacing w:after="0" w:before="0"/>
              <w:jc w:val="left"/>
            </w:pPr>
            <w:r/>
            <w:r>
              <w:rPr>
                <w:rFonts w:ascii="Calibri" w:hAnsi="Calibri"/>
                <w:b w:val="0"/>
                <w:sz w:val="18"/>
              </w:rPr>
              <w:t>Autocomplete with debounced API search; shows ticker + exchange in suggestions</w:t>
            </w:r>
          </w:p>
        </w:tc>
      </w:tr>
      <w:tr>
        <w:tc>
          <w:tcPr>
            <w:tcW w:type="dxa" w:w="2880"/>
            <w:shd w:val="clear" w:color="auto" w:fill="FFFFFF"/>
          </w:tcPr>
          <w:p>
            <w:pPr>
              <w:spacing w:after="0" w:before="0"/>
              <w:jc w:val="left"/>
            </w:pPr>
            <w:r/>
            <w:r>
              <w:rPr>
                <w:rFonts w:ascii="Calibri" w:hAnsi="Calibri"/>
                <w:b w:val="0"/>
                <w:sz w:val="18"/>
              </w:rPr>
              <w:t>JobProgressTracker</w:t>
            </w:r>
          </w:p>
        </w:tc>
        <w:tc>
          <w:tcPr>
            <w:tcW w:type="dxa" w:w="5760"/>
            <w:shd w:val="clear" w:color="auto" w:fill="FFFFFF"/>
          </w:tcPr>
          <w:p>
            <w:pPr>
              <w:spacing w:after="0" w:before="0"/>
              <w:jc w:val="left"/>
            </w:pPr>
            <w:r/>
            <w:r>
              <w:rPr>
                <w:rFonts w:ascii="Calibri" w:hAnsi="Calibri"/>
                <w:b w:val="0"/>
                <w:sz w:val="18"/>
              </w:rPr>
              <w:t>SSE-connected component; pipeline steps with status indicators and live progress %</w:t>
            </w:r>
          </w:p>
        </w:tc>
      </w:tr>
      <w:tr>
        <w:tc>
          <w:tcPr>
            <w:tcW w:type="dxa" w:w="2880"/>
            <w:shd w:val="clear" w:color="auto" w:fill="F2F2F2"/>
          </w:tcPr>
          <w:p>
            <w:pPr>
              <w:spacing w:after="0" w:before="0"/>
              <w:jc w:val="left"/>
            </w:pPr>
            <w:r/>
            <w:r>
              <w:rPr>
                <w:rFonts w:ascii="Calibri" w:hAnsi="Calibri"/>
                <w:b w:val="0"/>
                <w:sz w:val="18"/>
              </w:rPr>
              <w:t>FinancialDataGrid</w:t>
            </w:r>
          </w:p>
        </w:tc>
        <w:tc>
          <w:tcPr>
            <w:tcW w:type="dxa" w:w="5760"/>
            <w:shd w:val="clear" w:color="auto" w:fill="F2F2F2"/>
          </w:tcPr>
          <w:p>
            <w:pPr>
              <w:spacing w:after="0" w:before="0"/>
              <w:jc w:val="left"/>
            </w:pPr>
            <w:r/>
            <w:r>
              <w:rPr>
                <w:rFonts w:ascii="Calibri" w:hAnsi="Calibri"/>
                <w:b w:val="0"/>
                <w:sz w:val="18"/>
              </w:rPr>
              <w:t>Multi-year statement display with number formatting, growth indicators, and confidence overlays</w:t>
            </w:r>
          </w:p>
        </w:tc>
      </w:tr>
      <w:tr>
        <w:tc>
          <w:tcPr>
            <w:tcW w:type="dxa" w:w="2880"/>
            <w:shd w:val="clear" w:color="auto" w:fill="FFFFFF"/>
          </w:tcPr>
          <w:p>
            <w:pPr>
              <w:spacing w:after="0" w:before="0"/>
              <w:jc w:val="left"/>
            </w:pPr>
            <w:r/>
            <w:r>
              <w:rPr>
                <w:rFonts w:ascii="Calibri" w:hAnsi="Calibri"/>
                <w:b w:val="0"/>
                <w:sz w:val="18"/>
              </w:rPr>
              <w:t>ExportConfigPanel</w:t>
            </w:r>
          </w:p>
        </w:tc>
        <w:tc>
          <w:tcPr>
            <w:tcW w:type="dxa" w:w="5760"/>
            <w:shd w:val="clear" w:color="auto" w:fill="FFFFFF"/>
          </w:tcPr>
          <w:p>
            <w:pPr>
              <w:spacing w:after="0" w:before="0"/>
              <w:jc w:val="left"/>
            </w:pPr>
            <w:r/>
            <w:r>
              <w:rPr>
                <w:rFonts w:ascii="Calibri" w:hAnsi="Calibri"/>
                <w:b w:val="0"/>
                <w:sz w:val="18"/>
              </w:rPr>
              <w:t>Pre-export configuration: years, periods, currency preference, filename</w:t>
            </w:r>
          </w:p>
        </w:tc>
      </w:tr>
      <w:tr>
        <w:tc>
          <w:tcPr>
            <w:tcW w:type="dxa" w:w="2880"/>
            <w:shd w:val="clear" w:color="auto" w:fill="F2F2F2"/>
          </w:tcPr>
          <w:p>
            <w:pPr>
              <w:spacing w:after="0" w:before="0"/>
              <w:jc w:val="left"/>
            </w:pPr>
            <w:r/>
            <w:r>
              <w:rPr>
                <w:rFonts w:ascii="Calibri" w:hAnsi="Calibri"/>
                <w:b w:val="0"/>
                <w:sz w:val="18"/>
              </w:rPr>
              <w:t>ValidationSummaryCard</w:t>
            </w:r>
          </w:p>
        </w:tc>
        <w:tc>
          <w:tcPr>
            <w:tcW w:type="dxa" w:w="5760"/>
            <w:shd w:val="clear" w:color="auto" w:fill="F2F2F2"/>
          </w:tcPr>
          <w:p>
            <w:pPr>
              <w:spacing w:after="0" w:before="0"/>
              <w:jc w:val="left"/>
            </w:pPr>
            <w:r/>
            <w:r>
              <w:rPr>
                <w:rFonts w:ascii="Calibri" w:hAnsi="Calibri"/>
                <w:b w:val="0"/>
                <w:sz w:val="18"/>
              </w:rPr>
              <w:t>Confidence scores and flagged validation items before export</w:t>
            </w:r>
          </w:p>
        </w:tc>
      </w:tr>
      <w:tr>
        <w:tc>
          <w:tcPr>
            <w:tcW w:type="dxa" w:w="2880"/>
            <w:shd w:val="clear" w:color="auto" w:fill="FFFFFF"/>
          </w:tcPr>
          <w:p>
            <w:pPr>
              <w:spacing w:after="0" w:before="0"/>
              <w:jc w:val="left"/>
            </w:pPr>
            <w:r/>
            <w:r>
              <w:rPr>
                <w:rFonts w:ascii="Calibri" w:hAnsi="Calibri"/>
                <w:b w:val="0"/>
                <w:sz w:val="18"/>
              </w:rPr>
              <w:t>SourceAttributionPanel</w:t>
            </w:r>
          </w:p>
        </w:tc>
        <w:tc>
          <w:tcPr>
            <w:tcW w:type="dxa" w:w="5760"/>
            <w:shd w:val="clear" w:color="auto" w:fill="FFFFFF"/>
          </w:tcPr>
          <w:p>
            <w:pPr>
              <w:spacing w:after="0" w:before="0"/>
              <w:jc w:val="left"/>
            </w:pPr>
            <w:r/>
            <w:r>
              <w:rPr>
                <w:rFonts w:ascii="Calibri" w:hAnsi="Calibri"/>
                <w:b w:val="0"/>
                <w:sz w:val="18"/>
              </w:rPr>
              <w:t>Shows which source document each data point was extracted from</w:t>
            </w:r>
          </w:p>
        </w:tc>
      </w:tr>
    </w:tbl>
    <w:p/>
    <w:p>
      <w:r>
        <w:br w:type="page"/>
      </w:r>
    </w:p>
    <w:p>
      <w:pPr>
        <w:pStyle w:val="Heading1"/>
        <w:spacing w:before="280" w:after="80"/>
      </w:pPr>
      <w:r>
        <w:rPr>
          <w:rFonts w:ascii="Calibri" w:hAnsi="Calibri"/>
          <w:color w:val="1F3864"/>
          <w:sz w:val="32"/>
        </w:rPr>
        <w:t>Section 4 — Document Ingestion Pipeline</w:t>
      </w:r>
    </w:p>
    <w:p>
      <w:pPr>
        <w:spacing w:before="80" w:after="80"/>
        <w:pBdr>
          <w:bottom w:val="single" w:sz="6" w:space="1" w:color="2E75B6"/>
        </w:pBdr>
      </w:pPr>
    </w:p>
    <w:p>
      <w:pPr>
        <w:pStyle w:val="Heading2"/>
        <w:spacing w:before="280" w:after="80"/>
      </w:pPr>
      <w:r>
        <w:rPr>
          <w:rFonts w:ascii="Calibri" w:hAnsi="Calibri"/>
          <w:color w:val="2E75B6"/>
          <w:sz w:val="26"/>
        </w:rPr>
        <w:t>4.1  Missing Information</w:t>
      </w:r>
    </w:p>
    <w:p>
      <w:pPr>
        <w:pStyle w:val="ListBullet"/>
        <w:spacing w:after="60" w:before="0"/>
      </w:pPr>
      <w:r>
        <w:rPr>
          <w:rFonts w:ascii="Calibri" w:hAnsi="Calibri"/>
          <w:sz w:val="20"/>
        </w:rPr>
        <w:t>No document classification logic defined — system cannot distinguish 10-K from earnings release</w:t>
      </w:r>
    </w:p>
    <w:p>
      <w:pPr>
        <w:pStyle w:val="ListBullet"/>
        <w:spacing w:after="60" w:before="0"/>
      </w:pPr>
      <w:r>
        <w:rPr>
          <w:rFonts w:ascii="Calibri" w:hAnsi="Calibri"/>
          <w:sz w:val="20"/>
        </w:rPr>
        <w:t>No parser selection strategy — which library handles which document format</w:t>
      </w:r>
    </w:p>
    <w:p>
      <w:pPr>
        <w:pStyle w:val="ListBullet"/>
        <w:spacing w:after="60" w:before="0"/>
      </w:pPr>
      <w:r>
        <w:rPr>
          <w:rFonts w:ascii="Calibri" w:hAnsi="Calibri"/>
          <w:sz w:val="20"/>
        </w:rPr>
        <w:t>No quality scoring for extraction output — no way to decide when to escalate to AI</w:t>
      </w:r>
    </w:p>
    <w:p>
      <w:pPr>
        <w:pStyle w:val="ListBullet"/>
        <w:spacing w:after="60" w:before="0"/>
      </w:pPr>
      <w:r>
        <w:rPr>
          <w:rFonts w:ascii="Calibri" w:hAnsi="Calibri"/>
          <w:sz w:val="20"/>
        </w:rPr>
        <w:t>No handling of password-protected PDFs</w:t>
      </w:r>
    </w:p>
    <w:p>
      <w:pPr>
        <w:pStyle w:val="ListBullet"/>
        <w:spacing w:after="60" w:before="0"/>
      </w:pPr>
      <w:r>
        <w:rPr>
          <w:rFonts w:ascii="Calibri" w:hAnsi="Calibri"/>
          <w:sz w:val="20"/>
        </w:rPr>
        <w:t>No handling of scanned / image-based PDFs</w:t>
      </w:r>
    </w:p>
    <w:p>
      <w:pPr>
        <w:pStyle w:val="ListBullet"/>
        <w:spacing w:after="60" w:before="0"/>
      </w:pPr>
      <w:r>
        <w:rPr>
          <w:rFonts w:ascii="Calibri" w:hAnsi="Calibri"/>
          <w:sz w:val="20"/>
        </w:rPr>
        <w:t>No handling of multi-language documents</w:t>
      </w:r>
    </w:p>
    <w:p>
      <w:pPr>
        <w:pStyle w:val="ListBullet"/>
        <w:spacing w:after="60" w:before="0"/>
      </w:pPr>
      <w:r>
        <w:rPr>
          <w:rFonts w:ascii="Calibri" w:hAnsi="Calibri"/>
          <w:sz w:val="20"/>
        </w:rPr>
        <w:t>No page-level provenance design — extracted numbers cannot be traced back to source page</w:t>
      </w:r>
    </w:p>
    <w:p>
      <w:pPr>
        <w:pStyle w:val="ListBullet"/>
        <w:spacing w:after="60" w:before="0"/>
      </w:pPr>
      <w:r>
        <w:rPr>
          <w:rFonts w:ascii="Calibri" w:hAnsi="Calibri"/>
          <w:sz w:val="20"/>
        </w:rPr>
        <w:t>No XBRL / iXBRL parsing strategy — this is the most important gap for US companies</w:t>
      </w:r>
    </w:p>
    <w:p>
      <w:pPr>
        <w:pStyle w:val="ListBullet"/>
        <w:spacing w:after="60" w:before="0"/>
      </w:pPr>
      <w:r>
        <w:rPr>
          <w:rFonts w:ascii="Calibri" w:hAnsi="Calibri"/>
          <w:sz w:val="20"/>
        </w:rPr>
        <w:t>No handling of HTML-format SEC filings (EDGAR increasingly publishes iXBRL HTML, not PDF)</w:t>
      </w:r>
    </w:p>
    <w:p>
      <w:pPr>
        <w:pStyle w:val="ListBullet"/>
        <w:spacing w:after="60" w:before="0"/>
      </w:pPr>
      <w:r>
        <w:rPr>
          <w:rFonts w:ascii="Calibri" w:hAnsi="Calibri"/>
          <w:sz w:val="20"/>
        </w:rPr>
        <w:t>No document fingerprinting / deduplication — same PDF will be downloaded and processed multiple times</w:t>
      </w:r>
    </w:p>
    <w:p>
      <w:pPr>
        <w:pStyle w:val="ListBullet"/>
        <w:spacing w:after="60" w:before="0"/>
      </w:pPr>
      <w:r>
        <w:rPr>
          <w:rFonts w:ascii="Calibri" w:hAnsi="Calibri"/>
          <w:sz w:val="20"/>
        </w:rPr>
        <w:t>No document size limits defined</w:t>
      </w:r>
    </w:p>
    <w:p>
      <w:pPr>
        <w:spacing w:after="120" w:before="0"/>
      </w:pPr>
      <w:r>
        <w:rPr>
          <w:rFonts w:ascii="Calibri" w:hAnsi="Calibri"/>
          <w:b w:val="0"/>
          <w:i w:val="0"/>
          <w:color w:val="C00000"/>
          <w:sz w:val="20"/>
        </w:rPr>
        <w:t>Critical Note: XBRL is not mentioned anywhere in the original five planning documents. The SEC mandates inline XBRL (iXBRL) on all financial statement filings for accelerated filers since 2019 and all filers since 2020. Ignoring this and routing everything through AI/PDF extraction is solving the hard problem when the easy, accurate, free solution is available.</w:t>
      </w:r>
    </w:p>
    <w:p>
      <w:pPr>
        <w:pStyle w:val="Heading2"/>
        <w:spacing w:before="280" w:after="80"/>
      </w:pPr>
      <w:r>
        <w:rPr>
          <w:rFonts w:ascii="Calibri" w:hAnsi="Calibri"/>
          <w:color w:val="2E75B6"/>
          <w:sz w:val="26"/>
        </w:rPr>
        <w:t>4.2  Required Decisions</w:t>
      </w:r>
    </w:p>
    <w:p>
      <w:pPr>
        <w:spacing w:before="160" w:after="40"/>
      </w:pPr>
      <w:r>
        <w:rPr>
          <w:rFonts w:ascii="Calibri" w:hAnsi="Calibri"/>
          <w:b/>
          <w:color w:val="2E75B6"/>
          <w:sz w:val="20"/>
        </w:rPr>
        <w:t>Decision 1: XBRL Strategy for US Filings</w:t>
      </w:r>
    </w:p>
    <w:p>
      <w:pPr>
        <w:spacing w:after="40" w:before="0"/>
      </w:pPr>
      <w:r>
        <w:rPr>
          <w:rFonts w:ascii="Calibri" w:hAnsi="Calibri"/>
          <w:b w:val="0"/>
          <w:i/>
          <w:sz w:val="20"/>
        </w:rPr>
        <w:t>Options: (a) Ignore XBRL and extract from PDF, (b) Parse iXBRL as primary path with PDF as fallback</w:t>
      </w:r>
    </w:p>
    <w:p>
      <w:pPr>
        <w:spacing w:after="120" w:before="0"/>
      </w:pPr>
      <w:r>
        <w:rPr>
          <w:rFonts w:ascii="Calibri" w:hAnsi="Calibri"/>
          <w:b w:val="0"/>
          <w:i w:val="0"/>
          <w:sz w:val="20"/>
        </w:rPr>
        <w:t>Recommendation: iXBRL as primary extraction path for all SEC-registered companies. Parsing XBRL gives 100% accurate, structured financial data at near-zero extraction cost. PDF extraction is the fallback for pre-2019 filings and non-SEC jurisdictions only.</w:t>
      </w:r>
    </w:p>
    <w:p>
      <w:pPr>
        <w:spacing w:before="160" w:after="40"/>
      </w:pPr>
      <w:r>
        <w:rPr>
          <w:rFonts w:ascii="Calibri" w:hAnsi="Calibri"/>
          <w:b/>
          <w:color w:val="2E75B6"/>
          <w:sz w:val="20"/>
        </w:rPr>
        <w:t>Decision 2: PDF Extraction Library</w:t>
      </w:r>
    </w:p>
    <w:p>
      <w:pPr>
        <w:spacing w:after="40" w:before="0"/>
      </w:pPr>
      <w:r>
        <w:rPr>
          <w:rFonts w:ascii="Calibri" w:hAnsi="Calibri"/>
          <w:b w:val="0"/>
          <w:i/>
          <w:sz w:val="20"/>
        </w:rPr>
        <w:t>Options: pdfplumber, camelot-py, pymupdf (fitz), Adobe PDF Extract API, AWS Textract</w:t>
      </w:r>
    </w:p>
    <w:p>
      <w:pPr>
        <w:spacing w:after="120" w:before="0"/>
      </w:pPr>
      <w:r>
        <w:rPr>
          <w:rFonts w:ascii="Calibri" w:hAnsi="Calibri"/>
          <w:b w:val="0"/>
          <w:i w:val="0"/>
          <w:sz w:val="20"/>
        </w:rPr>
        <w:t>Recommendation: pdfplumber as primary (excellent for native-digital PDFs). camelot-py as secondary (lattice mode for bordered tables, stream mode for whitespace tables). pymupdf for raw text when table detection is not needed. AWS Textract as paid fallback for scanned documents.</w:t>
      </w:r>
    </w:p>
    <w:p>
      <w:pPr>
        <w:spacing w:before="160" w:after="40"/>
      </w:pPr>
      <w:r>
        <w:rPr>
          <w:rFonts w:ascii="Calibri" w:hAnsi="Calibri"/>
          <w:b/>
          <w:color w:val="2E75B6"/>
          <w:sz w:val="20"/>
        </w:rPr>
        <w:t>Decision 3: OCR Engine</w:t>
      </w:r>
    </w:p>
    <w:p>
      <w:pPr>
        <w:spacing w:after="40" w:before="0"/>
      </w:pPr>
      <w:r>
        <w:rPr>
          <w:rFonts w:ascii="Calibri" w:hAnsi="Calibri"/>
          <w:b w:val="0"/>
          <w:i/>
          <w:sz w:val="20"/>
        </w:rPr>
        <w:t>Options: Tesseract (open source), Google Cloud Vision, AWS Textract, Azure Computer Vision</w:t>
      </w:r>
    </w:p>
    <w:p>
      <w:pPr>
        <w:spacing w:after="120" w:before="0"/>
      </w:pPr>
      <w:r>
        <w:rPr>
          <w:rFonts w:ascii="Calibri" w:hAnsi="Calibri"/>
          <w:b w:val="0"/>
          <w:i w:val="0"/>
          <w:sz w:val="20"/>
        </w:rPr>
        <w:t>Recommendation: Tesseract for local/dev/cost-sensitive processing. AWS Textract for production OCR — it has specific training for financial tables and forms, producing significantly better results than Tesseract on balance sheets and income statements.</w:t>
      </w:r>
    </w:p>
    <w:p>
      <w:pPr>
        <w:spacing w:before="160" w:after="40"/>
      </w:pPr>
      <w:r>
        <w:rPr>
          <w:rFonts w:ascii="Calibri" w:hAnsi="Calibri"/>
          <w:b/>
          <w:color w:val="2E75B6"/>
          <w:sz w:val="20"/>
        </w:rPr>
        <w:t>Decision 4: Document Classification Approach</w:t>
      </w:r>
    </w:p>
    <w:p>
      <w:pPr>
        <w:spacing w:after="40" w:before="0"/>
      </w:pPr>
      <w:r>
        <w:rPr>
          <w:rFonts w:ascii="Calibri" w:hAnsi="Calibri"/>
          <w:b w:val="0"/>
          <w:i/>
          <w:sz w:val="20"/>
        </w:rPr>
        <w:t>Options: Rule-based classification, ML classifier, LLM classification</w:t>
      </w:r>
    </w:p>
    <w:p>
      <w:pPr>
        <w:spacing w:after="120" w:before="0"/>
      </w:pPr>
      <w:r>
        <w:rPr>
          <w:rFonts w:ascii="Calibri" w:hAnsi="Calibri"/>
          <w:b w:val="0"/>
          <w:i w:val="0"/>
          <w:sz w:val="20"/>
        </w:rPr>
        <w:t>Recommendation: Rule-based first (filing type from SEC EDGAR metadata is 99% accurate — no classification needed for EDGAR sources). LLM-based classification only for documents from IR websites where metadata is unavailable.</w:t>
      </w:r>
    </w:p>
    <w:p>
      <w:pPr>
        <w:pStyle w:val="Heading2"/>
        <w:spacing w:before="280" w:after="80"/>
      </w:pPr>
      <w:r>
        <w:rPr>
          <w:rFonts w:ascii="Calibri" w:hAnsi="Calibri"/>
          <w:color w:val="2E75B6"/>
          <w:sz w:val="26"/>
        </w:rPr>
        <w:t>4.3  Recommended Design</w:t>
      </w:r>
    </w:p>
    <w:p>
      <w:pPr>
        <w:spacing w:after="120" w:before="0"/>
      </w:pPr>
      <w:r>
        <w:rPr>
          <w:rFonts w:ascii="Calibri" w:hAnsi="Calibri"/>
          <w:b/>
          <w:i w:val="0"/>
          <w:sz w:val="20"/>
        </w:rPr>
        <w:t>Ingestion Pipeline — Six Stages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Stage</w:t>
            </w:r>
          </w:p>
        </w:tc>
        <w:tc>
          <w:tcPr>
            <w:tcW w:type="dxa" w:w="5760"/>
            <w:shd w:val="clear" w:color="auto" w:fill="1F3864"/>
          </w:tcPr>
          <w:p>
            <w:pPr>
              <w:spacing w:after="0" w:before="0"/>
              <w:jc w:val="center"/>
            </w:pPr>
            <w:r/>
            <w:r>
              <w:rPr>
                <w:rFonts w:ascii="Calibri" w:hAnsi="Calibri"/>
                <w:b/>
                <w:color w:val="FFFFFF"/>
                <w:sz w:val="18"/>
              </w:rPr>
              <w:t>Logic</w:t>
            </w:r>
          </w:p>
        </w:tc>
      </w:tr>
      <w:tr>
        <w:tc>
          <w:tcPr>
            <w:tcW w:type="dxa" w:w="2880"/>
            <w:shd w:val="clear" w:color="auto" w:fill="F2F2F2"/>
          </w:tcPr>
          <w:p>
            <w:pPr>
              <w:spacing w:after="0" w:before="0"/>
              <w:jc w:val="left"/>
            </w:pPr>
            <w:r/>
            <w:r>
              <w:rPr>
                <w:rFonts w:ascii="Calibri" w:hAnsi="Calibri"/>
                <w:b w:val="0"/>
                <w:sz w:val="18"/>
              </w:rPr>
              <w:t>Stage 1 — Classification</w:t>
            </w:r>
          </w:p>
        </w:tc>
        <w:tc>
          <w:tcPr>
            <w:tcW w:type="dxa" w:w="5760"/>
            <w:shd w:val="clear" w:color="auto" w:fill="F2F2F2"/>
          </w:tcPr>
          <w:p>
            <w:pPr>
              <w:spacing w:after="0" w:before="0"/>
              <w:jc w:val="left"/>
            </w:pPr>
            <w:r/>
            <w:r>
              <w:rPr>
                <w:rFonts w:ascii="Calibri" w:hAnsi="Calibri"/>
                <w:b w:val="0"/>
                <w:sz w:val="18"/>
              </w:rPr>
              <w:t>Use source metadata (EDGAR provides form type). If unavailable, inspect first 2 pages for heading keywords. Use Claude API only if rule-based classification fails.</w:t>
            </w:r>
          </w:p>
        </w:tc>
      </w:tr>
      <w:tr>
        <w:tc>
          <w:tcPr>
            <w:tcW w:type="dxa" w:w="2880"/>
            <w:shd w:val="clear" w:color="auto" w:fill="FFFFFF"/>
          </w:tcPr>
          <w:p>
            <w:pPr>
              <w:spacing w:after="0" w:before="0"/>
              <w:jc w:val="left"/>
            </w:pPr>
            <w:r/>
            <w:r>
              <w:rPr>
                <w:rFonts w:ascii="Calibri" w:hAnsi="Calibri"/>
                <w:b w:val="0"/>
                <w:sz w:val="18"/>
              </w:rPr>
              <w:t>Stage 2 — Format Detection</w:t>
            </w:r>
          </w:p>
        </w:tc>
        <w:tc>
          <w:tcPr>
            <w:tcW w:type="dxa" w:w="5760"/>
            <w:shd w:val="clear" w:color="auto" w:fill="FFFFFF"/>
          </w:tcPr>
          <w:p>
            <w:pPr>
              <w:spacing w:after="0" w:before="0"/>
              <w:jc w:val="left"/>
            </w:pPr>
            <w:r/>
            <w:r>
              <w:rPr>
                <w:rFonts w:ascii="Calibri" w:hAnsi="Calibri"/>
                <w:b w:val="0"/>
                <w:sz w:val="18"/>
              </w:rPr>
              <w:t>Detect: native PDF (selectable text), scanned PDF (image-only), HTML/iXBRL (by extension + Content-Type), XBRL, XLSX. Route each format to the appropriate parser.</w:t>
            </w:r>
          </w:p>
        </w:tc>
      </w:tr>
      <w:tr>
        <w:tc>
          <w:tcPr>
            <w:tcW w:type="dxa" w:w="2880"/>
            <w:shd w:val="clear" w:color="auto" w:fill="F2F2F2"/>
          </w:tcPr>
          <w:p>
            <w:pPr>
              <w:spacing w:after="0" w:before="0"/>
              <w:jc w:val="left"/>
            </w:pPr>
            <w:r/>
            <w:r>
              <w:rPr>
                <w:rFonts w:ascii="Calibri" w:hAnsi="Calibri"/>
                <w:b w:val="0"/>
                <w:sz w:val="18"/>
              </w:rPr>
              <w:t>Stage 3 — Section Detection</w:t>
            </w:r>
          </w:p>
        </w:tc>
        <w:tc>
          <w:tcPr>
            <w:tcW w:type="dxa" w:w="5760"/>
            <w:shd w:val="clear" w:color="auto" w:fill="F2F2F2"/>
          </w:tcPr>
          <w:p>
            <w:pPr>
              <w:spacing w:after="0" w:before="0"/>
              <w:jc w:val="left"/>
            </w:pPr>
            <w:r/>
            <w:r>
              <w:rPr>
                <w:rFonts w:ascii="Calibri" w:hAnsi="Calibri"/>
                <w:b w:val="0"/>
                <w:sz w:val="18"/>
              </w:rPr>
              <w:t>For PDFs: locate financial statement sections by heading patterns (Consolidated Statements of Income, etc.). Record start_page and end_page for each section to limit extraction scope.</w:t>
            </w:r>
          </w:p>
        </w:tc>
      </w:tr>
      <w:tr>
        <w:tc>
          <w:tcPr>
            <w:tcW w:type="dxa" w:w="2880"/>
            <w:shd w:val="clear" w:color="auto" w:fill="FFFFFF"/>
          </w:tcPr>
          <w:p>
            <w:pPr>
              <w:spacing w:after="0" w:before="0"/>
              <w:jc w:val="left"/>
            </w:pPr>
            <w:r/>
            <w:r>
              <w:rPr>
                <w:rFonts w:ascii="Calibri" w:hAnsi="Calibri"/>
                <w:b w:val="0"/>
                <w:sz w:val="18"/>
              </w:rPr>
              <w:t>Stage 4 — Table Extraction</w:t>
            </w:r>
          </w:p>
        </w:tc>
        <w:tc>
          <w:tcPr>
            <w:tcW w:type="dxa" w:w="5760"/>
            <w:shd w:val="clear" w:color="auto" w:fill="FFFFFF"/>
          </w:tcPr>
          <w:p>
            <w:pPr>
              <w:spacing w:after="0" w:before="0"/>
              <w:jc w:val="left"/>
            </w:pPr>
            <w:r/>
            <w:r>
              <w:rPr>
                <w:rFonts w:ascii="Calibri" w:hAnsi="Calibri"/>
                <w:b w:val="0"/>
                <w:sz w:val="18"/>
              </w:rPr>
              <w:t>Apply selected parser. For each table: record page_number, bounding box (x0, y0, x1, y1), raw text, and table index on page. Store provenance data for audit trail.</w:t>
            </w:r>
          </w:p>
        </w:tc>
      </w:tr>
      <w:tr>
        <w:tc>
          <w:tcPr>
            <w:tcW w:type="dxa" w:w="2880"/>
            <w:shd w:val="clear" w:color="auto" w:fill="F2F2F2"/>
          </w:tcPr>
          <w:p>
            <w:pPr>
              <w:spacing w:after="0" w:before="0"/>
              <w:jc w:val="left"/>
            </w:pPr>
            <w:r/>
            <w:r>
              <w:rPr>
                <w:rFonts w:ascii="Calibri" w:hAnsi="Calibri"/>
                <w:b w:val="0"/>
                <w:sz w:val="18"/>
              </w:rPr>
              <w:t>Stage 5 — Quality Scoring</w:t>
            </w:r>
          </w:p>
        </w:tc>
        <w:tc>
          <w:tcPr>
            <w:tcW w:type="dxa" w:w="5760"/>
            <w:shd w:val="clear" w:color="auto" w:fill="F2F2F2"/>
          </w:tcPr>
          <w:p>
            <w:pPr>
              <w:spacing w:after="0" w:before="0"/>
              <w:jc w:val="left"/>
            </w:pPr>
            <w:r/>
            <w:r>
              <w:rPr>
                <w:rFonts w:ascii="Calibri" w:hAnsi="Calibri"/>
                <w:b w:val="0"/>
                <w:sz w:val="18"/>
              </w:rPr>
              <w:t>Score each extracted table: completeness (% of expected fields found), structure quality (header row detected, consistent column count). Tables below 0.60 quality threshold escalate to AI extraction.</w:t>
            </w:r>
          </w:p>
        </w:tc>
      </w:tr>
      <w:tr>
        <w:tc>
          <w:tcPr>
            <w:tcW w:type="dxa" w:w="2880"/>
            <w:shd w:val="clear" w:color="auto" w:fill="FFFFFF"/>
          </w:tcPr>
          <w:p>
            <w:pPr>
              <w:spacing w:after="0" w:before="0"/>
              <w:jc w:val="left"/>
            </w:pPr>
            <w:r/>
            <w:r>
              <w:rPr>
                <w:rFonts w:ascii="Calibri" w:hAnsi="Calibri"/>
                <w:b w:val="0"/>
                <w:sz w:val="18"/>
              </w:rPr>
              <w:t>Stage 6 — Storage</w:t>
            </w:r>
          </w:p>
        </w:tc>
        <w:tc>
          <w:tcPr>
            <w:tcW w:type="dxa" w:w="5760"/>
            <w:shd w:val="clear" w:color="auto" w:fill="FFFFFF"/>
          </w:tcPr>
          <w:p>
            <w:pPr>
              <w:spacing w:after="0" w:before="0"/>
              <w:jc w:val="left"/>
            </w:pPr>
            <w:r/>
            <w:r>
              <w:rPr>
                <w:rFonts w:ascii="Calibri" w:hAnsi="Calibri"/>
                <w:b w:val="0"/>
                <w:sz w:val="18"/>
              </w:rPr>
              <w:t>Store raw document to file storage with SHA-256 content hash. Store processed JSON to processed_data path. Update documents table with processing_status, page_count, file_size_bytes.</w:t>
            </w:r>
          </w:p>
        </w:tc>
      </w:tr>
    </w:tbl>
    <w:p/>
    <w:p>
      <w:pPr>
        <w:spacing w:after="120" w:before="0"/>
      </w:pPr>
      <w:r>
        <w:rPr>
          <w:rFonts w:ascii="Calibri" w:hAnsi="Calibri"/>
          <w:b/>
          <w:i w:val="0"/>
          <w:sz w:val="20"/>
        </w:rPr>
        <w:t>Document Size Limits</w:t>
      </w:r>
    </w:p>
    <w:p>
      <w:pPr>
        <w:pStyle w:val="ListBullet"/>
        <w:spacing w:after="60" w:before="0"/>
      </w:pPr>
      <w:r>
        <w:rPr>
          <w:rFonts w:ascii="Calibri" w:hAnsi="Calibri"/>
          <w:sz w:val="20"/>
        </w:rPr>
        <w:t>Maximum file size for processing: 200MB</w:t>
      </w:r>
    </w:p>
    <w:p>
      <w:pPr>
        <w:pStyle w:val="ListBullet"/>
        <w:spacing w:after="60" w:before="0"/>
      </w:pPr>
      <w:r>
        <w:rPr>
          <w:rFonts w:ascii="Calibri" w:hAnsi="Calibri"/>
          <w:sz w:val="20"/>
        </w:rPr>
        <w:t>Maximum page count for standard processing: 500 pages</w:t>
      </w:r>
    </w:p>
    <w:p>
      <w:pPr>
        <w:pStyle w:val="ListBullet"/>
        <w:spacing w:after="60" w:before="0"/>
      </w:pPr>
      <w:r>
        <w:rPr>
          <w:rFonts w:ascii="Calibri" w:hAnsi="Calibri"/>
          <w:sz w:val="20"/>
        </w:rPr>
        <w:t>Documents exceeding limits: split into sections and process in parallel Celery tasks</w:t>
      </w:r>
    </w:p>
    <w:p>
      <w:pPr>
        <w:spacing w:after="120" w:before="0"/>
      </w:pPr>
      <w:r>
        <w:rPr>
          <w:rFonts w:ascii="Calibri" w:hAnsi="Calibri"/>
          <w:b/>
          <w:i w:val="0"/>
          <w:sz w:val="20"/>
        </w:rPr>
        <w:t>Edge Case Handling</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Scenario</w:t>
            </w:r>
          </w:p>
        </w:tc>
        <w:tc>
          <w:tcPr>
            <w:tcW w:type="dxa" w:w="5760"/>
            <w:shd w:val="clear" w:color="auto" w:fill="1F3864"/>
          </w:tcPr>
          <w:p>
            <w:pPr>
              <w:spacing w:after="0" w:before="0"/>
              <w:jc w:val="center"/>
            </w:pPr>
            <w:r/>
            <w:r>
              <w:rPr>
                <w:rFonts w:ascii="Calibri" w:hAnsi="Calibri"/>
                <w:b/>
                <w:color w:val="FFFFFF"/>
                <w:sz w:val="18"/>
              </w:rPr>
              <w:t>Handling</w:t>
            </w:r>
          </w:p>
        </w:tc>
      </w:tr>
      <w:tr>
        <w:tc>
          <w:tcPr>
            <w:tcW w:type="dxa" w:w="2880"/>
            <w:shd w:val="clear" w:color="auto" w:fill="F2F2F2"/>
          </w:tcPr>
          <w:p>
            <w:pPr>
              <w:spacing w:after="0" w:before="0"/>
              <w:jc w:val="left"/>
            </w:pPr>
            <w:r/>
            <w:r>
              <w:rPr>
                <w:rFonts w:ascii="Calibri" w:hAnsi="Calibri"/>
                <w:b w:val="0"/>
                <w:sz w:val="18"/>
              </w:rPr>
              <w:t>Password-protected PDF</w:t>
            </w:r>
          </w:p>
        </w:tc>
        <w:tc>
          <w:tcPr>
            <w:tcW w:type="dxa" w:w="5760"/>
            <w:shd w:val="clear" w:color="auto" w:fill="F2F2F2"/>
          </w:tcPr>
          <w:p>
            <w:pPr>
              <w:spacing w:after="0" w:before="0"/>
              <w:jc w:val="left"/>
            </w:pPr>
            <w:r/>
            <w:r>
              <w:rPr>
                <w:rFonts w:ascii="Calibri" w:hAnsi="Calibri"/>
                <w:b w:val="0"/>
                <w:sz w:val="18"/>
              </w:rPr>
              <w:t>Log warning, mark document as requires_manual_review, continue pipeline with other documents</w:t>
            </w:r>
          </w:p>
        </w:tc>
      </w:tr>
      <w:tr>
        <w:tc>
          <w:tcPr>
            <w:tcW w:type="dxa" w:w="2880"/>
            <w:shd w:val="clear" w:color="auto" w:fill="FFFFFF"/>
          </w:tcPr>
          <w:p>
            <w:pPr>
              <w:spacing w:after="0" w:before="0"/>
              <w:jc w:val="left"/>
            </w:pPr>
            <w:r/>
            <w:r>
              <w:rPr>
                <w:rFonts w:ascii="Calibri" w:hAnsi="Calibri"/>
                <w:b w:val="0"/>
                <w:sz w:val="18"/>
              </w:rPr>
              <w:t>Corrupted PDF</w:t>
            </w:r>
          </w:p>
        </w:tc>
        <w:tc>
          <w:tcPr>
            <w:tcW w:type="dxa" w:w="5760"/>
            <w:shd w:val="clear" w:color="auto" w:fill="FFFFFF"/>
          </w:tcPr>
          <w:p>
            <w:pPr>
              <w:spacing w:after="0" w:before="0"/>
              <w:jc w:val="left"/>
            </w:pPr>
            <w:r/>
            <w:r>
              <w:rPr>
                <w:rFonts w:ascii="Calibri" w:hAnsi="Calibri"/>
                <w:b w:val="0"/>
                <w:sz w:val="18"/>
              </w:rPr>
              <w:t>Catch exception, mark document status as 'failed', record error detail in job_steps</w:t>
            </w:r>
          </w:p>
        </w:tc>
      </w:tr>
      <w:tr>
        <w:tc>
          <w:tcPr>
            <w:tcW w:type="dxa" w:w="2880"/>
            <w:shd w:val="clear" w:color="auto" w:fill="F2F2F2"/>
          </w:tcPr>
          <w:p>
            <w:pPr>
              <w:spacing w:after="0" w:before="0"/>
              <w:jc w:val="left"/>
            </w:pPr>
            <w:r/>
            <w:r>
              <w:rPr>
                <w:rFonts w:ascii="Calibri" w:hAnsi="Calibri"/>
                <w:b w:val="0"/>
                <w:sz w:val="18"/>
              </w:rPr>
              <w:t>Duplicate document</w:t>
            </w:r>
          </w:p>
        </w:tc>
        <w:tc>
          <w:tcPr>
            <w:tcW w:type="dxa" w:w="5760"/>
            <w:shd w:val="clear" w:color="auto" w:fill="F2F2F2"/>
          </w:tcPr>
          <w:p>
            <w:pPr>
              <w:spacing w:after="0" w:before="0"/>
              <w:jc w:val="left"/>
            </w:pPr>
            <w:r/>
            <w:r>
              <w:rPr>
                <w:rFonts w:ascii="Calibri" w:hAnsi="Calibri"/>
                <w:b w:val="0"/>
                <w:sz w:val="18"/>
              </w:rPr>
              <w:t>SHA-256 content hash checked before storage. Duplicate detected → reuse existing record, skip re-processing</w:t>
            </w:r>
          </w:p>
        </w:tc>
      </w:tr>
      <w:tr>
        <w:tc>
          <w:tcPr>
            <w:tcW w:type="dxa" w:w="2880"/>
            <w:shd w:val="clear" w:color="auto" w:fill="FFFFFF"/>
          </w:tcPr>
          <w:p>
            <w:pPr>
              <w:spacing w:after="0" w:before="0"/>
              <w:jc w:val="left"/>
            </w:pPr>
            <w:r/>
            <w:r>
              <w:rPr>
                <w:rFonts w:ascii="Calibri" w:hAnsi="Calibri"/>
                <w:b w:val="0"/>
                <w:sz w:val="18"/>
              </w:rPr>
              <w:t>Multi-language document</w:t>
            </w:r>
          </w:p>
        </w:tc>
        <w:tc>
          <w:tcPr>
            <w:tcW w:type="dxa" w:w="5760"/>
            <w:shd w:val="clear" w:color="auto" w:fill="FFFFFF"/>
          </w:tcPr>
          <w:p>
            <w:pPr>
              <w:spacing w:after="0" w:before="0"/>
              <w:jc w:val="left"/>
            </w:pPr>
            <w:r/>
            <w:r>
              <w:rPr>
                <w:rFonts w:ascii="Calibri" w:hAnsi="Calibri"/>
                <w:b w:val="0"/>
                <w:sz w:val="18"/>
              </w:rPr>
              <w:t>Detect language from first 500 characters. Flag non-English documents. Multilingual support deferred to Phase 2.</w:t>
            </w:r>
          </w:p>
        </w:tc>
      </w:tr>
      <w:tr>
        <w:tc>
          <w:tcPr>
            <w:tcW w:type="dxa" w:w="2880"/>
            <w:shd w:val="clear" w:color="auto" w:fill="F2F2F2"/>
          </w:tcPr>
          <w:p>
            <w:pPr>
              <w:spacing w:after="0" w:before="0"/>
              <w:jc w:val="left"/>
            </w:pPr>
            <w:r/>
            <w:r>
              <w:rPr>
                <w:rFonts w:ascii="Calibri" w:hAnsi="Calibri"/>
                <w:b w:val="0"/>
                <w:sz w:val="18"/>
              </w:rPr>
              <w:t>Scanned PDF (image-only)</w:t>
            </w:r>
          </w:p>
        </w:tc>
        <w:tc>
          <w:tcPr>
            <w:tcW w:type="dxa" w:w="5760"/>
            <w:shd w:val="clear" w:color="auto" w:fill="F2F2F2"/>
          </w:tcPr>
          <w:p>
            <w:pPr>
              <w:spacing w:after="0" w:before="0"/>
              <w:jc w:val="left"/>
            </w:pPr>
            <w:r/>
            <w:r>
              <w:rPr>
                <w:rFonts w:ascii="Calibri" w:hAnsi="Calibri"/>
                <w:b w:val="0"/>
                <w:sz w:val="18"/>
              </w:rPr>
              <w:t>Route to OCR engine. Quality-score OCR output. Low-quality result flagged with WARNING in validation report.</w:t>
            </w:r>
          </w:p>
        </w:tc>
      </w:tr>
    </w:tbl>
    <w:p/>
    <w:p>
      <w:r>
        <w:br w:type="page"/>
      </w:r>
    </w:p>
    <w:p>
      <w:pPr>
        <w:shd w:val="clear" w:color="auto" w:fill="37864F"/>
        <w:spacing w:before="120" w:after="120"/>
      </w:pPr>
      <w:r>
        <w:rPr>
          <w:rFonts w:ascii="Calibri" w:hAnsi="Calibri"/>
          <w:b/>
          <w:color w:val="FFFFFF"/>
          <w:sz w:val="24"/>
        </w:rPr>
        <w:t>AMENDMENT — Blocker 2 Resolution: pandas Added to Backend Architecture (Section 2)</w:t>
      </w:r>
    </w:p>
    <w:p>
      <w:pPr>
        <w:spacing w:after="120" w:before="0"/>
      </w:pPr>
      <w:r>
        <w:rPr>
          <w:rFonts w:ascii="Calibri" w:hAnsi="Calibri"/>
          <w:b w:val="0"/>
          <w:color w:val="378644"/>
          <w:sz w:val="18"/>
        </w:rPr>
        <w:t>Added: June 2, 2026  |  Source: Final Project Readiness Assessment</w:t>
      </w:r>
    </w:p>
    <w:p>
      <w:pPr>
        <w:spacing w:before="80" w:after="80"/>
        <w:pBdr>
          <w:bottom w:val="single" w:sz="6" w:space="1" w:color="2E75B6"/>
        </w:pBdr>
      </w:pPr>
    </w:p>
    <w:p>
      <w:pPr>
        <w:pStyle w:val="Heading2"/>
        <w:spacing w:before="280" w:after="80"/>
      </w:pPr>
      <w:r>
        <w:rPr>
          <w:rFonts w:ascii="Calibri" w:hAnsi="Calibri"/>
          <w:color w:val="2E75B6"/>
          <w:sz w:val="26"/>
        </w:rPr>
        <w:t>Section 2 Amendment — pandas Data Transformation Layer</w:t>
      </w:r>
    </w:p>
    <w:p>
      <w:pPr>
        <w:spacing w:after="120" w:before="0"/>
      </w:pPr>
      <w:r>
        <w:rPr>
          <w:rFonts w:ascii="Calibri" w:hAnsi="Calibri"/>
          <w:b w:val="0"/>
          <w:sz w:val="20"/>
        </w:rPr>
        <w:t>The original Technical Stack Specification includes pandas as part of the Excel engine. It was omitted from Section 2 of this Engineering Specification. This amendment formally adds pandas to the backend technology stack and defines its specific role.</w:t>
      </w:r>
    </w:p>
    <w:p>
      <w:pPr>
        <w:pStyle w:val="Heading3"/>
        <w:spacing w:before="280" w:after="80"/>
      </w:pPr>
      <w:r>
        <w:rPr>
          <w:rFonts w:ascii="Calibri" w:hAnsi="Calibri"/>
          <w:color w:val="2E75B6"/>
          <w:sz w:val="22"/>
        </w:rPr>
        <w:t>pandas Role in the Backend</w:t>
      </w:r>
    </w:p>
    <w:p>
      <w:pPr>
        <w:spacing w:after="120" w:before="0"/>
      </w:pPr>
      <w:r>
        <w:rPr>
          <w:rFonts w:ascii="Calibri" w:hAnsi="Calibri"/>
          <w:b w:val="0"/>
          <w:sz w:val="20"/>
        </w:rPr>
        <w:t>pandas is not a replacement for any component already specified. It sits as a data transformation layer between the SQLAlchemy database query results and the openpyxl workbook builder in the Export Service. Its role is precisely scoped:</w:t>
      </w:r>
    </w:p>
    <w:p>
      <w:pPr>
        <w:pStyle w:val="ListBullet"/>
        <w:spacing w:after="60"/>
      </w:pPr>
      <w:r>
        <w:rPr>
          <w:rFonts w:ascii="Calibri" w:hAnsi="Calibri"/>
          <w:sz w:val="20"/>
        </w:rPr>
        <w:t>Reshape financial_line_items rows (long format: one row per field per year) into a pivot-table matrix (wide format: one row per field, one column per fiscal year) required by the Excel sheet layout</w:t>
      </w:r>
    </w:p>
    <w:p>
      <w:pPr>
        <w:pStyle w:val="ListBullet"/>
        <w:spacing w:after="60"/>
      </w:pPr>
      <w:r>
        <w:rPr>
          <w:rFonts w:ascii="Calibri" w:hAnsi="Calibri"/>
          <w:sz w:val="20"/>
        </w:rPr>
        <w:t>Compute year-over-year growth rates across multiple fiscal years using vectorised operations</w:t>
      </w:r>
    </w:p>
    <w:p>
      <w:pPr>
        <w:pStyle w:val="ListBullet"/>
        <w:spacing w:after="60"/>
      </w:pPr>
      <w:r>
        <w:rPr>
          <w:rFonts w:ascii="Calibri" w:hAnsi="Calibri"/>
          <w:sz w:val="20"/>
        </w:rPr>
        <w:t>Aggregate segment data by type (business vs. geographic) before writing to Sheet 6</w:t>
      </w:r>
    </w:p>
    <w:p>
      <w:pPr>
        <w:pStyle w:val="ListBullet"/>
        <w:spacing w:after="60"/>
      </w:pPr>
      <w:r>
        <w:rPr>
          <w:rFonts w:ascii="Calibri" w:hAnsi="Calibri"/>
          <w:sz w:val="20"/>
        </w:rPr>
        <w:t>Handle missing values (NaN) gracefully — cells with no data become em-dash in Excel</w:t>
      </w:r>
    </w:p>
    <w:p>
      <w:pPr>
        <w:pStyle w:val="ListBullet"/>
        <w:spacing w:after="60"/>
      </w:pPr>
      <w:r>
        <w:rPr>
          <w:rFonts w:ascii="Calibri" w:hAnsi="Calibri"/>
          <w:sz w:val="20"/>
        </w:rPr>
        <w:t>Perform ratio calculations when computing the Ratios sheet programmatically</w:t>
      </w:r>
    </w:p>
    <w:p>
      <w:pPr>
        <w:spacing w:after="120" w:before="0"/>
      </w:pPr>
      <w:r>
        <w:rPr>
          <w:rFonts w:ascii="Calibri" w:hAnsi="Calibri"/>
          <w:b/>
          <w:sz w:val="20"/>
        </w:rPr>
        <w:t>Updated Backend Technology Stack (Section 2.3 Addition)</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3864"/>
          </w:tcPr>
          <w:p>
            <w:pPr>
              <w:spacing w:after="0" w:before="0"/>
              <w:jc w:val="center"/>
            </w:pPr>
            <w:r/>
            <w:r>
              <w:rPr>
                <w:rFonts w:ascii="Calibri" w:hAnsi="Calibri"/>
                <w:b/>
                <w:color w:val="FFFFFF"/>
                <w:sz w:val="18"/>
              </w:rPr>
              <w:t>Component</w:t>
            </w:r>
          </w:p>
        </w:tc>
        <w:tc>
          <w:tcPr>
            <w:tcW w:type="dxa" w:w="1440"/>
            <w:shd w:val="clear" w:color="auto" w:fill="1F3864"/>
          </w:tcPr>
          <w:p>
            <w:pPr>
              <w:spacing w:after="0" w:before="0"/>
              <w:jc w:val="center"/>
            </w:pPr>
            <w:r/>
            <w:r>
              <w:rPr>
                <w:rFonts w:ascii="Calibri" w:hAnsi="Calibri"/>
                <w:b/>
                <w:color w:val="FFFFFF"/>
                <w:sz w:val="18"/>
              </w:rPr>
              <w:t>Version</w:t>
            </w:r>
          </w:p>
        </w:tc>
        <w:tc>
          <w:tcPr>
            <w:tcW w:type="dxa" w:w="5040"/>
            <w:shd w:val="clear" w:color="auto" w:fill="1F3864"/>
          </w:tcPr>
          <w:p>
            <w:pPr>
              <w:spacing w:after="0" w:before="0"/>
              <w:jc w:val="center"/>
            </w:pPr>
            <w:r/>
            <w:r>
              <w:rPr>
                <w:rFonts w:ascii="Calibri" w:hAnsi="Calibri"/>
                <w:b/>
                <w:color w:val="FFFFFF"/>
                <w:sz w:val="18"/>
              </w:rPr>
              <w:t>Role</w:t>
            </w:r>
          </w:p>
        </w:tc>
      </w:tr>
      <w:tr>
        <w:tc>
          <w:tcPr>
            <w:tcW w:type="dxa" w:w="2160"/>
            <w:shd w:val="clear" w:color="auto" w:fill="F2F2F2"/>
          </w:tcPr>
          <w:p>
            <w:pPr>
              <w:spacing w:after="0" w:before="0"/>
              <w:jc w:val="left"/>
            </w:pPr>
            <w:r/>
            <w:r>
              <w:rPr>
                <w:rFonts w:ascii="Calibri" w:hAnsi="Calibri"/>
                <w:b w:val="0"/>
                <w:sz w:val="18"/>
              </w:rPr>
              <w:t>pandas</w:t>
            </w:r>
          </w:p>
        </w:tc>
        <w:tc>
          <w:tcPr>
            <w:tcW w:type="dxa" w:w="1440"/>
            <w:shd w:val="clear" w:color="auto" w:fill="F2F2F2"/>
          </w:tcPr>
          <w:p>
            <w:pPr>
              <w:spacing w:after="0" w:before="0"/>
              <w:jc w:val="left"/>
            </w:pPr>
            <w:r/>
            <w:r>
              <w:rPr>
                <w:rFonts w:ascii="Calibri" w:hAnsi="Calibri"/>
                <w:b w:val="0"/>
                <w:sz w:val="18"/>
              </w:rPr>
              <w:t>2.x</w:t>
            </w:r>
          </w:p>
        </w:tc>
        <w:tc>
          <w:tcPr>
            <w:tcW w:type="dxa" w:w="5040"/>
            <w:shd w:val="clear" w:color="auto" w:fill="F2F2F2"/>
          </w:tcPr>
          <w:p>
            <w:pPr>
              <w:spacing w:after="0" w:before="0"/>
              <w:jc w:val="left"/>
            </w:pPr>
            <w:r/>
            <w:r>
              <w:rPr>
                <w:rFonts w:ascii="Calibri" w:hAnsi="Calibri"/>
                <w:b w:val="0"/>
                <w:sz w:val="18"/>
              </w:rPr>
              <w:t>Data transformation layer between database results and Excel builder</w:t>
            </w:r>
          </w:p>
        </w:tc>
      </w:tr>
    </w:tbl>
    <w:p/>
    <w:p>
      <w:pPr>
        <w:spacing w:after="120" w:before="0"/>
      </w:pPr>
      <w:r>
        <w:rPr>
          <w:rFonts w:ascii="Calibri" w:hAnsi="Calibri"/>
          <w:b/>
          <w:sz w:val="20"/>
        </w:rPr>
        <w:t>Location in Service Architecture</w:t>
      </w:r>
    </w:p>
    <w:p>
      <w:pPr>
        <w:spacing w:after="120" w:before="0"/>
      </w:pPr>
      <w:r>
        <w:rPr>
          <w:rFonts w:ascii="Calibri" w:hAnsi="Calibri"/>
          <w:b w:val="0"/>
          <w:sz w:val="20"/>
        </w:rPr>
        <w:t>pandas is used exclusively inside services/export/transformer.py. No other service imports pandas. The transformer module receives a list of financial_line_items records from the database, converts them to a DataFrame, pivots on (canonical_field × fiscal_year), and returns a typed dict of DataFrames (one per statement type) to the workbook builder. This keeps pandas isolated and ensures it can be replaced without touching the extraction, validation, or ingestion layers.</w:t>
      </w:r>
    </w:p>
    <w:p>
      <w:pPr>
        <w:spacing w:after="120" w:before="0"/>
      </w:pPr>
      <w:r>
        <w:rPr>
          <w:rFonts w:ascii="Calibri" w:hAnsi="Calibri"/>
          <w:b/>
          <w:sz w:val="20"/>
        </w:rPr>
        <w:t>New Dependency</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3864"/>
          </w:tcPr>
          <w:p>
            <w:pPr>
              <w:spacing w:after="0" w:before="0"/>
              <w:jc w:val="center"/>
            </w:pPr>
            <w:r/>
            <w:r>
              <w:rPr>
                <w:rFonts w:ascii="Calibri" w:hAnsi="Calibri"/>
                <w:b/>
                <w:color w:val="FFFFFF"/>
                <w:sz w:val="18"/>
              </w:rPr>
              <w:t>Package</w:t>
            </w:r>
          </w:p>
        </w:tc>
        <w:tc>
          <w:tcPr>
            <w:tcW w:type="dxa" w:w="3600"/>
            <w:shd w:val="clear" w:color="auto" w:fill="1F3864"/>
          </w:tcPr>
          <w:p>
            <w:pPr>
              <w:spacing w:after="0" w:before="0"/>
              <w:jc w:val="center"/>
            </w:pPr>
            <w:r/>
            <w:r>
              <w:rPr>
                <w:rFonts w:ascii="Calibri" w:hAnsi="Calibri"/>
                <w:b/>
                <w:color w:val="FFFFFF"/>
                <w:sz w:val="18"/>
              </w:rPr>
              <w:t>Install</w:t>
            </w:r>
          </w:p>
        </w:tc>
        <w:tc>
          <w:tcPr>
            <w:tcW w:type="dxa" w:w="2880"/>
            <w:shd w:val="clear" w:color="auto" w:fill="1F3864"/>
          </w:tcPr>
          <w:p>
            <w:pPr>
              <w:spacing w:after="0" w:before="0"/>
              <w:jc w:val="center"/>
            </w:pPr>
            <w:r/>
            <w:r>
              <w:rPr>
                <w:rFonts w:ascii="Calibri" w:hAnsi="Calibri"/>
                <w:b/>
                <w:color w:val="FFFFFF"/>
                <w:sz w:val="18"/>
              </w:rPr>
              <w:t>Purpose</w:t>
            </w:r>
          </w:p>
        </w:tc>
      </w:tr>
      <w:tr>
        <w:tc>
          <w:tcPr>
            <w:tcW w:type="dxa" w:w="2160"/>
            <w:shd w:val="clear" w:color="auto" w:fill="F2F2F2"/>
          </w:tcPr>
          <w:p>
            <w:pPr>
              <w:spacing w:after="0" w:before="0"/>
              <w:jc w:val="left"/>
            </w:pPr>
            <w:r/>
            <w:r>
              <w:rPr>
                <w:rFonts w:ascii="Calibri" w:hAnsi="Calibri"/>
                <w:b w:val="0"/>
                <w:sz w:val="18"/>
              </w:rPr>
              <w:t>pandas</w:t>
            </w:r>
          </w:p>
        </w:tc>
        <w:tc>
          <w:tcPr>
            <w:tcW w:type="dxa" w:w="3600"/>
            <w:shd w:val="clear" w:color="auto" w:fill="F2F2F2"/>
          </w:tcPr>
          <w:p>
            <w:pPr>
              <w:spacing w:after="0" w:before="0"/>
              <w:jc w:val="left"/>
            </w:pPr>
            <w:r/>
            <w:r>
              <w:rPr>
                <w:rFonts w:ascii="Calibri" w:hAnsi="Calibri"/>
                <w:b w:val="0"/>
                <w:sz w:val="18"/>
              </w:rPr>
              <w:t>pip install pandas==2.*</w:t>
            </w:r>
          </w:p>
        </w:tc>
        <w:tc>
          <w:tcPr>
            <w:tcW w:type="dxa" w:w="2880"/>
            <w:shd w:val="clear" w:color="auto" w:fill="F2F2F2"/>
          </w:tcPr>
          <w:p>
            <w:pPr>
              <w:spacing w:after="0" w:before="0"/>
              <w:jc w:val="left"/>
            </w:pPr>
            <w:r/>
            <w:r>
              <w:rPr>
                <w:rFonts w:ascii="Calibri" w:hAnsi="Calibri"/>
                <w:b w:val="0"/>
                <w:sz w:val="18"/>
              </w:rPr>
              <w:t>Data transformation for Excel export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