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F3864"/>
          <w:sz w:val="56"/>
        </w:rPr>
        <w:t>ENGINEERING SPECIFICATION REPORT</w:t>
      </w:r>
    </w:p>
    <w:p>
      <w:pPr>
        <w:jc w:val="center"/>
      </w:pPr>
      <w:r>
        <w:rPr>
          <w:rFonts w:ascii="Calibri" w:hAnsi="Calibri"/>
          <w:color w:val="2E75B6"/>
          <w:sz w:val="28"/>
        </w:rPr>
        <w:t>Financial Data Hub — Pre-Implementation Engineering Specification</w:t>
      </w:r>
    </w:p>
    <w:p/>
    <w:p>
      <w:pPr>
        <w:jc w:val="center"/>
      </w:pPr>
      <w:r>
        <w:rPr>
          <w:rFonts w:ascii="Calibri" w:hAnsi="Calibri"/>
          <w:b/>
          <w:color w:val="1F3864"/>
          <w:sz w:val="36"/>
        </w:rPr>
        <w:t>Part 2 of 3:  Extraction, Validation, Excel Export, Auth &amp; Background Jobs</w:t>
      </w:r>
    </w:p>
    <w:p/>
    <w:p>
      <w:pPr>
        <w:spacing w:before="80" w:after="80"/>
        <w:pBdr>
          <w:bottom w:val="single" w:sz="6" w:space="1" w:color="2E75B6"/>
        </w:pBdr>
      </w:pPr>
    </w:p>
    <w:p/>
    <w:tbl>
      <w:tblPr>
        <w:tblStyle w:val="TableGrid"/>
        <w:tblW w:type="auto" w:w="0"/>
        <w:jc w:val="center"/>
        <w:tblLook w:firstColumn="1" w:firstRow="1" w:lastColumn="0" w:lastRow="0" w:noHBand="0" w:noVBand="1" w:val="04A0"/>
      </w:tblPr>
      <w:tblGrid>
        <w:gridCol w:w="4320"/>
        <w:gridCol w:w="4320"/>
      </w:tblGrid>
      <w:tr>
        <w:tc>
          <w:tcPr>
            <w:tcW w:type="dxa" w:w="2160"/>
            <w:shd w:val="clear" w:color="auto" w:fill="D6E4F0"/>
          </w:tcPr>
          <w:p>
            <w:pPr>
              <w:spacing w:after="0" w:before="0"/>
              <w:jc w:val="left"/>
            </w:pPr>
            <w:r/>
            <w:r>
              <w:rPr>
                <w:rFonts w:ascii="Calibri" w:hAnsi="Calibri"/>
                <w:b/>
                <w:sz w:val="20"/>
              </w:rPr>
              <w:t>Version</w:t>
            </w:r>
          </w:p>
        </w:tc>
        <w:tc>
          <w:tcPr>
            <w:tcW w:type="dxa" w:w="5760"/>
          </w:tcPr>
          <w:p>
            <w:pPr>
              <w:spacing w:after="0" w:before="0"/>
              <w:jc w:val="left"/>
            </w:pPr>
            <w:r/>
            <w:r>
              <w:rPr>
                <w:rFonts w:ascii="Calibri" w:hAnsi="Calibri"/>
                <w:b w:val="0"/>
                <w:sz w:val="20"/>
              </w:rPr>
              <w:t>1.0</w:t>
            </w:r>
          </w:p>
        </w:tc>
      </w:tr>
      <w:tr>
        <w:tc>
          <w:tcPr>
            <w:tcW w:type="dxa" w:w="2160"/>
            <w:shd w:val="clear" w:color="auto" w:fill="D6E4F0"/>
          </w:tcPr>
          <w:p>
            <w:pPr>
              <w:spacing w:after="0" w:before="0"/>
              <w:jc w:val="left"/>
            </w:pPr>
            <w:r/>
            <w:r>
              <w:rPr>
                <w:rFonts w:ascii="Calibri" w:hAnsi="Calibri"/>
                <w:b/>
                <w:sz w:val="20"/>
              </w:rPr>
              <w:t>Date</w:t>
            </w:r>
          </w:p>
        </w:tc>
        <w:tc>
          <w:tcPr>
            <w:tcW w:type="dxa" w:w="5760"/>
          </w:tcPr>
          <w:p>
            <w:pPr>
              <w:spacing w:after="0" w:before="0"/>
              <w:jc w:val="left"/>
            </w:pPr>
            <w:r/>
            <w:r>
              <w:rPr>
                <w:rFonts w:ascii="Calibri" w:hAnsi="Calibri"/>
                <w:b w:val="0"/>
                <w:sz w:val="20"/>
              </w:rPr>
              <w:t>June 2, 2026</w:t>
            </w:r>
          </w:p>
        </w:tc>
      </w:tr>
      <w:tr>
        <w:tc>
          <w:tcPr>
            <w:tcW w:type="dxa" w:w="2160"/>
            <w:shd w:val="clear" w:color="auto" w:fill="D6E4F0"/>
          </w:tcPr>
          <w:p>
            <w:pPr>
              <w:spacing w:after="0" w:before="0"/>
              <w:jc w:val="left"/>
            </w:pPr>
            <w:r/>
            <w:r>
              <w:rPr>
                <w:rFonts w:ascii="Calibri" w:hAnsi="Calibri"/>
                <w:b/>
                <w:sz w:val="20"/>
              </w:rPr>
              <w:t>Status</w:t>
            </w:r>
          </w:p>
        </w:tc>
        <w:tc>
          <w:tcPr>
            <w:tcW w:type="dxa" w:w="5760"/>
          </w:tcPr>
          <w:p>
            <w:pPr>
              <w:spacing w:after="0" w:before="0"/>
              <w:jc w:val="left"/>
            </w:pPr>
            <w:r/>
            <w:r>
              <w:rPr>
                <w:rFonts w:ascii="Calibri" w:hAnsi="Calibri"/>
                <w:b w:val="0"/>
                <w:sz w:val="20"/>
              </w:rPr>
              <w:t>Final Draft — Pending Engineering Review</w:t>
            </w:r>
          </w:p>
        </w:tc>
      </w:tr>
      <w:tr>
        <w:tc>
          <w:tcPr>
            <w:tcW w:type="dxa" w:w="2160"/>
            <w:shd w:val="clear" w:color="auto" w:fill="D6E4F0"/>
          </w:tcPr>
          <w:p>
            <w:pPr>
              <w:spacing w:after="0" w:before="0"/>
              <w:jc w:val="left"/>
            </w:pPr>
            <w:r/>
            <w:r>
              <w:rPr>
                <w:rFonts w:ascii="Calibri" w:hAnsi="Calibri"/>
                <w:b/>
                <w:sz w:val="20"/>
              </w:rPr>
              <w:t>Scope</w:t>
            </w:r>
          </w:p>
        </w:tc>
        <w:tc>
          <w:tcPr>
            <w:tcW w:type="dxa" w:w="5760"/>
          </w:tcPr>
          <w:p>
            <w:pPr>
              <w:spacing w:after="0" w:before="0"/>
              <w:jc w:val="left"/>
            </w:pPr>
            <w:r/>
            <w:r>
              <w:rPr>
                <w:rFonts w:ascii="Calibri" w:hAnsi="Calibri"/>
                <w:b w:val="0"/>
                <w:sz w:val="20"/>
              </w:rPr>
              <w:t>Phase 1: US Public Companies, Annual Financials, Excel Export</w:t>
            </w:r>
          </w:p>
        </w:tc>
      </w:tr>
      <w:tr>
        <w:tc>
          <w:tcPr>
            <w:tcW w:type="dxa" w:w="2160"/>
            <w:shd w:val="clear" w:color="auto" w:fill="D6E4F0"/>
          </w:tcPr>
          <w:p>
            <w:pPr>
              <w:spacing w:after="0" w:before="0"/>
              <w:jc w:val="left"/>
            </w:pPr>
            <w:r/>
            <w:r>
              <w:rPr>
                <w:rFonts w:ascii="Calibri" w:hAnsi="Calibri"/>
                <w:b/>
                <w:sz w:val="20"/>
              </w:rPr>
              <w:t>Sections</w:t>
            </w:r>
          </w:p>
        </w:tc>
        <w:tc>
          <w:tcPr>
            <w:tcW w:type="dxa" w:w="5760"/>
          </w:tcPr>
          <w:p>
            <w:pPr>
              <w:spacing w:after="0" w:before="0"/>
              <w:jc w:val="left"/>
            </w:pPr>
            <w:r/>
            <w:r>
              <w:rPr>
                <w:rFonts w:ascii="Calibri" w:hAnsi="Calibri"/>
                <w:b w:val="0"/>
                <w:sz w:val="20"/>
              </w:rPr>
              <w:t>Sections 5–9</w:t>
            </w:r>
          </w:p>
        </w:tc>
      </w:tr>
    </w:tbl>
    <w:p>
      <w:r>
        <w:br w:type="page"/>
      </w:r>
    </w:p>
    <w:p>
      <w:pPr>
        <w:pStyle w:val="Heading1"/>
        <w:spacing w:before="280" w:after="80"/>
      </w:pPr>
      <w:r>
        <w:rPr>
          <w:rFonts w:ascii="Calibri" w:hAnsi="Calibri"/>
          <w:color w:val="1F3864"/>
          <w:sz w:val="32"/>
        </w:rPr>
        <w:t>Table of Contents</w:t>
      </w:r>
    </w:p>
    <w:p>
      <w:pPr>
        <w:spacing w:after="60"/>
      </w:pPr>
      <w:r>
        <w:rPr>
          <w:rFonts w:ascii="Calibri" w:hAnsi="Calibri"/>
          <w:sz w:val="20"/>
        </w:rPr>
        <w:t>Section 5 — Financial Statement Extraction Pipeline</w:t>
      </w:r>
    </w:p>
    <w:p>
      <w:pPr>
        <w:spacing w:after="60"/>
      </w:pPr>
      <w:r>
        <w:rPr>
          <w:rFonts w:ascii="Calibri" w:hAnsi="Calibri"/>
          <w:sz w:val="20"/>
        </w:rPr>
        <w:t xml:space="preserve">  5.1  Missing Information</w:t>
      </w:r>
    </w:p>
    <w:p>
      <w:pPr>
        <w:spacing w:after="60"/>
      </w:pPr>
      <w:r>
        <w:rPr>
          <w:rFonts w:ascii="Calibri" w:hAnsi="Calibri"/>
          <w:sz w:val="20"/>
        </w:rPr>
        <w:t xml:space="preserve">  5.2  Required Decisions</w:t>
      </w:r>
    </w:p>
    <w:p>
      <w:pPr>
        <w:spacing w:after="60"/>
      </w:pPr>
      <w:r>
        <w:rPr>
          <w:rFonts w:ascii="Calibri" w:hAnsi="Calibri"/>
          <w:sz w:val="20"/>
        </w:rPr>
        <w:t xml:space="preserve">  5.3  Recommended Design — Canonical Field Schemas</w:t>
      </w:r>
    </w:p>
    <w:p>
      <w:pPr>
        <w:spacing w:after="60"/>
      </w:pPr>
      <w:r>
        <w:rPr>
          <w:rFonts w:ascii="Calibri" w:hAnsi="Calibri"/>
          <w:sz w:val="20"/>
        </w:rPr>
        <w:t xml:space="preserve">  5.4  Recommended Design — Extraction Process</w:t>
      </w:r>
    </w:p>
    <w:p>
      <w:pPr>
        <w:spacing w:after="60"/>
      </w:pPr>
      <w:r>
        <w:rPr>
          <w:rFonts w:ascii="Calibri" w:hAnsi="Calibri"/>
          <w:sz w:val="20"/>
        </w:rPr>
        <w:t>Section 6 — Validation Engine</w:t>
      </w:r>
    </w:p>
    <w:p>
      <w:pPr>
        <w:spacing w:after="60"/>
      </w:pPr>
      <w:r>
        <w:rPr>
          <w:rFonts w:ascii="Calibri" w:hAnsi="Calibri"/>
          <w:sz w:val="20"/>
        </w:rPr>
        <w:t xml:space="preserve">  6.1  Missing Information</w:t>
      </w:r>
    </w:p>
    <w:p>
      <w:pPr>
        <w:spacing w:after="60"/>
      </w:pPr>
      <w:r>
        <w:rPr>
          <w:rFonts w:ascii="Calibri" w:hAnsi="Calibri"/>
          <w:sz w:val="20"/>
        </w:rPr>
        <w:t xml:space="preserve">  6.2  Required Decisions</w:t>
      </w:r>
    </w:p>
    <w:p>
      <w:pPr>
        <w:spacing w:after="60"/>
      </w:pPr>
      <w:r>
        <w:rPr>
          <w:rFonts w:ascii="Calibri" w:hAnsi="Calibri"/>
          <w:sz w:val="20"/>
        </w:rPr>
        <w:t xml:space="preserve">  6.3  Recommended Design — Validation Rules</w:t>
      </w:r>
    </w:p>
    <w:p>
      <w:pPr>
        <w:spacing w:after="60"/>
      </w:pPr>
      <w:r>
        <w:rPr>
          <w:rFonts w:ascii="Calibri" w:hAnsi="Calibri"/>
          <w:sz w:val="20"/>
        </w:rPr>
        <w:t>Section 7 — Excel Export Engine</w:t>
      </w:r>
    </w:p>
    <w:p>
      <w:pPr>
        <w:spacing w:after="60"/>
      </w:pPr>
      <w:r>
        <w:rPr>
          <w:rFonts w:ascii="Calibri" w:hAnsi="Calibri"/>
          <w:sz w:val="20"/>
        </w:rPr>
        <w:t xml:space="preserve">  7.1  Missing Information</w:t>
      </w:r>
    </w:p>
    <w:p>
      <w:pPr>
        <w:spacing w:after="60"/>
      </w:pPr>
      <w:r>
        <w:rPr>
          <w:rFonts w:ascii="Calibri" w:hAnsi="Calibri"/>
          <w:sz w:val="20"/>
        </w:rPr>
        <w:t xml:space="preserve">  7.2  Required Decisions</w:t>
      </w:r>
    </w:p>
    <w:p>
      <w:pPr>
        <w:spacing w:after="60"/>
      </w:pPr>
      <w:r>
        <w:rPr>
          <w:rFonts w:ascii="Calibri" w:hAnsi="Calibri"/>
          <w:sz w:val="20"/>
        </w:rPr>
        <w:t xml:space="preserve">  7.3  Recommended Design — Workbook Specification</w:t>
      </w:r>
    </w:p>
    <w:p>
      <w:pPr>
        <w:spacing w:after="60"/>
      </w:pPr>
      <w:r>
        <w:rPr>
          <w:rFonts w:ascii="Calibri" w:hAnsi="Calibri"/>
          <w:sz w:val="20"/>
        </w:rPr>
        <w:t>Section 8 — Authentication &amp; User Management</w:t>
      </w:r>
    </w:p>
    <w:p>
      <w:pPr>
        <w:spacing w:after="60"/>
      </w:pPr>
      <w:r>
        <w:rPr>
          <w:rFonts w:ascii="Calibri" w:hAnsi="Calibri"/>
          <w:sz w:val="20"/>
        </w:rPr>
        <w:t xml:space="preserve">  8.1  Missing Information</w:t>
      </w:r>
    </w:p>
    <w:p>
      <w:pPr>
        <w:spacing w:after="60"/>
      </w:pPr>
      <w:r>
        <w:rPr>
          <w:rFonts w:ascii="Calibri" w:hAnsi="Calibri"/>
          <w:sz w:val="20"/>
        </w:rPr>
        <w:t xml:space="preserve">  8.2  Required Decisions</w:t>
      </w:r>
    </w:p>
    <w:p>
      <w:pPr>
        <w:spacing w:after="60"/>
      </w:pPr>
      <w:r>
        <w:rPr>
          <w:rFonts w:ascii="Calibri" w:hAnsi="Calibri"/>
          <w:sz w:val="20"/>
        </w:rPr>
        <w:t xml:space="preserve">  8.3  Recommended Design</w:t>
      </w:r>
    </w:p>
    <w:p>
      <w:pPr>
        <w:spacing w:after="60"/>
      </w:pPr>
      <w:r>
        <w:rPr>
          <w:rFonts w:ascii="Calibri" w:hAnsi="Calibri"/>
          <w:sz w:val="20"/>
        </w:rPr>
        <w:t>Section 9 — Background Job Processing</w:t>
      </w:r>
    </w:p>
    <w:p>
      <w:pPr>
        <w:spacing w:after="60"/>
      </w:pPr>
      <w:r>
        <w:rPr>
          <w:rFonts w:ascii="Calibri" w:hAnsi="Calibri"/>
          <w:sz w:val="20"/>
        </w:rPr>
        <w:t xml:space="preserve">  9.1  Missing Information</w:t>
      </w:r>
    </w:p>
    <w:p>
      <w:pPr>
        <w:spacing w:after="60"/>
      </w:pPr>
      <w:r>
        <w:rPr>
          <w:rFonts w:ascii="Calibri" w:hAnsi="Calibri"/>
          <w:sz w:val="20"/>
        </w:rPr>
        <w:t xml:space="preserve">  9.2  Required Decisions</w:t>
      </w:r>
    </w:p>
    <w:p>
      <w:pPr>
        <w:spacing w:after="60"/>
      </w:pPr>
      <w:r>
        <w:rPr>
          <w:rFonts w:ascii="Calibri" w:hAnsi="Calibri"/>
          <w:sz w:val="20"/>
        </w:rPr>
        <w:t xml:space="preserve">  9.3  Recommended Design</w:t>
      </w:r>
    </w:p>
    <w:p>
      <w:r>
        <w:br w:type="page"/>
      </w:r>
    </w:p>
    <w:p>
      <w:pPr>
        <w:pStyle w:val="Heading1"/>
        <w:spacing w:before="280" w:after="80"/>
      </w:pPr>
      <w:r>
        <w:rPr>
          <w:rFonts w:ascii="Calibri" w:hAnsi="Calibri"/>
          <w:color w:val="1F3864"/>
          <w:sz w:val="32"/>
        </w:rPr>
        <w:t>Section 5 — Financial Statement Extraction Pipeline</w:t>
      </w:r>
    </w:p>
    <w:p>
      <w:pPr>
        <w:spacing w:before="80" w:after="80"/>
        <w:pBdr>
          <w:bottom w:val="single" w:sz="6" w:space="1" w:color="2E75B6"/>
        </w:pBdr>
      </w:pPr>
    </w:p>
    <w:p>
      <w:pPr>
        <w:pStyle w:val="Heading2"/>
        <w:spacing w:before="280" w:after="80"/>
      </w:pPr>
      <w:r>
        <w:rPr>
          <w:rFonts w:ascii="Calibri" w:hAnsi="Calibri"/>
          <w:color w:val="2E75B6"/>
          <w:sz w:val="26"/>
        </w:rPr>
        <w:t>5.1  Missing Information</w:t>
      </w:r>
    </w:p>
    <w:p>
      <w:pPr>
        <w:pStyle w:val="ListBullet"/>
        <w:spacing w:after="60" w:before="0"/>
      </w:pPr>
      <w:r>
        <w:rPr>
          <w:rFonts w:ascii="Calibri" w:hAnsi="Calibri"/>
          <w:sz w:val="20"/>
        </w:rPr>
        <w:t>No canonical field schema defined — there is no agreed list of what fields to extract</w:t>
      </w:r>
    </w:p>
    <w:p>
      <w:pPr>
        <w:pStyle w:val="ListBullet"/>
        <w:spacing w:after="60" w:before="0"/>
      </w:pPr>
      <w:r>
        <w:rPr>
          <w:rFonts w:ascii="Calibri" w:hAnsi="Calibri"/>
          <w:sz w:val="20"/>
        </w:rPr>
        <w:t>No field alias / synonym mapping — 'Revenue', 'Net revenues', 'Turnover', 'Net sales' all mean the same thing but are handled differently without a mapping table</w:t>
      </w:r>
    </w:p>
    <w:p>
      <w:pPr>
        <w:pStyle w:val="ListBullet"/>
        <w:spacing w:after="60" w:before="0"/>
      </w:pPr>
      <w:r>
        <w:rPr>
          <w:rFonts w:ascii="Calibri" w:hAnsi="Calibri"/>
          <w:sz w:val="20"/>
        </w:rPr>
        <w:t>No sign convention standard — are expenses stored as positive or negative numbers?</w:t>
      </w:r>
    </w:p>
    <w:p>
      <w:pPr>
        <w:pStyle w:val="ListBullet"/>
        <w:spacing w:after="60" w:before="0"/>
      </w:pPr>
      <w:r>
        <w:rPr>
          <w:rFonts w:ascii="Calibri" w:hAnsi="Calibri"/>
          <w:sz w:val="20"/>
        </w:rPr>
        <w:t>No extraction prompt design for Claude API calls</w:t>
      </w:r>
    </w:p>
    <w:p>
      <w:pPr>
        <w:pStyle w:val="ListBullet"/>
        <w:spacing w:after="60" w:before="0"/>
      </w:pPr>
      <w:r>
        <w:rPr>
          <w:rFonts w:ascii="Calibri" w:hAnsi="Calibri"/>
          <w:sz w:val="20"/>
        </w:rPr>
        <w:t>No chunking strategy for documents that exceed model context limits</w:t>
      </w:r>
    </w:p>
    <w:p>
      <w:pPr>
        <w:pStyle w:val="ListBullet"/>
        <w:spacing w:after="60" w:before="0"/>
      </w:pPr>
      <w:r>
        <w:rPr>
          <w:rFonts w:ascii="Calibri" w:hAnsi="Calibri"/>
          <w:sz w:val="20"/>
        </w:rPr>
        <w:t>No output validation before storage — Claude's JSON is trusted without schema verification</w:t>
      </w:r>
    </w:p>
    <w:p>
      <w:pPr>
        <w:pStyle w:val="ListBullet"/>
        <w:spacing w:after="60" w:before="0"/>
      </w:pPr>
      <w:r>
        <w:rPr>
          <w:rFonts w:ascii="Calibri" w:hAnsi="Calibri"/>
          <w:sz w:val="20"/>
        </w:rPr>
        <w:t>No handling of estimated vs. actual values</w:t>
      </w:r>
    </w:p>
    <w:p>
      <w:pPr>
        <w:pStyle w:val="ListBullet"/>
        <w:spacing w:after="60" w:before="0"/>
      </w:pPr>
      <w:r>
        <w:rPr>
          <w:rFonts w:ascii="Calibri" w:hAnsi="Calibri"/>
          <w:sz w:val="20"/>
        </w:rPr>
        <w:t>No handling of restated prior-period figures (FY2022 revenue in FY2024 10-K may differ from original)</w:t>
      </w:r>
    </w:p>
    <w:p>
      <w:pPr>
        <w:pStyle w:val="ListBullet"/>
        <w:spacing w:after="60" w:before="0"/>
      </w:pPr>
      <w:r>
        <w:rPr>
          <w:rFonts w:ascii="Calibri" w:hAnsi="Calibri"/>
          <w:sz w:val="20"/>
        </w:rPr>
        <w:t>No unit detection and normalization logic — millions vs. thousands vs. billions</w:t>
      </w:r>
    </w:p>
    <w:p>
      <w:pPr>
        <w:pStyle w:val="ListBullet"/>
        <w:spacing w:after="60" w:before="0"/>
      </w:pPr>
      <w:r>
        <w:rPr>
          <w:rFonts w:ascii="Calibri" w:hAnsi="Calibri"/>
          <w:sz w:val="20"/>
        </w:rPr>
        <w:t>No fiscal year period labeling standard — how is 'Apple FY2024' stored?</w:t>
      </w:r>
    </w:p>
    <w:p>
      <w:pPr>
        <w:pStyle w:val="ListBullet"/>
        <w:spacing w:after="60" w:before="0"/>
      </w:pPr>
      <w:r>
        <w:rPr>
          <w:rFonts w:ascii="Calibri" w:hAnsi="Calibri"/>
          <w:sz w:val="20"/>
        </w:rPr>
        <w:t>No handling of companies that report in non-USD currencies</w:t>
      </w:r>
    </w:p>
    <w:p>
      <w:pPr>
        <w:pStyle w:val="Heading2"/>
        <w:spacing w:before="280" w:after="80"/>
      </w:pPr>
      <w:r>
        <w:rPr>
          <w:rFonts w:ascii="Calibri" w:hAnsi="Calibri"/>
          <w:color w:val="2E75B6"/>
          <w:sz w:val="26"/>
        </w:rPr>
        <w:t>5.2  Required Decisions</w:t>
      </w:r>
    </w:p>
    <w:p>
      <w:pPr>
        <w:spacing w:before="160" w:after="40"/>
      </w:pPr>
      <w:r>
        <w:rPr>
          <w:rFonts w:ascii="Calibri" w:hAnsi="Calibri"/>
          <w:b/>
          <w:color w:val="2E75B6"/>
          <w:sz w:val="20"/>
        </w:rPr>
        <w:t>Decision 1: Canonical Field Schema</w:t>
      </w:r>
    </w:p>
    <w:p>
      <w:pPr>
        <w:spacing w:after="120" w:before="0"/>
      </w:pPr>
      <w:r>
        <w:rPr>
          <w:rFonts w:ascii="Calibri" w:hAnsi="Calibri"/>
          <w:b w:val="0"/>
          <w:i w:val="0"/>
          <w:sz w:val="20"/>
        </w:rPr>
        <w:t>Recommendation: Define the complete list of canonical field keys before writing any extraction code. This schema is the data contract between the extraction layer and everything downstream — validation rules, Excel column positions, and API responses all depend on it. See Section 5.3 for the full Phase 1 schema.</w:t>
      </w:r>
    </w:p>
    <w:p>
      <w:pPr>
        <w:spacing w:before="160" w:after="40"/>
      </w:pPr>
      <w:r>
        <w:rPr>
          <w:rFonts w:ascii="Calibri" w:hAnsi="Calibri"/>
          <w:b/>
          <w:color w:val="2E75B6"/>
          <w:sz w:val="20"/>
        </w:rPr>
        <w:t>Decision 2: Sign Convention Standard</w:t>
      </w:r>
    </w:p>
    <w:p>
      <w:pPr>
        <w:spacing w:after="40" w:before="0"/>
      </w:pPr>
      <w:r>
        <w:rPr>
          <w:rFonts w:ascii="Calibri" w:hAnsi="Calibri"/>
          <w:b w:val="0"/>
          <w:i/>
          <w:sz w:val="20"/>
        </w:rPr>
        <w:t>Options: Store expenses as negative numbers, store expenses as positive numbers</w:t>
      </w:r>
    </w:p>
    <w:p>
      <w:pPr>
        <w:spacing w:after="120" w:before="0"/>
      </w:pPr>
      <w:r>
        <w:rPr>
          <w:rFonts w:ascii="Calibri" w:hAnsi="Calibri"/>
          <w:b w:val="0"/>
          <w:i w:val="0"/>
          <w:sz w:val="20"/>
        </w:rPr>
        <w:t>Recommendation: All values stored as they appear in financial statements — expenses as positive numbers. Sign handling is managed at the display and export layer, not the storage layer. This matches how companies report and avoids confusion when building validation rules.</w:t>
      </w:r>
    </w:p>
    <w:p>
      <w:pPr>
        <w:spacing w:before="160" w:after="40"/>
      </w:pPr>
      <w:r>
        <w:rPr>
          <w:rFonts w:ascii="Calibri" w:hAnsi="Calibri"/>
          <w:b/>
          <w:color w:val="2E75B6"/>
          <w:sz w:val="20"/>
        </w:rPr>
        <w:t>Decision 3: AI Extraction Prompt Strategy</w:t>
      </w:r>
    </w:p>
    <w:p>
      <w:pPr>
        <w:spacing w:after="40" w:before="0"/>
      </w:pPr>
      <w:r>
        <w:rPr>
          <w:rFonts w:ascii="Calibri" w:hAnsi="Calibri"/>
          <w:b w:val="0"/>
          <w:i/>
          <w:sz w:val="20"/>
        </w:rPr>
        <w:t>Options: Option A: Send entire financial section to Claude, request JSON. Option B: One statement type per call with explicit output schema.</w:t>
      </w:r>
    </w:p>
    <w:p>
      <w:pPr>
        <w:spacing w:after="120" w:before="0"/>
      </w:pPr>
      <w:r>
        <w:rPr>
          <w:rFonts w:ascii="Calibri" w:hAnsi="Calibri"/>
          <w:b w:val="0"/>
          <w:i w:val="0"/>
          <w:sz w:val="20"/>
        </w:rPr>
        <w:t>Recommendation: Option B. Focused prompts with explicit output schemas produce more reliable, parseable results. Define one prompt template per statement type. Use Claude tool_use / function calling to enforce structured JSON output format and prevent hallucination.</w:t>
      </w:r>
    </w:p>
    <w:p>
      <w:pPr>
        <w:spacing w:before="160" w:after="40"/>
      </w:pPr>
      <w:r>
        <w:rPr>
          <w:rFonts w:ascii="Calibri" w:hAnsi="Calibri"/>
          <w:b/>
          <w:color w:val="2E75B6"/>
          <w:sz w:val="20"/>
        </w:rPr>
        <w:t>Decision 4: Handling Restated Figures</w:t>
      </w:r>
    </w:p>
    <w:p>
      <w:pPr>
        <w:spacing w:after="120" w:before="0"/>
      </w:pPr>
      <w:r>
        <w:rPr>
          <w:rFonts w:ascii="Calibri" w:hAnsi="Calibri"/>
          <w:b w:val="0"/>
          <w:i w:val="0"/>
          <w:sz w:val="20"/>
        </w:rPr>
        <w:t>Recommendation: Store all versions. The financial_statements table has a version field and is_restated flag. When extracting, always capture both current-period and comparative-period figures shown in the document. Present the most recent version as default; restatement history accessible via API.</w:t>
      </w:r>
    </w:p>
    <w:p>
      <w:pPr>
        <w:spacing w:before="160" w:after="40"/>
      </w:pPr>
      <w:r>
        <w:rPr>
          <w:rFonts w:ascii="Calibri" w:hAnsi="Calibri"/>
          <w:b/>
          <w:color w:val="2E75B6"/>
          <w:sz w:val="20"/>
        </w:rPr>
        <w:t>Decision 5: Currency Normalization</w:t>
      </w:r>
    </w:p>
    <w:p>
      <w:pPr>
        <w:spacing w:after="120" w:before="0"/>
      </w:pPr>
      <w:r>
        <w:rPr>
          <w:rFonts w:ascii="Calibri" w:hAnsi="Calibri"/>
          <w:b w:val="0"/>
          <w:i w:val="0"/>
          <w:sz w:val="20"/>
        </w:rPr>
        <w:t>Recommendation: Store all values in both original currency and USD-normalized. Use historical exchange rates at the fiscal year-end date. Source: European Central Bank (free, reliable, covers major currencies). Store rates in the currency_rates table populated by a daily Celery Beat task.</w:t>
      </w:r>
    </w:p>
    <w:p>
      <w:pPr>
        <w:pStyle w:val="Heading2"/>
        <w:spacing w:before="280" w:after="80"/>
      </w:pPr>
      <w:r>
        <w:rPr>
          <w:rFonts w:ascii="Calibri" w:hAnsi="Calibri"/>
          <w:color w:val="2E75B6"/>
          <w:sz w:val="26"/>
        </w:rPr>
        <w:t>5.3  Recommended Design — Canonical Field Schemas</w:t>
      </w:r>
    </w:p>
    <w:p>
      <w:pPr>
        <w:spacing w:after="120" w:before="0"/>
      </w:pPr>
      <w:r>
        <w:rPr>
          <w:rFonts w:ascii="Calibri" w:hAnsi="Calibri"/>
          <w:b/>
          <w:i w:val="0"/>
          <w:sz w:val="20"/>
        </w:rPr>
        <w:t>Income Statement — Phase 1 Required Fields</w:t>
      </w:r>
    </w:p>
    <w:tbl>
      <w:tblPr>
        <w:tblStyle w:val="TableGrid"/>
        <w:tblW w:type="auto" w:w="0"/>
        <w:jc w:val="left"/>
        <w:tblLook w:firstColumn="1" w:firstRow="1" w:lastColumn="0" w:lastRow="0" w:noHBand="0" w:noVBand="1" w:val="04A0"/>
      </w:tblPr>
      <w:tblGrid>
        <w:gridCol w:w="2880"/>
        <w:gridCol w:w="2880"/>
        <w:gridCol w:w="2880"/>
      </w:tblGrid>
      <w:tr>
        <w:trPr>
          <w:trHeight w:val="397"/>
        </w:trPr>
        <w:tc>
          <w:tcPr>
            <w:tcW w:type="dxa" w:w="3168"/>
            <w:shd w:val="clear" w:color="auto" w:fill="1F3864"/>
          </w:tcPr>
          <w:p>
            <w:pPr>
              <w:spacing w:after="0" w:before="0"/>
              <w:jc w:val="center"/>
            </w:pPr>
            <w:r/>
            <w:r>
              <w:rPr>
                <w:rFonts w:ascii="Calibri" w:hAnsi="Calibri"/>
                <w:b/>
                <w:color w:val="FFFFFF"/>
                <w:sz w:val="18"/>
              </w:rPr>
              <w:t>Canonical Field</w:t>
            </w:r>
          </w:p>
        </w:tc>
        <w:tc>
          <w:tcPr>
            <w:tcW w:type="dxa" w:w="4032"/>
            <w:shd w:val="clear" w:color="auto" w:fill="1F3864"/>
          </w:tcPr>
          <w:p>
            <w:pPr>
              <w:spacing w:after="0" w:before="0"/>
              <w:jc w:val="center"/>
            </w:pPr>
            <w:r/>
            <w:r>
              <w:rPr>
                <w:rFonts w:ascii="Calibri" w:hAnsi="Calibri"/>
                <w:b/>
                <w:color w:val="FFFFFF"/>
                <w:sz w:val="18"/>
              </w:rPr>
              <w:t>Description</w:t>
            </w:r>
          </w:p>
        </w:tc>
        <w:tc>
          <w:tcPr>
            <w:tcW w:type="dxa" w:w="1440"/>
            <w:shd w:val="clear" w:color="auto" w:fill="1F3864"/>
          </w:tcPr>
          <w:p>
            <w:pPr>
              <w:spacing w:after="0" w:before="0"/>
              <w:jc w:val="center"/>
            </w:pPr>
            <w:r/>
            <w:r>
              <w:rPr>
                <w:rFonts w:ascii="Calibri" w:hAnsi="Calibri"/>
                <w:b/>
                <w:color w:val="FFFFFF"/>
                <w:sz w:val="18"/>
              </w:rPr>
              <w:t>Status</w:t>
            </w:r>
          </w:p>
        </w:tc>
      </w:tr>
      <w:tr>
        <w:tc>
          <w:tcPr>
            <w:tcW w:type="dxa" w:w="3168"/>
            <w:shd w:val="clear" w:color="auto" w:fill="F2F2F2"/>
          </w:tcPr>
          <w:p>
            <w:pPr>
              <w:spacing w:after="0" w:before="0"/>
              <w:jc w:val="left"/>
            </w:pPr>
            <w:r/>
            <w:r>
              <w:rPr>
                <w:rFonts w:ascii="Calibri" w:hAnsi="Calibri"/>
                <w:b w:val="0"/>
                <w:sz w:val="18"/>
              </w:rPr>
              <w:t>revenue</w:t>
            </w:r>
          </w:p>
        </w:tc>
        <w:tc>
          <w:tcPr>
            <w:tcW w:type="dxa" w:w="4032"/>
            <w:shd w:val="clear" w:color="auto" w:fill="F2F2F2"/>
          </w:tcPr>
          <w:p>
            <w:pPr>
              <w:spacing w:after="0" w:before="0"/>
              <w:jc w:val="left"/>
            </w:pPr>
            <w:r/>
            <w:r>
              <w:rPr>
                <w:rFonts w:ascii="Calibri" w:hAnsi="Calibri"/>
                <w:b w:val="0"/>
                <w:sz w:val="18"/>
              </w:rPr>
              <w:t>Total net revenues / sales</w:t>
            </w:r>
          </w:p>
        </w:tc>
        <w:tc>
          <w:tcPr>
            <w:tcW w:type="dxa" w:w="1440"/>
            <w:shd w:val="clear" w:color="auto" w:fill="F2F2F2"/>
          </w:tcPr>
          <w:p>
            <w:pPr>
              <w:spacing w:after="0" w:before="0"/>
              <w:jc w:val="left"/>
            </w:pPr>
            <w:r/>
            <w:r>
              <w:rPr>
                <w:rFonts w:ascii="Calibri" w:hAnsi="Calibri"/>
                <w:b w:val="0"/>
                <w:sz w:val="18"/>
              </w:rPr>
              <w:t>Required</w:t>
            </w:r>
          </w:p>
        </w:tc>
      </w:tr>
      <w:tr>
        <w:tc>
          <w:tcPr>
            <w:tcW w:type="dxa" w:w="3168"/>
            <w:shd w:val="clear" w:color="auto" w:fill="FFFFFF"/>
          </w:tcPr>
          <w:p>
            <w:pPr>
              <w:spacing w:after="0" w:before="0"/>
              <w:jc w:val="left"/>
            </w:pPr>
            <w:r/>
            <w:r>
              <w:rPr>
                <w:rFonts w:ascii="Calibri" w:hAnsi="Calibri"/>
                <w:b w:val="0"/>
                <w:sz w:val="18"/>
              </w:rPr>
              <w:t>cost_of_revenue</w:t>
            </w:r>
          </w:p>
        </w:tc>
        <w:tc>
          <w:tcPr>
            <w:tcW w:type="dxa" w:w="4032"/>
            <w:shd w:val="clear" w:color="auto" w:fill="FFFFFF"/>
          </w:tcPr>
          <w:p>
            <w:pPr>
              <w:spacing w:after="0" w:before="0"/>
              <w:jc w:val="left"/>
            </w:pPr>
            <w:r/>
            <w:r>
              <w:rPr>
                <w:rFonts w:ascii="Calibri" w:hAnsi="Calibri"/>
                <w:b w:val="0"/>
                <w:sz w:val="18"/>
              </w:rPr>
              <w:t>Cost of goods sold / cost of sales</w:t>
            </w:r>
          </w:p>
        </w:tc>
        <w:tc>
          <w:tcPr>
            <w:tcW w:type="dxa" w:w="1440"/>
            <w:shd w:val="clear" w:color="auto" w:fill="FFFFFF"/>
          </w:tcPr>
          <w:p>
            <w:pPr>
              <w:spacing w:after="0" w:before="0"/>
              <w:jc w:val="left"/>
            </w:pPr>
            <w:r/>
            <w:r>
              <w:rPr>
                <w:rFonts w:ascii="Calibri" w:hAnsi="Calibri"/>
                <w:b w:val="0"/>
                <w:sz w:val="18"/>
              </w:rPr>
              <w:t>Required</w:t>
            </w:r>
          </w:p>
        </w:tc>
      </w:tr>
      <w:tr>
        <w:tc>
          <w:tcPr>
            <w:tcW w:type="dxa" w:w="3168"/>
            <w:shd w:val="clear" w:color="auto" w:fill="F2F2F2"/>
          </w:tcPr>
          <w:p>
            <w:pPr>
              <w:spacing w:after="0" w:before="0"/>
              <w:jc w:val="left"/>
            </w:pPr>
            <w:r/>
            <w:r>
              <w:rPr>
                <w:rFonts w:ascii="Calibri" w:hAnsi="Calibri"/>
                <w:b w:val="0"/>
                <w:sz w:val="18"/>
              </w:rPr>
              <w:t>gross_profit</w:t>
            </w:r>
          </w:p>
        </w:tc>
        <w:tc>
          <w:tcPr>
            <w:tcW w:type="dxa" w:w="4032"/>
            <w:shd w:val="clear" w:color="auto" w:fill="F2F2F2"/>
          </w:tcPr>
          <w:p>
            <w:pPr>
              <w:spacing w:after="0" w:before="0"/>
              <w:jc w:val="left"/>
            </w:pPr>
            <w:r/>
            <w:r>
              <w:rPr>
                <w:rFonts w:ascii="Calibri" w:hAnsi="Calibri"/>
                <w:b w:val="0"/>
                <w:sz w:val="18"/>
              </w:rPr>
              <w:t>Revenue minus cost of revenue (computed check)</w:t>
            </w:r>
          </w:p>
        </w:tc>
        <w:tc>
          <w:tcPr>
            <w:tcW w:type="dxa" w:w="1440"/>
            <w:shd w:val="clear" w:color="auto" w:fill="F2F2F2"/>
          </w:tcPr>
          <w:p>
            <w:pPr>
              <w:spacing w:after="0" w:before="0"/>
              <w:jc w:val="left"/>
            </w:pPr>
            <w:r/>
            <w:r>
              <w:rPr>
                <w:rFonts w:ascii="Calibri" w:hAnsi="Calibri"/>
                <w:b w:val="0"/>
                <w:sz w:val="18"/>
              </w:rPr>
              <w:t>Required</w:t>
            </w:r>
          </w:p>
        </w:tc>
      </w:tr>
      <w:tr>
        <w:tc>
          <w:tcPr>
            <w:tcW w:type="dxa" w:w="3168"/>
            <w:shd w:val="clear" w:color="auto" w:fill="FFFFFF"/>
          </w:tcPr>
          <w:p>
            <w:pPr>
              <w:spacing w:after="0" w:before="0"/>
              <w:jc w:val="left"/>
            </w:pPr>
            <w:r/>
            <w:r>
              <w:rPr>
                <w:rFonts w:ascii="Calibri" w:hAnsi="Calibri"/>
                <w:b w:val="0"/>
                <w:sz w:val="18"/>
              </w:rPr>
              <w:t>research_and_development</w:t>
            </w:r>
          </w:p>
        </w:tc>
        <w:tc>
          <w:tcPr>
            <w:tcW w:type="dxa" w:w="4032"/>
            <w:shd w:val="clear" w:color="auto" w:fill="FFFFFF"/>
          </w:tcPr>
          <w:p>
            <w:pPr>
              <w:spacing w:after="0" w:before="0"/>
              <w:jc w:val="left"/>
            </w:pPr>
            <w:r/>
            <w:r>
              <w:rPr>
                <w:rFonts w:ascii="Calibri" w:hAnsi="Calibri"/>
                <w:b w:val="0"/>
                <w:sz w:val="18"/>
              </w:rPr>
              <w:t>R&amp;D expense</w:t>
            </w:r>
          </w:p>
        </w:tc>
        <w:tc>
          <w:tcPr>
            <w:tcW w:type="dxa" w:w="1440"/>
            <w:shd w:val="clear" w:color="auto" w:fill="FFFFFF"/>
          </w:tcPr>
          <w:p>
            <w:pPr>
              <w:spacing w:after="0" w:before="0"/>
              <w:jc w:val="left"/>
            </w:pPr>
            <w:r/>
            <w:r>
              <w:rPr>
                <w:rFonts w:ascii="Calibri" w:hAnsi="Calibri"/>
                <w:b w:val="0"/>
                <w:sz w:val="18"/>
              </w:rPr>
              <w:t>Optional</w:t>
            </w:r>
          </w:p>
        </w:tc>
      </w:tr>
      <w:tr>
        <w:tc>
          <w:tcPr>
            <w:tcW w:type="dxa" w:w="3168"/>
            <w:shd w:val="clear" w:color="auto" w:fill="F2F2F2"/>
          </w:tcPr>
          <w:p>
            <w:pPr>
              <w:spacing w:after="0" w:before="0"/>
              <w:jc w:val="left"/>
            </w:pPr>
            <w:r/>
            <w:r>
              <w:rPr>
                <w:rFonts w:ascii="Calibri" w:hAnsi="Calibri"/>
                <w:b w:val="0"/>
                <w:sz w:val="18"/>
              </w:rPr>
              <w:t>sales_general_administrative</w:t>
            </w:r>
          </w:p>
        </w:tc>
        <w:tc>
          <w:tcPr>
            <w:tcW w:type="dxa" w:w="4032"/>
            <w:shd w:val="clear" w:color="auto" w:fill="F2F2F2"/>
          </w:tcPr>
          <w:p>
            <w:pPr>
              <w:spacing w:after="0" w:before="0"/>
              <w:jc w:val="left"/>
            </w:pPr>
            <w:r/>
            <w:r>
              <w:rPr>
                <w:rFonts w:ascii="Calibri" w:hAnsi="Calibri"/>
                <w:b w:val="0"/>
                <w:sz w:val="18"/>
              </w:rPr>
              <w:t>SG&amp;A expense</w:t>
            </w:r>
          </w:p>
        </w:tc>
        <w:tc>
          <w:tcPr>
            <w:tcW w:type="dxa" w:w="1440"/>
            <w:shd w:val="clear" w:color="auto" w:fill="F2F2F2"/>
          </w:tcPr>
          <w:p>
            <w:pPr>
              <w:spacing w:after="0" w:before="0"/>
              <w:jc w:val="left"/>
            </w:pPr>
            <w:r/>
            <w:r>
              <w:rPr>
                <w:rFonts w:ascii="Calibri" w:hAnsi="Calibri"/>
                <w:b w:val="0"/>
                <w:sz w:val="18"/>
              </w:rPr>
              <w:t>Required</w:t>
            </w:r>
          </w:p>
        </w:tc>
      </w:tr>
      <w:tr>
        <w:tc>
          <w:tcPr>
            <w:tcW w:type="dxa" w:w="3168"/>
            <w:shd w:val="clear" w:color="auto" w:fill="FFFFFF"/>
          </w:tcPr>
          <w:p>
            <w:pPr>
              <w:spacing w:after="0" w:before="0"/>
              <w:jc w:val="left"/>
            </w:pPr>
            <w:r/>
            <w:r>
              <w:rPr>
                <w:rFonts w:ascii="Calibri" w:hAnsi="Calibri"/>
                <w:b w:val="0"/>
                <w:sz w:val="18"/>
              </w:rPr>
              <w:t>total_operating_expenses</w:t>
            </w:r>
          </w:p>
        </w:tc>
        <w:tc>
          <w:tcPr>
            <w:tcW w:type="dxa" w:w="4032"/>
            <w:shd w:val="clear" w:color="auto" w:fill="FFFFFF"/>
          </w:tcPr>
          <w:p>
            <w:pPr>
              <w:spacing w:after="0" w:before="0"/>
              <w:jc w:val="left"/>
            </w:pPr>
            <w:r/>
            <w:r>
              <w:rPr>
                <w:rFonts w:ascii="Calibri" w:hAnsi="Calibri"/>
                <w:b w:val="0"/>
                <w:sz w:val="18"/>
              </w:rPr>
              <w:t>All operating expense lines summed</w:t>
            </w:r>
          </w:p>
        </w:tc>
        <w:tc>
          <w:tcPr>
            <w:tcW w:type="dxa" w:w="1440"/>
            <w:shd w:val="clear" w:color="auto" w:fill="FFFFFF"/>
          </w:tcPr>
          <w:p>
            <w:pPr>
              <w:spacing w:after="0" w:before="0"/>
              <w:jc w:val="left"/>
            </w:pPr>
            <w:r/>
            <w:r>
              <w:rPr>
                <w:rFonts w:ascii="Calibri" w:hAnsi="Calibri"/>
                <w:b w:val="0"/>
                <w:sz w:val="18"/>
              </w:rPr>
              <w:t>Required</w:t>
            </w:r>
          </w:p>
        </w:tc>
      </w:tr>
      <w:tr>
        <w:tc>
          <w:tcPr>
            <w:tcW w:type="dxa" w:w="3168"/>
            <w:shd w:val="clear" w:color="auto" w:fill="F2F2F2"/>
          </w:tcPr>
          <w:p>
            <w:pPr>
              <w:spacing w:after="0" w:before="0"/>
              <w:jc w:val="left"/>
            </w:pPr>
            <w:r/>
            <w:r>
              <w:rPr>
                <w:rFonts w:ascii="Calibri" w:hAnsi="Calibri"/>
                <w:b w:val="0"/>
                <w:sz w:val="18"/>
              </w:rPr>
              <w:t>operating_income</w:t>
            </w:r>
          </w:p>
        </w:tc>
        <w:tc>
          <w:tcPr>
            <w:tcW w:type="dxa" w:w="4032"/>
            <w:shd w:val="clear" w:color="auto" w:fill="F2F2F2"/>
          </w:tcPr>
          <w:p>
            <w:pPr>
              <w:spacing w:after="0" w:before="0"/>
              <w:jc w:val="left"/>
            </w:pPr>
            <w:r/>
            <w:r>
              <w:rPr>
                <w:rFonts w:ascii="Calibri" w:hAnsi="Calibri"/>
                <w:b w:val="0"/>
                <w:sz w:val="18"/>
              </w:rPr>
              <w:t>EBIT / operating profit</w:t>
            </w:r>
          </w:p>
        </w:tc>
        <w:tc>
          <w:tcPr>
            <w:tcW w:type="dxa" w:w="1440"/>
            <w:shd w:val="clear" w:color="auto" w:fill="F2F2F2"/>
          </w:tcPr>
          <w:p>
            <w:pPr>
              <w:spacing w:after="0" w:before="0"/>
              <w:jc w:val="left"/>
            </w:pPr>
            <w:r/>
            <w:r>
              <w:rPr>
                <w:rFonts w:ascii="Calibri" w:hAnsi="Calibri"/>
                <w:b w:val="0"/>
                <w:sz w:val="18"/>
              </w:rPr>
              <w:t>Required</w:t>
            </w:r>
          </w:p>
        </w:tc>
      </w:tr>
      <w:tr>
        <w:tc>
          <w:tcPr>
            <w:tcW w:type="dxa" w:w="3168"/>
            <w:shd w:val="clear" w:color="auto" w:fill="FFFFFF"/>
          </w:tcPr>
          <w:p>
            <w:pPr>
              <w:spacing w:after="0" w:before="0"/>
              <w:jc w:val="left"/>
            </w:pPr>
            <w:r/>
            <w:r>
              <w:rPr>
                <w:rFonts w:ascii="Calibri" w:hAnsi="Calibri"/>
                <w:b w:val="0"/>
                <w:sz w:val="18"/>
              </w:rPr>
              <w:t>interest_expense</w:t>
            </w:r>
          </w:p>
        </w:tc>
        <w:tc>
          <w:tcPr>
            <w:tcW w:type="dxa" w:w="4032"/>
            <w:shd w:val="clear" w:color="auto" w:fill="FFFFFF"/>
          </w:tcPr>
          <w:p>
            <w:pPr>
              <w:spacing w:after="0" w:before="0"/>
              <w:jc w:val="left"/>
            </w:pPr>
            <w:r/>
            <w:r>
              <w:rPr>
                <w:rFonts w:ascii="Calibri" w:hAnsi="Calibri"/>
                <w:b w:val="0"/>
                <w:sz w:val="18"/>
              </w:rPr>
              <w:t>Interest costs on debt</w:t>
            </w:r>
          </w:p>
        </w:tc>
        <w:tc>
          <w:tcPr>
            <w:tcW w:type="dxa" w:w="1440"/>
            <w:shd w:val="clear" w:color="auto" w:fill="FFFFFF"/>
          </w:tcPr>
          <w:p>
            <w:pPr>
              <w:spacing w:after="0" w:before="0"/>
              <w:jc w:val="left"/>
            </w:pPr>
            <w:r/>
            <w:r>
              <w:rPr>
                <w:rFonts w:ascii="Calibri" w:hAnsi="Calibri"/>
                <w:b w:val="0"/>
                <w:sz w:val="18"/>
              </w:rPr>
              <w:t>Required</w:t>
            </w:r>
          </w:p>
        </w:tc>
      </w:tr>
      <w:tr>
        <w:tc>
          <w:tcPr>
            <w:tcW w:type="dxa" w:w="3168"/>
            <w:shd w:val="clear" w:color="auto" w:fill="F2F2F2"/>
          </w:tcPr>
          <w:p>
            <w:pPr>
              <w:spacing w:after="0" w:before="0"/>
              <w:jc w:val="left"/>
            </w:pPr>
            <w:r/>
            <w:r>
              <w:rPr>
                <w:rFonts w:ascii="Calibri" w:hAnsi="Calibri"/>
                <w:b w:val="0"/>
                <w:sz w:val="18"/>
              </w:rPr>
              <w:t>interest_income</w:t>
            </w:r>
          </w:p>
        </w:tc>
        <w:tc>
          <w:tcPr>
            <w:tcW w:type="dxa" w:w="4032"/>
            <w:shd w:val="clear" w:color="auto" w:fill="F2F2F2"/>
          </w:tcPr>
          <w:p>
            <w:pPr>
              <w:spacing w:after="0" w:before="0"/>
              <w:jc w:val="left"/>
            </w:pPr>
            <w:r/>
            <w:r>
              <w:rPr>
                <w:rFonts w:ascii="Calibri" w:hAnsi="Calibri"/>
                <w:b w:val="0"/>
                <w:sz w:val="18"/>
              </w:rPr>
              <w:t>Interest earned on cash / investments</w:t>
            </w:r>
          </w:p>
        </w:tc>
        <w:tc>
          <w:tcPr>
            <w:tcW w:type="dxa" w:w="1440"/>
            <w:shd w:val="clear" w:color="auto" w:fill="F2F2F2"/>
          </w:tcPr>
          <w:p>
            <w:pPr>
              <w:spacing w:after="0" w:before="0"/>
              <w:jc w:val="left"/>
            </w:pPr>
            <w:r/>
            <w:r>
              <w:rPr>
                <w:rFonts w:ascii="Calibri" w:hAnsi="Calibri"/>
                <w:b w:val="0"/>
                <w:sz w:val="18"/>
              </w:rPr>
              <w:t>Optional</w:t>
            </w:r>
          </w:p>
        </w:tc>
      </w:tr>
      <w:tr>
        <w:tc>
          <w:tcPr>
            <w:tcW w:type="dxa" w:w="3168"/>
            <w:shd w:val="clear" w:color="auto" w:fill="FFFFFF"/>
          </w:tcPr>
          <w:p>
            <w:pPr>
              <w:spacing w:after="0" w:before="0"/>
              <w:jc w:val="left"/>
            </w:pPr>
            <w:r/>
            <w:r>
              <w:rPr>
                <w:rFonts w:ascii="Calibri" w:hAnsi="Calibri"/>
                <w:b w:val="0"/>
                <w:sz w:val="18"/>
              </w:rPr>
              <w:t>other_income_expense</w:t>
            </w:r>
          </w:p>
        </w:tc>
        <w:tc>
          <w:tcPr>
            <w:tcW w:type="dxa" w:w="4032"/>
            <w:shd w:val="clear" w:color="auto" w:fill="FFFFFF"/>
          </w:tcPr>
          <w:p>
            <w:pPr>
              <w:spacing w:after="0" w:before="0"/>
              <w:jc w:val="left"/>
            </w:pPr>
            <w:r/>
            <w:r>
              <w:rPr>
                <w:rFonts w:ascii="Calibri" w:hAnsi="Calibri"/>
                <w:b w:val="0"/>
                <w:sz w:val="18"/>
              </w:rPr>
              <w:t>Non-operating items</w:t>
            </w:r>
          </w:p>
        </w:tc>
        <w:tc>
          <w:tcPr>
            <w:tcW w:type="dxa" w:w="1440"/>
            <w:shd w:val="clear" w:color="auto" w:fill="FFFFFF"/>
          </w:tcPr>
          <w:p>
            <w:pPr>
              <w:spacing w:after="0" w:before="0"/>
              <w:jc w:val="left"/>
            </w:pPr>
            <w:r/>
            <w:r>
              <w:rPr>
                <w:rFonts w:ascii="Calibri" w:hAnsi="Calibri"/>
                <w:b w:val="0"/>
                <w:sz w:val="18"/>
              </w:rPr>
              <w:t>Optional</w:t>
            </w:r>
          </w:p>
        </w:tc>
      </w:tr>
      <w:tr>
        <w:tc>
          <w:tcPr>
            <w:tcW w:type="dxa" w:w="3168"/>
            <w:shd w:val="clear" w:color="auto" w:fill="F2F2F2"/>
          </w:tcPr>
          <w:p>
            <w:pPr>
              <w:spacing w:after="0" w:before="0"/>
              <w:jc w:val="left"/>
            </w:pPr>
            <w:r/>
            <w:r>
              <w:rPr>
                <w:rFonts w:ascii="Calibri" w:hAnsi="Calibri"/>
                <w:b w:val="0"/>
                <w:sz w:val="18"/>
              </w:rPr>
              <w:t>income_before_tax</w:t>
            </w:r>
          </w:p>
        </w:tc>
        <w:tc>
          <w:tcPr>
            <w:tcW w:type="dxa" w:w="4032"/>
            <w:shd w:val="clear" w:color="auto" w:fill="F2F2F2"/>
          </w:tcPr>
          <w:p>
            <w:pPr>
              <w:spacing w:after="0" w:before="0"/>
              <w:jc w:val="left"/>
            </w:pPr>
            <w:r/>
            <w:r>
              <w:rPr>
                <w:rFonts w:ascii="Calibri" w:hAnsi="Calibri"/>
                <w:b w:val="0"/>
                <w:sz w:val="18"/>
              </w:rPr>
              <w:t>Pre-tax profit</w:t>
            </w:r>
          </w:p>
        </w:tc>
        <w:tc>
          <w:tcPr>
            <w:tcW w:type="dxa" w:w="1440"/>
            <w:shd w:val="clear" w:color="auto" w:fill="F2F2F2"/>
          </w:tcPr>
          <w:p>
            <w:pPr>
              <w:spacing w:after="0" w:before="0"/>
              <w:jc w:val="left"/>
            </w:pPr>
            <w:r/>
            <w:r>
              <w:rPr>
                <w:rFonts w:ascii="Calibri" w:hAnsi="Calibri"/>
                <w:b w:val="0"/>
                <w:sz w:val="18"/>
              </w:rPr>
              <w:t>Required</w:t>
            </w:r>
          </w:p>
        </w:tc>
      </w:tr>
      <w:tr>
        <w:tc>
          <w:tcPr>
            <w:tcW w:type="dxa" w:w="3168"/>
            <w:shd w:val="clear" w:color="auto" w:fill="FFFFFF"/>
          </w:tcPr>
          <w:p>
            <w:pPr>
              <w:spacing w:after="0" w:before="0"/>
              <w:jc w:val="left"/>
            </w:pPr>
            <w:r/>
            <w:r>
              <w:rPr>
                <w:rFonts w:ascii="Calibri" w:hAnsi="Calibri"/>
                <w:b w:val="0"/>
                <w:sz w:val="18"/>
              </w:rPr>
              <w:t>income_tax_expense</w:t>
            </w:r>
          </w:p>
        </w:tc>
        <w:tc>
          <w:tcPr>
            <w:tcW w:type="dxa" w:w="4032"/>
            <w:shd w:val="clear" w:color="auto" w:fill="FFFFFF"/>
          </w:tcPr>
          <w:p>
            <w:pPr>
              <w:spacing w:after="0" w:before="0"/>
              <w:jc w:val="left"/>
            </w:pPr>
            <w:r/>
            <w:r>
              <w:rPr>
                <w:rFonts w:ascii="Calibri" w:hAnsi="Calibri"/>
                <w:b w:val="0"/>
                <w:sz w:val="18"/>
              </w:rPr>
              <w:t>Total income tax provision</w:t>
            </w:r>
          </w:p>
        </w:tc>
        <w:tc>
          <w:tcPr>
            <w:tcW w:type="dxa" w:w="1440"/>
            <w:shd w:val="clear" w:color="auto" w:fill="FFFFFF"/>
          </w:tcPr>
          <w:p>
            <w:pPr>
              <w:spacing w:after="0" w:before="0"/>
              <w:jc w:val="left"/>
            </w:pPr>
            <w:r/>
            <w:r>
              <w:rPr>
                <w:rFonts w:ascii="Calibri" w:hAnsi="Calibri"/>
                <w:b w:val="0"/>
                <w:sz w:val="18"/>
              </w:rPr>
              <w:t>Required</w:t>
            </w:r>
          </w:p>
        </w:tc>
      </w:tr>
      <w:tr>
        <w:tc>
          <w:tcPr>
            <w:tcW w:type="dxa" w:w="3168"/>
            <w:shd w:val="clear" w:color="auto" w:fill="F2F2F2"/>
          </w:tcPr>
          <w:p>
            <w:pPr>
              <w:spacing w:after="0" w:before="0"/>
              <w:jc w:val="left"/>
            </w:pPr>
            <w:r/>
            <w:r>
              <w:rPr>
                <w:rFonts w:ascii="Calibri" w:hAnsi="Calibri"/>
                <w:b w:val="0"/>
                <w:sz w:val="18"/>
              </w:rPr>
              <w:t>net_income</w:t>
            </w:r>
          </w:p>
        </w:tc>
        <w:tc>
          <w:tcPr>
            <w:tcW w:type="dxa" w:w="4032"/>
            <w:shd w:val="clear" w:color="auto" w:fill="F2F2F2"/>
          </w:tcPr>
          <w:p>
            <w:pPr>
              <w:spacing w:after="0" w:before="0"/>
              <w:jc w:val="left"/>
            </w:pPr>
            <w:r/>
            <w:r>
              <w:rPr>
                <w:rFonts w:ascii="Calibri" w:hAnsi="Calibri"/>
                <w:b w:val="0"/>
                <w:sz w:val="18"/>
              </w:rPr>
              <w:t>Bottom-line profit</w:t>
            </w:r>
          </w:p>
        </w:tc>
        <w:tc>
          <w:tcPr>
            <w:tcW w:type="dxa" w:w="1440"/>
            <w:shd w:val="clear" w:color="auto" w:fill="F2F2F2"/>
          </w:tcPr>
          <w:p>
            <w:pPr>
              <w:spacing w:after="0" w:before="0"/>
              <w:jc w:val="left"/>
            </w:pPr>
            <w:r/>
            <w:r>
              <w:rPr>
                <w:rFonts w:ascii="Calibri" w:hAnsi="Calibri"/>
                <w:b w:val="0"/>
                <w:sz w:val="18"/>
              </w:rPr>
              <w:t>Required</w:t>
            </w:r>
          </w:p>
        </w:tc>
      </w:tr>
      <w:tr>
        <w:tc>
          <w:tcPr>
            <w:tcW w:type="dxa" w:w="3168"/>
            <w:shd w:val="clear" w:color="auto" w:fill="FFFFFF"/>
          </w:tcPr>
          <w:p>
            <w:pPr>
              <w:spacing w:after="0" w:before="0"/>
              <w:jc w:val="left"/>
            </w:pPr>
            <w:r/>
            <w:r>
              <w:rPr>
                <w:rFonts w:ascii="Calibri" w:hAnsi="Calibri"/>
                <w:b w:val="0"/>
                <w:sz w:val="18"/>
              </w:rPr>
              <w:t>net_income_attributable_to_parent</w:t>
            </w:r>
          </w:p>
        </w:tc>
        <w:tc>
          <w:tcPr>
            <w:tcW w:type="dxa" w:w="4032"/>
            <w:shd w:val="clear" w:color="auto" w:fill="FFFFFF"/>
          </w:tcPr>
          <w:p>
            <w:pPr>
              <w:spacing w:after="0" w:before="0"/>
              <w:jc w:val="left"/>
            </w:pPr>
            <w:r/>
            <w:r>
              <w:rPr>
                <w:rFonts w:ascii="Calibri" w:hAnsi="Calibri"/>
                <w:b w:val="0"/>
                <w:sz w:val="18"/>
              </w:rPr>
              <w:t>Excluding minority interest</w:t>
            </w:r>
          </w:p>
        </w:tc>
        <w:tc>
          <w:tcPr>
            <w:tcW w:type="dxa" w:w="1440"/>
            <w:shd w:val="clear" w:color="auto" w:fill="FFFFFF"/>
          </w:tcPr>
          <w:p>
            <w:pPr>
              <w:spacing w:after="0" w:before="0"/>
              <w:jc w:val="left"/>
            </w:pPr>
            <w:r/>
            <w:r>
              <w:rPr>
                <w:rFonts w:ascii="Calibri" w:hAnsi="Calibri"/>
                <w:b w:val="0"/>
                <w:sz w:val="18"/>
              </w:rPr>
              <w:t>Required</w:t>
            </w:r>
          </w:p>
        </w:tc>
      </w:tr>
      <w:tr>
        <w:tc>
          <w:tcPr>
            <w:tcW w:type="dxa" w:w="3168"/>
            <w:shd w:val="clear" w:color="auto" w:fill="F2F2F2"/>
          </w:tcPr>
          <w:p>
            <w:pPr>
              <w:spacing w:after="0" w:before="0"/>
              <w:jc w:val="left"/>
            </w:pPr>
            <w:r/>
            <w:r>
              <w:rPr>
                <w:rFonts w:ascii="Calibri" w:hAnsi="Calibri"/>
                <w:b w:val="0"/>
                <w:sz w:val="18"/>
              </w:rPr>
              <w:t>basic_eps</w:t>
            </w:r>
          </w:p>
        </w:tc>
        <w:tc>
          <w:tcPr>
            <w:tcW w:type="dxa" w:w="4032"/>
            <w:shd w:val="clear" w:color="auto" w:fill="F2F2F2"/>
          </w:tcPr>
          <w:p>
            <w:pPr>
              <w:spacing w:after="0" w:before="0"/>
              <w:jc w:val="left"/>
            </w:pPr>
            <w:r/>
            <w:r>
              <w:rPr>
                <w:rFonts w:ascii="Calibri" w:hAnsi="Calibri"/>
                <w:b w:val="0"/>
                <w:sz w:val="18"/>
              </w:rPr>
              <w:t>Basic earnings per share</w:t>
            </w:r>
          </w:p>
        </w:tc>
        <w:tc>
          <w:tcPr>
            <w:tcW w:type="dxa" w:w="1440"/>
            <w:shd w:val="clear" w:color="auto" w:fill="F2F2F2"/>
          </w:tcPr>
          <w:p>
            <w:pPr>
              <w:spacing w:after="0" w:before="0"/>
              <w:jc w:val="left"/>
            </w:pPr>
            <w:r/>
            <w:r>
              <w:rPr>
                <w:rFonts w:ascii="Calibri" w:hAnsi="Calibri"/>
                <w:b w:val="0"/>
                <w:sz w:val="18"/>
              </w:rPr>
              <w:t>Required</w:t>
            </w:r>
          </w:p>
        </w:tc>
      </w:tr>
      <w:tr>
        <w:tc>
          <w:tcPr>
            <w:tcW w:type="dxa" w:w="3168"/>
            <w:shd w:val="clear" w:color="auto" w:fill="FFFFFF"/>
          </w:tcPr>
          <w:p>
            <w:pPr>
              <w:spacing w:after="0" w:before="0"/>
              <w:jc w:val="left"/>
            </w:pPr>
            <w:r/>
            <w:r>
              <w:rPr>
                <w:rFonts w:ascii="Calibri" w:hAnsi="Calibri"/>
                <w:b w:val="0"/>
                <w:sz w:val="18"/>
              </w:rPr>
              <w:t>diluted_eps</w:t>
            </w:r>
          </w:p>
        </w:tc>
        <w:tc>
          <w:tcPr>
            <w:tcW w:type="dxa" w:w="4032"/>
            <w:shd w:val="clear" w:color="auto" w:fill="FFFFFF"/>
          </w:tcPr>
          <w:p>
            <w:pPr>
              <w:spacing w:after="0" w:before="0"/>
              <w:jc w:val="left"/>
            </w:pPr>
            <w:r/>
            <w:r>
              <w:rPr>
                <w:rFonts w:ascii="Calibri" w:hAnsi="Calibri"/>
                <w:b w:val="0"/>
                <w:sz w:val="18"/>
              </w:rPr>
              <w:t>Diluted earnings per share</w:t>
            </w:r>
          </w:p>
        </w:tc>
        <w:tc>
          <w:tcPr>
            <w:tcW w:type="dxa" w:w="1440"/>
            <w:shd w:val="clear" w:color="auto" w:fill="FFFFFF"/>
          </w:tcPr>
          <w:p>
            <w:pPr>
              <w:spacing w:after="0" w:before="0"/>
              <w:jc w:val="left"/>
            </w:pPr>
            <w:r/>
            <w:r>
              <w:rPr>
                <w:rFonts w:ascii="Calibri" w:hAnsi="Calibri"/>
                <w:b w:val="0"/>
                <w:sz w:val="18"/>
              </w:rPr>
              <w:t>Required</w:t>
            </w:r>
          </w:p>
        </w:tc>
      </w:tr>
      <w:tr>
        <w:tc>
          <w:tcPr>
            <w:tcW w:type="dxa" w:w="3168"/>
            <w:shd w:val="clear" w:color="auto" w:fill="F2F2F2"/>
          </w:tcPr>
          <w:p>
            <w:pPr>
              <w:spacing w:after="0" w:before="0"/>
              <w:jc w:val="left"/>
            </w:pPr>
            <w:r/>
            <w:r>
              <w:rPr>
                <w:rFonts w:ascii="Calibri" w:hAnsi="Calibri"/>
                <w:b w:val="0"/>
                <w:sz w:val="18"/>
              </w:rPr>
              <w:t>basic_shares</w:t>
            </w:r>
          </w:p>
        </w:tc>
        <w:tc>
          <w:tcPr>
            <w:tcW w:type="dxa" w:w="4032"/>
            <w:shd w:val="clear" w:color="auto" w:fill="F2F2F2"/>
          </w:tcPr>
          <w:p>
            <w:pPr>
              <w:spacing w:after="0" w:before="0"/>
              <w:jc w:val="left"/>
            </w:pPr>
            <w:r/>
            <w:r>
              <w:rPr>
                <w:rFonts w:ascii="Calibri" w:hAnsi="Calibri"/>
                <w:b w:val="0"/>
                <w:sz w:val="18"/>
              </w:rPr>
              <w:t>Weighted average basic shares (millions)</w:t>
            </w:r>
          </w:p>
        </w:tc>
        <w:tc>
          <w:tcPr>
            <w:tcW w:type="dxa" w:w="1440"/>
            <w:shd w:val="clear" w:color="auto" w:fill="F2F2F2"/>
          </w:tcPr>
          <w:p>
            <w:pPr>
              <w:spacing w:after="0" w:before="0"/>
              <w:jc w:val="left"/>
            </w:pPr>
            <w:r/>
            <w:r>
              <w:rPr>
                <w:rFonts w:ascii="Calibri" w:hAnsi="Calibri"/>
                <w:b w:val="0"/>
                <w:sz w:val="18"/>
              </w:rPr>
              <w:t>Required</w:t>
            </w:r>
          </w:p>
        </w:tc>
      </w:tr>
      <w:tr>
        <w:tc>
          <w:tcPr>
            <w:tcW w:type="dxa" w:w="3168"/>
            <w:shd w:val="clear" w:color="auto" w:fill="FFFFFF"/>
          </w:tcPr>
          <w:p>
            <w:pPr>
              <w:spacing w:after="0" w:before="0"/>
              <w:jc w:val="left"/>
            </w:pPr>
            <w:r/>
            <w:r>
              <w:rPr>
                <w:rFonts w:ascii="Calibri" w:hAnsi="Calibri"/>
                <w:b w:val="0"/>
                <w:sz w:val="18"/>
              </w:rPr>
              <w:t>diluted_shares</w:t>
            </w:r>
          </w:p>
        </w:tc>
        <w:tc>
          <w:tcPr>
            <w:tcW w:type="dxa" w:w="4032"/>
            <w:shd w:val="clear" w:color="auto" w:fill="FFFFFF"/>
          </w:tcPr>
          <w:p>
            <w:pPr>
              <w:spacing w:after="0" w:before="0"/>
              <w:jc w:val="left"/>
            </w:pPr>
            <w:r/>
            <w:r>
              <w:rPr>
                <w:rFonts w:ascii="Calibri" w:hAnsi="Calibri"/>
                <w:b w:val="0"/>
                <w:sz w:val="18"/>
              </w:rPr>
              <w:t>Weighted average diluted shares (millions)</w:t>
            </w:r>
          </w:p>
        </w:tc>
        <w:tc>
          <w:tcPr>
            <w:tcW w:type="dxa" w:w="1440"/>
            <w:shd w:val="clear" w:color="auto" w:fill="FFFFFF"/>
          </w:tcPr>
          <w:p>
            <w:pPr>
              <w:spacing w:after="0" w:before="0"/>
              <w:jc w:val="left"/>
            </w:pPr>
            <w:r/>
            <w:r>
              <w:rPr>
                <w:rFonts w:ascii="Calibri" w:hAnsi="Calibri"/>
                <w:b w:val="0"/>
                <w:sz w:val="18"/>
              </w:rPr>
              <w:t>Required</w:t>
            </w:r>
          </w:p>
        </w:tc>
      </w:tr>
      <w:tr>
        <w:tc>
          <w:tcPr>
            <w:tcW w:type="dxa" w:w="3168"/>
            <w:shd w:val="clear" w:color="auto" w:fill="F2F2F2"/>
          </w:tcPr>
          <w:p>
            <w:pPr>
              <w:spacing w:after="0" w:before="0"/>
              <w:jc w:val="left"/>
            </w:pPr>
            <w:r/>
            <w:r>
              <w:rPr>
                <w:rFonts w:ascii="Calibri" w:hAnsi="Calibri"/>
                <w:b w:val="0"/>
                <w:sz w:val="18"/>
              </w:rPr>
              <w:t>depreciation_amortization</w:t>
            </w:r>
          </w:p>
        </w:tc>
        <w:tc>
          <w:tcPr>
            <w:tcW w:type="dxa" w:w="4032"/>
            <w:shd w:val="clear" w:color="auto" w:fill="F2F2F2"/>
          </w:tcPr>
          <w:p>
            <w:pPr>
              <w:spacing w:after="0" w:before="0"/>
              <w:jc w:val="left"/>
            </w:pPr>
            <w:r/>
            <w:r>
              <w:rPr>
                <w:rFonts w:ascii="Calibri" w:hAnsi="Calibri"/>
                <w:b w:val="0"/>
                <w:sz w:val="18"/>
              </w:rPr>
              <w:t>D&amp;A (from income statement or notes)</w:t>
            </w:r>
          </w:p>
        </w:tc>
        <w:tc>
          <w:tcPr>
            <w:tcW w:type="dxa" w:w="1440"/>
            <w:shd w:val="clear" w:color="auto" w:fill="F2F2F2"/>
          </w:tcPr>
          <w:p>
            <w:pPr>
              <w:spacing w:after="0" w:before="0"/>
              <w:jc w:val="left"/>
            </w:pPr>
            <w:r/>
            <w:r>
              <w:rPr>
                <w:rFonts w:ascii="Calibri" w:hAnsi="Calibri"/>
                <w:b w:val="0"/>
                <w:sz w:val="18"/>
              </w:rPr>
              <w:t>Required</w:t>
            </w:r>
          </w:p>
        </w:tc>
      </w:tr>
      <w:tr>
        <w:tc>
          <w:tcPr>
            <w:tcW w:type="dxa" w:w="3168"/>
            <w:shd w:val="clear" w:color="auto" w:fill="FFFFFF"/>
          </w:tcPr>
          <w:p>
            <w:pPr>
              <w:spacing w:after="0" w:before="0"/>
              <w:jc w:val="left"/>
            </w:pPr>
            <w:r/>
            <w:r>
              <w:rPr>
                <w:rFonts w:ascii="Calibri" w:hAnsi="Calibri"/>
                <w:b w:val="0"/>
                <w:sz w:val="18"/>
              </w:rPr>
              <w:t>ebitda</w:t>
            </w:r>
          </w:p>
        </w:tc>
        <w:tc>
          <w:tcPr>
            <w:tcW w:type="dxa" w:w="4032"/>
            <w:shd w:val="clear" w:color="auto" w:fill="FFFFFF"/>
          </w:tcPr>
          <w:p>
            <w:pPr>
              <w:spacing w:after="0" w:before="0"/>
              <w:jc w:val="left"/>
            </w:pPr>
            <w:r/>
            <w:r>
              <w:rPr>
                <w:rFonts w:ascii="Calibri" w:hAnsi="Calibri"/>
                <w:b w:val="0"/>
                <w:sz w:val="18"/>
              </w:rPr>
              <w:t>Computed: operating_income + depreciation_amortization</w:t>
            </w:r>
          </w:p>
        </w:tc>
        <w:tc>
          <w:tcPr>
            <w:tcW w:type="dxa" w:w="1440"/>
            <w:shd w:val="clear" w:color="auto" w:fill="FFFFFF"/>
          </w:tcPr>
          <w:p>
            <w:pPr>
              <w:spacing w:after="0" w:before="0"/>
              <w:jc w:val="left"/>
            </w:pPr>
            <w:r/>
            <w:r>
              <w:rPr>
                <w:rFonts w:ascii="Calibri" w:hAnsi="Calibri"/>
                <w:b w:val="0"/>
                <w:sz w:val="18"/>
              </w:rPr>
              <w:t>Computed</w:t>
            </w:r>
          </w:p>
        </w:tc>
      </w:tr>
    </w:tbl>
    <w:p/>
    <w:p>
      <w:pPr>
        <w:spacing w:after="120" w:before="0"/>
      </w:pPr>
      <w:r>
        <w:rPr>
          <w:rFonts w:ascii="Calibri" w:hAnsi="Calibri"/>
          <w:b/>
          <w:i w:val="0"/>
          <w:sz w:val="20"/>
        </w:rPr>
        <w:t>Balance Sheet — Phase 1 Required Fields</w:t>
      </w:r>
    </w:p>
    <w:tbl>
      <w:tblPr>
        <w:tblStyle w:val="TableGrid"/>
        <w:tblW w:type="auto" w:w="0"/>
        <w:jc w:val="left"/>
        <w:tblLook w:firstColumn="1" w:firstRow="1" w:lastColumn="0" w:lastRow="0" w:noHBand="0" w:noVBand="1" w:val="04A0"/>
      </w:tblPr>
      <w:tblGrid>
        <w:gridCol w:w="2880"/>
        <w:gridCol w:w="2880"/>
        <w:gridCol w:w="2880"/>
      </w:tblGrid>
      <w:tr>
        <w:trPr>
          <w:trHeight w:val="397"/>
        </w:trPr>
        <w:tc>
          <w:tcPr>
            <w:tcW w:type="dxa" w:w="3600"/>
            <w:shd w:val="clear" w:color="auto" w:fill="1F3864"/>
          </w:tcPr>
          <w:p>
            <w:pPr>
              <w:spacing w:after="0" w:before="0"/>
              <w:jc w:val="center"/>
            </w:pPr>
            <w:r/>
            <w:r>
              <w:rPr>
                <w:rFonts w:ascii="Calibri" w:hAnsi="Calibri"/>
                <w:b/>
                <w:color w:val="FFFFFF"/>
                <w:sz w:val="18"/>
              </w:rPr>
              <w:t>Canonical Field</w:t>
            </w:r>
          </w:p>
        </w:tc>
        <w:tc>
          <w:tcPr>
            <w:tcW w:type="dxa" w:w="3600"/>
            <w:shd w:val="clear" w:color="auto" w:fill="1F3864"/>
          </w:tcPr>
          <w:p>
            <w:pPr>
              <w:spacing w:after="0" w:before="0"/>
              <w:jc w:val="center"/>
            </w:pPr>
            <w:r/>
            <w:r>
              <w:rPr>
                <w:rFonts w:ascii="Calibri" w:hAnsi="Calibri"/>
                <w:b/>
                <w:color w:val="FFFFFF"/>
                <w:sz w:val="18"/>
              </w:rPr>
              <w:t>Description</w:t>
            </w:r>
          </w:p>
        </w:tc>
        <w:tc>
          <w:tcPr>
            <w:tcW w:type="dxa" w:w="1440"/>
            <w:shd w:val="clear" w:color="auto" w:fill="1F3864"/>
          </w:tcPr>
          <w:p>
            <w:pPr>
              <w:spacing w:after="0" w:before="0"/>
              <w:jc w:val="center"/>
            </w:pPr>
            <w:r/>
            <w:r>
              <w:rPr>
                <w:rFonts w:ascii="Calibri" w:hAnsi="Calibri"/>
                <w:b/>
                <w:color w:val="FFFFFF"/>
                <w:sz w:val="18"/>
              </w:rPr>
              <w:t>Status</w:t>
            </w:r>
          </w:p>
        </w:tc>
      </w:tr>
      <w:tr>
        <w:tc>
          <w:tcPr>
            <w:tcW w:type="dxa" w:w="3600"/>
            <w:shd w:val="clear" w:color="auto" w:fill="F2F2F2"/>
          </w:tcPr>
          <w:p>
            <w:pPr>
              <w:spacing w:after="0" w:before="0"/>
              <w:jc w:val="left"/>
            </w:pPr>
            <w:r/>
            <w:r>
              <w:rPr>
                <w:rFonts w:ascii="Calibri" w:hAnsi="Calibri"/>
                <w:b w:val="0"/>
                <w:sz w:val="18"/>
              </w:rPr>
              <w:t>cash_and_equivalents</w:t>
            </w:r>
          </w:p>
        </w:tc>
        <w:tc>
          <w:tcPr>
            <w:tcW w:type="dxa" w:w="3600"/>
            <w:shd w:val="clear" w:color="auto" w:fill="F2F2F2"/>
          </w:tcPr>
          <w:p>
            <w:pPr>
              <w:spacing w:after="0" w:before="0"/>
              <w:jc w:val="left"/>
            </w:pPr>
            <w:r/>
            <w:r>
              <w:rPr>
                <w:rFonts w:ascii="Calibri" w:hAnsi="Calibri"/>
                <w:b w:val="0"/>
                <w:sz w:val="18"/>
              </w:rPr>
              <w:t>Cash and short-term liquid assets</w:t>
            </w:r>
          </w:p>
        </w:tc>
        <w:tc>
          <w:tcPr>
            <w:tcW w:type="dxa" w:w="1440"/>
            <w:shd w:val="clear" w:color="auto" w:fill="F2F2F2"/>
          </w:tcPr>
          <w:p>
            <w:pPr>
              <w:spacing w:after="0" w:before="0"/>
              <w:jc w:val="left"/>
            </w:pPr>
            <w:r/>
            <w:r>
              <w:rPr>
                <w:rFonts w:ascii="Calibri" w:hAnsi="Calibri"/>
                <w:b w:val="0"/>
                <w:sz w:val="18"/>
              </w:rPr>
              <w:t>Required</w:t>
            </w:r>
          </w:p>
        </w:tc>
      </w:tr>
      <w:tr>
        <w:tc>
          <w:tcPr>
            <w:tcW w:type="dxa" w:w="3600"/>
            <w:shd w:val="clear" w:color="auto" w:fill="FFFFFF"/>
          </w:tcPr>
          <w:p>
            <w:pPr>
              <w:spacing w:after="0" w:before="0"/>
              <w:jc w:val="left"/>
            </w:pPr>
            <w:r/>
            <w:r>
              <w:rPr>
                <w:rFonts w:ascii="Calibri" w:hAnsi="Calibri"/>
                <w:b w:val="0"/>
                <w:sz w:val="18"/>
              </w:rPr>
              <w:t>short_term_investments</w:t>
            </w:r>
          </w:p>
        </w:tc>
        <w:tc>
          <w:tcPr>
            <w:tcW w:type="dxa" w:w="3600"/>
            <w:shd w:val="clear" w:color="auto" w:fill="FFFFFF"/>
          </w:tcPr>
          <w:p>
            <w:pPr>
              <w:spacing w:after="0" w:before="0"/>
              <w:jc w:val="left"/>
            </w:pPr>
            <w:r/>
            <w:r>
              <w:rPr>
                <w:rFonts w:ascii="Calibri" w:hAnsi="Calibri"/>
                <w:b w:val="0"/>
                <w:sz w:val="18"/>
              </w:rPr>
              <w:t>Marketable securities &lt; 1 year</w:t>
            </w:r>
          </w:p>
        </w:tc>
        <w:tc>
          <w:tcPr>
            <w:tcW w:type="dxa" w:w="1440"/>
            <w:shd w:val="clear" w:color="auto" w:fill="FFFFFF"/>
          </w:tcPr>
          <w:p>
            <w:pPr>
              <w:spacing w:after="0" w:before="0"/>
              <w:jc w:val="left"/>
            </w:pPr>
            <w:r/>
            <w:r>
              <w:rPr>
                <w:rFonts w:ascii="Calibri" w:hAnsi="Calibri"/>
                <w:b w:val="0"/>
                <w:sz w:val="18"/>
              </w:rPr>
              <w:t>Optional</w:t>
            </w:r>
          </w:p>
        </w:tc>
      </w:tr>
      <w:tr>
        <w:tc>
          <w:tcPr>
            <w:tcW w:type="dxa" w:w="3600"/>
            <w:shd w:val="clear" w:color="auto" w:fill="F2F2F2"/>
          </w:tcPr>
          <w:p>
            <w:pPr>
              <w:spacing w:after="0" w:before="0"/>
              <w:jc w:val="left"/>
            </w:pPr>
            <w:r/>
            <w:r>
              <w:rPr>
                <w:rFonts w:ascii="Calibri" w:hAnsi="Calibri"/>
                <w:b w:val="0"/>
                <w:sz w:val="18"/>
              </w:rPr>
              <w:t>accounts_receivable</w:t>
            </w:r>
          </w:p>
        </w:tc>
        <w:tc>
          <w:tcPr>
            <w:tcW w:type="dxa" w:w="3600"/>
            <w:shd w:val="clear" w:color="auto" w:fill="F2F2F2"/>
          </w:tcPr>
          <w:p>
            <w:pPr>
              <w:spacing w:after="0" w:before="0"/>
              <w:jc w:val="left"/>
            </w:pPr>
            <w:r/>
            <w:r>
              <w:rPr>
                <w:rFonts w:ascii="Calibri" w:hAnsi="Calibri"/>
                <w:b w:val="0"/>
                <w:sz w:val="18"/>
              </w:rPr>
              <w:t>Trade receivables</w:t>
            </w:r>
          </w:p>
        </w:tc>
        <w:tc>
          <w:tcPr>
            <w:tcW w:type="dxa" w:w="1440"/>
            <w:shd w:val="clear" w:color="auto" w:fill="F2F2F2"/>
          </w:tcPr>
          <w:p>
            <w:pPr>
              <w:spacing w:after="0" w:before="0"/>
              <w:jc w:val="left"/>
            </w:pPr>
            <w:r/>
            <w:r>
              <w:rPr>
                <w:rFonts w:ascii="Calibri" w:hAnsi="Calibri"/>
                <w:b w:val="0"/>
                <w:sz w:val="18"/>
              </w:rPr>
              <w:t>Required</w:t>
            </w:r>
          </w:p>
        </w:tc>
      </w:tr>
      <w:tr>
        <w:tc>
          <w:tcPr>
            <w:tcW w:type="dxa" w:w="3600"/>
            <w:shd w:val="clear" w:color="auto" w:fill="FFFFFF"/>
          </w:tcPr>
          <w:p>
            <w:pPr>
              <w:spacing w:after="0" w:before="0"/>
              <w:jc w:val="left"/>
            </w:pPr>
            <w:r/>
            <w:r>
              <w:rPr>
                <w:rFonts w:ascii="Calibri" w:hAnsi="Calibri"/>
                <w:b w:val="0"/>
                <w:sz w:val="18"/>
              </w:rPr>
              <w:t>inventory</w:t>
            </w:r>
          </w:p>
        </w:tc>
        <w:tc>
          <w:tcPr>
            <w:tcW w:type="dxa" w:w="3600"/>
            <w:shd w:val="clear" w:color="auto" w:fill="FFFFFF"/>
          </w:tcPr>
          <w:p>
            <w:pPr>
              <w:spacing w:after="0" w:before="0"/>
              <w:jc w:val="left"/>
            </w:pPr>
            <w:r/>
            <w:r>
              <w:rPr>
                <w:rFonts w:ascii="Calibri" w:hAnsi="Calibri"/>
                <w:b w:val="0"/>
                <w:sz w:val="18"/>
              </w:rPr>
              <w:t>Goods held for sale</w:t>
            </w:r>
          </w:p>
        </w:tc>
        <w:tc>
          <w:tcPr>
            <w:tcW w:type="dxa" w:w="1440"/>
            <w:shd w:val="clear" w:color="auto" w:fill="FFFFFF"/>
          </w:tcPr>
          <w:p>
            <w:pPr>
              <w:spacing w:after="0" w:before="0"/>
              <w:jc w:val="left"/>
            </w:pPr>
            <w:r/>
            <w:r>
              <w:rPr>
                <w:rFonts w:ascii="Calibri" w:hAnsi="Calibri"/>
                <w:b w:val="0"/>
                <w:sz w:val="18"/>
              </w:rPr>
              <w:t>Optional</w:t>
            </w:r>
          </w:p>
        </w:tc>
      </w:tr>
      <w:tr>
        <w:tc>
          <w:tcPr>
            <w:tcW w:type="dxa" w:w="3600"/>
            <w:shd w:val="clear" w:color="auto" w:fill="F2F2F2"/>
          </w:tcPr>
          <w:p>
            <w:pPr>
              <w:spacing w:after="0" w:before="0"/>
              <w:jc w:val="left"/>
            </w:pPr>
            <w:r/>
            <w:r>
              <w:rPr>
                <w:rFonts w:ascii="Calibri" w:hAnsi="Calibri"/>
                <w:b w:val="0"/>
                <w:sz w:val="18"/>
              </w:rPr>
              <w:t>total_current_assets</w:t>
            </w:r>
          </w:p>
        </w:tc>
        <w:tc>
          <w:tcPr>
            <w:tcW w:type="dxa" w:w="3600"/>
            <w:shd w:val="clear" w:color="auto" w:fill="F2F2F2"/>
          </w:tcPr>
          <w:p>
            <w:pPr>
              <w:spacing w:after="0" w:before="0"/>
              <w:jc w:val="left"/>
            </w:pPr>
            <w:r/>
            <w:r>
              <w:rPr>
                <w:rFonts w:ascii="Calibri" w:hAnsi="Calibri"/>
                <w:b w:val="0"/>
                <w:sz w:val="18"/>
              </w:rPr>
              <w:t>Sum of all current assets</w:t>
            </w:r>
          </w:p>
        </w:tc>
        <w:tc>
          <w:tcPr>
            <w:tcW w:type="dxa" w:w="1440"/>
            <w:shd w:val="clear" w:color="auto" w:fill="F2F2F2"/>
          </w:tcPr>
          <w:p>
            <w:pPr>
              <w:spacing w:after="0" w:before="0"/>
              <w:jc w:val="left"/>
            </w:pPr>
            <w:r/>
            <w:r>
              <w:rPr>
                <w:rFonts w:ascii="Calibri" w:hAnsi="Calibri"/>
                <w:b w:val="0"/>
                <w:sz w:val="18"/>
              </w:rPr>
              <w:t>Required</w:t>
            </w:r>
          </w:p>
        </w:tc>
      </w:tr>
      <w:tr>
        <w:tc>
          <w:tcPr>
            <w:tcW w:type="dxa" w:w="3600"/>
            <w:shd w:val="clear" w:color="auto" w:fill="FFFFFF"/>
          </w:tcPr>
          <w:p>
            <w:pPr>
              <w:spacing w:after="0" w:before="0"/>
              <w:jc w:val="left"/>
            </w:pPr>
            <w:r/>
            <w:r>
              <w:rPr>
                <w:rFonts w:ascii="Calibri" w:hAnsi="Calibri"/>
                <w:b w:val="0"/>
                <w:sz w:val="18"/>
              </w:rPr>
              <w:t>property_plant_equipment_net</w:t>
            </w:r>
          </w:p>
        </w:tc>
        <w:tc>
          <w:tcPr>
            <w:tcW w:type="dxa" w:w="3600"/>
            <w:shd w:val="clear" w:color="auto" w:fill="FFFFFF"/>
          </w:tcPr>
          <w:p>
            <w:pPr>
              <w:spacing w:after="0" w:before="0"/>
              <w:jc w:val="left"/>
            </w:pPr>
            <w:r/>
            <w:r>
              <w:rPr>
                <w:rFonts w:ascii="Calibri" w:hAnsi="Calibri"/>
                <w:b w:val="0"/>
                <w:sz w:val="18"/>
              </w:rPr>
              <w:t>PP&amp;E net of depreciation</w:t>
            </w:r>
          </w:p>
        </w:tc>
        <w:tc>
          <w:tcPr>
            <w:tcW w:type="dxa" w:w="1440"/>
            <w:shd w:val="clear" w:color="auto" w:fill="FFFFFF"/>
          </w:tcPr>
          <w:p>
            <w:pPr>
              <w:spacing w:after="0" w:before="0"/>
              <w:jc w:val="left"/>
            </w:pPr>
            <w:r/>
            <w:r>
              <w:rPr>
                <w:rFonts w:ascii="Calibri" w:hAnsi="Calibri"/>
                <w:b w:val="0"/>
                <w:sz w:val="18"/>
              </w:rPr>
              <w:t>Required</w:t>
            </w:r>
          </w:p>
        </w:tc>
      </w:tr>
      <w:tr>
        <w:tc>
          <w:tcPr>
            <w:tcW w:type="dxa" w:w="3600"/>
            <w:shd w:val="clear" w:color="auto" w:fill="F2F2F2"/>
          </w:tcPr>
          <w:p>
            <w:pPr>
              <w:spacing w:after="0" w:before="0"/>
              <w:jc w:val="left"/>
            </w:pPr>
            <w:r/>
            <w:r>
              <w:rPr>
                <w:rFonts w:ascii="Calibri" w:hAnsi="Calibri"/>
                <w:b w:val="0"/>
                <w:sz w:val="18"/>
              </w:rPr>
              <w:t>goodwill</w:t>
            </w:r>
          </w:p>
        </w:tc>
        <w:tc>
          <w:tcPr>
            <w:tcW w:type="dxa" w:w="3600"/>
            <w:shd w:val="clear" w:color="auto" w:fill="F2F2F2"/>
          </w:tcPr>
          <w:p>
            <w:pPr>
              <w:spacing w:after="0" w:before="0"/>
              <w:jc w:val="left"/>
            </w:pPr>
            <w:r/>
            <w:r>
              <w:rPr>
                <w:rFonts w:ascii="Calibri" w:hAnsi="Calibri"/>
                <w:b w:val="0"/>
                <w:sz w:val="18"/>
              </w:rPr>
              <w:t>Acquisition goodwill</w:t>
            </w:r>
          </w:p>
        </w:tc>
        <w:tc>
          <w:tcPr>
            <w:tcW w:type="dxa" w:w="1440"/>
            <w:shd w:val="clear" w:color="auto" w:fill="F2F2F2"/>
          </w:tcPr>
          <w:p>
            <w:pPr>
              <w:spacing w:after="0" w:before="0"/>
              <w:jc w:val="left"/>
            </w:pPr>
            <w:r/>
            <w:r>
              <w:rPr>
                <w:rFonts w:ascii="Calibri" w:hAnsi="Calibri"/>
                <w:b w:val="0"/>
                <w:sz w:val="18"/>
              </w:rPr>
              <w:t>Optional</w:t>
            </w:r>
          </w:p>
        </w:tc>
      </w:tr>
      <w:tr>
        <w:tc>
          <w:tcPr>
            <w:tcW w:type="dxa" w:w="3600"/>
            <w:shd w:val="clear" w:color="auto" w:fill="FFFFFF"/>
          </w:tcPr>
          <w:p>
            <w:pPr>
              <w:spacing w:after="0" w:before="0"/>
              <w:jc w:val="left"/>
            </w:pPr>
            <w:r/>
            <w:r>
              <w:rPr>
                <w:rFonts w:ascii="Calibri" w:hAnsi="Calibri"/>
                <w:b w:val="0"/>
                <w:sz w:val="18"/>
              </w:rPr>
              <w:t>intangible_assets</w:t>
            </w:r>
          </w:p>
        </w:tc>
        <w:tc>
          <w:tcPr>
            <w:tcW w:type="dxa" w:w="3600"/>
            <w:shd w:val="clear" w:color="auto" w:fill="FFFFFF"/>
          </w:tcPr>
          <w:p>
            <w:pPr>
              <w:spacing w:after="0" w:before="0"/>
              <w:jc w:val="left"/>
            </w:pPr>
            <w:r/>
            <w:r>
              <w:rPr>
                <w:rFonts w:ascii="Calibri" w:hAnsi="Calibri"/>
                <w:b w:val="0"/>
                <w:sz w:val="18"/>
              </w:rPr>
              <w:t>Patents, trademarks, other intangibles</w:t>
            </w:r>
          </w:p>
        </w:tc>
        <w:tc>
          <w:tcPr>
            <w:tcW w:type="dxa" w:w="1440"/>
            <w:shd w:val="clear" w:color="auto" w:fill="FFFFFF"/>
          </w:tcPr>
          <w:p>
            <w:pPr>
              <w:spacing w:after="0" w:before="0"/>
              <w:jc w:val="left"/>
            </w:pPr>
            <w:r/>
            <w:r>
              <w:rPr>
                <w:rFonts w:ascii="Calibri" w:hAnsi="Calibri"/>
                <w:b w:val="0"/>
                <w:sz w:val="18"/>
              </w:rPr>
              <w:t>Optional</w:t>
            </w:r>
          </w:p>
        </w:tc>
      </w:tr>
      <w:tr>
        <w:tc>
          <w:tcPr>
            <w:tcW w:type="dxa" w:w="3600"/>
            <w:shd w:val="clear" w:color="auto" w:fill="F2F2F2"/>
          </w:tcPr>
          <w:p>
            <w:pPr>
              <w:spacing w:after="0" w:before="0"/>
              <w:jc w:val="left"/>
            </w:pPr>
            <w:r/>
            <w:r>
              <w:rPr>
                <w:rFonts w:ascii="Calibri" w:hAnsi="Calibri"/>
                <w:b w:val="0"/>
                <w:sz w:val="18"/>
              </w:rPr>
              <w:t>total_assets</w:t>
            </w:r>
          </w:p>
        </w:tc>
        <w:tc>
          <w:tcPr>
            <w:tcW w:type="dxa" w:w="3600"/>
            <w:shd w:val="clear" w:color="auto" w:fill="F2F2F2"/>
          </w:tcPr>
          <w:p>
            <w:pPr>
              <w:spacing w:after="0" w:before="0"/>
              <w:jc w:val="left"/>
            </w:pPr>
            <w:r/>
            <w:r>
              <w:rPr>
                <w:rFonts w:ascii="Calibri" w:hAnsi="Calibri"/>
                <w:b w:val="0"/>
                <w:sz w:val="18"/>
              </w:rPr>
              <w:t>Grand total — must equal liabilities + equity</w:t>
            </w:r>
          </w:p>
        </w:tc>
        <w:tc>
          <w:tcPr>
            <w:tcW w:type="dxa" w:w="1440"/>
            <w:shd w:val="clear" w:color="auto" w:fill="F2F2F2"/>
          </w:tcPr>
          <w:p>
            <w:pPr>
              <w:spacing w:after="0" w:before="0"/>
              <w:jc w:val="left"/>
            </w:pPr>
            <w:r/>
            <w:r>
              <w:rPr>
                <w:rFonts w:ascii="Calibri" w:hAnsi="Calibri"/>
                <w:b w:val="0"/>
                <w:sz w:val="18"/>
              </w:rPr>
              <w:t>Required</w:t>
            </w:r>
          </w:p>
        </w:tc>
      </w:tr>
      <w:tr>
        <w:tc>
          <w:tcPr>
            <w:tcW w:type="dxa" w:w="3600"/>
            <w:shd w:val="clear" w:color="auto" w:fill="FFFFFF"/>
          </w:tcPr>
          <w:p>
            <w:pPr>
              <w:spacing w:after="0" w:before="0"/>
              <w:jc w:val="left"/>
            </w:pPr>
            <w:r/>
            <w:r>
              <w:rPr>
                <w:rFonts w:ascii="Calibri" w:hAnsi="Calibri"/>
                <w:b w:val="0"/>
                <w:sz w:val="18"/>
              </w:rPr>
              <w:t>accounts_payable</w:t>
            </w:r>
          </w:p>
        </w:tc>
        <w:tc>
          <w:tcPr>
            <w:tcW w:type="dxa" w:w="3600"/>
            <w:shd w:val="clear" w:color="auto" w:fill="FFFFFF"/>
          </w:tcPr>
          <w:p>
            <w:pPr>
              <w:spacing w:after="0" w:before="0"/>
              <w:jc w:val="left"/>
            </w:pPr>
            <w:r/>
            <w:r>
              <w:rPr>
                <w:rFonts w:ascii="Calibri" w:hAnsi="Calibri"/>
                <w:b w:val="0"/>
                <w:sz w:val="18"/>
              </w:rPr>
              <w:t>Trade payables</w:t>
            </w:r>
          </w:p>
        </w:tc>
        <w:tc>
          <w:tcPr>
            <w:tcW w:type="dxa" w:w="1440"/>
            <w:shd w:val="clear" w:color="auto" w:fill="FFFFFF"/>
          </w:tcPr>
          <w:p>
            <w:pPr>
              <w:spacing w:after="0" w:before="0"/>
              <w:jc w:val="left"/>
            </w:pPr>
            <w:r/>
            <w:r>
              <w:rPr>
                <w:rFonts w:ascii="Calibri" w:hAnsi="Calibri"/>
                <w:b w:val="0"/>
                <w:sz w:val="18"/>
              </w:rPr>
              <w:t>Required</w:t>
            </w:r>
          </w:p>
        </w:tc>
      </w:tr>
      <w:tr>
        <w:tc>
          <w:tcPr>
            <w:tcW w:type="dxa" w:w="3600"/>
            <w:shd w:val="clear" w:color="auto" w:fill="F2F2F2"/>
          </w:tcPr>
          <w:p>
            <w:pPr>
              <w:spacing w:after="0" w:before="0"/>
              <w:jc w:val="left"/>
            </w:pPr>
            <w:r/>
            <w:r>
              <w:rPr>
                <w:rFonts w:ascii="Calibri" w:hAnsi="Calibri"/>
                <w:b w:val="0"/>
                <w:sz w:val="18"/>
              </w:rPr>
              <w:t>short_term_debt</w:t>
            </w:r>
          </w:p>
        </w:tc>
        <w:tc>
          <w:tcPr>
            <w:tcW w:type="dxa" w:w="3600"/>
            <w:shd w:val="clear" w:color="auto" w:fill="F2F2F2"/>
          </w:tcPr>
          <w:p>
            <w:pPr>
              <w:spacing w:after="0" w:before="0"/>
              <w:jc w:val="left"/>
            </w:pPr>
            <w:r/>
            <w:r>
              <w:rPr>
                <w:rFonts w:ascii="Calibri" w:hAnsi="Calibri"/>
                <w:b w:val="0"/>
                <w:sz w:val="18"/>
              </w:rPr>
              <w:t>Borrowings due within 1 year</w:t>
            </w:r>
          </w:p>
        </w:tc>
        <w:tc>
          <w:tcPr>
            <w:tcW w:type="dxa" w:w="1440"/>
            <w:shd w:val="clear" w:color="auto" w:fill="F2F2F2"/>
          </w:tcPr>
          <w:p>
            <w:pPr>
              <w:spacing w:after="0" w:before="0"/>
              <w:jc w:val="left"/>
            </w:pPr>
            <w:r/>
            <w:r>
              <w:rPr>
                <w:rFonts w:ascii="Calibri" w:hAnsi="Calibri"/>
                <w:b w:val="0"/>
                <w:sz w:val="18"/>
              </w:rPr>
              <w:t>Optional</w:t>
            </w:r>
          </w:p>
        </w:tc>
      </w:tr>
      <w:tr>
        <w:tc>
          <w:tcPr>
            <w:tcW w:type="dxa" w:w="3600"/>
            <w:shd w:val="clear" w:color="auto" w:fill="FFFFFF"/>
          </w:tcPr>
          <w:p>
            <w:pPr>
              <w:spacing w:after="0" w:before="0"/>
              <w:jc w:val="left"/>
            </w:pPr>
            <w:r/>
            <w:r>
              <w:rPr>
                <w:rFonts w:ascii="Calibri" w:hAnsi="Calibri"/>
                <w:b w:val="0"/>
                <w:sz w:val="18"/>
              </w:rPr>
              <w:t>total_current_liabilities</w:t>
            </w:r>
          </w:p>
        </w:tc>
        <w:tc>
          <w:tcPr>
            <w:tcW w:type="dxa" w:w="3600"/>
            <w:shd w:val="clear" w:color="auto" w:fill="FFFFFF"/>
          </w:tcPr>
          <w:p>
            <w:pPr>
              <w:spacing w:after="0" w:before="0"/>
              <w:jc w:val="left"/>
            </w:pPr>
            <w:r/>
            <w:r>
              <w:rPr>
                <w:rFonts w:ascii="Calibri" w:hAnsi="Calibri"/>
                <w:b w:val="0"/>
                <w:sz w:val="18"/>
              </w:rPr>
              <w:t>Sum of all current liabilities</w:t>
            </w:r>
          </w:p>
        </w:tc>
        <w:tc>
          <w:tcPr>
            <w:tcW w:type="dxa" w:w="1440"/>
            <w:shd w:val="clear" w:color="auto" w:fill="FFFFFF"/>
          </w:tcPr>
          <w:p>
            <w:pPr>
              <w:spacing w:after="0" w:before="0"/>
              <w:jc w:val="left"/>
            </w:pPr>
            <w:r/>
            <w:r>
              <w:rPr>
                <w:rFonts w:ascii="Calibri" w:hAnsi="Calibri"/>
                <w:b w:val="0"/>
                <w:sz w:val="18"/>
              </w:rPr>
              <w:t>Required</w:t>
            </w:r>
          </w:p>
        </w:tc>
      </w:tr>
      <w:tr>
        <w:tc>
          <w:tcPr>
            <w:tcW w:type="dxa" w:w="3600"/>
            <w:shd w:val="clear" w:color="auto" w:fill="F2F2F2"/>
          </w:tcPr>
          <w:p>
            <w:pPr>
              <w:spacing w:after="0" w:before="0"/>
              <w:jc w:val="left"/>
            </w:pPr>
            <w:r/>
            <w:r>
              <w:rPr>
                <w:rFonts w:ascii="Calibri" w:hAnsi="Calibri"/>
                <w:b w:val="0"/>
                <w:sz w:val="18"/>
              </w:rPr>
              <w:t>long_term_debt</w:t>
            </w:r>
          </w:p>
        </w:tc>
        <w:tc>
          <w:tcPr>
            <w:tcW w:type="dxa" w:w="3600"/>
            <w:shd w:val="clear" w:color="auto" w:fill="F2F2F2"/>
          </w:tcPr>
          <w:p>
            <w:pPr>
              <w:spacing w:after="0" w:before="0"/>
              <w:jc w:val="left"/>
            </w:pPr>
            <w:r/>
            <w:r>
              <w:rPr>
                <w:rFonts w:ascii="Calibri" w:hAnsi="Calibri"/>
                <w:b w:val="0"/>
                <w:sz w:val="18"/>
              </w:rPr>
              <w:t>Borrowings due beyond 1 year</w:t>
            </w:r>
          </w:p>
        </w:tc>
        <w:tc>
          <w:tcPr>
            <w:tcW w:type="dxa" w:w="1440"/>
            <w:shd w:val="clear" w:color="auto" w:fill="F2F2F2"/>
          </w:tcPr>
          <w:p>
            <w:pPr>
              <w:spacing w:after="0" w:before="0"/>
              <w:jc w:val="left"/>
            </w:pPr>
            <w:r/>
            <w:r>
              <w:rPr>
                <w:rFonts w:ascii="Calibri" w:hAnsi="Calibri"/>
                <w:b w:val="0"/>
                <w:sz w:val="18"/>
              </w:rPr>
              <w:t>Required</w:t>
            </w:r>
          </w:p>
        </w:tc>
      </w:tr>
      <w:tr>
        <w:tc>
          <w:tcPr>
            <w:tcW w:type="dxa" w:w="3600"/>
            <w:shd w:val="clear" w:color="auto" w:fill="FFFFFF"/>
          </w:tcPr>
          <w:p>
            <w:pPr>
              <w:spacing w:after="0" w:before="0"/>
              <w:jc w:val="left"/>
            </w:pPr>
            <w:r/>
            <w:r>
              <w:rPr>
                <w:rFonts w:ascii="Calibri" w:hAnsi="Calibri"/>
                <w:b w:val="0"/>
                <w:sz w:val="18"/>
              </w:rPr>
              <w:t>total_liabilities</w:t>
            </w:r>
          </w:p>
        </w:tc>
        <w:tc>
          <w:tcPr>
            <w:tcW w:type="dxa" w:w="3600"/>
            <w:shd w:val="clear" w:color="auto" w:fill="FFFFFF"/>
          </w:tcPr>
          <w:p>
            <w:pPr>
              <w:spacing w:after="0" w:before="0"/>
              <w:jc w:val="left"/>
            </w:pPr>
            <w:r/>
            <w:r>
              <w:rPr>
                <w:rFonts w:ascii="Calibri" w:hAnsi="Calibri"/>
                <w:b w:val="0"/>
                <w:sz w:val="18"/>
              </w:rPr>
              <w:t>Sum of all liabilities</w:t>
            </w:r>
          </w:p>
        </w:tc>
        <w:tc>
          <w:tcPr>
            <w:tcW w:type="dxa" w:w="1440"/>
            <w:shd w:val="clear" w:color="auto" w:fill="FFFFFF"/>
          </w:tcPr>
          <w:p>
            <w:pPr>
              <w:spacing w:after="0" w:before="0"/>
              <w:jc w:val="left"/>
            </w:pPr>
            <w:r/>
            <w:r>
              <w:rPr>
                <w:rFonts w:ascii="Calibri" w:hAnsi="Calibri"/>
                <w:b w:val="0"/>
                <w:sz w:val="18"/>
              </w:rPr>
              <w:t>Required</w:t>
            </w:r>
          </w:p>
        </w:tc>
      </w:tr>
      <w:tr>
        <w:tc>
          <w:tcPr>
            <w:tcW w:type="dxa" w:w="3600"/>
            <w:shd w:val="clear" w:color="auto" w:fill="F2F2F2"/>
          </w:tcPr>
          <w:p>
            <w:pPr>
              <w:spacing w:after="0" w:before="0"/>
              <w:jc w:val="left"/>
            </w:pPr>
            <w:r/>
            <w:r>
              <w:rPr>
                <w:rFonts w:ascii="Calibri" w:hAnsi="Calibri"/>
                <w:b w:val="0"/>
                <w:sz w:val="18"/>
              </w:rPr>
              <w:t>retained_earnings</w:t>
            </w:r>
          </w:p>
        </w:tc>
        <w:tc>
          <w:tcPr>
            <w:tcW w:type="dxa" w:w="3600"/>
            <w:shd w:val="clear" w:color="auto" w:fill="F2F2F2"/>
          </w:tcPr>
          <w:p>
            <w:pPr>
              <w:spacing w:after="0" w:before="0"/>
              <w:jc w:val="left"/>
            </w:pPr>
            <w:r/>
            <w:r>
              <w:rPr>
                <w:rFonts w:ascii="Calibri" w:hAnsi="Calibri"/>
                <w:b w:val="0"/>
                <w:sz w:val="18"/>
              </w:rPr>
              <w:t>Accumulated earnings minus dividends</w:t>
            </w:r>
          </w:p>
        </w:tc>
        <w:tc>
          <w:tcPr>
            <w:tcW w:type="dxa" w:w="1440"/>
            <w:shd w:val="clear" w:color="auto" w:fill="F2F2F2"/>
          </w:tcPr>
          <w:p>
            <w:pPr>
              <w:spacing w:after="0" w:before="0"/>
              <w:jc w:val="left"/>
            </w:pPr>
            <w:r/>
            <w:r>
              <w:rPr>
                <w:rFonts w:ascii="Calibri" w:hAnsi="Calibri"/>
                <w:b w:val="0"/>
                <w:sz w:val="18"/>
              </w:rPr>
              <w:t>Required</w:t>
            </w:r>
          </w:p>
        </w:tc>
      </w:tr>
      <w:tr>
        <w:tc>
          <w:tcPr>
            <w:tcW w:type="dxa" w:w="3600"/>
            <w:shd w:val="clear" w:color="auto" w:fill="FFFFFF"/>
          </w:tcPr>
          <w:p>
            <w:pPr>
              <w:spacing w:after="0" w:before="0"/>
              <w:jc w:val="left"/>
            </w:pPr>
            <w:r/>
            <w:r>
              <w:rPr>
                <w:rFonts w:ascii="Calibri" w:hAnsi="Calibri"/>
                <w:b w:val="0"/>
                <w:sz w:val="18"/>
              </w:rPr>
              <w:t>total_equity</w:t>
            </w:r>
          </w:p>
        </w:tc>
        <w:tc>
          <w:tcPr>
            <w:tcW w:type="dxa" w:w="3600"/>
            <w:shd w:val="clear" w:color="auto" w:fill="FFFFFF"/>
          </w:tcPr>
          <w:p>
            <w:pPr>
              <w:spacing w:after="0" w:before="0"/>
              <w:jc w:val="left"/>
            </w:pPr>
            <w:r/>
            <w:r>
              <w:rPr>
                <w:rFonts w:ascii="Calibri" w:hAnsi="Calibri"/>
                <w:b w:val="0"/>
                <w:sz w:val="18"/>
              </w:rPr>
              <w:t>Total stockholders' equity</w:t>
            </w:r>
          </w:p>
        </w:tc>
        <w:tc>
          <w:tcPr>
            <w:tcW w:type="dxa" w:w="1440"/>
            <w:shd w:val="clear" w:color="auto" w:fill="FFFFFF"/>
          </w:tcPr>
          <w:p>
            <w:pPr>
              <w:spacing w:after="0" w:before="0"/>
              <w:jc w:val="left"/>
            </w:pPr>
            <w:r/>
            <w:r>
              <w:rPr>
                <w:rFonts w:ascii="Calibri" w:hAnsi="Calibri"/>
                <w:b w:val="0"/>
                <w:sz w:val="18"/>
              </w:rPr>
              <w:t>Required</w:t>
            </w:r>
          </w:p>
        </w:tc>
      </w:tr>
      <w:tr>
        <w:tc>
          <w:tcPr>
            <w:tcW w:type="dxa" w:w="3600"/>
            <w:shd w:val="clear" w:color="auto" w:fill="F2F2F2"/>
          </w:tcPr>
          <w:p>
            <w:pPr>
              <w:spacing w:after="0" w:before="0"/>
              <w:jc w:val="left"/>
            </w:pPr>
            <w:r/>
            <w:r>
              <w:rPr>
                <w:rFonts w:ascii="Calibri" w:hAnsi="Calibri"/>
                <w:b w:val="0"/>
                <w:sz w:val="18"/>
              </w:rPr>
              <w:t>total_liabilities_and_equity</w:t>
            </w:r>
          </w:p>
        </w:tc>
        <w:tc>
          <w:tcPr>
            <w:tcW w:type="dxa" w:w="3600"/>
            <w:shd w:val="clear" w:color="auto" w:fill="F2F2F2"/>
          </w:tcPr>
          <w:p>
            <w:pPr>
              <w:spacing w:after="0" w:before="0"/>
              <w:jc w:val="left"/>
            </w:pPr>
            <w:r/>
            <w:r>
              <w:rPr>
                <w:rFonts w:ascii="Calibri" w:hAnsi="Calibri"/>
                <w:b w:val="0"/>
                <w:sz w:val="18"/>
              </w:rPr>
              <w:t>Must equal total_assets exactly</w:t>
            </w:r>
          </w:p>
        </w:tc>
        <w:tc>
          <w:tcPr>
            <w:tcW w:type="dxa" w:w="1440"/>
            <w:shd w:val="clear" w:color="auto" w:fill="F2F2F2"/>
          </w:tcPr>
          <w:p>
            <w:pPr>
              <w:spacing w:after="0" w:before="0"/>
              <w:jc w:val="left"/>
            </w:pPr>
            <w:r/>
            <w:r>
              <w:rPr>
                <w:rFonts w:ascii="Calibri" w:hAnsi="Calibri"/>
                <w:b w:val="0"/>
                <w:sz w:val="18"/>
              </w:rPr>
              <w:t>Required</w:t>
            </w:r>
          </w:p>
        </w:tc>
      </w:tr>
    </w:tbl>
    <w:p/>
    <w:p>
      <w:pPr>
        <w:spacing w:after="120" w:before="0"/>
      </w:pPr>
      <w:r>
        <w:rPr>
          <w:rFonts w:ascii="Calibri" w:hAnsi="Calibri"/>
          <w:b/>
          <w:i w:val="0"/>
          <w:sz w:val="20"/>
        </w:rPr>
        <w:t>Cash Flow Statement — Phase 1 Required Fields</w:t>
      </w:r>
    </w:p>
    <w:tbl>
      <w:tblPr>
        <w:tblStyle w:val="TableGrid"/>
        <w:tblW w:type="auto" w:w="0"/>
        <w:jc w:val="left"/>
        <w:tblLook w:firstColumn="1" w:firstRow="1" w:lastColumn="0" w:lastRow="0" w:noHBand="0" w:noVBand="1" w:val="04A0"/>
      </w:tblPr>
      <w:tblGrid>
        <w:gridCol w:w="2880"/>
        <w:gridCol w:w="2880"/>
        <w:gridCol w:w="2880"/>
      </w:tblGrid>
      <w:tr>
        <w:trPr>
          <w:trHeight w:val="397"/>
        </w:trPr>
        <w:tc>
          <w:tcPr>
            <w:tcW w:type="dxa" w:w="3600"/>
            <w:shd w:val="clear" w:color="auto" w:fill="1F3864"/>
          </w:tcPr>
          <w:p>
            <w:pPr>
              <w:spacing w:after="0" w:before="0"/>
              <w:jc w:val="center"/>
            </w:pPr>
            <w:r/>
            <w:r>
              <w:rPr>
                <w:rFonts w:ascii="Calibri" w:hAnsi="Calibri"/>
                <w:b/>
                <w:color w:val="FFFFFF"/>
                <w:sz w:val="18"/>
              </w:rPr>
              <w:t>Canonical Field</w:t>
            </w:r>
          </w:p>
        </w:tc>
        <w:tc>
          <w:tcPr>
            <w:tcW w:type="dxa" w:w="3600"/>
            <w:shd w:val="clear" w:color="auto" w:fill="1F3864"/>
          </w:tcPr>
          <w:p>
            <w:pPr>
              <w:spacing w:after="0" w:before="0"/>
              <w:jc w:val="center"/>
            </w:pPr>
            <w:r/>
            <w:r>
              <w:rPr>
                <w:rFonts w:ascii="Calibri" w:hAnsi="Calibri"/>
                <w:b/>
                <w:color w:val="FFFFFF"/>
                <w:sz w:val="18"/>
              </w:rPr>
              <w:t>Description</w:t>
            </w:r>
          </w:p>
        </w:tc>
        <w:tc>
          <w:tcPr>
            <w:tcW w:type="dxa" w:w="1440"/>
            <w:shd w:val="clear" w:color="auto" w:fill="1F3864"/>
          </w:tcPr>
          <w:p>
            <w:pPr>
              <w:spacing w:after="0" w:before="0"/>
              <w:jc w:val="center"/>
            </w:pPr>
            <w:r/>
            <w:r>
              <w:rPr>
                <w:rFonts w:ascii="Calibri" w:hAnsi="Calibri"/>
                <w:b/>
                <w:color w:val="FFFFFF"/>
                <w:sz w:val="18"/>
              </w:rPr>
              <w:t>Status</w:t>
            </w:r>
          </w:p>
        </w:tc>
      </w:tr>
      <w:tr>
        <w:tc>
          <w:tcPr>
            <w:tcW w:type="dxa" w:w="3600"/>
            <w:shd w:val="clear" w:color="auto" w:fill="F2F2F2"/>
          </w:tcPr>
          <w:p>
            <w:pPr>
              <w:spacing w:after="0" w:before="0"/>
              <w:jc w:val="left"/>
            </w:pPr>
            <w:r/>
            <w:r>
              <w:rPr>
                <w:rFonts w:ascii="Calibri" w:hAnsi="Calibri"/>
                <w:b w:val="0"/>
                <w:sz w:val="18"/>
              </w:rPr>
              <w:t>net_income_cf</w:t>
            </w:r>
          </w:p>
        </w:tc>
        <w:tc>
          <w:tcPr>
            <w:tcW w:type="dxa" w:w="3600"/>
            <w:shd w:val="clear" w:color="auto" w:fill="F2F2F2"/>
          </w:tcPr>
          <w:p>
            <w:pPr>
              <w:spacing w:after="0" w:before="0"/>
              <w:jc w:val="left"/>
            </w:pPr>
            <w:r/>
            <w:r>
              <w:rPr>
                <w:rFonts w:ascii="Calibri" w:hAnsi="Calibri"/>
                <w:b w:val="0"/>
                <w:sz w:val="18"/>
              </w:rPr>
              <w:t>Net income (reconciliation start)</w:t>
            </w:r>
          </w:p>
        </w:tc>
        <w:tc>
          <w:tcPr>
            <w:tcW w:type="dxa" w:w="1440"/>
            <w:shd w:val="clear" w:color="auto" w:fill="F2F2F2"/>
          </w:tcPr>
          <w:p>
            <w:pPr>
              <w:spacing w:after="0" w:before="0"/>
              <w:jc w:val="left"/>
            </w:pPr>
            <w:r/>
            <w:r>
              <w:rPr>
                <w:rFonts w:ascii="Calibri" w:hAnsi="Calibri"/>
                <w:b w:val="0"/>
                <w:sz w:val="18"/>
              </w:rPr>
              <w:t>Required</w:t>
            </w:r>
          </w:p>
        </w:tc>
      </w:tr>
      <w:tr>
        <w:tc>
          <w:tcPr>
            <w:tcW w:type="dxa" w:w="3600"/>
            <w:shd w:val="clear" w:color="auto" w:fill="FFFFFF"/>
          </w:tcPr>
          <w:p>
            <w:pPr>
              <w:spacing w:after="0" w:before="0"/>
              <w:jc w:val="left"/>
            </w:pPr>
            <w:r/>
            <w:r>
              <w:rPr>
                <w:rFonts w:ascii="Calibri" w:hAnsi="Calibri"/>
                <w:b w:val="0"/>
                <w:sz w:val="18"/>
              </w:rPr>
              <w:t>depreciation_amortization_cf</w:t>
            </w:r>
          </w:p>
        </w:tc>
        <w:tc>
          <w:tcPr>
            <w:tcW w:type="dxa" w:w="3600"/>
            <w:shd w:val="clear" w:color="auto" w:fill="FFFFFF"/>
          </w:tcPr>
          <w:p>
            <w:pPr>
              <w:spacing w:after="0" w:before="0"/>
              <w:jc w:val="left"/>
            </w:pPr>
            <w:r/>
            <w:r>
              <w:rPr>
                <w:rFonts w:ascii="Calibri" w:hAnsi="Calibri"/>
                <w:b w:val="0"/>
                <w:sz w:val="18"/>
              </w:rPr>
              <w:t>D&amp;A add-back</w:t>
            </w:r>
          </w:p>
        </w:tc>
        <w:tc>
          <w:tcPr>
            <w:tcW w:type="dxa" w:w="1440"/>
            <w:shd w:val="clear" w:color="auto" w:fill="FFFFFF"/>
          </w:tcPr>
          <w:p>
            <w:pPr>
              <w:spacing w:after="0" w:before="0"/>
              <w:jc w:val="left"/>
            </w:pPr>
            <w:r/>
            <w:r>
              <w:rPr>
                <w:rFonts w:ascii="Calibri" w:hAnsi="Calibri"/>
                <w:b w:val="0"/>
                <w:sz w:val="18"/>
              </w:rPr>
              <w:t>Required</w:t>
            </w:r>
          </w:p>
        </w:tc>
      </w:tr>
      <w:tr>
        <w:tc>
          <w:tcPr>
            <w:tcW w:type="dxa" w:w="3600"/>
            <w:shd w:val="clear" w:color="auto" w:fill="F2F2F2"/>
          </w:tcPr>
          <w:p>
            <w:pPr>
              <w:spacing w:after="0" w:before="0"/>
              <w:jc w:val="left"/>
            </w:pPr>
            <w:r/>
            <w:r>
              <w:rPr>
                <w:rFonts w:ascii="Calibri" w:hAnsi="Calibri"/>
                <w:b w:val="0"/>
                <w:sz w:val="18"/>
              </w:rPr>
              <w:t>stock_based_compensation</w:t>
            </w:r>
          </w:p>
        </w:tc>
        <w:tc>
          <w:tcPr>
            <w:tcW w:type="dxa" w:w="3600"/>
            <w:shd w:val="clear" w:color="auto" w:fill="F2F2F2"/>
          </w:tcPr>
          <w:p>
            <w:pPr>
              <w:spacing w:after="0" w:before="0"/>
              <w:jc w:val="left"/>
            </w:pPr>
            <w:r/>
            <w:r>
              <w:rPr>
                <w:rFonts w:ascii="Calibri" w:hAnsi="Calibri"/>
                <w:b w:val="0"/>
                <w:sz w:val="18"/>
              </w:rPr>
              <w:t>Non-cash SBC add-back</w:t>
            </w:r>
          </w:p>
        </w:tc>
        <w:tc>
          <w:tcPr>
            <w:tcW w:type="dxa" w:w="1440"/>
            <w:shd w:val="clear" w:color="auto" w:fill="F2F2F2"/>
          </w:tcPr>
          <w:p>
            <w:pPr>
              <w:spacing w:after="0" w:before="0"/>
              <w:jc w:val="left"/>
            </w:pPr>
            <w:r/>
            <w:r>
              <w:rPr>
                <w:rFonts w:ascii="Calibri" w:hAnsi="Calibri"/>
                <w:b w:val="0"/>
                <w:sz w:val="18"/>
              </w:rPr>
              <w:t>Optional</w:t>
            </w:r>
          </w:p>
        </w:tc>
      </w:tr>
      <w:tr>
        <w:tc>
          <w:tcPr>
            <w:tcW w:type="dxa" w:w="3600"/>
            <w:shd w:val="clear" w:color="auto" w:fill="FFFFFF"/>
          </w:tcPr>
          <w:p>
            <w:pPr>
              <w:spacing w:after="0" w:before="0"/>
              <w:jc w:val="left"/>
            </w:pPr>
            <w:r/>
            <w:r>
              <w:rPr>
                <w:rFonts w:ascii="Calibri" w:hAnsi="Calibri"/>
                <w:b w:val="0"/>
                <w:sz w:val="18"/>
              </w:rPr>
              <w:t>changes_in_working_capital</w:t>
            </w:r>
          </w:p>
        </w:tc>
        <w:tc>
          <w:tcPr>
            <w:tcW w:type="dxa" w:w="3600"/>
            <w:shd w:val="clear" w:color="auto" w:fill="FFFFFF"/>
          </w:tcPr>
          <w:p>
            <w:pPr>
              <w:spacing w:after="0" w:before="0"/>
              <w:jc w:val="left"/>
            </w:pPr>
            <w:r/>
            <w:r>
              <w:rPr>
                <w:rFonts w:ascii="Calibri" w:hAnsi="Calibri"/>
                <w:b w:val="0"/>
                <w:sz w:val="18"/>
              </w:rPr>
              <w:t>Net working capital movement</w:t>
            </w:r>
          </w:p>
        </w:tc>
        <w:tc>
          <w:tcPr>
            <w:tcW w:type="dxa" w:w="1440"/>
            <w:shd w:val="clear" w:color="auto" w:fill="FFFFFF"/>
          </w:tcPr>
          <w:p>
            <w:pPr>
              <w:spacing w:after="0" w:before="0"/>
              <w:jc w:val="left"/>
            </w:pPr>
            <w:r/>
            <w:r>
              <w:rPr>
                <w:rFonts w:ascii="Calibri" w:hAnsi="Calibri"/>
                <w:b w:val="0"/>
                <w:sz w:val="18"/>
              </w:rPr>
              <w:t>Required</w:t>
            </w:r>
          </w:p>
        </w:tc>
      </w:tr>
      <w:tr>
        <w:tc>
          <w:tcPr>
            <w:tcW w:type="dxa" w:w="3600"/>
            <w:shd w:val="clear" w:color="auto" w:fill="F2F2F2"/>
          </w:tcPr>
          <w:p>
            <w:pPr>
              <w:spacing w:after="0" w:before="0"/>
              <w:jc w:val="left"/>
            </w:pPr>
            <w:r/>
            <w:r>
              <w:rPr>
                <w:rFonts w:ascii="Calibri" w:hAnsi="Calibri"/>
                <w:b w:val="0"/>
                <w:sz w:val="18"/>
              </w:rPr>
              <w:t>net_cash_from_operations</w:t>
            </w:r>
          </w:p>
        </w:tc>
        <w:tc>
          <w:tcPr>
            <w:tcW w:type="dxa" w:w="3600"/>
            <w:shd w:val="clear" w:color="auto" w:fill="F2F2F2"/>
          </w:tcPr>
          <w:p>
            <w:pPr>
              <w:spacing w:after="0" w:before="0"/>
              <w:jc w:val="left"/>
            </w:pPr>
            <w:r/>
            <w:r>
              <w:rPr>
                <w:rFonts w:ascii="Calibri" w:hAnsi="Calibri"/>
                <w:b w:val="0"/>
                <w:sz w:val="18"/>
              </w:rPr>
              <w:t>Total operating cash flow</w:t>
            </w:r>
          </w:p>
        </w:tc>
        <w:tc>
          <w:tcPr>
            <w:tcW w:type="dxa" w:w="1440"/>
            <w:shd w:val="clear" w:color="auto" w:fill="F2F2F2"/>
          </w:tcPr>
          <w:p>
            <w:pPr>
              <w:spacing w:after="0" w:before="0"/>
              <w:jc w:val="left"/>
            </w:pPr>
            <w:r/>
            <w:r>
              <w:rPr>
                <w:rFonts w:ascii="Calibri" w:hAnsi="Calibri"/>
                <w:b w:val="0"/>
                <w:sz w:val="18"/>
              </w:rPr>
              <w:t>Required</w:t>
            </w:r>
          </w:p>
        </w:tc>
      </w:tr>
      <w:tr>
        <w:tc>
          <w:tcPr>
            <w:tcW w:type="dxa" w:w="3600"/>
            <w:shd w:val="clear" w:color="auto" w:fill="FFFFFF"/>
          </w:tcPr>
          <w:p>
            <w:pPr>
              <w:spacing w:after="0" w:before="0"/>
              <w:jc w:val="left"/>
            </w:pPr>
            <w:r/>
            <w:r>
              <w:rPr>
                <w:rFonts w:ascii="Calibri" w:hAnsi="Calibri"/>
                <w:b w:val="0"/>
                <w:sz w:val="18"/>
              </w:rPr>
              <w:t>capital_expenditures</w:t>
            </w:r>
          </w:p>
        </w:tc>
        <w:tc>
          <w:tcPr>
            <w:tcW w:type="dxa" w:w="3600"/>
            <w:shd w:val="clear" w:color="auto" w:fill="FFFFFF"/>
          </w:tcPr>
          <w:p>
            <w:pPr>
              <w:spacing w:after="0" w:before="0"/>
              <w:jc w:val="left"/>
            </w:pPr>
            <w:r/>
            <w:r>
              <w:rPr>
                <w:rFonts w:ascii="Calibri" w:hAnsi="Calibri"/>
                <w:b w:val="0"/>
                <w:sz w:val="18"/>
              </w:rPr>
              <w:t>Capex (typically negative)</w:t>
            </w:r>
          </w:p>
        </w:tc>
        <w:tc>
          <w:tcPr>
            <w:tcW w:type="dxa" w:w="1440"/>
            <w:shd w:val="clear" w:color="auto" w:fill="FFFFFF"/>
          </w:tcPr>
          <w:p>
            <w:pPr>
              <w:spacing w:after="0" w:before="0"/>
              <w:jc w:val="left"/>
            </w:pPr>
            <w:r/>
            <w:r>
              <w:rPr>
                <w:rFonts w:ascii="Calibri" w:hAnsi="Calibri"/>
                <w:b w:val="0"/>
                <w:sz w:val="18"/>
              </w:rPr>
              <w:t>Required</w:t>
            </w:r>
          </w:p>
        </w:tc>
      </w:tr>
      <w:tr>
        <w:tc>
          <w:tcPr>
            <w:tcW w:type="dxa" w:w="3600"/>
            <w:shd w:val="clear" w:color="auto" w:fill="F2F2F2"/>
          </w:tcPr>
          <w:p>
            <w:pPr>
              <w:spacing w:after="0" w:before="0"/>
              <w:jc w:val="left"/>
            </w:pPr>
            <w:r/>
            <w:r>
              <w:rPr>
                <w:rFonts w:ascii="Calibri" w:hAnsi="Calibri"/>
                <w:b w:val="0"/>
                <w:sz w:val="18"/>
              </w:rPr>
              <w:t>acquisitions</w:t>
            </w:r>
          </w:p>
        </w:tc>
        <w:tc>
          <w:tcPr>
            <w:tcW w:type="dxa" w:w="3600"/>
            <w:shd w:val="clear" w:color="auto" w:fill="F2F2F2"/>
          </w:tcPr>
          <w:p>
            <w:pPr>
              <w:spacing w:after="0" w:before="0"/>
              <w:jc w:val="left"/>
            </w:pPr>
            <w:r/>
            <w:r>
              <w:rPr>
                <w:rFonts w:ascii="Calibri" w:hAnsi="Calibri"/>
                <w:b w:val="0"/>
                <w:sz w:val="18"/>
              </w:rPr>
              <w:t>M&amp;A cash payments</w:t>
            </w:r>
          </w:p>
        </w:tc>
        <w:tc>
          <w:tcPr>
            <w:tcW w:type="dxa" w:w="1440"/>
            <w:shd w:val="clear" w:color="auto" w:fill="F2F2F2"/>
          </w:tcPr>
          <w:p>
            <w:pPr>
              <w:spacing w:after="0" w:before="0"/>
              <w:jc w:val="left"/>
            </w:pPr>
            <w:r/>
            <w:r>
              <w:rPr>
                <w:rFonts w:ascii="Calibri" w:hAnsi="Calibri"/>
                <w:b w:val="0"/>
                <w:sz w:val="18"/>
              </w:rPr>
              <w:t>Optional</w:t>
            </w:r>
          </w:p>
        </w:tc>
      </w:tr>
      <w:tr>
        <w:tc>
          <w:tcPr>
            <w:tcW w:type="dxa" w:w="3600"/>
            <w:shd w:val="clear" w:color="auto" w:fill="FFFFFF"/>
          </w:tcPr>
          <w:p>
            <w:pPr>
              <w:spacing w:after="0" w:before="0"/>
              <w:jc w:val="left"/>
            </w:pPr>
            <w:r/>
            <w:r>
              <w:rPr>
                <w:rFonts w:ascii="Calibri" w:hAnsi="Calibri"/>
                <w:b w:val="0"/>
                <w:sz w:val="18"/>
              </w:rPr>
              <w:t>net_cash_from_investing</w:t>
            </w:r>
          </w:p>
        </w:tc>
        <w:tc>
          <w:tcPr>
            <w:tcW w:type="dxa" w:w="3600"/>
            <w:shd w:val="clear" w:color="auto" w:fill="FFFFFF"/>
          </w:tcPr>
          <w:p>
            <w:pPr>
              <w:spacing w:after="0" w:before="0"/>
              <w:jc w:val="left"/>
            </w:pPr>
            <w:r/>
            <w:r>
              <w:rPr>
                <w:rFonts w:ascii="Calibri" w:hAnsi="Calibri"/>
                <w:b w:val="0"/>
                <w:sz w:val="18"/>
              </w:rPr>
              <w:t>Total investing cash flow</w:t>
            </w:r>
          </w:p>
        </w:tc>
        <w:tc>
          <w:tcPr>
            <w:tcW w:type="dxa" w:w="1440"/>
            <w:shd w:val="clear" w:color="auto" w:fill="FFFFFF"/>
          </w:tcPr>
          <w:p>
            <w:pPr>
              <w:spacing w:after="0" w:before="0"/>
              <w:jc w:val="left"/>
            </w:pPr>
            <w:r/>
            <w:r>
              <w:rPr>
                <w:rFonts w:ascii="Calibri" w:hAnsi="Calibri"/>
                <w:b w:val="0"/>
                <w:sz w:val="18"/>
              </w:rPr>
              <w:t>Required</w:t>
            </w:r>
          </w:p>
        </w:tc>
      </w:tr>
      <w:tr>
        <w:tc>
          <w:tcPr>
            <w:tcW w:type="dxa" w:w="3600"/>
            <w:shd w:val="clear" w:color="auto" w:fill="F2F2F2"/>
          </w:tcPr>
          <w:p>
            <w:pPr>
              <w:spacing w:after="0" w:before="0"/>
              <w:jc w:val="left"/>
            </w:pPr>
            <w:r/>
            <w:r>
              <w:rPr>
                <w:rFonts w:ascii="Calibri" w:hAnsi="Calibri"/>
                <w:b w:val="0"/>
                <w:sz w:val="18"/>
              </w:rPr>
              <w:t>debt_issuance</w:t>
            </w:r>
          </w:p>
        </w:tc>
        <w:tc>
          <w:tcPr>
            <w:tcW w:type="dxa" w:w="3600"/>
            <w:shd w:val="clear" w:color="auto" w:fill="F2F2F2"/>
          </w:tcPr>
          <w:p>
            <w:pPr>
              <w:spacing w:after="0" w:before="0"/>
              <w:jc w:val="left"/>
            </w:pPr>
            <w:r/>
            <w:r>
              <w:rPr>
                <w:rFonts w:ascii="Calibri" w:hAnsi="Calibri"/>
                <w:b w:val="0"/>
                <w:sz w:val="18"/>
              </w:rPr>
              <w:t>New debt raised</w:t>
            </w:r>
          </w:p>
        </w:tc>
        <w:tc>
          <w:tcPr>
            <w:tcW w:type="dxa" w:w="1440"/>
            <w:shd w:val="clear" w:color="auto" w:fill="F2F2F2"/>
          </w:tcPr>
          <w:p>
            <w:pPr>
              <w:spacing w:after="0" w:before="0"/>
              <w:jc w:val="left"/>
            </w:pPr>
            <w:r/>
            <w:r>
              <w:rPr>
                <w:rFonts w:ascii="Calibri" w:hAnsi="Calibri"/>
                <w:b w:val="0"/>
                <w:sz w:val="18"/>
              </w:rPr>
              <w:t>Optional</w:t>
            </w:r>
          </w:p>
        </w:tc>
      </w:tr>
      <w:tr>
        <w:tc>
          <w:tcPr>
            <w:tcW w:type="dxa" w:w="3600"/>
            <w:shd w:val="clear" w:color="auto" w:fill="FFFFFF"/>
          </w:tcPr>
          <w:p>
            <w:pPr>
              <w:spacing w:after="0" w:before="0"/>
              <w:jc w:val="left"/>
            </w:pPr>
            <w:r/>
            <w:r>
              <w:rPr>
                <w:rFonts w:ascii="Calibri" w:hAnsi="Calibri"/>
                <w:b w:val="0"/>
                <w:sz w:val="18"/>
              </w:rPr>
              <w:t>debt_repayment</w:t>
            </w:r>
          </w:p>
        </w:tc>
        <w:tc>
          <w:tcPr>
            <w:tcW w:type="dxa" w:w="3600"/>
            <w:shd w:val="clear" w:color="auto" w:fill="FFFFFF"/>
          </w:tcPr>
          <w:p>
            <w:pPr>
              <w:spacing w:after="0" w:before="0"/>
              <w:jc w:val="left"/>
            </w:pPr>
            <w:r/>
            <w:r>
              <w:rPr>
                <w:rFonts w:ascii="Calibri" w:hAnsi="Calibri"/>
                <w:b w:val="0"/>
                <w:sz w:val="18"/>
              </w:rPr>
              <w:t>Debt principal paid</w:t>
            </w:r>
          </w:p>
        </w:tc>
        <w:tc>
          <w:tcPr>
            <w:tcW w:type="dxa" w:w="1440"/>
            <w:shd w:val="clear" w:color="auto" w:fill="FFFFFF"/>
          </w:tcPr>
          <w:p>
            <w:pPr>
              <w:spacing w:after="0" w:before="0"/>
              <w:jc w:val="left"/>
            </w:pPr>
            <w:r/>
            <w:r>
              <w:rPr>
                <w:rFonts w:ascii="Calibri" w:hAnsi="Calibri"/>
                <w:b w:val="0"/>
                <w:sz w:val="18"/>
              </w:rPr>
              <w:t>Optional</w:t>
            </w:r>
          </w:p>
        </w:tc>
      </w:tr>
      <w:tr>
        <w:tc>
          <w:tcPr>
            <w:tcW w:type="dxa" w:w="3600"/>
            <w:shd w:val="clear" w:color="auto" w:fill="F2F2F2"/>
          </w:tcPr>
          <w:p>
            <w:pPr>
              <w:spacing w:after="0" w:before="0"/>
              <w:jc w:val="left"/>
            </w:pPr>
            <w:r/>
            <w:r>
              <w:rPr>
                <w:rFonts w:ascii="Calibri" w:hAnsi="Calibri"/>
                <w:b w:val="0"/>
                <w:sz w:val="18"/>
              </w:rPr>
              <w:t>dividends_paid</w:t>
            </w:r>
          </w:p>
        </w:tc>
        <w:tc>
          <w:tcPr>
            <w:tcW w:type="dxa" w:w="3600"/>
            <w:shd w:val="clear" w:color="auto" w:fill="F2F2F2"/>
          </w:tcPr>
          <w:p>
            <w:pPr>
              <w:spacing w:after="0" w:before="0"/>
              <w:jc w:val="left"/>
            </w:pPr>
            <w:r/>
            <w:r>
              <w:rPr>
                <w:rFonts w:ascii="Calibri" w:hAnsi="Calibri"/>
                <w:b w:val="0"/>
                <w:sz w:val="18"/>
              </w:rPr>
              <w:t>Cash dividends to shareholders</w:t>
            </w:r>
          </w:p>
        </w:tc>
        <w:tc>
          <w:tcPr>
            <w:tcW w:type="dxa" w:w="1440"/>
            <w:shd w:val="clear" w:color="auto" w:fill="F2F2F2"/>
          </w:tcPr>
          <w:p>
            <w:pPr>
              <w:spacing w:after="0" w:before="0"/>
              <w:jc w:val="left"/>
            </w:pPr>
            <w:r/>
            <w:r>
              <w:rPr>
                <w:rFonts w:ascii="Calibri" w:hAnsi="Calibri"/>
                <w:b w:val="0"/>
                <w:sz w:val="18"/>
              </w:rPr>
              <w:t>Optional</w:t>
            </w:r>
          </w:p>
        </w:tc>
      </w:tr>
      <w:tr>
        <w:tc>
          <w:tcPr>
            <w:tcW w:type="dxa" w:w="3600"/>
            <w:shd w:val="clear" w:color="auto" w:fill="FFFFFF"/>
          </w:tcPr>
          <w:p>
            <w:pPr>
              <w:spacing w:after="0" w:before="0"/>
              <w:jc w:val="left"/>
            </w:pPr>
            <w:r/>
            <w:r>
              <w:rPr>
                <w:rFonts w:ascii="Calibri" w:hAnsi="Calibri"/>
                <w:b w:val="0"/>
                <w:sz w:val="18"/>
              </w:rPr>
              <w:t>share_repurchases</w:t>
            </w:r>
          </w:p>
        </w:tc>
        <w:tc>
          <w:tcPr>
            <w:tcW w:type="dxa" w:w="3600"/>
            <w:shd w:val="clear" w:color="auto" w:fill="FFFFFF"/>
          </w:tcPr>
          <w:p>
            <w:pPr>
              <w:spacing w:after="0" w:before="0"/>
              <w:jc w:val="left"/>
            </w:pPr>
            <w:r/>
            <w:r>
              <w:rPr>
                <w:rFonts w:ascii="Calibri" w:hAnsi="Calibri"/>
                <w:b w:val="0"/>
                <w:sz w:val="18"/>
              </w:rPr>
              <w:t>Buybacks (typically negative)</w:t>
            </w:r>
          </w:p>
        </w:tc>
        <w:tc>
          <w:tcPr>
            <w:tcW w:type="dxa" w:w="1440"/>
            <w:shd w:val="clear" w:color="auto" w:fill="FFFFFF"/>
          </w:tcPr>
          <w:p>
            <w:pPr>
              <w:spacing w:after="0" w:before="0"/>
              <w:jc w:val="left"/>
            </w:pPr>
            <w:r/>
            <w:r>
              <w:rPr>
                <w:rFonts w:ascii="Calibri" w:hAnsi="Calibri"/>
                <w:b w:val="0"/>
                <w:sz w:val="18"/>
              </w:rPr>
              <w:t>Optional</w:t>
            </w:r>
          </w:p>
        </w:tc>
      </w:tr>
      <w:tr>
        <w:tc>
          <w:tcPr>
            <w:tcW w:type="dxa" w:w="3600"/>
            <w:shd w:val="clear" w:color="auto" w:fill="F2F2F2"/>
          </w:tcPr>
          <w:p>
            <w:pPr>
              <w:spacing w:after="0" w:before="0"/>
              <w:jc w:val="left"/>
            </w:pPr>
            <w:r/>
            <w:r>
              <w:rPr>
                <w:rFonts w:ascii="Calibri" w:hAnsi="Calibri"/>
                <w:b w:val="0"/>
                <w:sz w:val="18"/>
              </w:rPr>
              <w:t>net_cash_from_financing</w:t>
            </w:r>
          </w:p>
        </w:tc>
        <w:tc>
          <w:tcPr>
            <w:tcW w:type="dxa" w:w="3600"/>
            <w:shd w:val="clear" w:color="auto" w:fill="F2F2F2"/>
          </w:tcPr>
          <w:p>
            <w:pPr>
              <w:spacing w:after="0" w:before="0"/>
              <w:jc w:val="left"/>
            </w:pPr>
            <w:r/>
            <w:r>
              <w:rPr>
                <w:rFonts w:ascii="Calibri" w:hAnsi="Calibri"/>
                <w:b w:val="0"/>
                <w:sz w:val="18"/>
              </w:rPr>
              <w:t>Total financing cash flow</w:t>
            </w:r>
          </w:p>
        </w:tc>
        <w:tc>
          <w:tcPr>
            <w:tcW w:type="dxa" w:w="1440"/>
            <w:shd w:val="clear" w:color="auto" w:fill="F2F2F2"/>
          </w:tcPr>
          <w:p>
            <w:pPr>
              <w:spacing w:after="0" w:before="0"/>
              <w:jc w:val="left"/>
            </w:pPr>
            <w:r/>
            <w:r>
              <w:rPr>
                <w:rFonts w:ascii="Calibri" w:hAnsi="Calibri"/>
                <w:b w:val="0"/>
                <w:sz w:val="18"/>
              </w:rPr>
              <w:t>Required</w:t>
            </w:r>
          </w:p>
        </w:tc>
      </w:tr>
      <w:tr>
        <w:tc>
          <w:tcPr>
            <w:tcW w:type="dxa" w:w="3600"/>
            <w:shd w:val="clear" w:color="auto" w:fill="FFFFFF"/>
          </w:tcPr>
          <w:p>
            <w:pPr>
              <w:spacing w:after="0" w:before="0"/>
              <w:jc w:val="left"/>
            </w:pPr>
            <w:r/>
            <w:r>
              <w:rPr>
                <w:rFonts w:ascii="Calibri" w:hAnsi="Calibri"/>
                <w:b w:val="0"/>
                <w:sz w:val="18"/>
              </w:rPr>
              <w:t>net_change_in_cash</w:t>
            </w:r>
          </w:p>
        </w:tc>
        <w:tc>
          <w:tcPr>
            <w:tcW w:type="dxa" w:w="3600"/>
            <w:shd w:val="clear" w:color="auto" w:fill="FFFFFF"/>
          </w:tcPr>
          <w:p>
            <w:pPr>
              <w:spacing w:after="0" w:before="0"/>
              <w:jc w:val="left"/>
            </w:pPr>
            <w:r/>
            <w:r>
              <w:rPr>
                <w:rFonts w:ascii="Calibri" w:hAnsi="Calibri"/>
                <w:b w:val="0"/>
                <w:sz w:val="18"/>
              </w:rPr>
              <w:t>Net movement in cash balance</w:t>
            </w:r>
          </w:p>
        </w:tc>
        <w:tc>
          <w:tcPr>
            <w:tcW w:type="dxa" w:w="1440"/>
            <w:shd w:val="clear" w:color="auto" w:fill="FFFFFF"/>
          </w:tcPr>
          <w:p>
            <w:pPr>
              <w:spacing w:after="0" w:before="0"/>
              <w:jc w:val="left"/>
            </w:pPr>
            <w:r/>
            <w:r>
              <w:rPr>
                <w:rFonts w:ascii="Calibri" w:hAnsi="Calibri"/>
                <w:b w:val="0"/>
                <w:sz w:val="18"/>
              </w:rPr>
              <w:t>Required</w:t>
            </w:r>
          </w:p>
        </w:tc>
      </w:tr>
      <w:tr>
        <w:tc>
          <w:tcPr>
            <w:tcW w:type="dxa" w:w="3600"/>
            <w:shd w:val="clear" w:color="auto" w:fill="F2F2F2"/>
          </w:tcPr>
          <w:p>
            <w:pPr>
              <w:spacing w:after="0" w:before="0"/>
              <w:jc w:val="left"/>
            </w:pPr>
            <w:r/>
            <w:r>
              <w:rPr>
                <w:rFonts w:ascii="Calibri" w:hAnsi="Calibri"/>
                <w:b w:val="0"/>
                <w:sz w:val="18"/>
              </w:rPr>
              <w:t>free_cash_flow</w:t>
            </w:r>
          </w:p>
        </w:tc>
        <w:tc>
          <w:tcPr>
            <w:tcW w:type="dxa" w:w="3600"/>
            <w:shd w:val="clear" w:color="auto" w:fill="F2F2F2"/>
          </w:tcPr>
          <w:p>
            <w:pPr>
              <w:spacing w:after="0" w:before="0"/>
              <w:jc w:val="left"/>
            </w:pPr>
            <w:r/>
            <w:r>
              <w:rPr>
                <w:rFonts w:ascii="Calibri" w:hAnsi="Calibri"/>
                <w:b w:val="0"/>
                <w:sz w:val="18"/>
              </w:rPr>
              <w:t>Computed: net_cash_from_operations + capital_expenditures</w:t>
            </w:r>
          </w:p>
        </w:tc>
        <w:tc>
          <w:tcPr>
            <w:tcW w:type="dxa" w:w="1440"/>
            <w:shd w:val="clear" w:color="auto" w:fill="F2F2F2"/>
          </w:tcPr>
          <w:p>
            <w:pPr>
              <w:spacing w:after="0" w:before="0"/>
              <w:jc w:val="left"/>
            </w:pPr>
            <w:r/>
            <w:r>
              <w:rPr>
                <w:rFonts w:ascii="Calibri" w:hAnsi="Calibri"/>
                <w:b w:val="0"/>
                <w:sz w:val="18"/>
              </w:rPr>
              <w:t>Computed</w:t>
            </w:r>
          </w:p>
        </w:tc>
      </w:tr>
    </w:tbl>
    <w:p/>
    <w:p>
      <w:pPr>
        <w:pStyle w:val="Heading2"/>
        <w:spacing w:before="280" w:after="80"/>
      </w:pPr>
      <w:r>
        <w:rPr>
          <w:rFonts w:ascii="Calibri" w:hAnsi="Calibri"/>
          <w:color w:val="2E75B6"/>
          <w:sz w:val="26"/>
        </w:rPr>
        <w:t>5.4  Recommended Design — Extraction Process</w:t>
      </w:r>
    </w:p>
    <w:p>
      <w:pPr>
        <w:spacing w:after="120" w:before="0"/>
      </w:pPr>
      <w:r>
        <w:rPr>
          <w:rFonts w:ascii="Calibri" w:hAnsi="Calibri"/>
          <w:b/>
          <w:i w:val="0"/>
          <w:sz w:val="20"/>
        </w:rPr>
        <w:t>XBRL / iXBRL Extraction Process (Primary Path — US Companies)</w:t>
      </w:r>
    </w:p>
    <w:p>
      <w:pPr>
        <w:pStyle w:val="ListNumber"/>
        <w:spacing w:after="60"/>
      </w:pPr>
      <w:r>
        <w:rPr>
          <w:rFonts w:ascii="Calibri" w:hAnsi="Calibri"/>
          <w:sz w:val="20"/>
        </w:rPr>
        <w:t>Download EDGAR filing index page for the accession number</w:t>
      </w:r>
    </w:p>
    <w:p>
      <w:pPr>
        <w:pStyle w:val="ListNumber"/>
        <w:spacing w:after="60"/>
      </w:pPr>
      <w:r>
        <w:rPr>
          <w:rFonts w:ascii="Calibri" w:hAnsi="Calibri"/>
          <w:sz w:val="20"/>
        </w:rPr>
        <w:t>Locate the primary 10-K document and its iXBRL-tagged HTML file</w:t>
      </w:r>
    </w:p>
    <w:p>
      <w:pPr>
        <w:pStyle w:val="ListNumber"/>
        <w:spacing w:after="60"/>
      </w:pPr>
      <w:r>
        <w:rPr>
          <w:rFonts w:ascii="Calibri" w:hAnsi="Calibri"/>
          <w:sz w:val="20"/>
        </w:rPr>
        <w:t>Parse iXBRL using python-xbrl or arelle library</w:t>
      </w:r>
    </w:p>
    <w:p>
      <w:pPr>
        <w:pStyle w:val="ListNumber"/>
        <w:spacing w:after="60"/>
      </w:pPr>
      <w:r>
        <w:rPr>
          <w:rFonts w:ascii="Calibri" w:hAnsi="Calibri"/>
          <w:sz w:val="20"/>
        </w:rPr>
        <w:t>Map XBRL concept names (us-gaap:Revenues, us-gaap:NetIncomeLoss) to canonical fields using field_aliases table</w:t>
      </w:r>
    </w:p>
    <w:p>
      <w:pPr>
        <w:pStyle w:val="ListNumber"/>
        <w:spacing w:after="60"/>
      </w:pPr>
      <w:r>
        <w:rPr>
          <w:rFonts w:ascii="Calibri" w:hAnsi="Calibri"/>
          <w:sz w:val="20"/>
        </w:rPr>
        <w:t>Extract values with their contextRef (period + entity combination) to capture both current and comparative periods</w:t>
      </w:r>
    </w:p>
    <w:p>
      <w:pPr>
        <w:pStyle w:val="ListNumber"/>
        <w:spacing w:after="60"/>
      </w:pPr>
      <w:r>
        <w:rPr>
          <w:rFonts w:ascii="Calibri" w:hAnsi="Calibri"/>
          <w:sz w:val="20"/>
        </w:rPr>
        <w:t>Store: period, value, unit, decimal precision, XBRL concept name (for full audit trail)</w:t>
      </w:r>
    </w:p>
    <w:p>
      <w:pPr>
        <w:pStyle w:val="ListNumber"/>
        <w:spacing w:after="60"/>
      </w:pPr>
      <w:r>
        <w:rPr>
          <w:rFonts w:ascii="Calibri" w:hAnsi="Calibri"/>
          <w:sz w:val="20"/>
        </w:rPr>
        <w:t>Set extraction_method = 'xbrl', confidence_score = 100</w:t>
      </w:r>
    </w:p>
    <w:p>
      <w:pPr>
        <w:spacing w:after="120" w:before="0"/>
      </w:pPr>
      <w:r>
        <w:rPr>
          <w:rFonts w:ascii="Calibri" w:hAnsi="Calibri"/>
          <w:b/>
          <w:i w:val="0"/>
          <w:sz w:val="20"/>
        </w:rPr>
        <w:t>AI Extraction Process (Fallback — Non-XBRL or Low-Quality XBRL)</w:t>
      </w:r>
    </w:p>
    <w:p>
      <w:pPr>
        <w:pStyle w:val="ListNumber"/>
        <w:spacing w:after="60"/>
      </w:pPr>
      <w:r>
        <w:rPr>
          <w:rFonts w:ascii="Calibri" w:hAnsi="Calibri"/>
          <w:sz w:val="20"/>
        </w:rPr>
        <w:t>Extract text from target pages using pdfplumber (pages identified in Stage 3 of ingestion)</w:t>
      </w:r>
    </w:p>
    <w:p>
      <w:pPr>
        <w:pStyle w:val="ListNumber"/>
        <w:spacing w:after="60"/>
      </w:pPr>
      <w:r>
        <w:rPr>
          <w:rFonts w:ascii="Calibri" w:hAnsi="Calibri"/>
          <w:sz w:val="20"/>
        </w:rPr>
        <w:t>Chunk content if section exceeds 8,000 tokens</w:t>
      </w:r>
    </w:p>
    <w:p>
      <w:pPr>
        <w:pStyle w:val="ListNumber"/>
        <w:spacing w:after="60"/>
      </w:pPr>
      <w:r>
        <w:rPr>
          <w:rFonts w:ascii="Calibri" w:hAnsi="Calibri"/>
          <w:sz w:val="20"/>
        </w:rPr>
        <w:t>For each chunk: call Claude API with focused extraction prompt for that statement type</w:t>
      </w:r>
    </w:p>
    <w:p>
      <w:pPr>
        <w:pStyle w:val="ListNumber"/>
        <w:spacing w:after="60"/>
      </w:pPr>
      <w:r>
        <w:rPr>
          <w:rFonts w:ascii="Calibri" w:hAnsi="Calibri"/>
          <w:sz w:val="20"/>
        </w:rPr>
        <w:t>Prompt includes: canonical field list, expected units, sign convention, target JSON schema</w:t>
      </w:r>
    </w:p>
    <w:p>
      <w:pPr>
        <w:pStyle w:val="ListNumber"/>
        <w:spacing w:after="60"/>
      </w:pPr>
      <w:r>
        <w:rPr>
          <w:rFonts w:ascii="Calibri" w:hAnsi="Calibri"/>
          <w:sz w:val="20"/>
        </w:rPr>
        <w:t>Use tool_use / function calling to enforce structured output and prevent free-form responses</w:t>
      </w:r>
    </w:p>
    <w:p>
      <w:pPr>
        <w:pStyle w:val="ListNumber"/>
        <w:spacing w:after="60"/>
      </w:pPr>
      <w:r>
        <w:rPr>
          <w:rFonts w:ascii="Calibri" w:hAnsi="Calibri"/>
          <w:sz w:val="20"/>
        </w:rPr>
        <w:t>Parse and validate Claude's JSON response against Pydantic extraction schema</w:t>
      </w:r>
    </w:p>
    <w:p>
      <w:pPr>
        <w:pStyle w:val="ListNumber"/>
        <w:spacing w:after="60"/>
      </w:pPr>
      <w:r>
        <w:rPr>
          <w:rFonts w:ascii="Calibri" w:hAnsi="Calibri"/>
          <w:sz w:val="20"/>
        </w:rPr>
        <w:t>Flag any fields where Claude's confidence annotation is below 0.80</w:t>
      </w:r>
    </w:p>
    <w:p>
      <w:pPr>
        <w:pStyle w:val="ListNumber"/>
        <w:spacing w:after="60"/>
      </w:pPr>
      <w:r>
        <w:rPr>
          <w:rFonts w:ascii="Calibri" w:hAnsi="Calibri"/>
          <w:sz w:val="20"/>
        </w:rPr>
        <w:t>Set extraction_method = 'ai_extraction', store model version used for reproducibility</w:t>
      </w:r>
    </w:p>
    <w:p>
      <w:pPr>
        <w:spacing w:after="120" w:before="0"/>
      </w:pPr>
      <w:r>
        <w:rPr>
          <w:rFonts w:ascii="Calibri" w:hAnsi="Calibri"/>
          <w:b/>
          <w:i w:val="0"/>
          <w:sz w:val="20"/>
        </w:rPr>
        <w:t>Post-Extraction Normalization</w:t>
      </w:r>
    </w:p>
    <w:p>
      <w:pPr>
        <w:pStyle w:val="ListBullet"/>
        <w:spacing w:after="60" w:before="0"/>
      </w:pPr>
      <w:r>
        <w:rPr>
          <w:rFonts w:ascii="Calibri" w:hAnsi="Calibri"/>
          <w:sz w:val="20"/>
        </w:rPr>
        <w:t>Unit normalization: detect reported units from document header (millions, thousands, billions). Multiply all values by unit_multiplier to get absolute values. Store both original and absolute.</w:t>
      </w:r>
    </w:p>
    <w:p>
      <w:pPr>
        <w:pStyle w:val="ListBullet"/>
        <w:spacing w:after="60" w:before="0"/>
      </w:pPr>
      <w:r>
        <w:rPr>
          <w:rFonts w:ascii="Calibri" w:hAnsi="Calibri"/>
          <w:sz w:val="20"/>
        </w:rPr>
        <w:t>Currency normalization: look up historical exchange rate at period_end_date from currency_rates table. Store normalized_value in USD alongside original.</w:t>
      </w:r>
    </w:p>
    <w:p>
      <w:pPr>
        <w:pStyle w:val="ListBullet"/>
        <w:spacing w:after="60" w:before="0"/>
      </w:pPr>
      <w:r>
        <w:rPr>
          <w:rFonts w:ascii="Calibri" w:hAnsi="Calibri"/>
          <w:sz w:val="20"/>
        </w:rPr>
        <w:t>Computed field calculation: calculate ebitda, ebit, free_cash_flow from extracted components. If the document also explicitly states these values, compare and flag any deviation &gt; 1% as a validation WARNING.</w:t>
      </w:r>
    </w:p>
    <w:p>
      <w:r>
        <w:br w:type="page"/>
      </w:r>
    </w:p>
    <w:p>
      <w:pPr>
        <w:pStyle w:val="Heading1"/>
        <w:spacing w:before="280" w:after="80"/>
      </w:pPr>
      <w:r>
        <w:rPr>
          <w:rFonts w:ascii="Calibri" w:hAnsi="Calibri"/>
          <w:color w:val="1F3864"/>
          <w:sz w:val="32"/>
        </w:rPr>
        <w:t>Section 6 — Validation Engine</w:t>
      </w:r>
    </w:p>
    <w:p>
      <w:pPr>
        <w:spacing w:before="80" w:after="80"/>
        <w:pBdr>
          <w:bottom w:val="single" w:sz="6" w:space="1" w:color="2E75B6"/>
        </w:pBdr>
      </w:pPr>
    </w:p>
    <w:p>
      <w:pPr>
        <w:pStyle w:val="Heading2"/>
        <w:spacing w:before="280" w:after="80"/>
      </w:pPr>
      <w:r>
        <w:rPr>
          <w:rFonts w:ascii="Calibri" w:hAnsi="Calibri"/>
          <w:color w:val="2E75B6"/>
          <w:sz w:val="26"/>
        </w:rPr>
        <w:t>6.1  Missing Information</w:t>
      </w:r>
    </w:p>
    <w:p>
      <w:pPr>
        <w:pStyle w:val="ListBullet"/>
        <w:spacing w:after="60" w:before="0"/>
      </w:pPr>
      <w:r>
        <w:rPr>
          <w:rFonts w:ascii="Calibri" w:hAnsi="Calibri"/>
          <w:sz w:val="20"/>
        </w:rPr>
        <w:t>No mathematical relationship rules defined — the most reliable validation method is entirely absent</w:t>
      </w:r>
    </w:p>
    <w:p>
      <w:pPr>
        <w:pStyle w:val="ListBullet"/>
        <w:spacing w:after="60" w:before="0"/>
      </w:pPr>
      <w:r>
        <w:rPr>
          <w:rFonts w:ascii="Calibri" w:hAnsi="Calibri"/>
          <w:sz w:val="20"/>
        </w:rPr>
        <w:t>No tolerance thresholds for rounding differences — financial statements round to millions, causing apparent discrepancies</w:t>
      </w:r>
    </w:p>
    <w:p>
      <w:pPr>
        <w:pStyle w:val="ListBullet"/>
        <w:spacing w:after="60" w:before="0"/>
      </w:pPr>
      <w:r>
        <w:rPr>
          <w:rFonts w:ascii="Calibri" w:hAnsi="Calibri"/>
          <w:sz w:val="20"/>
        </w:rPr>
        <w:t>No conflict resolution logic beyond 'use higher tier source' — insufficient for edge cases</w:t>
      </w:r>
    </w:p>
    <w:p>
      <w:pPr>
        <w:pStyle w:val="ListBullet"/>
        <w:spacing w:after="60" w:before="0"/>
      </w:pPr>
      <w:r>
        <w:rPr>
          <w:rFonts w:ascii="Calibri" w:hAnsi="Calibri"/>
          <w:sz w:val="20"/>
        </w:rPr>
        <w:t>No definition of when a validation failure blocks export vs. generates a warning</w:t>
      </w:r>
    </w:p>
    <w:p>
      <w:pPr>
        <w:pStyle w:val="ListBullet"/>
        <w:spacing w:after="60" w:before="0"/>
      </w:pPr>
      <w:r>
        <w:rPr>
          <w:rFonts w:ascii="Calibri" w:hAnsi="Calibri"/>
          <w:sz w:val="20"/>
        </w:rPr>
        <w:t>No human review workflow for data with confidence below a threshold</w:t>
      </w:r>
    </w:p>
    <w:p>
      <w:pPr>
        <w:pStyle w:val="ListBullet"/>
        <w:spacing w:after="60" w:before="0"/>
      </w:pPr>
      <w:r>
        <w:rPr>
          <w:rFonts w:ascii="Calibri" w:hAnsi="Calibri"/>
          <w:sz w:val="20"/>
        </w:rPr>
        <w:t>No validation rule versioning — changes to rules will produce different results on re-run without versioning</w:t>
      </w:r>
    </w:p>
    <w:p>
      <w:pPr>
        <w:pStyle w:val="ListBullet"/>
        <w:spacing w:after="60" w:before="0"/>
      </w:pPr>
      <w:r>
        <w:rPr>
          <w:rFonts w:ascii="Calibri" w:hAnsi="Calibri"/>
          <w:sz w:val="20"/>
        </w:rPr>
        <w:t>No multi-period trend validation — extreme YoY changes indicating unit errors are not detected</w:t>
      </w:r>
    </w:p>
    <w:p>
      <w:pPr>
        <w:pStyle w:val="Heading2"/>
        <w:spacing w:before="280" w:after="80"/>
      </w:pPr>
      <w:r>
        <w:rPr>
          <w:rFonts w:ascii="Calibri" w:hAnsi="Calibri"/>
          <w:color w:val="2E75B6"/>
          <w:sz w:val="26"/>
        </w:rPr>
        <w:t>6.2  Required Decisions</w:t>
      </w:r>
    </w:p>
    <w:p>
      <w:pPr>
        <w:spacing w:before="160" w:after="40"/>
      </w:pPr>
      <w:r>
        <w:rPr>
          <w:rFonts w:ascii="Calibri" w:hAnsi="Calibri"/>
          <w:b/>
          <w:color w:val="2E75B6"/>
          <w:sz w:val="20"/>
        </w:rPr>
        <w:t>Decision 1: Validation Severity Levels</w:t>
      </w:r>
    </w:p>
    <w:p>
      <w:pPr>
        <w:spacing w:after="120" w:before="0"/>
      </w:pPr>
      <w:r>
        <w:rPr>
          <w:rFonts w:ascii="Calibri" w:hAnsi="Calibri"/>
          <w:b w:val="0"/>
          <w:i w:val="0"/>
          <w:sz w:val="20"/>
        </w:rPr>
        <w:t>Recommendation: CRITICAL: Mathematical relationship fails with deviation &gt; 1% — blocks export. ERROR: Cross-source deviation &gt; 5% — export proceeds but prominently flagged. WARNING: Statistical outlier (&gt;200% YoY) or single-source data — noted in report. INFO: Minor rounding (&lt;0.1%), assumptions — logged only.</w:t>
      </w:r>
    </w:p>
    <w:p>
      <w:pPr>
        <w:spacing w:before="160" w:after="40"/>
      </w:pPr>
      <w:r>
        <w:rPr>
          <w:rFonts w:ascii="Calibri" w:hAnsi="Calibri"/>
          <w:b/>
          <w:color w:val="2E75B6"/>
          <w:sz w:val="20"/>
        </w:rPr>
        <w:t>Decision 2: Rounding Tolerance</w:t>
      </w:r>
    </w:p>
    <w:p>
      <w:pPr>
        <w:spacing w:after="120" w:before="0"/>
      </w:pPr>
      <w:r>
        <w:rPr>
          <w:rFonts w:ascii="Calibri" w:hAnsi="Calibri"/>
          <w:b w:val="0"/>
          <w:i w:val="0"/>
          <w:sz w:val="20"/>
        </w:rPr>
        <w:t>Recommendation: Accept mathematical relationships within a tolerance of 0.5% OR $5M absolute (whichever is larger). Financial statements round to the nearest million, causing apparent discrepancies of up to this magnitude.</w:t>
      </w:r>
    </w:p>
    <w:p>
      <w:pPr>
        <w:spacing w:before="160" w:after="40"/>
      </w:pPr>
      <w:r>
        <w:rPr>
          <w:rFonts w:ascii="Calibri" w:hAnsi="Calibri"/>
          <w:b/>
          <w:color w:val="2E75B6"/>
          <w:sz w:val="20"/>
        </w:rPr>
        <w:t>Decision 3: Confidence Score Formula</w:t>
      </w:r>
    </w:p>
    <w:p>
      <w:pPr>
        <w:spacing w:after="120" w:before="0"/>
      </w:pPr>
      <w:r>
        <w:rPr>
          <w:rFonts w:ascii="Calibri" w:hAnsi="Calibri"/>
          <w:b w:val="0"/>
          <w:i w:val="0"/>
          <w:sz w:val="20"/>
        </w:rPr>
        <w:t>Recommendation: Base score: 100. Deductions: CRITICAL finding: -30 each. ERROR finding: -10 each. WARNING finding: -3 each. Single source (no cross-validation possible): -15. AI extraction vs. XBRL: -5. Missing required field: -5 each. Minimum score: 0.</w:t>
      </w:r>
    </w:p>
    <w:p>
      <w:pPr>
        <w:spacing w:before="160" w:after="40"/>
      </w:pPr>
      <w:r>
        <w:rPr>
          <w:rFonts w:ascii="Calibri" w:hAnsi="Calibri"/>
          <w:b/>
          <w:color w:val="2E75B6"/>
          <w:sz w:val="20"/>
        </w:rPr>
        <w:t>Decision 4: Export Blocking Policy</w:t>
      </w:r>
    </w:p>
    <w:p>
      <w:pPr>
        <w:spacing w:after="120" w:before="0"/>
      </w:pPr>
      <w:r>
        <w:rPr>
          <w:rFonts w:ascii="Calibri" w:hAnsi="Calibri"/>
          <w:b w:val="0"/>
          <w:i w:val="0"/>
          <w:sz w:val="20"/>
        </w:rPr>
        <w:t>Recommendation: Block export only if overall confidence score &lt; 40 OR any unresolved CRITICAL finding exists. At confidence 40–70: export proceeds with prominent WARNING banner in Excel Sheet 9. At confidence &gt; 70: normal export. User can override any block with explicit acknowledgment (logged to audit_log).</w:t>
      </w:r>
    </w:p>
    <w:p>
      <w:pPr>
        <w:pStyle w:val="Heading2"/>
        <w:spacing w:before="280" w:after="80"/>
      </w:pPr>
      <w:r>
        <w:rPr>
          <w:rFonts w:ascii="Calibri" w:hAnsi="Calibri"/>
          <w:color w:val="2E75B6"/>
          <w:sz w:val="26"/>
        </w:rPr>
        <w:t>6.3  Recommended Design — Validation Rules</w:t>
      </w:r>
    </w:p>
    <w:p>
      <w:pPr>
        <w:spacing w:after="120" w:before="0"/>
      </w:pPr>
      <w:r>
        <w:rPr>
          <w:rFonts w:ascii="Calibri" w:hAnsi="Calibri"/>
          <w:b/>
          <w:i w:val="0"/>
          <w:sz w:val="20"/>
        </w:rPr>
        <w:t>Income Statement Rules</w:t>
      </w:r>
    </w:p>
    <w:tbl>
      <w:tblPr>
        <w:tblStyle w:val="TableGrid"/>
        <w:tblW w:type="auto" w:w="0"/>
        <w:jc w:val="left"/>
        <w:tblLook w:firstColumn="1" w:firstRow="1" w:lastColumn="0" w:lastRow="0" w:noHBand="0" w:noVBand="1" w:val="04A0"/>
      </w:tblPr>
      <w:tblGrid>
        <w:gridCol w:w="2160"/>
        <w:gridCol w:w="2160"/>
        <w:gridCol w:w="2160"/>
        <w:gridCol w:w="2160"/>
      </w:tblGrid>
      <w:tr>
        <w:trPr>
          <w:trHeight w:val="397"/>
        </w:trPr>
        <w:tc>
          <w:tcPr>
            <w:tcW w:type="dxa" w:w="1152"/>
            <w:shd w:val="clear" w:color="auto" w:fill="1F3864"/>
          </w:tcPr>
          <w:p>
            <w:pPr>
              <w:spacing w:after="0" w:before="0"/>
              <w:jc w:val="center"/>
            </w:pPr>
            <w:r/>
            <w:r>
              <w:rPr>
                <w:rFonts w:ascii="Calibri" w:hAnsi="Calibri"/>
                <w:b/>
                <w:color w:val="FFFFFF"/>
                <w:sz w:val="18"/>
              </w:rPr>
              <w:t>Rule ID</w:t>
            </w:r>
          </w:p>
        </w:tc>
        <w:tc>
          <w:tcPr>
            <w:tcW w:type="dxa" w:w="4608"/>
            <w:shd w:val="clear" w:color="auto" w:fill="1F3864"/>
          </w:tcPr>
          <w:p>
            <w:pPr>
              <w:spacing w:after="0" w:before="0"/>
              <w:jc w:val="center"/>
            </w:pPr>
            <w:r/>
            <w:r>
              <w:rPr>
                <w:rFonts w:ascii="Calibri" w:hAnsi="Calibri"/>
                <w:b/>
                <w:color w:val="FFFFFF"/>
                <w:sz w:val="18"/>
              </w:rPr>
              <w:t>Formula Check</w:t>
            </w:r>
          </w:p>
        </w:tc>
        <w:tc>
          <w:tcPr>
            <w:tcW w:type="dxa" w:w="1440"/>
            <w:shd w:val="clear" w:color="auto" w:fill="1F3864"/>
          </w:tcPr>
          <w:p>
            <w:pPr>
              <w:spacing w:after="0" w:before="0"/>
              <w:jc w:val="center"/>
            </w:pPr>
            <w:r/>
            <w:r>
              <w:rPr>
                <w:rFonts w:ascii="Calibri" w:hAnsi="Calibri"/>
                <w:b/>
                <w:color w:val="FFFFFF"/>
                <w:sz w:val="18"/>
              </w:rPr>
              <w:t>Tolerance</w:t>
            </w:r>
          </w:p>
        </w:tc>
        <w:tc>
          <w:tcPr>
            <w:tcW w:type="dxa" w:w="1440"/>
            <w:shd w:val="clear" w:color="auto" w:fill="1F3864"/>
          </w:tcPr>
          <w:p>
            <w:pPr>
              <w:spacing w:after="0" w:before="0"/>
              <w:jc w:val="center"/>
            </w:pPr>
            <w:r/>
            <w:r>
              <w:rPr>
                <w:rFonts w:ascii="Calibri" w:hAnsi="Calibri"/>
                <w:b/>
                <w:color w:val="FFFFFF"/>
                <w:sz w:val="18"/>
              </w:rPr>
              <w:t>Severity</w:t>
            </w:r>
          </w:p>
        </w:tc>
      </w:tr>
      <w:tr>
        <w:tc>
          <w:tcPr>
            <w:tcW w:type="dxa" w:w="1152"/>
            <w:shd w:val="clear" w:color="auto" w:fill="F2F2F2"/>
          </w:tcPr>
          <w:p>
            <w:pPr>
              <w:spacing w:after="0" w:before="0"/>
              <w:jc w:val="left"/>
            </w:pPr>
            <w:r/>
            <w:r>
              <w:rPr>
                <w:rFonts w:ascii="Calibri" w:hAnsi="Calibri"/>
                <w:b w:val="0"/>
                <w:sz w:val="18"/>
              </w:rPr>
              <w:t>IS-001</w:t>
            </w:r>
          </w:p>
        </w:tc>
        <w:tc>
          <w:tcPr>
            <w:tcW w:type="dxa" w:w="4608"/>
            <w:shd w:val="clear" w:color="auto" w:fill="F2F2F2"/>
          </w:tcPr>
          <w:p>
            <w:pPr>
              <w:spacing w:after="0" w:before="0"/>
              <w:jc w:val="left"/>
            </w:pPr>
            <w:r/>
            <w:r>
              <w:rPr>
                <w:rFonts w:ascii="Calibri" w:hAnsi="Calibri"/>
                <w:b w:val="0"/>
                <w:sz w:val="18"/>
              </w:rPr>
              <w:t>gross_profit = revenue - cost_of_revenue</w:t>
            </w:r>
          </w:p>
        </w:tc>
        <w:tc>
          <w:tcPr>
            <w:tcW w:type="dxa" w:w="1440"/>
            <w:shd w:val="clear" w:color="auto" w:fill="F2F2F2"/>
          </w:tcPr>
          <w:p>
            <w:pPr>
              <w:spacing w:after="0" w:before="0"/>
              <w:jc w:val="left"/>
            </w:pPr>
            <w:r/>
            <w:r>
              <w:rPr>
                <w:rFonts w:ascii="Calibri" w:hAnsi="Calibri"/>
                <w:b w:val="0"/>
                <w:sz w:val="18"/>
              </w:rPr>
              <w:t>0.5%</w:t>
            </w:r>
          </w:p>
        </w:tc>
        <w:tc>
          <w:tcPr>
            <w:tcW w:type="dxa" w:w="1440"/>
            <w:shd w:val="clear" w:color="auto" w:fill="F2F2F2"/>
          </w:tcPr>
          <w:p>
            <w:pPr>
              <w:spacing w:after="0" w:before="0"/>
              <w:jc w:val="left"/>
            </w:pPr>
            <w:r/>
            <w:r>
              <w:rPr>
                <w:rFonts w:ascii="Calibri" w:hAnsi="Calibri"/>
                <w:b w:val="0"/>
                <w:sz w:val="18"/>
              </w:rPr>
              <w:t>CRITICAL</w:t>
            </w:r>
          </w:p>
        </w:tc>
      </w:tr>
      <w:tr>
        <w:tc>
          <w:tcPr>
            <w:tcW w:type="dxa" w:w="1152"/>
            <w:shd w:val="clear" w:color="auto" w:fill="FFFFFF"/>
          </w:tcPr>
          <w:p>
            <w:pPr>
              <w:spacing w:after="0" w:before="0"/>
              <w:jc w:val="left"/>
            </w:pPr>
            <w:r/>
            <w:r>
              <w:rPr>
                <w:rFonts w:ascii="Calibri" w:hAnsi="Calibri"/>
                <w:b w:val="0"/>
                <w:sz w:val="18"/>
              </w:rPr>
              <w:t>IS-002</w:t>
            </w:r>
          </w:p>
        </w:tc>
        <w:tc>
          <w:tcPr>
            <w:tcW w:type="dxa" w:w="4608"/>
            <w:shd w:val="clear" w:color="auto" w:fill="FFFFFF"/>
          </w:tcPr>
          <w:p>
            <w:pPr>
              <w:spacing w:after="0" w:before="0"/>
              <w:jc w:val="left"/>
            </w:pPr>
            <w:r/>
            <w:r>
              <w:rPr>
                <w:rFonts w:ascii="Calibri" w:hAnsi="Calibri"/>
                <w:b w:val="0"/>
                <w:sz w:val="18"/>
              </w:rPr>
              <w:t>operating_income = gross_profit - total_operating_expenses</w:t>
            </w:r>
          </w:p>
        </w:tc>
        <w:tc>
          <w:tcPr>
            <w:tcW w:type="dxa" w:w="1440"/>
            <w:shd w:val="clear" w:color="auto" w:fill="FFFFFF"/>
          </w:tcPr>
          <w:p>
            <w:pPr>
              <w:spacing w:after="0" w:before="0"/>
              <w:jc w:val="left"/>
            </w:pPr>
            <w:r/>
            <w:r>
              <w:rPr>
                <w:rFonts w:ascii="Calibri" w:hAnsi="Calibri"/>
                <w:b w:val="0"/>
                <w:sz w:val="18"/>
              </w:rPr>
              <w:t>0.5%</w:t>
            </w:r>
          </w:p>
        </w:tc>
        <w:tc>
          <w:tcPr>
            <w:tcW w:type="dxa" w:w="1440"/>
            <w:shd w:val="clear" w:color="auto" w:fill="FFFFFF"/>
          </w:tcPr>
          <w:p>
            <w:pPr>
              <w:spacing w:after="0" w:before="0"/>
              <w:jc w:val="left"/>
            </w:pPr>
            <w:r/>
            <w:r>
              <w:rPr>
                <w:rFonts w:ascii="Calibri" w:hAnsi="Calibri"/>
                <w:b w:val="0"/>
                <w:sz w:val="18"/>
              </w:rPr>
              <w:t>CRITICAL</w:t>
            </w:r>
          </w:p>
        </w:tc>
      </w:tr>
      <w:tr>
        <w:tc>
          <w:tcPr>
            <w:tcW w:type="dxa" w:w="1152"/>
            <w:shd w:val="clear" w:color="auto" w:fill="F2F2F2"/>
          </w:tcPr>
          <w:p>
            <w:pPr>
              <w:spacing w:after="0" w:before="0"/>
              <w:jc w:val="left"/>
            </w:pPr>
            <w:r/>
            <w:r>
              <w:rPr>
                <w:rFonts w:ascii="Calibri" w:hAnsi="Calibri"/>
                <w:b w:val="0"/>
                <w:sz w:val="18"/>
              </w:rPr>
              <w:t>IS-003</w:t>
            </w:r>
          </w:p>
        </w:tc>
        <w:tc>
          <w:tcPr>
            <w:tcW w:type="dxa" w:w="4608"/>
            <w:shd w:val="clear" w:color="auto" w:fill="F2F2F2"/>
          </w:tcPr>
          <w:p>
            <w:pPr>
              <w:spacing w:after="0" w:before="0"/>
              <w:jc w:val="left"/>
            </w:pPr>
            <w:r/>
            <w:r>
              <w:rPr>
                <w:rFonts w:ascii="Calibri" w:hAnsi="Calibri"/>
                <w:b w:val="0"/>
                <w:sz w:val="18"/>
              </w:rPr>
              <w:t>net_income directionally consistent with operating_income after tax</w:t>
            </w:r>
          </w:p>
        </w:tc>
        <w:tc>
          <w:tcPr>
            <w:tcW w:type="dxa" w:w="1440"/>
            <w:shd w:val="clear" w:color="auto" w:fill="F2F2F2"/>
          </w:tcPr>
          <w:p>
            <w:pPr>
              <w:spacing w:after="0" w:before="0"/>
              <w:jc w:val="left"/>
            </w:pPr>
            <w:r/>
            <w:r>
              <w:rPr>
                <w:rFonts w:ascii="Calibri" w:hAnsi="Calibri"/>
                <w:b w:val="0"/>
                <w:sz w:val="18"/>
              </w:rPr>
              <w:t>Directional</w:t>
            </w:r>
          </w:p>
        </w:tc>
        <w:tc>
          <w:tcPr>
            <w:tcW w:type="dxa" w:w="1440"/>
            <w:shd w:val="clear" w:color="auto" w:fill="F2F2F2"/>
          </w:tcPr>
          <w:p>
            <w:pPr>
              <w:spacing w:after="0" w:before="0"/>
              <w:jc w:val="left"/>
            </w:pPr>
            <w:r/>
            <w:r>
              <w:rPr>
                <w:rFonts w:ascii="Calibri" w:hAnsi="Calibri"/>
                <w:b w:val="0"/>
                <w:sz w:val="18"/>
              </w:rPr>
              <w:t>ERROR</w:t>
            </w:r>
          </w:p>
        </w:tc>
      </w:tr>
      <w:tr>
        <w:tc>
          <w:tcPr>
            <w:tcW w:type="dxa" w:w="1152"/>
            <w:shd w:val="clear" w:color="auto" w:fill="FFFFFF"/>
          </w:tcPr>
          <w:p>
            <w:pPr>
              <w:spacing w:after="0" w:before="0"/>
              <w:jc w:val="left"/>
            </w:pPr>
            <w:r/>
            <w:r>
              <w:rPr>
                <w:rFonts w:ascii="Calibri" w:hAnsi="Calibri"/>
                <w:b w:val="0"/>
                <w:sz w:val="18"/>
              </w:rPr>
              <w:t>IS-004</w:t>
            </w:r>
          </w:p>
        </w:tc>
        <w:tc>
          <w:tcPr>
            <w:tcW w:type="dxa" w:w="4608"/>
            <w:shd w:val="clear" w:color="auto" w:fill="FFFFFF"/>
          </w:tcPr>
          <w:p>
            <w:pPr>
              <w:spacing w:after="0" w:before="0"/>
              <w:jc w:val="left"/>
            </w:pPr>
            <w:r/>
            <w:r>
              <w:rPr>
                <w:rFonts w:ascii="Calibri" w:hAnsi="Calibri"/>
                <w:b w:val="0"/>
                <w:sz w:val="18"/>
              </w:rPr>
              <w:t>ebitda = operating_income + depreciation_amortization</w:t>
            </w:r>
          </w:p>
        </w:tc>
        <w:tc>
          <w:tcPr>
            <w:tcW w:type="dxa" w:w="1440"/>
            <w:shd w:val="clear" w:color="auto" w:fill="FFFFFF"/>
          </w:tcPr>
          <w:p>
            <w:pPr>
              <w:spacing w:after="0" w:before="0"/>
              <w:jc w:val="left"/>
            </w:pPr>
            <w:r/>
            <w:r>
              <w:rPr>
                <w:rFonts w:ascii="Calibri" w:hAnsi="Calibri"/>
                <w:b w:val="0"/>
                <w:sz w:val="18"/>
              </w:rPr>
              <w:t>1.0%</w:t>
            </w:r>
          </w:p>
        </w:tc>
        <w:tc>
          <w:tcPr>
            <w:tcW w:type="dxa" w:w="1440"/>
            <w:shd w:val="clear" w:color="auto" w:fill="FFFFFF"/>
          </w:tcPr>
          <w:p>
            <w:pPr>
              <w:spacing w:after="0" w:before="0"/>
              <w:jc w:val="left"/>
            </w:pPr>
            <w:r/>
            <w:r>
              <w:rPr>
                <w:rFonts w:ascii="Calibri" w:hAnsi="Calibri"/>
                <w:b w:val="0"/>
                <w:sz w:val="18"/>
              </w:rPr>
              <w:t>ERROR</w:t>
            </w:r>
          </w:p>
        </w:tc>
      </w:tr>
      <w:tr>
        <w:tc>
          <w:tcPr>
            <w:tcW w:type="dxa" w:w="1152"/>
            <w:shd w:val="clear" w:color="auto" w:fill="F2F2F2"/>
          </w:tcPr>
          <w:p>
            <w:pPr>
              <w:spacing w:after="0" w:before="0"/>
              <w:jc w:val="left"/>
            </w:pPr>
            <w:r/>
            <w:r>
              <w:rPr>
                <w:rFonts w:ascii="Calibri" w:hAnsi="Calibri"/>
                <w:b w:val="0"/>
                <w:sz w:val="18"/>
              </w:rPr>
              <w:t>IS-005</w:t>
            </w:r>
          </w:p>
        </w:tc>
        <w:tc>
          <w:tcPr>
            <w:tcW w:type="dxa" w:w="4608"/>
            <w:shd w:val="clear" w:color="auto" w:fill="F2F2F2"/>
          </w:tcPr>
          <w:p>
            <w:pPr>
              <w:spacing w:after="0" w:before="0"/>
              <w:jc w:val="left"/>
            </w:pPr>
            <w:r/>
            <w:r>
              <w:rPr>
                <w:rFonts w:ascii="Calibri" w:hAnsi="Calibri"/>
                <w:b w:val="0"/>
                <w:sz w:val="18"/>
              </w:rPr>
              <w:t>diluted_eps = net_income_attributable_to_parent / diluted_shares</w:t>
            </w:r>
          </w:p>
        </w:tc>
        <w:tc>
          <w:tcPr>
            <w:tcW w:type="dxa" w:w="1440"/>
            <w:shd w:val="clear" w:color="auto" w:fill="F2F2F2"/>
          </w:tcPr>
          <w:p>
            <w:pPr>
              <w:spacing w:after="0" w:before="0"/>
              <w:jc w:val="left"/>
            </w:pPr>
            <w:r/>
            <w:r>
              <w:rPr>
                <w:rFonts w:ascii="Calibri" w:hAnsi="Calibri"/>
                <w:b w:val="0"/>
                <w:sz w:val="18"/>
              </w:rPr>
              <w:t>1.0%</w:t>
            </w:r>
          </w:p>
        </w:tc>
        <w:tc>
          <w:tcPr>
            <w:tcW w:type="dxa" w:w="1440"/>
            <w:shd w:val="clear" w:color="auto" w:fill="F2F2F2"/>
          </w:tcPr>
          <w:p>
            <w:pPr>
              <w:spacing w:after="0" w:before="0"/>
              <w:jc w:val="left"/>
            </w:pPr>
            <w:r/>
            <w:r>
              <w:rPr>
                <w:rFonts w:ascii="Calibri" w:hAnsi="Calibri"/>
                <w:b w:val="0"/>
                <w:sz w:val="18"/>
              </w:rPr>
              <w:t>WARNING</w:t>
            </w:r>
          </w:p>
        </w:tc>
      </w:tr>
    </w:tbl>
    <w:p/>
    <w:p>
      <w:pPr>
        <w:spacing w:after="120" w:before="0"/>
      </w:pPr>
      <w:r>
        <w:rPr>
          <w:rFonts w:ascii="Calibri" w:hAnsi="Calibri"/>
          <w:b/>
          <w:i w:val="0"/>
          <w:sz w:val="20"/>
        </w:rPr>
        <w:t>Balance Sheet Rules</w:t>
      </w:r>
    </w:p>
    <w:tbl>
      <w:tblPr>
        <w:tblStyle w:val="TableGrid"/>
        <w:tblW w:type="auto" w:w="0"/>
        <w:jc w:val="left"/>
        <w:tblLook w:firstColumn="1" w:firstRow="1" w:lastColumn="0" w:lastRow="0" w:noHBand="0" w:noVBand="1" w:val="04A0"/>
      </w:tblPr>
      <w:tblGrid>
        <w:gridCol w:w="2160"/>
        <w:gridCol w:w="2160"/>
        <w:gridCol w:w="2160"/>
        <w:gridCol w:w="2160"/>
      </w:tblGrid>
      <w:tr>
        <w:trPr>
          <w:trHeight w:val="397"/>
        </w:trPr>
        <w:tc>
          <w:tcPr>
            <w:tcW w:type="dxa" w:w="1152"/>
            <w:shd w:val="clear" w:color="auto" w:fill="1F3864"/>
          </w:tcPr>
          <w:p>
            <w:pPr>
              <w:spacing w:after="0" w:before="0"/>
              <w:jc w:val="center"/>
            </w:pPr>
            <w:r/>
            <w:r>
              <w:rPr>
                <w:rFonts w:ascii="Calibri" w:hAnsi="Calibri"/>
                <w:b/>
                <w:color w:val="FFFFFF"/>
                <w:sz w:val="18"/>
              </w:rPr>
              <w:t>Rule ID</w:t>
            </w:r>
          </w:p>
        </w:tc>
        <w:tc>
          <w:tcPr>
            <w:tcW w:type="dxa" w:w="4608"/>
            <w:shd w:val="clear" w:color="auto" w:fill="1F3864"/>
          </w:tcPr>
          <w:p>
            <w:pPr>
              <w:spacing w:after="0" w:before="0"/>
              <w:jc w:val="center"/>
            </w:pPr>
            <w:r/>
            <w:r>
              <w:rPr>
                <w:rFonts w:ascii="Calibri" w:hAnsi="Calibri"/>
                <w:b/>
                <w:color w:val="FFFFFF"/>
                <w:sz w:val="18"/>
              </w:rPr>
              <w:t>Formula Check</w:t>
            </w:r>
          </w:p>
        </w:tc>
        <w:tc>
          <w:tcPr>
            <w:tcW w:type="dxa" w:w="1440"/>
            <w:shd w:val="clear" w:color="auto" w:fill="1F3864"/>
          </w:tcPr>
          <w:p>
            <w:pPr>
              <w:spacing w:after="0" w:before="0"/>
              <w:jc w:val="center"/>
            </w:pPr>
            <w:r/>
            <w:r>
              <w:rPr>
                <w:rFonts w:ascii="Calibri" w:hAnsi="Calibri"/>
                <w:b/>
                <w:color w:val="FFFFFF"/>
                <w:sz w:val="18"/>
              </w:rPr>
              <w:t>Tolerance</w:t>
            </w:r>
          </w:p>
        </w:tc>
        <w:tc>
          <w:tcPr>
            <w:tcW w:type="dxa" w:w="1440"/>
            <w:shd w:val="clear" w:color="auto" w:fill="1F3864"/>
          </w:tcPr>
          <w:p>
            <w:pPr>
              <w:spacing w:after="0" w:before="0"/>
              <w:jc w:val="center"/>
            </w:pPr>
            <w:r/>
            <w:r>
              <w:rPr>
                <w:rFonts w:ascii="Calibri" w:hAnsi="Calibri"/>
                <w:b/>
                <w:color w:val="FFFFFF"/>
                <w:sz w:val="18"/>
              </w:rPr>
              <w:t>Severity</w:t>
            </w:r>
          </w:p>
        </w:tc>
      </w:tr>
      <w:tr>
        <w:tc>
          <w:tcPr>
            <w:tcW w:type="dxa" w:w="1152"/>
            <w:shd w:val="clear" w:color="auto" w:fill="F2F2F2"/>
          </w:tcPr>
          <w:p>
            <w:pPr>
              <w:spacing w:after="0" w:before="0"/>
              <w:jc w:val="left"/>
            </w:pPr>
            <w:r/>
            <w:r>
              <w:rPr>
                <w:rFonts w:ascii="Calibri" w:hAnsi="Calibri"/>
                <w:b w:val="0"/>
                <w:sz w:val="18"/>
              </w:rPr>
              <w:t>BS-001</w:t>
            </w:r>
          </w:p>
        </w:tc>
        <w:tc>
          <w:tcPr>
            <w:tcW w:type="dxa" w:w="4608"/>
            <w:shd w:val="clear" w:color="auto" w:fill="F2F2F2"/>
          </w:tcPr>
          <w:p>
            <w:pPr>
              <w:spacing w:after="0" w:before="0"/>
              <w:jc w:val="left"/>
            </w:pPr>
            <w:r/>
            <w:r>
              <w:rPr>
                <w:rFonts w:ascii="Calibri" w:hAnsi="Calibri"/>
                <w:b w:val="0"/>
                <w:sz w:val="18"/>
              </w:rPr>
              <w:t>total_assets = total_liabilities + total_equity</w:t>
            </w:r>
          </w:p>
        </w:tc>
        <w:tc>
          <w:tcPr>
            <w:tcW w:type="dxa" w:w="1440"/>
            <w:shd w:val="clear" w:color="auto" w:fill="F2F2F2"/>
          </w:tcPr>
          <w:p>
            <w:pPr>
              <w:spacing w:after="0" w:before="0"/>
              <w:jc w:val="left"/>
            </w:pPr>
            <w:r/>
            <w:r>
              <w:rPr>
                <w:rFonts w:ascii="Calibri" w:hAnsi="Calibri"/>
                <w:b w:val="0"/>
                <w:sz w:val="18"/>
              </w:rPr>
              <w:t>0.1%</w:t>
            </w:r>
          </w:p>
        </w:tc>
        <w:tc>
          <w:tcPr>
            <w:tcW w:type="dxa" w:w="1440"/>
            <w:shd w:val="clear" w:color="auto" w:fill="F2F2F2"/>
          </w:tcPr>
          <w:p>
            <w:pPr>
              <w:spacing w:after="0" w:before="0"/>
              <w:jc w:val="left"/>
            </w:pPr>
            <w:r/>
            <w:r>
              <w:rPr>
                <w:rFonts w:ascii="Calibri" w:hAnsi="Calibri"/>
                <w:b w:val="0"/>
                <w:sz w:val="18"/>
              </w:rPr>
              <w:t>CRITICAL</w:t>
            </w:r>
          </w:p>
        </w:tc>
      </w:tr>
      <w:tr>
        <w:tc>
          <w:tcPr>
            <w:tcW w:type="dxa" w:w="1152"/>
            <w:shd w:val="clear" w:color="auto" w:fill="FFFFFF"/>
          </w:tcPr>
          <w:p>
            <w:pPr>
              <w:spacing w:after="0" w:before="0"/>
              <w:jc w:val="left"/>
            </w:pPr>
            <w:r/>
            <w:r>
              <w:rPr>
                <w:rFonts w:ascii="Calibri" w:hAnsi="Calibri"/>
                <w:b w:val="0"/>
                <w:sz w:val="18"/>
              </w:rPr>
              <w:t>BS-002</w:t>
            </w:r>
          </w:p>
        </w:tc>
        <w:tc>
          <w:tcPr>
            <w:tcW w:type="dxa" w:w="4608"/>
            <w:shd w:val="clear" w:color="auto" w:fill="FFFFFF"/>
          </w:tcPr>
          <w:p>
            <w:pPr>
              <w:spacing w:after="0" w:before="0"/>
              <w:jc w:val="left"/>
            </w:pPr>
            <w:r/>
            <w:r>
              <w:rPr>
                <w:rFonts w:ascii="Calibri" w:hAnsi="Calibri"/>
                <w:b w:val="0"/>
                <w:sz w:val="18"/>
              </w:rPr>
              <w:t>total_current_assets &lt;= total_assets</w:t>
            </w:r>
          </w:p>
        </w:tc>
        <w:tc>
          <w:tcPr>
            <w:tcW w:type="dxa" w:w="1440"/>
            <w:shd w:val="clear" w:color="auto" w:fill="FFFFFF"/>
          </w:tcPr>
          <w:p>
            <w:pPr>
              <w:spacing w:after="0" w:before="0"/>
              <w:jc w:val="left"/>
            </w:pPr>
            <w:r/>
            <w:r>
              <w:rPr>
                <w:rFonts w:ascii="Calibri" w:hAnsi="Calibri"/>
                <w:b w:val="0"/>
                <w:sz w:val="18"/>
              </w:rPr>
              <w:t>N/A</w:t>
            </w:r>
          </w:p>
        </w:tc>
        <w:tc>
          <w:tcPr>
            <w:tcW w:type="dxa" w:w="1440"/>
            <w:shd w:val="clear" w:color="auto" w:fill="FFFFFF"/>
          </w:tcPr>
          <w:p>
            <w:pPr>
              <w:spacing w:after="0" w:before="0"/>
              <w:jc w:val="left"/>
            </w:pPr>
            <w:r/>
            <w:r>
              <w:rPr>
                <w:rFonts w:ascii="Calibri" w:hAnsi="Calibri"/>
                <w:b w:val="0"/>
                <w:sz w:val="18"/>
              </w:rPr>
              <w:t>CRITICAL</w:t>
            </w:r>
          </w:p>
        </w:tc>
      </w:tr>
      <w:tr>
        <w:tc>
          <w:tcPr>
            <w:tcW w:type="dxa" w:w="1152"/>
            <w:shd w:val="clear" w:color="auto" w:fill="F2F2F2"/>
          </w:tcPr>
          <w:p>
            <w:pPr>
              <w:spacing w:after="0" w:before="0"/>
              <w:jc w:val="left"/>
            </w:pPr>
            <w:r/>
            <w:r>
              <w:rPr>
                <w:rFonts w:ascii="Calibri" w:hAnsi="Calibri"/>
                <w:b w:val="0"/>
                <w:sz w:val="18"/>
              </w:rPr>
              <w:t>BS-003</w:t>
            </w:r>
          </w:p>
        </w:tc>
        <w:tc>
          <w:tcPr>
            <w:tcW w:type="dxa" w:w="4608"/>
            <w:shd w:val="clear" w:color="auto" w:fill="F2F2F2"/>
          </w:tcPr>
          <w:p>
            <w:pPr>
              <w:spacing w:after="0" w:before="0"/>
              <w:jc w:val="left"/>
            </w:pPr>
            <w:r/>
            <w:r>
              <w:rPr>
                <w:rFonts w:ascii="Calibri" w:hAnsi="Calibri"/>
                <w:b w:val="0"/>
                <w:sz w:val="18"/>
              </w:rPr>
              <w:t>total_current_liabilities &lt;= total_liabilities</w:t>
            </w:r>
          </w:p>
        </w:tc>
        <w:tc>
          <w:tcPr>
            <w:tcW w:type="dxa" w:w="1440"/>
            <w:shd w:val="clear" w:color="auto" w:fill="F2F2F2"/>
          </w:tcPr>
          <w:p>
            <w:pPr>
              <w:spacing w:after="0" w:before="0"/>
              <w:jc w:val="left"/>
            </w:pPr>
            <w:r/>
            <w:r>
              <w:rPr>
                <w:rFonts w:ascii="Calibri" w:hAnsi="Calibri"/>
                <w:b w:val="0"/>
                <w:sz w:val="18"/>
              </w:rPr>
              <w:t>N/A</w:t>
            </w:r>
          </w:p>
        </w:tc>
        <w:tc>
          <w:tcPr>
            <w:tcW w:type="dxa" w:w="1440"/>
            <w:shd w:val="clear" w:color="auto" w:fill="F2F2F2"/>
          </w:tcPr>
          <w:p>
            <w:pPr>
              <w:spacing w:after="0" w:before="0"/>
              <w:jc w:val="left"/>
            </w:pPr>
            <w:r/>
            <w:r>
              <w:rPr>
                <w:rFonts w:ascii="Calibri" w:hAnsi="Calibri"/>
                <w:b w:val="0"/>
                <w:sz w:val="18"/>
              </w:rPr>
              <w:t>CRITICAL</w:t>
            </w:r>
          </w:p>
        </w:tc>
      </w:tr>
      <w:tr>
        <w:tc>
          <w:tcPr>
            <w:tcW w:type="dxa" w:w="1152"/>
            <w:shd w:val="clear" w:color="auto" w:fill="FFFFFF"/>
          </w:tcPr>
          <w:p>
            <w:pPr>
              <w:spacing w:after="0" w:before="0"/>
              <w:jc w:val="left"/>
            </w:pPr>
            <w:r/>
            <w:r>
              <w:rPr>
                <w:rFonts w:ascii="Calibri" w:hAnsi="Calibri"/>
                <w:b w:val="0"/>
                <w:sz w:val="18"/>
              </w:rPr>
              <w:t>BS-004</w:t>
            </w:r>
          </w:p>
        </w:tc>
        <w:tc>
          <w:tcPr>
            <w:tcW w:type="dxa" w:w="4608"/>
            <w:shd w:val="clear" w:color="auto" w:fill="FFFFFF"/>
          </w:tcPr>
          <w:p>
            <w:pPr>
              <w:spacing w:after="0" w:before="0"/>
              <w:jc w:val="left"/>
            </w:pPr>
            <w:r/>
            <w:r>
              <w:rPr>
                <w:rFonts w:ascii="Calibri" w:hAnsi="Calibri"/>
                <w:b w:val="0"/>
                <w:sz w:val="18"/>
              </w:rPr>
              <w:t>retained_earnings change = prior + net_income - dividends_paid</w:t>
            </w:r>
          </w:p>
        </w:tc>
        <w:tc>
          <w:tcPr>
            <w:tcW w:type="dxa" w:w="1440"/>
            <w:shd w:val="clear" w:color="auto" w:fill="FFFFFF"/>
          </w:tcPr>
          <w:p>
            <w:pPr>
              <w:spacing w:after="0" w:before="0"/>
              <w:jc w:val="left"/>
            </w:pPr>
            <w:r/>
            <w:r>
              <w:rPr>
                <w:rFonts w:ascii="Calibri" w:hAnsi="Calibri"/>
                <w:b w:val="0"/>
                <w:sz w:val="18"/>
              </w:rPr>
              <w:t>1.0%</w:t>
            </w:r>
          </w:p>
        </w:tc>
        <w:tc>
          <w:tcPr>
            <w:tcW w:type="dxa" w:w="1440"/>
            <w:shd w:val="clear" w:color="auto" w:fill="FFFFFF"/>
          </w:tcPr>
          <w:p>
            <w:pPr>
              <w:spacing w:after="0" w:before="0"/>
              <w:jc w:val="left"/>
            </w:pPr>
            <w:r/>
            <w:r>
              <w:rPr>
                <w:rFonts w:ascii="Calibri" w:hAnsi="Calibri"/>
                <w:b w:val="0"/>
                <w:sz w:val="18"/>
              </w:rPr>
              <w:t>WARNING</w:t>
            </w:r>
          </w:p>
        </w:tc>
      </w:tr>
      <w:tr>
        <w:tc>
          <w:tcPr>
            <w:tcW w:type="dxa" w:w="1152"/>
            <w:shd w:val="clear" w:color="auto" w:fill="F2F2F2"/>
          </w:tcPr>
          <w:p>
            <w:pPr>
              <w:spacing w:after="0" w:before="0"/>
              <w:jc w:val="left"/>
            </w:pPr>
            <w:r/>
            <w:r>
              <w:rPr>
                <w:rFonts w:ascii="Calibri" w:hAnsi="Calibri"/>
                <w:b w:val="0"/>
                <w:sz w:val="18"/>
              </w:rPr>
              <w:t>BS-005</w:t>
            </w:r>
          </w:p>
        </w:tc>
        <w:tc>
          <w:tcPr>
            <w:tcW w:type="dxa" w:w="4608"/>
            <w:shd w:val="clear" w:color="auto" w:fill="F2F2F2"/>
          </w:tcPr>
          <w:p>
            <w:pPr>
              <w:spacing w:after="0" w:before="0"/>
              <w:jc w:val="left"/>
            </w:pPr>
            <w:r/>
            <w:r>
              <w:rPr>
                <w:rFonts w:ascii="Calibri" w:hAnsi="Calibri"/>
                <w:b w:val="0"/>
                <w:sz w:val="18"/>
              </w:rPr>
              <w:t>total_liabilities_and_equity = total_assets (cross-check)</w:t>
            </w:r>
          </w:p>
        </w:tc>
        <w:tc>
          <w:tcPr>
            <w:tcW w:type="dxa" w:w="1440"/>
            <w:shd w:val="clear" w:color="auto" w:fill="F2F2F2"/>
          </w:tcPr>
          <w:p>
            <w:pPr>
              <w:spacing w:after="0" w:before="0"/>
              <w:jc w:val="left"/>
            </w:pPr>
            <w:r/>
            <w:r>
              <w:rPr>
                <w:rFonts w:ascii="Calibri" w:hAnsi="Calibri"/>
                <w:b w:val="0"/>
                <w:sz w:val="18"/>
              </w:rPr>
              <w:t>0.1%</w:t>
            </w:r>
          </w:p>
        </w:tc>
        <w:tc>
          <w:tcPr>
            <w:tcW w:type="dxa" w:w="1440"/>
            <w:shd w:val="clear" w:color="auto" w:fill="F2F2F2"/>
          </w:tcPr>
          <w:p>
            <w:pPr>
              <w:spacing w:after="0" w:before="0"/>
              <w:jc w:val="left"/>
            </w:pPr>
            <w:r/>
            <w:r>
              <w:rPr>
                <w:rFonts w:ascii="Calibri" w:hAnsi="Calibri"/>
                <w:b w:val="0"/>
                <w:sz w:val="18"/>
              </w:rPr>
              <w:t>CRITICAL</w:t>
            </w:r>
          </w:p>
        </w:tc>
      </w:tr>
    </w:tbl>
    <w:p/>
    <w:p>
      <w:pPr>
        <w:spacing w:after="120" w:before="0"/>
      </w:pPr>
      <w:r>
        <w:rPr>
          <w:rFonts w:ascii="Calibri" w:hAnsi="Calibri"/>
          <w:b/>
          <w:i w:val="0"/>
          <w:sz w:val="20"/>
        </w:rPr>
        <w:t>Cash Flow Rules</w:t>
      </w:r>
    </w:p>
    <w:tbl>
      <w:tblPr>
        <w:tblStyle w:val="TableGrid"/>
        <w:tblW w:type="auto" w:w="0"/>
        <w:jc w:val="left"/>
        <w:tblLook w:firstColumn="1" w:firstRow="1" w:lastColumn="0" w:lastRow="0" w:noHBand="0" w:noVBand="1" w:val="04A0"/>
      </w:tblPr>
      <w:tblGrid>
        <w:gridCol w:w="2160"/>
        <w:gridCol w:w="2160"/>
        <w:gridCol w:w="2160"/>
        <w:gridCol w:w="2160"/>
      </w:tblGrid>
      <w:tr>
        <w:trPr>
          <w:trHeight w:val="397"/>
        </w:trPr>
        <w:tc>
          <w:tcPr>
            <w:tcW w:type="dxa" w:w="1152"/>
            <w:shd w:val="clear" w:color="auto" w:fill="1F3864"/>
          </w:tcPr>
          <w:p>
            <w:pPr>
              <w:spacing w:after="0" w:before="0"/>
              <w:jc w:val="center"/>
            </w:pPr>
            <w:r/>
            <w:r>
              <w:rPr>
                <w:rFonts w:ascii="Calibri" w:hAnsi="Calibri"/>
                <w:b/>
                <w:color w:val="FFFFFF"/>
                <w:sz w:val="18"/>
              </w:rPr>
              <w:t>Rule ID</w:t>
            </w:r>
          </w:p>
        </w:tc>
        <w:tc>
          <w:tcPr>
            <w:tcW w:type="dxa" w:w="4608"/>
            <w:shd w:val="clear" w:color="auto" w:fill="1F3864"/>
          </w:tcPr>
          <w:p>
            <w:pPr>
              <w:spacing w:after="0" w:before="0"/>
              <w:jc w:val="center"/>
            </w:pPr>
            <w:r/>
            <w:r>
              <w:rPr>
                <w:rFonts w:ascii="Calibri" w:hAnsi="Calibri"/>
                <w:b/>
                <w:color w:val="FFFFFF"/>
                <w:sz w:val="18"/>
              </w:rPr>
              <w:t>Formula Check</w:t>
            </w:r>
          </w:p>
        </w:tc>
        <w:tc>
          <w:tcPr>
            <w:tcW w:type="dxa" w:w="1440"/>
            <w:shd w:val="clear" w:color="auto" w:fill="1F3864"/>
          </w:tcPr>
          <w:p>
            <w:pPr>
              <w:spacing w:after="0" w:before="0"/>
              <w:jc w:val="center"/>
            </w:pPr>
            <w:r/>
            <w:r>
              <w:rPr>
                <w:rFonts w:ascii="Calibri" w:hAnsi="Calibri"/>
                <w:b/>
                <w:color w:val="FFFFFF"/>
                <w:sz w:val="18"/>
              </w:rPr>
              <w:t>Tolerance</w:t>
            </w:r>
          </w:p>
        </w:tc>
        <w:tc>
          <w:tcPr>
            <w:tcW w:type="dxa" w:w="1440"/>
            <w:shd w:val="clear" w:color="auto" w:fill="1F3864"/>
          </w:tcPr>
          <w:p>
            <w:pPr>
              <w:spacing w:after="0" w:before="0"/>
              <w:jc w:val="center"/>
            </w:pPr>
            <w:r/>
            <w:r>
              <w:rPr>
                <w:rFonts w:ascii="Calibri" w:hAnsi="Calibri"/>
                <w:b/>
                <w:color w:val="FFFFFF"/>
                <w:sz w:val="18"/>
              </w:rPr>
              <w:t>Severity</w:t>
            </w:r>
          </w:p>
        </w:tc>
      </w:tr>
      <w:tr>
        <w:tc>
          <w:tcPr>
            <w:tcW w:type="dxa" w:w="1152"/>
            <w:shd w:val="clear" w:color="auto" w:fill="F2F2F2"/>
          </w:tcPr>
          <w:p>
            <w:pPr>
              <w:spacing w:after="0" w:before="0"/>
              <w:jc w:val="left"/>
            </w:pPr>
            <w:r/>
            <w:r>
              <w:rPr>
                <w:rFonts w:ascii="Calibri" w:hAnsi="Calibri"/>
                <w:b w:val="0"/>
                <w:sz w:val="18"/>
              </w:rPr>
              <w:t>CF-001</w:t>
            </w:r>
          </w:p>
        </w:tc>
        <w:tc>
          <w:tcPr>
            <w:tcW w:type="dxa" w:w="4608"/>
            <w:shd w:val="clear" w:color="auto" w:fill="F2F2F2"/>
          </w:tcPr>
          <w:p>
            <w:pPr>
              <w:spacing w:after="0" w:before="0"/>
              <w:jc w:val="left"/>
            </w:pPr>
            <w:r/>
            <w:r>
              <w:rPr>
                <w:rFonts w:ascii="Calibri" w:hAnsi="Calibri"/>
                <w:b w:val="0"/>
                <w:sz w:val="18"/>
              </w:rPr>
              <w:t>operations + investing + financing + fx_effect = net_change_in_cash</w:t>
            </w:r>
          </w:p>
        </w:tc>
        <w:tc>
          <w:tcPr>
            <w:tcW w:type="dxa" w:w="1440"/>
            <w:shd w:val="clear" w:color="auto" w:fill="F2F2F2"/>
          </w:tcPr>
          <w:p>
            <w:pPr>
              <w:spacing w:after="0" w:before="0"/>
              <w:jc w:val="left"/>
            </w:pPr>
            <w:r/>
            <w:r>
              <w:rPr>
                <w:rFonts w:ascii="Calibri" w:hAnsi="Calibri"/>
                <w:b w:val="0"/>
                <w:sz w:val="18"/>
              </w:rPr>
              <w:t>0.5%</w:t>
            </w:r>
          </w:p>
        </w:tc>
        <w:tc>
          <w:tcPr>
            <w:tcW w:type="dxa" w:w="1440"/>
            <w:shd w:val="clear" w:color="auto" w:fill="F2F2F2"/>
          </w:tcPr>
          <w:p>
            <w:pPr>
              <w:spacing w:after="0" w:before="0"/>
              <w:jc w:val="left"/>
            </w:pPr>
            <w:r/>
            <w:r>
              <w:rPr>
                <w:rFonts w:ascii="Calibri" w:hAnsi="Calibri"/>
                <w:b w:val="0"/>
                <w:sz w:val="18"/>
              </w:rPr>
              <w:t>CRITICAL</w:t>
            </w:r>
          </w:p>
        </w:tc>
      </w:tr>
      <w:tr>
        <w:tc>
          <w:tcPr>
            <w:tcW w:type="dxa" w:w="1152"/>
            <w:shd w:val="clear" w:color="auto" w:fill="FFFFFF"/>
          </w:tcPr>
          <w:p>
            <w:pPr>
              <w:spacing w:after="0" w:before="0"/>
              <w:jc w:val="left"/>
            </w:pPr>
            <w:r/>
            <w:r>
              <w:rPr>
                <w:rFonts w:ascii="Calibri" w:hAnsi="Calibri"/>
                <w:b w:val="0"/>
                <w:sz w:val="18"/>
              </w:rPr>
              <w:t>CF-002</w:t>
            </w:r>
          </w:p>
        </w:tc>
        <w:tc>
          <w:tcPr>
            <w:tcW w:type="dxa" w:w="4608"/>
            <w:shd w:val="clear" w:color="auto" w:fill="FFFFFF"/>
          </w:tcPr>
          <w:p>
            <w:pPr>
              <w:spacing w:after="0" w:before="0"/>
              <w:jc w:val="left"/>
            </w:pPr>
            <w:r/>
            <w:r>
              <w:rPr>
                <w:rFonts w:ascii="Calibri" w:hAnsi="Calibri"/>
                <w:b w:val="0"/>
                <w:sz w:val="18"/>
              </w:rPr>
              <w:t>free_cash_flow = net_cash_from_operations + capital_expenditures</w:t>
            </w:r>
          </w:p>
        </w:tc>
        <w:tc>
          <w:tcPr>
            <w:tcW w:type="dxa" w:w="1440"/>
            <w:shd w:val="clear" w:color="auto" w:fill="FFFFFF"/>
          </w:tcPr>
          <w:p>
            <w:pPr>
              <w:spacing w:after="0" w:before="0"/>
              <w:jc w:val="left"/>
            </w:pPr>
            <w:r/>
            <w:r>
              <w:rPr>
                <w:rFonts w:ascii="Calibri" w:hAnsi="Calibri"/>
                <w:b w:val="0"/>
                <w:sz w:val="18"/>
              </w:rPr>
              <w:t>0.1%</w:t>
            </w:r>
          </w:p>
        </w:tc>
        <w:tc>
          <w:tcPr>
            <w:tcW w:type="dxa" w:w="1440"/>
            <w:shd w:val="clear" w:color="auto" w:fill="FFFFFF"/>
          </w:tcPr>
          <w:p>
            <w:pPr>
              <w:spacing w:after="0" w:before="0"/>
              <w:jc w:val="left"/>
            </w:pPr>
            <w:r/>
            <w:r>
              <w:rPr>
                <w:rFonts w:ascii="Calibri" w:hAnsi="Calibri"/>
                <w:b w:val="0"/>
                <w:sz w:val="18"/>
              </w:rPr>
              <w:t>CRITICAL</w:t>
            </w:r>
          </w:p>
        </w:tc>
      </w:tr>
      <w:tr>
        <w:tc>
          <w:tcPr>
            <w:tcW w:type="dxa" w:w="1152"/>
            <w:shd w:val="clear" w:color="auto" w:fill="F2F2F2"/>
          </w:tcPr>
          <w:p>
            <w:pPr>
              <w:spacing w:after="0" w:before="0"/>
              <w:jc w:val="left"/>
            </w:pPr>
            <w:r/>
            <w:r>
              <w:rPr>
                <w:rFonts w:ascii="Calibri" w:hAnsi="Calibri"/>
                <w:b w:val="0"/>
                <w:sz w:val="18"/>
              </w:rPr>
              <w:t>CF-003</w:t>
            </w:r>
          </w:p>
        </w:tc>
        <w:tc>
          <w:tcPr>
            <w:tcW w:type="dxa" w:w="4608"/>
            <w:shd w:val="clear" w:color="auto" w:fill="F2F2F2"/>
          </w:tcPr>
          <w:p>
            <w:pPr>
              <w:spacing w:after="0" w:before="0"/>
              <w:jc w:val="left"/>
            </w:pPr>
            <w:r/>
            <w:r>
              <w:rPr>
                <w:rFonts w:ascii="Calibri" w:hAnsi="Calibri"/>
                <w:b w:val="0"/>
                <w:sz w:val="18"/>
              </w:rPr>
              <w:t>net_income_cf approximately equals net_income (IS)</w:t>
            </w:r>
          </w:p>
        </w:tc>
        <w:tc>
          <w:tcPr>
            <w:tcW w:type="dxa" w:w="1440"/>
            <w:shd w:val="clear" w:color="auto" w:fill="F2F2F2"/>
          </w:tcPr>
          <w:p>
            <w:pPr>
              <w:spacing w:after="0" w:before="0"/>
              <w:jc w:val="left"/>
            </w:pPr>
            <w:r/>
            <w:r>
              <w:rPr>
                <w:rFonts w:ascii="Calibri" w:hAnsi="Calibri"/>
                <w:b w:val="0"/>
                <w:sz w:val="18"/>
              </w:rPr>
              <w:t>2.0%</w:t>
            </w:r>
          </w:p>
        </w:tc>
        <w:tc>
          <w:tcPr>
            <w:tcW w:type="dxa" w:w="1440"/>
            <w:shd w:val="clear" w:color="auto" w:fill="F2F2F2"/>
          </w:tcPr>
          <w:p>
            <w:pPr>
              <w:spacing w:after="0" w:before="0"/>
              <w:jc w:val="left"/>
            </w:pPr>
            <w:r/>
            <w:r>
              <w:rPr>
                <w:rFonts w:ascii="Calibri" w:hAnsi="Calibri"/>
                <w:b w:val="0"/>
                <w:sz w:val="18"/>
              </w:rPr>
              <w:t>WARNING</w:t>
            </w:r>
          </w:p>
        </w:tc>
      </w:tr>
    </w:tbl>
    <w:p/>
    <w:p>
      <w:pPr>
        <w:spacing w:after="120" w:before="0"/>
      </w:pPr>
      <w:r>
        <w:rPr>
          <w:rFonts w:ascii="Calibri" w:hAnsi="Calibri"/>
          <w:b/>
          <w:i w:val="0"/>
          <w:sz w:val="20"/>
        </w:rPr>
        <w:t>Trend Validation Rules</w:t>
      </w:r>
    </w:p>
    <w:tbl>
      <w:tblPr>
        <w:tblStyle w:val="TableGrid"/>
        <w:tblW w:type="auto" w:w="0"/>
        <w:jc w:val="left"/>
        <w:tblLook w:firstColumn="1" w:firstRow="1" w:lastColumn="0" w:lastRow="0" w:noHBand="0" w:noVBand="1" w:val="04A0"/>
      </w:tblPr>
      <w:tblGrid>
        <w:gridCol w:w="2880"/>
        <w:gridCol w:w="2880"/>
        <w:gridCol w:w="2880"/>
      </w:tblGrid>
      <w:tr>
        <w:trPr>
          <w:trHeight w:val="397"/>
        </w:trPr>
        <w:tc>
          <w:tcPr>
            <w:tcW w:type="dxa" w:w="1152"/>
            <w:shd w:val="clear" w:color="auto" w:fill="1F3864"/>
          </w:tcPr>
          <w:p>
            <w:pPr>
              <w:spacing w:after="0" w:before="0"/>
              <w:jc w:val="center"/>
            </w:pPr>
            <w:r/>
            <w:r>
              <w:rPr>
                <w:rFonts w:ascii="Calibri" w:hAnsi="Calibri"/>
                <w:b/>
                <w:color w:val="FFFFFF"/>
                <w:sz w:val="18"/>
              </w:rPr>
              <w:t>Rule ID</w:t>
            </w:r>
          </w:p>
        </w:tc>
        <w:tc>
          <w:tcPr>
            <w:tcW w:type="dxa" w:w="6048"/>
            <w:shd w:val="clear" w:color="auto" w:fill="1F3864"/>
          </w:tcPr>
          <w:p>
            <w:pPr>
              <w:spacing w:after="0" w:before="0"/>
              <w:jc w:val="center"/>
            </w:pPr>
            <w:r/>
            <w:r>
              <w:rPr>
                <w:rFonts w:ascii="Calibri" w:hAnsi="Calibri"/>
                <w:b/>
                <w:color w:val="FFFFFF"/>
                <w:sz w:val="18"/>
              </w:rPr>
              <w:t>Check</w:t>
            </w:r>
          </w:p>
        </w:tc>
        <w:tc>
          <w:tcPr>
            <w:tcW w:type="dxa" w:w="1440"/>
            <w:shd w:val="clear" w:color="auto" w:fill="1F3864"/>
          </w:tcPr>
          <w:p>
            <w:pPr>
              <w:spacing w:after="0" w:before="0"/>
              <w:jc w:val="center"/>
            </w:pPr>
            <w:r/>
            <w:r>
              <w:rPr>
                <w:rFonts w:ascii="Calibri" w:hAnsi="Calibri"/>
                <w:b/>
                <w:color w:val="FFFFFF"/>
                <w:sz w:val="18"/>
              </w:rPr>
              <w:t>Severity</w:t>
            </w:r>
          </w:p>
        </w:tc>
      </w:tr>
      <w:tr>
        <w:tc>
          <w:tcPr>
            <w:tcW w:type="dxa" w:w="1152"/>
            <w:shd w:val="clear" w:color="auto" w:fill="F2F2F2"/>
          </w:tcPr>
          <w:p>
            <w:pPr>
              <w:spacing w:after="0" w:before="0"/>
              <w:jc w:val="left"/>
            </w:pPr>
            <w:r/>
            <w:r>
              <w:rPr>
                <w:rFonts w:ascii="Calibri" w:hAnsi="Calibri"/>
                <w:b w:val="0"/>
                <w:sz w:val="18"/>
              </w:rPr>
              <w:t>TR-001</w:t>
            </w:r>
          </w:p>
        </w:tc>
        <w:tc>
          <w:tcPr>
            <w:tcW w:type="dxa" w:w="6048"/>
            <w:shd w:val="clear" w:color="auto" w:fill="F2F2F2"/>
          </w:tcPr>
          <w:p>
            <w:pPr>
              <w:spacing w:after="0" w:before="0"/>
              <w:jc w:val="left"/>
            </w:pPr>
            <w:r/>
            <w:r>
              <w:rPr>
                <w:rFonts w:ascii="Calibri" w:hAnsi="Calibri"/>
                <w:b w:val="0"/>
                <w:sz w:val="18"/>
              </w:rPr>
              <w:t>Flag any single metric with YoY change &gt; 500%</w:t>
            </w:r>
          </w:p>
        </w:tc>
        <w:tc>
          <w:tcPr>
            <w:tcW w:type="dxa" w:w="1440"/>
            <w:shd w:val="clear" w:color="auto" w:fill="F2F2F2"/>
          </w:tcPr>
          <w:p>
            <w:pPr>
              <w:spacing w:after="0" w:before="0"/>
              <w:jc w:val="left"/>
            </w:pPr>
            <w:r/>
            <w:r>
              <w:rPr>
                <w:rFonts w:ascii="Calibri" w:hAnsi="Calibri"/>
                <w:b w:val="0"/>
                <w:sz w:val="18"/>
              </w:rPr>
              <w:t>WARNING</w:t>
            </w:r>
          </w:p>
        </w:tc>
      </w:tr>
      <w:tr>
        <w:tc>
          <w:tcPr>
            <w:tcW w:type="dxa" w:w="1152"/>
            <w:shd w:val="clear" w:color="auto" w:fill="FFFFFF"/>
          </w:tcPr>
          <w:p>
            <w:pPr>
              <w:spacing w:after="0" w:before="0"/>
              <w:jc w:val="left"/>
            </w:pPr>
            <w:r/>
            <w:r>
              <w:rPr>
                <w:rFonts w:ascii="Calibri" w:hAnsi="Calibri"/>
                <w:b w:val="0"/>
                <w:sz w:val="18"/>
              </w:rPr>
              <w:t>TR-002</w:t>
            </w:r>
          </w:p>
        </w:tc>
        <w:tc>
          <w:tcPr>
            <w:tcW w:type="dxa" w:w="6048"/>
            <w:shd w:val="clear" w:color="auto" w:fill="FFFFFF"/>
          </w:tcPr>
          <w:p>
            <w:pPr>
              <w:spacing w:after="0" w:before="0"/>
              <w:jc w:val="left"/>
            </w:pPr>
            <w:r/>
            <w:r>
              <w:rPr>
                <w:rFonts w:ascii="Calibri" w:hAnsi="Calibri"/>
                <w:b w:val="0"/>
                <w:sz w:val="18"/>
              </w:rPr>
              <w:t>Flag revenue declining more than 80% YoY</w:t>
            </w:r>
          </w:p>
        </w:tc>
        <w:tc>
          <w:tcPr>
            <w:tcW w:type="dxa" w:w="1440"/>
            <w:shd w:val="clear" w:color="auto" w:fill="FFFFFF"/>
          </w:tcPr>
          <w:p>
            <w:pPr>
              <w:spacing w:after="0" w:before="0"/>
              <w:jc w:val="left"/>
            </w:pPr>
            <w:r/>
            <w:r>
              <w:rPr>
                <w:rFonts w:ascii="Calibri" w:hAnsi="Calibri"/>
                <w:b w:val="0"/>
                <w:sz w:val="18"/>
              </w:rPr>
              <w:t>WARNING</w:t>
            </w:r>
          </w:p>
        </w:tc>
      </w:tr>
      <w:tr>
        <w:tc>
          <w:tcPr>
            <w:tcW w:type="dxa" w:w="1152"/>
            <w:shd w:val="clear" w:color="auto" w:fill="F2F2F2"/>
          </w:tcPr>
          <w:p>
            <w:pPr>
              <w:spacing w:after="0" w:before="0"/>
              <w:jc w:val="left"/>
            </w:pPr>
            <w:r/>
            <w:r>
              <w:rPr>
                <w:rFonts w:ascii="Calibri" w:hAnsi="Calibri"/>
                <w:b w:val="0"/>
                <w:sz w:val="18"/>
              </w:rPr>
              <w:t>TR-003</w:t>
            </w:r>
          </w:p>
        </w:tc>
        <w:tc>
          <w:tcPr>
            <w:tcW w:type="dxa" w:w="6048"/>
            <w:shd w:val="clear" w:color="auto" w:fill="F2F2F2"/>
          </w:tcPr>
          <w:p>
            <w:pPr>
              <w:spacing w:after="0" w:before="0"/>
              <w:jc w:val="left"/>
            </w:pPr>
            <w:r/>
            <w:r>
              <w:rPr>
                <w:rFonts w:ascii="Calibri" w:hAnsi="Calibri"/>
                <w:b w:val="0"/>
                <w:sz w:val="18"/>
              </w:rPr>
              <w:t>Flag total_assets changing more than 300% YoY</w:t>
            </w:r>
          </w:p>
        </w:tc>
        <w:tc>
          <w:tcPr>
            <w:tcW w:type="dxa" w:w="1440"/>
            <w:shd w:val="clear" w:color="auto" w:fill="F2F2F2"/>
          </w:tcPr>
          <w:p>
            <w:pPr>
              <w:spacing w:after="0" w:before="0"/>
              <w:jc w:val="left"/>
            </w:pPr>
            <w:r/>
            <w:r>
              <w:rPr>
                <w:rFonts w:ascii="Calibri" w:hAnsi="Calibri"/>
                <w:b w:val="0"/>
                <w:sz w:val="18"/>
              </w:rPr>
              <w:t>WARNING</w:t>
            </w:r>
          </w:p>
        </w:tc>
      </w:tr>
      <w:tr>
        <w:tc>
          <w:tcPr>
            <w:tcW w:type="dxa" w:w="1152"/>
            <w:shd w:val="clear" w:color="auto" w:fill="FFFFFF"/>
          </w:tcPr>
          <w:p>
            <w:pPr>
              <w:spacing w:after="0" w:before="0"/>
              <w:jc w:val="left"/>
            </w:pPr>
            <w:r/>
            <w:r>
              <w:rPr>
                <w:rFonts w:ascii="Calibri" w:hAnsi="Calibri"/>
                <w:b w:val="0"/>
                <w:sz w:val="18"/>
              </w:rPr>
              <w:t>TR-004</w:t>
            </w:r>
          </w:p>
        </w:tc>
        <w:tc>
          <w:tcPr>
            <w:tcW w:type="dxa" w:w="6048"/>
            <w:shd w:val="clear" w:color="auto" w:fill="FFFFFF"/>
          </w:tcPr>
          <w:p>
            <w:pPr>
              <w:spacing w:after="0" w:before="0"/>
              <w:jc w:val="left"/>
            </w:pPr>
            <w:r/>
            <w:r>
              <w:rPr>
                <w:rFonts w:ascii="Calibri" w:hAnsi="Calibri"/>
                <w:b w:val="0"/>
                <w:sz w:val="18"/>
              </w:rPr>
              <w:t>Flag negative total_equity (legitimate but unusual)</w:t>
            </w:r>
          </w:p>
        </w:tc>
        <w:tc>
          <w:tcPr>
            <w:tcW w:type="dxa" w:w="1440"/>
            <w:shd w:val="clear" w:color="auto" w:fill="FFFFFF"/>
          </w:tcPr>
          <w:p>
            <w:pPr>
              <w:spacing w:after="0" w:before="0"/>
              <w:jc w:val="left"/>
            </w:pPr>
            <w:r/>
            <w:r>
              <w:rPr>
                <w:rFonts w:ascii="Calibri" w:hAnsi="Calibri"/>
                <w:b w:val="0"/>
                <w:sz w:val="18"/>
              </w:rPr>
              <w:t>INFO</w:t>
            </w:r>
          </w:p>
        </w:tc>
      </w:tr>
    </w:tbl>
    <w:p/>
    <w:p>
      <w:pPr>
        <w:spacing w:after="120" w:before="0"/>
      </w:pPr>
      <w:r>
        <w:rPr>
          <w:rFonts w:ascii="Calibri" w:hAnsi="Calibri"/>
          <w:b/>
          <w:i w:val="0"/>
          <w:sz w:val="20"/>
        </w:rPr>
        <w:t>Cross-Source Validation</w:t>
      </w:r>
    </w:p>
    <w:tbl>
      <w:tblPr>
        <w:tblStyle w:val="TableGrid"/>
        <w:tblW w:type="auto" w:w="0"/>
        <w:jc w:val="left"/>
        <w:tblLook w:firstColumn="1" w:firstRow="1" w:lastColumn="0" w:lastRow="0" w:noHBand="0" w:noVBand="1" w:val="04A0"/>
      </w:tblPr>
      <w:tblGrid>
        <w:gridCol w:w="4320"/>
        <w:gridCol w:w="4320"/>
      </w:tblGrid>
      <w:tr>
        <w:trPr>
          <w:trHeight w:val="397"/>
        </w:trPr>
        <w:tc>
          <w:tcPr>
            <w:tcW w:type="dxa" w:w="2880"/>
            <w:shd w:val="clear" w:color="auto" w:fill="1F3864"/>
          </w:tcPr>
          <w:p>
            <w:pPr>
              <w:spacing w:after="0" w:before="0"/>
              <w:jc w:val="center"/>
            </w:pPr>
            <w:r/>
            <w:r>
              <w:rPr>
                <w:rFonts w:ascii="Calibri" w:hAnsi="Calibri"/>
                <w:b/>
                <w:color w:val="FFFFFF"/>
                <w:sz w:val="18"/>
              </w:rPr>
              <w:t>Deviation Between Sources</w:t>
            </w:r>
          </w:p>
        </w:tc>
        <w:tc>
          <w:tcPr>
            <w:tcW w:type="dxa" w:w="5760"/>
            <w:shd w:val="clear" w:color="auto" w:fill="1F3864"/>
          </w:tcPr>
          <w:p>
            <w:pPr>
              <w:spacing w:after="0" w:before="0"/>
              <w:jc w:val="center"/>
            </w:pPr>
            <w:r/>
            <w:r>
              <w:rPr>
                <w:rFonts w:ascii="Calibri" w:hAnsi="Calibri"/>
                <w:b/>
                <w:color w:val="FFFFFF"/>
                <w:sz w:val="18"/>
              </w:rPr>
              <w:t>Action</w:t>
            </w:r>
          </w:p>
        </w:tc>
      </w:tr>
      <w:tr>
        <w:tc>
          <w:tcPr>
            <w:tcW w:type="dxa" w:w="2880"/>
            <w:shd w:val="clear" w:color="auto" w:fill="F2F2F2"/>
          </w:tcPr>
          <w:p>
            <w:pPr>
              <w:spacing w:after="0" w:before="0"/>
              <w:jc w:val="left"/>
            </w:pPr>
            <w:r/>
            <w:r>
              <w:rPr>
                <w:rFonts w:ascii="Calibri" w:hAnsi="Calibri"/>
                <w:b w:val="0"/>
                <w:sz w:val="18"/>
              </w:rPr>
              <w:t>&lt; 1%</w:t>
            </w:r>
          </w:p>
        </w:tc>
        <w:tc>
          <w:tcPr>
            <w:tcW w:type="dxa" w:w="5760"/>
            <w:shd w:val="clear" w:color="auto" w:fill="F2F2F2"/>
          </w:tcPr>
          <w:p>
            <w:pPr>
              <w:spacing w:after="0" w:before="0"/>
              <w:jc w:val="left"/>
            </w:pPr>
            <w:r/>
            <w:r>
              <w:rPr>
                <w:rFonts w:ascii="Calibri" w:hAnsi="Calibri"/>
                <w:b w:val="0"/>
                <w:sz w:val="18"/>
              </w:rPr>
              <w:t>PASS — rounding difference, no action</w:t>
            </w:r>
          </w:p>
        </w:tc>
      </w:tr>
      <w:tr>
        <w:tc>
          <w:tcPr>
            <w:tcW w:type="dxa" w:w="2880"/>
            <w:shd w:val="clear" w:color="auto" w:fill="FFFFFF"/>
          </w:tcPr>
          <w:p>
            <w:pPr>
              <w:spacing w:after="0" w:before="0"/>
              <w:jc w:val="left"/>
            </w:pPr>
            <w:r/>
            <w:r>
              <w:rPr>
                <w:rFonts w:ascii="Calibri" w:hAnsi="Calibri"/>
                <w:b w:val="0"/>
                <w:sz w:val="18"/>
              </w:rPr>
              <w:t>1% to 5%</w:t>
            </w:r>
          </w:p>
        </w:tc>
        <w:tc>
          <w:tcPr>
            <w:tcW w:type="dxa" w:w="5760"/>
            <w:shd w:val="clear" w:color="auto" w:fill="FFFFFF"/>
          </w:tcPr>
          <w:p>
            <w:pPr>
              <w:spacing w:after="0" w:before="0"/>
              <w:jc w:val="left"/>
            </w:pPr>
            <w:r/>
            <w:r>
              <w:rPr>
                <w:rFonts w:ascii="Calibri" w:hAnsi="Calibri"/>
                <w:b w:val="0"/>
                <w:sz w:val="18"/>
              </w:rPr>
              <w:t>WARNING — possible restatement or different period definition</w:t>
            </w:r>
          </w:p>
        </w:tc>
      </w:tr>
      <w:tr>
        <w:tc>
          <w:tcPr>
            <w:tcW w:type="dxa" w:w="2880"/>
            <w:shd w:val="clear" w:color="auto" w:fill="F2F2F2"/>
          </w:tcPr>
          <w:p>
            <w:pPr>
              <w:spacing w:after="0" w:before="0"/>
              <w:jc w:val="left"/>
            </w:pPr>
            <w:r/>
            <w:r>
              <w:rPr>
                <w:rFonts w:ascii="Calibri" w:hAnsi="Calibri"/>
                <w:b w:val="0"/>
                <w:sz w:val="18"/>
              </w:rPr>
              <w:t>&gt; 5%</w:t>
            </w:r>
          </w:p>
        </w:tc>
        <w:tc>
          <w:tcPr>
            <w:tcW w:type="dxa" w:w="5760"/>
            <w:shd w:val="clear" w:color="auto" w:fill="F2F2F2"/>
          </w:tcPr>
          <w:p>
            <w:pPr>
              <w:spacing w:after="0" w:before="0"/>
              <w:jc w:val="left"/>
            </w:pPr>
            <w:r/>
            <w:r>
              <w:rPr>
                <w:rFonts w:ascii="Calibri" w:hAnsi="Calibri"/>
                <w:b w:val="0"/>
                <w:sz w:val="18"/>
              </w:rPr>
              <w:t>ERROR — genuine conflict; record both values, use Tier 1 value, flag for review</w:t>
            </w:r>
          </w:p>
        </w:tc>
      </w:tr>
    </w:tbl>
    <w:p/>
    <w:p>
      <w:pPr>
        <w:spacing w:after="120" w:before="0"/>
      </w:pPr>
      <w:r>
        <w:rPr>
          <w:rFonts w:ascii="Calibri" w:hAnsi="Calibri"/>
          <w:b w:val="0"/>
          <w:i w:val="0"/>
          <w:sz w:val="20"/>
        </w:rPr>
        <w:t>Every rule execution — pass or fail — creates a validation_results record. This provides a complete, immutable audit trail of the validation run and enables re-running validation after corrections without losing the original results.</w:t>
      </w:r>
    </w:p>
    <w:p>
      <w:r>
        <w:br w:type="page"/>
      </w:r>
    </w:p>
    <w:p>
      <w:pPr>
        <w:pStyle w:val="Heading1"/>
        <w:spacing w:before="280" w:after="80"/>
      </w:pPr>
      <w:r>
        <w:rPr>
          <w:rFonts w:ascii="Calibri" w:hAnsi="Calibri"/>
          <w:color w:val="1F3864"/>
          <w:sz w:val="32"/>
        </w:rPr>
        <w:t>Section 7 — Excel Export Engine</w:t>
      </w:r>
    </w:p>
    <w:p>
      <w:pPr>
        <w:spacing w:before="80" w:after="80"/>
        <w:pBdr>
          <w:bottom w:val="single" w:sz="6" w:space="1" w:color="2E75B6"/>
        </w:pBdr>
      </w:pPr>
    </w:p>
    <w:p>
      <w:pPr>
        <w:pStyle w:val="Heading2"/>
        <w:spacing w:before="280" w:after="80"/>
      </w:pPr>
      <w:r>
        <w:rPr>
          <w:rFonts w:ascii="Calibri" w:hAnsi="Calibri"/>
          <w:color w:val="2E75B6"/>
          <w:sz w:val="26"/>
        </w:rPr>
        <w:t>7.1  Missing Information</w:t>
      </w:r>
    </w:p>
    <w:p>
      <w:pPr>
        <w:pStyle w:val="ListBullet"/>
        <w:spacing w:after="60" w:before="0"/>
      </w:pPr>
      <w:r>
        <w:rPr>
          <w:rFonts w:ascii="Calibri" w:hAnsi="Calibri"/>
          <w:sz w:val="20"/>
        </w:rPr>
        <w:t>No formatting specification — number formats, colours, column widths, and fonts are undefined</w:t>
      </w:r>
    </w:p>
    <w:p>
      <w:pPr>
        <w:pStyle w:val="ListBullet"/>
        <w:spacing w:after="60" w:before="0"/>
      </w:pPr>
      <w:r>
        <w:rPr>
          <w:rFonts w:ascii="Calibri" w:hAnsi="Calibri"/>
          <w:sz w:val="20"/>
        </w:rPr>
        <w:t>No template versioning strategy — workbooks from different product versions will be incompatible</w:t>
      </w:r>
    </w:p>
    <w:p>
      <w:pPr>
        <w:pStyle w:val="ListBullet"/>
        <w:spacing w:after="60" w:before="0"/>
      </w:pPr>
      <w:r>
        <w:rPr>
          <w:rFonts w:ascii="Calibri" w:hAnsi="Calibri"/>
          <w:sz w:val="20"/>
        </w:rPr>
        <w:t>No sign display convention in Excel — are expenses shown as positive or negative numbers?</w:t>
      </w:r>
    </w:p>
    <w:p>
      <w:pPr>
        <w:pStyle w:val="ListBullet"/>
        <w:spacing w:after="60" w:before="0"/>
      </w:pPr>
      <w:r>
        <w:rPr>
          <w:rFonts w:ascii="Calibri" w:hAnsi="Calibri"/>
          <w:sz w:val="20"/>
        </w:rPr>
        <w:t>No multi-currency display handling — which currency does the analyst see?</w:t>
      </w:r>
    </w:p>
    <w:p>
      <w:pPr>
        <w:pStyle w:val="ListBullet"/>
        <w:spacing w:after="60" w:before="0"/>
      </w:pPr>
      <w:r>
        <w:rPr>
          <w:rFonts w:ascii="Calibri" w:hAnsi="Calibri"/>
          <w:sz w:val="20"/>
        </w:rPr>
        <w:t>No Excel formula strategy — should computed cells contain formulas or static values?</w:t>
      </w:r>
    </w:p>
    <w:p>
      <w:pPr>
        <w:pStyle w:val="ListBullet"/>
        <w:spacing w:after="60" w:before="0"/>
      </w:pPr>
      <w:r>
        <w:rPr>
          <w:rFonts w:ascii="Calibri" w:hAnsi="Calibri"/>
          <w:sz w:val="20"/>
        </w:rPr>
        <w:t>No large dataset handling strategy for companies with many years of quarterly data</w:t>
      </w:r>
    </w:p>
    <w:p>
      <w:pPr>
        <w:pStyle w:val="ListBullet"/>
        <w:spacing w:after="60" w:before="0"/>
      </w:pPr>
      <w:r>
        <w:rPr>
          <w:rFonts w:ascii="Calibri" w:hAnsi="Calibri"/>
          <w:sz w:val="20"/>
        </w:rPr>
        <w:t>No incremental update design — analyst cannot add Q1 2025 to an existing workbook</w:t>
      </w:r>
    </w:p>
    <w:p>
      <w:pPr>
        <w:pStyle w:val="Heading2"/>
        <w:spacing w:before="280" w:after="80"/>
      </w:pPr>
      <w:r>
        <w:rPr>
          <w:rFonts w:ascii="Calibri" w:hAnsi="Calibri"/>
          <w:color w:val="2E75B6"/>
          <w:sz w:val="26"/>
        </w:rPr>
        <w:t>7.2  Required Decisions</w:t>
      </w:r>
    </w:p>
    <w:p>
      <w:pPr>
        <w:spacing w:before="160" w:after="40"/>
      </w:pPr>
      <w:r>
        <w:rPr>
          <w:rFonts w:ascii="Calibri" w:hAnsi="Calibri"/>
          <w:b/>
          <w:color w:val="2E75B6"/>
          <w:sz w:val="20"/>
        </w:rPr>
        <w:t>Decision 1: Static Values vs. Excel Formulas</w:t>
      </w:r>
    </w:p>
    <w:p>
      <w:pPr>
        <w:spacing w:after="40" w:before="0"/>
      </w:pPr>
      <w:r>
        <w:rPr>
          <w:rFonts w:ascii="Calibri" w:hAnsi="Calibri"/>
          <w:b w:val="0"/>
          <w:i/>
          <w:sz w:val="20"/>
        </w:rPr>
        <w:t>Options: All static values; or raw data static + computed rows as formulas</w:t>
      </w:r>
    </w:p>
    <w:p>
      <w:pPr>
        <w:spacing w:after="120" w:before="0"/>
      </w:pPr>
      <w:r>
        <w:rPr>
          <w:rFonts w:ascii="Calibri" w:hAnsi="Calibri"/>
          <w:b w:val="0"/>
          <w:i w:val="0"/>
          <w:sz w:val="20"/>
        </w:rPr>
        <w:t>Recommendation: Static values for all raw extracted data. Excel formulas for computed summary rows (YoY growth, margin percentages) so analysts can see the calculation logic. Ratios sheet uses formulas referencing Sheets 2–4 so analysts can modify inputs and observe impact.</w:t>
      </w:r>
    </w:p>
    <w:p>
      <w:pPr>
        <w:spacing w:before="160" w:after="40"/>
      </w:pPr>
      <w:r>
        <w:rPr>
          <w:rFonts w:ascii="Calibri" w:hAnsi="Calibri"/>
          <w:b/>
          <w:color w:val="2E75B6"/>
          <w:sz w:val="20"/>
        </w:rPr>
        <w:t>Decision 2: Sign Display Convention</w:t>
      </w:r>
    </w:p>
    <w:p>
      <w:pPr>
        <w:spacing w:after="40" w:before="0"/>
      </w:pPr>
      <w:r>
        <w:rPr>
          <w:rFonts w:ascii="Calibri" w:hAnsi="Calibri"/>
          <w:b w:val="0"/>
          <w:i/>
          <w:sz w:val="20"/>
        </w:rPr>
        <w:t>Options: All values positive (sign by row label); or expenses shown as negative</w:t>
      </w:r>
    </w:p>
    <w:p>
      <w:pPr>
        <w:spacing w:after="120" w:before="0"/>
      </w:pPr>
      <w:r>
        <w:rPr>
          <w:rFonts w:ascii="Calibri" w:hAnsi="Calibri"/>
          <w:b w:val="0"/>
          <w:i w:val="0"/>
          <w:sz w:val="20"/>
        </w:rPr>
        <w:t>Recommendation: Expenses displayed as positive numbers, matching how companies present financial statements in annual reports. Negative values used only for: net losses, treasury stock buybacks, and items that are explicitly negative in the source document.</w:t>
      </w:r>
    </w:p>
    <w:p>
      <w:pPr>
        <w:spacing w:before="160" w:after="40"/>
      </w:pPr>
      <w:r>
        <w:rPr>
          <w:rFonts w:ascii="Calibri" w:hAnsi="Calibri"/>
          <w:b/>
          <w:color w:val="2E75B6"/>
          <w:sz w:val="20"/>
        </w:rPr>
        <w:t>Decision 3: Number Format Standard</w:t>
      </w:r>
    </w:p>
    <w:p>
      <w:pPr>
        <w:spacing w:after="120" w:before="0"/>
      </w:pPr>
      <w:r>
        <w:rPr>
          <w:rFonts w:ascii="Calibri" w:hAnsi="Calibri"/>
          <w:b w:val="0"/>
          <w:i w:val="0"/>
          <w:sz w:val="20"/>
        </w:rPr>
        <w:t>Recommendation: Default: #,##0.0 (one decimal, thousands separator) for values &gt;= 1,000. EPS and ratios: #,##0.00. Percentages: 0.0%. Per-share: $#,##0.00. Negative numbers: red font. Zero values: displayed as em dash (—).</w:t>
      </w:r>
    </w:p>
    <w:p>
      <w:pPr>
        <w:spacing w:before="160" w:after="40"/>
      </w:pPr>
      <w:r>
        <w:rPr>
          <w:rFonts w:ascii="Calibri" w:hAnsi="Calibri"/>
          <w:b/>
          <w:color w:val="2E75B6"/>
          <w:sz w:val="20"/>
        </w:rPr>
        <w:t>Decision 4: Multi-Year Column Layout</w:t>
      </w:r>
    </w:p>
    <w:p>
      <w:pPr>
        <w:spacing w:after="120" w:before="0"/>
      </w:pPr>
      <w:r>
        <w:rPr>
          <w:rFonts w:ascii="Calibri" w:hAnsi="Calibri"/>
          <w:b w:val="0"/>
          <w:i w:val="0"/>
          <w:sz w:val="20"/>
        </w:rPr>
        <w:t>Recommendation: Most recent year in leftmost data column (Column B), oldest in rightmost. One YoY Growth column between each year pair using Excel formulas. Header format: FY2024 | Growth | FY2023 | Growth | FY2022.</w:t>
      </w:r>
    </w:p>
    <w:p>
      <w:pPr>
        <w:spacing w:before="160" w:after="40"/>
      </w:pPr>
      <w:r>
        <w:rPr>
          <w:rFonts w:ascii="Calibri" w:hAnsi="Calibri"/>
          <w:b/>
          <w:color w:val="2E75B6"/>
          <w:sz w:val="20"/>
        </w:rPr>
        <w:t>Decision 5: Template Versioning</w:t>
      </w:r>
    </w:p>
    <w:p>
      <w:pPr>
        <w:spacing w:after="120" w:before="0"/>
      </w:pPr>
      <w:r>
        <w:rPr>
          <w:rFonts w:ascii="Calibri" w:hAnsi="Calibri"/>
          <w:b w:val="0"/>
          <w:i w:val="0"/>
          <w:sz w:val="20"/>
        </w:rPr>
        <w:t>Recommendation: Store template version in Sheet 10 (Metadata) of every workbook. Semantic versioning: v1.0.0. Breaking layout changes = major version. New rows added = minor version. Format-only changes = patch. Analysts can identify their workbook version.</w:t>
      </w:r>
    </w:p>
    <w:p>
      <w:pPr>
        <w:pStyle w:val="Heading2"/>
        <w:spacing w:before="280" w:after="80"/>
      </w:pPr>
      <w:r>
        <w:rPr>
          <w:rFonts w:ascii="Calibri" w:hAnsi="Calibri"/>
          <w:color w:val="2E75B6"/>
          <w:sz w:val="26"/>
        </w:rPr>
        <w:t>7.3  Recommended Design — Workbook Specification v1.0.0</w:t>
      </w:r>
    </w:p>
    <w:p>
      <w:pPr>
        <w:spacing w:after="120" w:before="0"/>
      </w:pPr>
      <w:r>
        <w:rPr>
          <w:rFonts w:ascii="Calibri" w:hAnsi="Calibri"/>
          <w:b/>
          <w:i w:val="0"/>
          <w:sz w:val="20"/>
        </w:rPr>
        <w:t>Global Formatting</w:t>
      </w:r>
    </w:p>
    <w:tbl>
      <w:tblPr>
        <w:tblStyle w:val="TableGrid"/>
        <w:tblW w:type="auto" w:w="0"/>
        <w:jc w:val="left"/>
        <w:tblLook w:firstColumn="1" w:firstRow="1" w:lastColumn="0" w:lastRow="0" w:noHBand="0" w:noVBand="1" w:val="04A0"/>
      </w:tblPr>
      <w:tblGrid>
        <w:gridCol w:w="4320"/>
        <w:gridCol w:w="4320"/>
      </w:tblGrid>
      <w:tr>
        <w:trPr>
          <w:trHeight w:val="397"/>
        </w:trPr>
        <w:tc>
          <w:tcPr>
            <w:tcW w:type="dxa" w:w="3600"/>
            <w:shd w:val="clear" w:color="auto" w:fill="1F3864"/>
          </w:tcPr>
          <w:p>
            <w:pPr>
              <w:spacing w:after="0" w:before="0"/>
              <w:jc w:val="center"/>
            </w:pPr>
            <w:r/>
            <w:r>
              <w:rPr>
                <w:rFonts w:ascii="Calibri" w:hAnsi="Calibri"/>
                <w:b/>
                <w:color w:val="FFFFFF"/>
                <w:sz w:val="18"/>
              </w:rPr>
              <w:t>Setting</w:t>
            </w:r>
          </w:p>
        </w:tc>
        <w:tc>
          <w:tcPr>
            <w:tcW w:type="dxa" w:w="5040"/>
            <w:shd w:val="clear" w:color="auto" w:fill="1F3864"/>
          </w:tcPr>
          <w:p>
            <w:pPr>
              <w:spacing w:after="0" w:before="0"/>
              <w:jc w:val="center"/>
            </w:pPr>
            <w:r/>
            <w:r>
              <w:rPr>
                <w:rFonts w:ascii="Calibri" w:hAnsi="Calibri"/>
                <w:b/>
                <w:color w:val="FFFFFF"/>
                <w:sz w:val="18"/>
              </w:rPr>
              <w:t>Value</w:t>
            </w:r>
          </w:p>
        </w:tc>
      </w:tr>
      <w:tr>
        <w:tc>
          <w:tcPr>
            <w:tcW w:type="dxa" w:w="3600"/>
            <w:shd w:val="clear" w:color="auto" w:fill="F2F2F2"/>
          </w:tcPr>
          <w:p>
            <w:pPr>
              <w:spacing w:after="0" w:before="0"/>
              <w:jc w:val="left"/>
            </w:pPr>
            <w:r/>
            <w:r>
              <w:rPr>
                <w:rFonts w:ascii="Calibri" w:hAnsi="Calibri"/>
                <w:b w:val="0"/>
                <w:sz w:val="18"/>
              </w:rPr>
              <w:t>Default font</w:t>
            </w:r>
          </w:p>
        </w:tc>
        <w:tc>
          <w:tcPr>
            <w:tcW w:type="dxa" w:w="5040"/>
            <w:shd w:val="clear" w:color="auto" w:fill="F2F2F2"/>
          </w:tcPr>
          <w:p>
            <w:pPr>
              <w:spacing w:after="0" w:before="0"/>
              <w:jc w:val="left"/>
            </w:pPr>
            <w:r/>
            <w:r>
              <w:rPr>
                <w:rFonts w:ascii="Calibri" w:hAnsi="Calibri"/>
                <w:b w:val="0"/>
                <w:sz w:val="18"/>
              </w:rPr>
              <w:t>Calibri 10pt</w:t>
            </w:r>
          </w:p>
        </w:tc>
      </w:tr>
      <w:tr>
        <w:tc>
          <w:tcPr>
            <w:tcW w:type="dxa" w:w="3600"/>
            <w:shd w:val="clear" w:color="auto" w:fill="FFFFFF"/>
          </w:tcPr>
          <w:p>
            <w:pPr>
              <w:spacing w:after="0" w:before="0"/>
              <w:jc w:val="left"/>
            </w:pPr>
            <w:r/>
            <w:r>
              <w:rPr>
                <w:rFonts w:ascii="Calibri" w:hAnsi="Calibri"/>
                <w:b w:val="0"/>
                <w:sz w:val="18"/>
              </w:rPr>
              <w:t>Column A (labels)</w:t>
            </w:r>
          </w:p>
        </w:tc>
        <w:tc>
          <w:tcPr>
            <w:tcW w:type="dxa" w:w="5040"/>
            <w:shd w:val="clear" w:color="auto" w:fill="FFFFFF"/>
          </w:tcPr>
          <w:p>
            <w:pPr>
              <w:spacing w:after="0" w:before="0"/>
              <w:jc w:val="left"/>
            </w:pPr>
            <w:r/>
            <w:r>
              <w:rPr>
                <w:rFonts w:ascii="Calibri" w:hAnsi="Calibri"/>
                <w:b w:val="0"/>
                <w:sz w:val="18"/>
              </w:rPr>
              <w:t>Left-aligned, 200px wide, Calibri 10pt</w:t>
            </w:r>
          </w:p>
        </w:tc>
      </w:tr>
      <w:tr>
        <w:tc>
          <w:tcPr>
            <w:tcW w:type="dxa" w:w="3600"/>
            <w:shd w:val="clear" w:color="auto" w:fill="F2F2F2"/>
          </w:tcPr>
          <w:p>
            <w:pPr>
              <w:spacing w:after="0" w:before="0"/>
              <w:jc w:val="left"/>
            </w:pPr>
            <w:r/>
            <w:r>
              <w:rPr>
                <w:rFonts w:ascii="Calibri" w:hAnsi="Calibri"/>
                <w:b w:val="0"/>
                <w:sz w:val="18"/>
              </w:rPr>
              <w:t>Data columns (B onward)</w:t>
            </w:r>
          </w:p>
        </w:tc>
        <w:tc>
          <w:tcPr>
            <w:tcW w:type="dxa" w:w="5040"/>
            <w:shd w:val="clear" w:color="auto" w:fill="F2F2F2"/>
          </w:tcPr>
          <w:p>
            <w:pPr>
              <w:spacing w:after="0" w:before="0"/>
              <w:jc w:val="left"/>
            </w:pPr>
            <w:r/>
            <w:r>
              <w:rPr>
                <w:rFonts w:ascii="Calibri" w:hAnsi="Calibri"/>
                <w:b w:val="0"/>
                <w:sz w:val="18"/>
              </w:rPr>
              <w:t>Right-aligned, 100px wide</w:t>
            </w:r>
          </w:p>
        </w:tc>
      </w:tr>
      <w:tr>
        <w:tc>
          <w:tcPr>
            <w:tcW w:type="dxa" w:w="3600"/>
            <w:shd w:val="clear" w:color="auto" w:fill="FFFFFF"/>
          </w:tcPr>
          <w:p>
            <w:pPr>
              <w:spacing w:after="0" w:before="0"/>
              <w:jc w:val="left"/>
            </w:pPr>
            <w:r/>
            <w:r>
              <w:rPr>
                <w:rFonts w:ascii="Calibri" w:hAnsi="Calibri"/>
                <w:b w:val="0"/>
                <w:sz w:val="18"/>
              </w:rPr>
              <w:t>Header rows</w:t>
            </w:r>
          </w:p>
        </w:tc>
        <w:tc>
          <w:tcPr>
            <w:tcW w:type="dxa" w:w="5040"/>
            <w:shd w:val="clear" w:color="auto" w:fill="FFFFFF"/>
          </w:tcPr>
          <w:p>
            <w:pPr>
              <w:spacing w:after="0" w:before="0"/>
              <w:jc w:val="left"/>
            </w:pPr>
            <w:r/>
            <w:r>
              <w:rPr>
                <w:rFonts w:ascii="Calibri" w:hAnsi="Calibri"/>
                <w:b w:val="0"/>
                <w:sz w:val="18"/>
              </w:rPr>
              <w:t>Calibri 11pt bold, white text on dark blue (#1F3864)</w:t>
            </w:r>
          </w:p>
        </w:tc>
      </w:tr>
      <w:tr>
        <w:tc>
          <w:tcPr>
            <w:tcW w:type="dxa" w:w="3600"/>
            <w:shd w:val="clear" w:color="auto" w:fill="F2F2F2"/>
          </w:tcPr>
          <w:p>
            <w:pPr>
              <w:spacing w:after="0" w:before="0"/>
              <w:jc w:val="left"/>
            </w:pPr>
            <w:r/>
            <w:r>
              <w:rPr>
                <w:rFonts w:ascii="Calibri" w:hAnsi="Calibri"/>
                <w:b w:val="0"/>
                <w:sz w:val="18"/>
              </w:rPr>
              <w:t>Section header rows</w:t>
            </w:r>
          </w:p>
        </w:tc>
        <w:tc>
          <w:tcPr>
            <w:tcW w:type="dxa" w:w="5040"/>
            <w:shd w:val="clear" w:color="auto" w:fill="F2F2F2"/>
          </w:tcPr>
          <w:p>
            <w:pPr>
              <w:spacing w:after="0" w:before="0"/>
              <w:jc w:val="left"/>
            </w:pPr>
            <w:r/>
            <w:r>
              <w:rPr>
                <w:rFonts w:ascii="Calibri" w:hAnsi="Calibri"/>
                <w:b w:val="0"/>
                <w:sz w:val="18"/>
              </w:rPr>
              <w:t>Calibri 10pt bold, dark blue text on light blue (#D6E4F0)</w:t>
            </w:r>
          </w:p>
        </w:tc>
      </w:tr>
      <w:tr>
        <w:tc>
          <w:tcPr>
            <w:tcW w:type="dxa" w:w="3600"/>
            <w:shd w:val="clear" w:color="auto" w:fill="FFFFFF"/>
          </w:tcPr>
          <w:p>
            <w:pPr>
              <w:spacing w:after="0" w:before="0"/>
              <w:jc w:val="left"/>
            </w:pPr>
            <w:r/>
            <w:r>
              <w:rPr>
                <w:rFonts w:ascii="Calibri" w:hAnsi="Calibri"/>
                <w:b w:val="0"/>
                <w:sz w:val="18"/>
              </w:rPr>
              <w:t>Alternating data rows</w:t>
            </w:r>
          </w:p>
        </w:tc>
        <w:tc>
          <w:tcPr>
            <w:tcW w:type="dxa" w:w="5040"/>
            <w:shd w:val="clear" w:color="auto" w:fill="FFFFFF"/>
          </w:tcPr>
          <w:p>
            <w:pPr>
              <w:spacing w:after="0" w:before="0"/>
              <w:jc w:val="left"/>
            </w:pPr>
            <w:r/>
            <w:r>
              <w:rPr>
                <w:rFonts w:ascii="Calibri" w:hAnsi="Calibri"/>
                <w:b w:val="0"/>
                <w:sz w:val="18"/>
              </w:rPr>
              <w:t>White (#FFFFFF) and light grey (#F8F9FA)</w:t>
            </w:r>
          </w:p>
        </w:tc>
      </w:tr>
      <w:tr>
        <w:tc>
          <w:tcPr>
            <w:tcW w:type="dxa" w:w="3600"/>
            <w:shd w:val="clear" w:color="auto" w:fill="F2F2F2"/>
          </w:tcPr>
          <w:p>
            <w:pPr>
              <w:spacing w:after="0" w:before="0"/>
              <w:jc w:val="left"/>
            </w:pPr>
            <w:r/>
            <w:r>
              <w:rPr>
                <w:rFonts w:ascii="Calibri" w:hAnsi="Calibri"/>
                <w:b w:val="0"/>
                <w:sz w:val="18"/>
              </w:rPr>
              <w:t>Negative values</w:t>
            </w:r>
          </w:p>
        </w:tc>
        <w:tc>
          <w:tcPr>
            <w:tcW w:type="dxa" w:w="5040"/>
            <w:shd w:val="clear" w:color="auto" w:fill="F2F2F2"/>
          </w:tcPr>
          <w:p>
            <w:pPr>
              <w:spacing w:after="0" w:before="0"/>
              <w:jc w:val="left"/>
            </w:pPr>
            <w:r/>
            <w:r>
              <w:rPr>
                <w:rFonts w:ascii="Calibri" w:hAnsi="Calibri"/>
                <w:b w:val="0"/>
                <w:sz w:val="18"/>
              </w:rPr>
              <w:t>Red font colour — no parentheses</w:t>
            </w:r>
          </w:p>
        </w:tc>
      </w:tr>
      <w:tr>
        <w:tc>
          <w:tcPr>
            <w:tcW w:type="dxa" w:w="3600"/>
            <w:shd w:val="clear" w:color="auto" w:fill="FFFFFF"/>
          </w:tcPr>
          <w:p>
            <w:pPr>
              <w:spacing w:after="0" w:before="0"/>
              <w:jc w:val="left"/>
            </w:pPr>
            <w:r/>
            <w:r>
              <w:rPr>
                <w:rFonts w:ascii="Calibri" w:hAnsi="Calibri"/>
                <w:b w:val="0"/>
                <w:sz w:val="18"/>
              </w:rPr>
              <w:t>Low-confidence values (&lt; 80%)</w:t>
            </w:r>
          </w:p>
        </w:tc>
        <w:tc>
          <w:tcPr>
            <w:tcW w:type="dxa" w:w="5040"/>
            <w:shd w:val="clear" w:color="auto" w:fill="FFFFFF"/>
          </w:tcPr>
          <w:p>
            <w:pPr>
              <w:spacing w:after="0" w:before="0"/>
              <w:jc w:val="left"/>
            </w:pPr>
            <w:r/>
            <w:r>
              <w:rPr>
                <w:rFonts w:ascii="Calibri" w:hAnsi="Calibri"/>
                <w:b w:val="0"/>
                <w:sz w:val="18"/>
              </w:rPr>
              <w:t>Yellow cell background highlight</w:t>
            </w:r>
          </w:p>
        </w:tc>
      </w:tr>
      <w:tr>
        <w:tc>
          <w:tcPr>
            <w:tcW w:type="dxa" w:w="3600"/>
            <w:shd w:val="clear" w:color="auto" w:fill="F2F2F2"/>
          </w:tcPr>
          <w:p>
            <w:pPr>
              <w:spacing w:after="0" w:before="0"/>
              <w:jc w:val="left"/>
            </w:pPr>
            <w:r/>
            <w:r>
              <w:rPr>
                <w:rFonts w:ascii="Calibri" w:hAnsi="Calibri"/>
                <w:b w:val="0"/>
                <w:sz w:val="18"/>
              </w:rPr>
              <w:t>Freeze panes</w:t>
            </w:r>
          </w:p>
        </w:tc>
        <w:tc>
          <w:tcPr>
            <w:tcW w:type="dxa" w:w="5040"/>
            <w:shd w:val="clear" w:color="auto" w:fill="F2F2F2"/>
          </w:tcPr>
          <w:p>
            <w:pPr>
              <w:spacing w:after="0" w:before="0"/>
              <w:jc w:val="left"/>
            </w:pPr>
            <w:r/>
            <w:r>
              <w:rPr>
                <w:rFonts w:ascii="Calibri" w:hAnsi="Calibri"/>
                <w:b w:val="0"/>
                <w:sz w:val="18"/>
              </w:rPr>
              <w:t>Row 1 (header) and Column A (labels) frozen on all data sheets</w:t>
            </w:r>
          </w:p>
        </w:tc>
      </w:tr>
    </w:tbl>
    <w:p/>
    <w:p>
      <w:pPr>
        <w:spacing w:after="120" w:before="0"/>
      </w:pPr>
      <w:r>
        <w:rPr>
          <w:rFonts w:ascii="Calibri" w:hAnsi="Calibri"/>
          <w:b/>
          <w:i w:val="0"/>
          <w:sz w:val="20"/>
        </w:rPr>
        <w:t>Workbook Sheet Structure</w:t>
      </w:r>
    </w:p>
    <w:tbl>
      <w:tblPr>
        <w:tblStyle w:val="TableGrid"/>
        <w:tblW w:type="auto" w:w="0"/>
        <w:jc w:val="left"/>
        <w:tblLook w:firstColumn="1" w:firstRow="1" w:lastColumn="0" w:lastRow="0" w:noHBand="0" w:noVBand="1" w:val="04A0"/>
      </w:tblPr>
      <w:tblGrid>
        <w:gridCol w:w="2880"/>
        <w:gridCol w:w="2880"/>
        <w:gridCol w:w="2880"/>
      </w:tblGrid>
      <w:tr>
        <w:trPr>
          <w:trHeight w:val="397"/>
        </w:trPr>
        <w:tc>
          <w:tcPr>
            <w:tcW w:type="dxa" w:w="1008"/>
            <w:shd w:val="clear" w:color="auto" w:fill="1F3864"/>
          </w:tcPr>
          <w:p>
            <w:pPr>
              <w:spacing w:after="0" w:before="0"/>
              <w:jc w:val="center"/>
            </w:pPr>
            <w:r/>
            <w:r>
              <w:rPr>
                <w:rFonts w:ascii="Calibri" w:hAnsi="Calibri"/>
                <w:b/>
                <w:color w:val="FFFFFF"/>
                <w:sz w:val="18"/>
              </w:rPr>
              <w:t>Sheet</w:t>
            </w:r>
          </w:p>
        </w:tc>
        <w:tc>
          <w:tcPr>
            <w:tcW w:type="dxa" w:w="2592"/>
            <w:shd w:val="clear" w:color="auto" w:fill="1F3864"/>
          </w:tcPr>
          <w:p>
            <w:pPr>
              <w:spacing w:after="0" w:before="0"/>
              <w:jc w:val="center"/>
            </w:pPr>
            <w:r/>
            <w:r>
              <w:rPr>
                <w:rFonts w:ascii="Calibri" w:hAnsi="Calibri"/>
                <w:b/>
                <w:color w:val="FFFFFF"/>
                <w:sz w:val="18"/>
              </w:rPr>
              <w:t>Name</w:t>
            </w:r>
          </w:p>
        </w:tc>
        <w:tc>
          <w:tcPr>
            <w:tcW w:type="dxa" w:w="5040"/>
            <w:shd w:val="clear" w:color="auto" w:fill="1F3864"/>
          </w:tcPr>
          <w:p>
            <w:pPr>
              <w:spacing w:after="0" w:before="0"/>
              <w:jc w:val="center"/>
            </w:pPr>
            <w:r/>
            <w:r>
              <w:rPr>
                <w:rFonts w:ascii="Calibri" w:hAnsi="Calibri"/>
                <w:b/>
                <w:color w:val="FFFFFF"/>
                <w:sz w:val="18"/>
              </w:rPr>
              <w:t>Content</w:t>
            </w:r>
          </w:p>
        </w:tc>
      </w:tr>
      <w:tr>
        <w:tc>
          <w:tcPr>
            <w:tcW w:type="dxa" w:w="1008"/>
            <w:shd w:val="clear" w:color="auto" w:fill="F2F2F2"/>
          </w:tcPr>
          <w:p>
            <w:pPr>
              <w:spacing w:after="0" w:before="0"/>
              <w:jc w:val="left"/>
            </w:pPr>
            <w:r/>
            <w:r>
              <w:rPr>
                <w:rFonts w:ascii="Calibri" w:hAnsi="Calibri"/>
                <w:b w:val="0"/>
                <w:sz w:val="18"/>
              </w:rPr>
              <w:t>Sheet 1</w:t>
            </w:r>
          </w:p>
        </w:tc>
        <w:tc>
          <w:tcPr>
            <w:tcW w:type="dxa" w:w="2592"/>
            <w:shd w:val="clear" w:color="auto" w:fill="F2F2F2"/>
          </w:tcPr>
          <w:p>
            <w:pPr>
              <w:spacing w:after="0" w:before="0"/>
              <w:jc w:val="left"/>
            </w:pPr>
            <w:r/>
            <w:r>
              <w:rPr>
                <w:rFonts w:ascii="Calibri" w:hAnsi="Calibri"/>
                <w:b w:val="0"/>
                <w:sz w:val="18"/>
              </w:rPr>
              <w:t>Company Overview</w:t>
            </w:r>
          </w:p>
        </w:tc>
        <w:tc>
          <w:tcPr>
            <w:tcW w:type="dxa" w:w="5040"/>
            <w:shd w:val="clear" w:color="auto" w:fill="F2F2F2"/>
          </w:tcPr>
          <w:p>
            <w:pPr>
              <w:spacing w:after="0" w:before="0"/>
              <w:jc w:val="left"/>
            </w:pPr>
            <w:r/>
            <w:r>
              <w:rPr>
                <w:rFonts w:ascii="Calibri" w:hAnsi="Calibri"/>
                <w:b w:val="0"/>
                <w:sz w:val="18"/>
              </w:rPr>
              <w:t>Company identity, reporting profile, data quality summary, coverage summary</w:t>
            </w:r>
          </w:p>
        </w:tc>
      </w:tr>
      <w:tr>
        <w:tc>
          <w:tcPr>
            <w:tcW w:type="dxa" w:w="1008"/>
            <w:shd w:val="clear" w:color="auto" w:fill="FFFFFF"/>
          </w:tcPr>
          <w:p>
            <w:pPr>
              <w:spacing w:after="0" w:before="0"/>
              <w:jc w:val="left"/>
            </w:pPr>
            <w:r/>
            <w:r>
              <w:rPr>
                <w:rFonts w:ascii="Calibri" w:hAnsi="Calibri"/>
                <w:b w:val="0"/>
                <w:sz w:val="18"/>
              </w:rPr>
              <w:t>Sheet 2</w:t>
            </w:r>
          </w:p>
        </w:tc>
        <w:tc>
          <w:tcPr>
            <w:tcW w:type="dxa" w:w="2592"/>
            <w:shd w:val="clear" w:color="auto" w:fill="FFFFFF"/>
          </w:tcPr>
          <w:p>
            <w:pPr>
              <w:spacing w:after="0" w:before="0"/>
              <w:jc w:val="left"/>
            </w:pPr>
            <w:r/>
            <w:r>
              <w:rPr>
                <w:rFonts w:ascii="Calibri" w:hAnsi="Calibri"/>
                <w:b w:val="0"/>
                <w:sz w:val="18"/>
              </w:rPr>
              <w:t>Income Statement</w:t>
            </w:r>
          </w:p>
        </w:tc>
        <w:tc>
          <w:tcPr>
            <w:tcW w:type="dxa" w:w="5040"/>
            <w:shd w:val="clear" w:color="auto" w:fill="FFFFFF"/>
          </w:tcPr>
          <w:p>
            <w:pPr>
              <w:spacing w:after="0" w:before="0"/>
              <w:jc w:val="left"/>
            </w:pPr>
            <w:r/>
            <w:r>
              <w:rPr>
                <w:rFonts w:ascii="Calibri" w:hAnsi="Calibri"/>
                <w:b w:val="0"/>
                <w:sz w:val="18"/>
              </w:rPr>
              <w:t>5 years annual data with YoY growth columns</w:t>
            </w:r>
          </w:p>
        </w:tc>
      </w:tr>
      <w:tr>
        <w:tc>
          <w:tcPr>
            <w:tcW w:type="dxa" w:w="1008"/>
            <w:shd w:val="clear" w:color="auto" w:fill="F2F2F2"/>
          </w:tcPr>
          <w:p>
            <w:pPr>
              <w:spacing w:after="0" w:before="0"/>
              <w:jc w:val="left"/>
            </w:pPr>
            <w:r/>
            <w:r>
              <w:rPr>
                <w:rFonts w:ascii="Calibri" w:hAnsi="Calibri"/>
                <w:b w:val="0"/>
                <w:sz w:val="18"/>
              </w:rPr>
              <w:t>Sheet 3</w:t>
            </w:r>
          </w:p>
        </w:tc>
        <w:tc>
          <w:tcPr>
            <w:tcW w:type="dxa" w:w="2592"/>
            <w:shd w:val="clear" w:color="auto" w:fill="F2F2F2"/>
          </w:tcPr>
          <w:p>
            <w:pPr>
              <w:spacing w:after="0" w:before="0"/>
              <w:jc w:val="left"/>
            </w:pPr>
            <w:r/>
            <w:r>
              <w:rPr>
                <w:rFonts w:ascii="Calibri" w:hAnsi="Calibri"/>
                <w:b w:val="0"/>
                <w:sz w:val="18"/>
              </w:rPr>
              <w:t>Balance Sheet</w:t>
            </w:r>
          </w:p>
        </w:tc>
        <w:tc>
          <w:tcPr>
            <w:tcW w:type="dxa" w:w="5040"/>
            <w:shd w:val="clear" w:color="auto" w:fill="F2F2F2"/>
          </w:tcPr>
          <w:p>
            <w:pPr>
              <w:spacing w:after="0" w:before="0"/>
              <w:jc w:val="left"/>
            </w:pPr>
            <w:r/>
            <w:r>
              <w:rPr>
                <w:rFonts w:ascii="Calibri" w:hAnsi="Calibri"/>
                <w:b w:val="0"/>
                <w:sz w:val="18"/>
              </w:rPr>
              <w:t>5 years annual data with YoY growth columns</w:t>
            </w:r>
          </w:p>
        </w:tc>
      </w:tr>
      <w:tr>
        <w:tc>
          <w:tcPr>
            <w:tcW w:type="dxa" w:w="1008"/>
            <w:shd w:val="clear" w:color="auto" w:fill="FFFFFF"/>
          </w:tcPr>
          <w:p>
            <w:pPr>
              <w:spacing w:after="0" w:before="0"/>
              <w:jc w:val="left"/>
            </w:pPr>
            <w:r/>
            <w:r>
              <w:rPr>
                <w:rFonts w:ascii="Calibri" w:hAnsi="Calibri"/>
                <w:b w:val="0"/>
                <w:sz w:val="18"/>
              </w:rPr>
              <w:t>Sheet 4</w:t>
            </w:r>
          </w:p>
        </w:tc>
        <w:tc>
          <w:tcPr>
            <w:tcW w:type="dxa" w:w="2592"/>
            <w:shd w:val="clear" w:color="auto" w:fill="FFFFFF"/>
          </w:tcPr>
          <w:p>
            <w:pPr>
              <w:spacing w:after="0" w:before="0"/>
              <w:jc w:val="left"/>
            </w:pPr>
            <w:r/>
            <w:r>
              <w:rPr>
                <w:rFonts w:ascii="Calibri" w:hAnsi="Calibri"/>
                <w:b w:val="0"/>
                <w:sz w:val="18"/>
              </w:rPr>
              <w:t>Cash Flow Statement</w:t>
            </w:r>
          </w:p>
        </w:tc>
        <w:tc>
          <w:tcPr>
            <w:tcW w:type="dxa" w:w="5040"/>
            <w:shd w:val="clear" w:color="auto" w:fill="FFFFFF"/>
          </w:tcPr>
          <w:p>
            <w:pPr>
              <w:spacing w:after="0" w:before="0"/>
              <w:jc w:val="left"/>
            </w:pPr>
            <w:r/>
            <w:r>
              <w:rPr>
                <w:rFonts w:ascii="Calibri" w:hAnsi="Calibri"/>
                <w:b w:val="0"/>
                <w:sz w:val="18"/>
              </w:rPr>
              <w:t>5 years annual data with YoY growth columns</w:t>
            </w:r>
          </w:p>
        </w:tc>
      </w:tr>
      <w:tr>
        <w:tc>
          <w:tcPr>
            <w:tcW w:type="dxa" w:w="1008"/>
            <w:shd w:val="clear" w:color="auto" w:fill="F2F2F2"/>
          </w:tcPr>
          <w:p>
            <w:pPr>
              <w:spacing w:after="0" w:before="0"/>
              <w:jc w:val="left"/>
            </w:pPr>
            <w:r/>
            <w:r>
              <w:rPr>
                <w:rFonts w:ascii="Calibri" w:hAnsi="Calibri"/>
                <w:b w:val="0"/>
                <w:sz w:val="18"/>
              </w:rPr>
              <w:t>Sheet 5</w:t>
            </w:r>
          </w:p>
        </w:tc>
        <w:tc>
          <w:tcPr>
            <w:tcW w:type="dxa" w:w="2592"/>
            <w:shd w:val="clear" w:color="auto" w:fill="F2F2F2"/>
          </w:tcPr>
          <w:p>
            <w:pPr>
              <w:spacing w:after="0" w:before="0"/>
              <w:jc w:val="left"/>
            </w:pPr>
            <w:r/>
            <w:r>
              <w:rPr>
                <w:rFonts w:ascii="Calibri" w:hAnsi="Calibri"/>
                <w:b w:val="0"/>
                <w:sz w:val="18"/>
              </w:rPr>
              <w:t>Ratios</w:t>
            </w:r>
          </w:p>
        </w:tc>
        <w:tc>
          <w:tcPr>
            <w:tcW w:type="dxa" w:w="5040"/>
            <w:shd w:val="clear" w:color="auto" w:fill="F2F2F2"/>
          </w:tcPr>
          <w:p>
            <w:pPr>
              <w:spacing w:after="0" w:before="0"/>
              <w:jc w:val="left"/>
            </w:pPr>
            <w:r/>
            <w:r>
              <w:rPr>
                <w:rFonts w:ascii="Calibri" w:hAnsi="Calibri"/>
                <w:b w:val="0"/>
                <w:sz w:val="18"/>
              </w:rPr>
              <w:t>Profitability, liquidity, leverage, efficiency — formulas referencing Sheets 2–4</w:t>
            </w:r>
          </w:p>
        </w:tc>
      </w:tr>
      <w:tr>
        <w:tc>
          <w:tcPr>
            <w:tcW w:type="dxa" w:w="1008"/>
            <w:shd w:val="clear" w:color="auto" w:fill="FFFFFF"/>
          </w:tcPr>
          <w:p>
            <w:pPr>
              <w:spacing w:after="0" w:before="0"/>
              <w:jc w:val="left"/>
            </w:pPr>
            <w:r/>
            <w:r>
              <w:rPr>
                <w:rFonts w:ascii="Calibri" w:hAnsi="Calibri"/>
                <w:b w:val="0"/>
                <w:sz w:val="18"/>
              </w:rPr>
              <w:t>Sheet 6</w:t>
            </w:r>
          </w:p>
        </w:tc>
        <w:tc>
          <w:tcPr>
            <w:tcW w:type="dxa" w:w="2592"/>
            <w:shd w:val="clear" w:color="auto" w:fill="FFFFFF"/>
          </w:tcPr>
          <w:p>
            <w:pPr>
              <w:spacing w:after="0" w:before="0"/>
              <w:jc w:val="left"/>
            </w:pPr>
            <w:r/>
            <w:r>
              <w:rPr>
                <w:rFonts w:ascii="Calibri" w:hAnsi="Calibri"/>
                <w:b w:val="0"/>
                <w:sz w:val="18"/>
              </w:rPr>
              <w:t>Business Segments</w:t>
            </w:r>
          </w:p>
        </w:tc>
        <w:tc>
          <w:tcPr>
            <w:tcW w:type="dxa" w:w="5040"/>
            <w:shd w:val="clear" w:color="auto" w:fill="FFFFFF"/>
          </w:tcPr>
          <w:p>
            <w:pPr>
              <w:spacing w:after="0" w:before="0"/>
              <w:jc w:val="left"/>
            </w:pPr>
            <w:r/>
            <w:r>
              <w:rPr>
                <w:rFonts w:ascii="Calibri" w:hAnsi="Calibri"/>
                <w:b w:val="0"/>
                <w:sz w:val="18"/>
              </w:rPr>
              <w:t>Segment revenue, operating income, assets (placeholder Phase 4)</w:t>
            </w:r>
          </w:p>
        </w:tc>
      </w:tr>
      <w:tr>
        <w:tc>
          <w:tcPr>
            <w:tcW w:type="dxa" w:w="1008"/>
            <w:shd w:val="clear" w:color="auto" w:fill="F2F2F2"/>
          </w:tcPr>
          <w:p>
            <w:pPr>
              <w:spacing w:after="0" w:before="0"/>
              <w:jc w:val="left"/>
            </w:pPr>
            <w:r/>
            <w:r>
              <w:rPr>
                <w:rFonts w:ascii="Calibri" w:hAnsi="Calibri"/>
                <w:b w:val="0"/>
                <w:sz w:val="18"/>
              </w:rPr>
              <w:t>Sheet 7</w:t>
            </w:r>
          </w:p>
        </w:tc>
        <w:tc>
          <w:tcPr>
            <w:tcW w:type="dxa" w:w="2592"/>
            <w:shd w:val="clear" w:color="auto" w:fill="F2F2F2"/>
          </w:tcPr>
          <w:p>
            <w:pPr>
              <w:spacing w:after="0" w:before="0"/>
              <w:jc w:val="left"/>
            </w:pPr>
            <w:r/>
            <w:r>
              <w:rPr>
                <w:rFonts w:ascii="Calibri" w:hAnsi="Calibri"/>
                <w:b w:val="0"/>
                <w:sz w:val="18"/>
              </w:rPr>
              <w:t>Strategic Initiatives</w:t>
            </w:r>
          </w:p>
        </w:tc>
        <w:tc>
          <w:tcPr>
            <w:tcW w:type="dxa" w:w="5040"/>
            <w:shd w:val="clear" w:color="auto" w:fill="F2F2F2"/>
          </w:tcPr>
          <w:p>
            <w:pPr>
              <w:spacing w:after="0" w:before="0"/>
              <w:jc w:val="left"/>
            </w:pPr>
            <w:r/>
            <w:r>
              <w:rPr>
                <w:rFonts w:ascii="Calibri" w:hAnsi="Calibri"/>
                <w:b w:val="0"/>
                <w:sz w:val="18"/>
              </w:rPr>
              <w:t>M&amp;A, capex plans, guidance (placeholder Phase 5)</w:t>
            </w:r>
          </w:p>
        </w:tc>
      </w:tr>
      <w:tr>
        <w:tc>
          <w:tcPr>
            <w:tcW w:type="dxa" w:w="1008"/>
            <w:shd w:val="clear" w:color="auto" w:fill="FFFFFF"/>
          </w:tcPr>
          <w:p>
            <w:pPr>
              <w:spacing w:after="0" w:before="0"/>
              <w:jc w:val="left"/>
            </w:pPr>
            <w:r/>
            <w:r>
              <w:rPr>
                <w:rFonts w:ascii="Calibri" w:hAnsi="Calibri"/>
                <w:b w:val="0"/>
                <w:sz w:val="18"/>
              </w:rPr>
              <w:t>Sheet 8</w:t>
            </w:r>
          </w:p>
        </w:tc>
        <w:tc>
          <w:tcPr>
            <w:tcW w:type="dxa" w:w="2592"/>
            <w:shd w:val="clear" w:color="auto" w:fill="FFFFFF"/>
          </w:tcPr>
          <w:p>
            <w:pPr>
              <w:spacing w:after="0" w:before="0"/>
              <w:jc w:val="left"/>
            </w:pPr>
            <w:r/>
            <w:r>
              <w:rPr>
                <w:rFonts w:ascii="Calibri" w:hAnsi="Calibri"/>
                <w:b w:val="0"/>
                <w:sz w:val="18"/>
              </w:rPr>
              <w:t>Data Sources</w:t>
            </w:r>
          </w:p>
        </w:tc>
        <w:tc>
          <w:tcPr>
            <w:tcW w:type="dxa" w:w="5040"/>
            <w:shd w:val="clear" w:color="auto" w:fill="FFFFFF"/>
          </w:tcPr>
          <w:p>
            <w:pPr>
              <w:spacing w:after="0" w:before="0"/>
              <w:jc w:val="left"/>
            </w:pPr>
            <w:r/>
            <w:r>
              <w:rPr>
                <w:rFonts w:ascii="Calibri" w:hAnsi="Calibri"/>
                <w:b w:val="0"/>
                <w:sz w:val="18"/>
              </w:rPr>
              <w:t>Document list with URLs, tiers, filing dates, extraction methods</w:t>
            </w:r>
          </w:p>
        </w:tc>
      </w:tr>
      <w:tr>
        <w:tc>
          <w:tcPr>
            <w:tcW w:type="dxa" w:w="1008"/>
            <w:shd w:val="clear" w:color="auto" w:fill="F2F2F2"/>
          </w:tcPr>
          <w:p>
            <w:pPr>
              <w:spacing w:after="0" w:before="0"/>
              <w:jc w:val="left"/>
            </w:pPr>
            <w:r/>
            <w:r>
              <w:rPr>
                <w:rFonts w:ascii="Calibri" w:hAnsi="Calibri"/>
                <w:b w:val="0"/>
                <w:sz w:val="18"/>
              </w:rPr>
              <w:t>Sheet 9</w:t>
            </w:r>
          </w:p>
        </w:tc>
        <w:tc>
          <w:tcPr>
            <w:tcW w:type="dxa" w:w="2592"/>
            <w:shd w:val="clear" w:color="auto" w:fill="F2F2F2"/>
          </w:tcPr>
          <w:p>
            <w:pPr>
              <w:spacing w:after="0" w:before="0"/>
              <w:jc w:val="left"/>
            </w:pPr>
            <w:r/>
            <w:r>
              <w:rPr>
                <w:rFonts w:ascii="Calibri" w:hAnsi="Calibri"/>
                <w:b w:val="0"/>
                <w:sz w:val="18"/>
              </w:rPr>
              <w:t>Validation Report</w:t>
            </w:r>
          </w:p>
        </w:tc>
        <w:tc>
          <w:tcPr>
            <w:tcW w:type="dxa" w:w="5040"/>
            <w:shd w:val="clear" w:color="auto" w:fill="F2F2F2"/>
          </w:tcPr>
          <w:p>
            <w:pPr>
              <w:spacing w:after="0" w:before="0"/>
              <w:jc w:val="left"/>
            </w:pPr>
            <w:r/>
            <w:r>
              <w:rPr>
                <w:rFonts w:ascii="Calibri" w:hAnsi="Calibri"/>
                <w:b w:val="0"/>
                <w:sz w:val="18"/>
              </w:rPr>
              <w:t>All rule results colour-coded: Pass/Fail/Warning/Info</w:t>
            </w:r>
          </w:p>
        </w:tc>
      </w:tr>
      <w:tr>
        <w:tc>
          <w:tcPr>
            <w:tcW w:type="dxa" w:w="1008"/>
            <w:shd w:val="clear" w:color="auto" w:fill="FFFFFF"/>
          </w:tcPr>
          <w:p>
            <w:pPr>
              <w:spacing w:after="0" w:before="0"/>
              <w:jc w:val="left"/>
            </w:pPr>
            <w:r/>
            <w:r>
              <w:rPr>
                <w:rFonts w:ascii="Calibri" w:hAnsi="Calibri"/>
                <w:b w:val="0"/>
                <w:sz w:val="18"/>
              </w:rPr>
              <w:t>Sheet 10</w:t>
            </w:r>
          </w:p>
        </w:tc>
        <w:tc>
          <w:tcPr>
            <w:tcW w:type="dxa" w:w="2592"/>
            <w:shd w:val="clear" w:color="auto" w:fill="FFFFFF"/>
          </w:tcPr>
          <w:p>
            <w:pPr>
              <w:spacing w:after="0" w:before="0"/>
              <w:jc w:val="left"/>
            </w:pPr>
            <w:r/>
            <w:r>
              <w:rPr>
                <w:rFonts w:ascii="Calibri" w:hAnsi="Calibri"/>
                <w:b w:val="0"/>
                <w:sz w:val="18"/>
              </w:rPr>
              <w:t>Metadata</w:t>
            </w:r>
          </w:p>
        </w:tc>
        <w:tc>
          <w:tcPr>
            <w:tcW w:type="dxa" w:w="5040"/>
            <w:shd w:val="clear" w:color="auto" w:fill="FFFFFF"/>
          </w:tcPr>
          <w:p>
            <w:pPr>
              <w:spacing w:after="0" w:before="0"/>
              <w:jc w:val="left"/>
            </w:pPr>
            <w:r/>
            <w:r>
              <w:rPr>
                <w:rFonts w:ascii="Calibri" w:hAnsi="Calibri"/>
                <w:b w:val="0"/>
                <w:sz w:val="18"/>
              </w:rPr>
              <w:t>Job ID, timestamp, user, template version, model version, data version</w:t>
            </w:r>
          </w:p>
        </w:tc>
      </w:tr>
    </w:tbl>
    <w:p/>
    <w:p>
      <w:pPr>
        <w:spacing w:after="120" w:before="0"/>
      </w:pPr>
      <w:r>
        <w:rPr>
          <w:rFonts w:ascii="Calibri" w:hAnsi="Calibri"/>
          <w:b/>
          <w:i w:val="0"/>
          <w:sz w:val="20"/>
        </w:rPr>
        <w:t>openpyxl Implementation Notes</w:t>
      </w:r>
    </w:p>
    <w:p>
      <w:pPr>
        <w:pStyle w:val="ListBullet"/>
        <w:spacing w:after="60" w:before="0"/>
      </w:pPr>
      <w:r>
        <w:rPr>
          <w:rFonts w:ascii="Calibri" w:hAnsi="Calibri"/>
          <w:sz w:val="20"/>
        </w:rPr>
        <w:t>Use openpyxl with write_only=False to allow formula evaluation and named ranges</w:t>
      </w:r>
    </w:p>
    <w:p>
      <w:pPr>
        <w:pStyle w:val="ListBullet"/>
        <w:spacing w:after="60" w:before="0"/>
      </w:pPr>
      <w:r>
        <w:rPr>
          <w:rFonts w:ascii="Calibri" w:hAnsi="Calibri"/>
          <w:sz w:val="20"/>
        </w:rPr>
        <w:t>Define named ranges for each data section to allow external workbook formula references</w:t>
      </w:r>
    </w:p>
    <w:p>
      <w:pPr>
        <w:pStyle w:val="ListBullet"/>
        <w:spacing w:after="60" w:before="0"/>
      </w:pPr>
      <w:r>
        <w:rPr>
          <w:rFonts w:ascii="Calibri" w:hAnsi="Calibri"/>
          <w:sz w:val="20"/>
        </w:rPr>
        <w:t>Set workbook calculation mode to automatic</w:t>
      </w:r>
    </w:p>
    <w:p>
      <w:pPr>
        <w:pStyle w:val="ListBullet"/>
        <w:spacing w:after="60" w:before="0"/>
      </w:pPr>
      <w:r>
        <w:rPr>
          <w:rFonts w:ascii="Calibri" w:hAnsi="Calibri"/>
          <w:sz w:val="20"/>
        </w:rPr>
        <w:t>Set print areas and print titles on each sheet for clean printing</w:t>
      </w:r>
    </w:p>
    <w:p>
      <w:pPr>
        <w:pStyle w:val="ListBullet"/>
        <w:spacing w:after="60" w:before="0"/>
      </w:pPr>
      <w:r>
        <w:rPr>
          <w:rFonts w:ascii="Calibri" w:hAnsi="Calibri"/>
          <w:sz w:val="20"/>
        </w:rPr>
        <w:t>Sheet protection with password to prevent accidental formula breakage — user override permitted</w:t>
      </w:r>
    </w:p>
    <w:p>
      <w:pPr>
        <w:pStyle w:val="ListBullet"/>
        <w:spacing w:after="60" w:before="0"/>
      </w:pPr>
      <w:r>
        <w:rPr>
          <w:rFonts w:ascii="Calibri" w:hAnsi="Calibri"/>
          <w:sz w:val="20"/>
        </w:rPr>
        <w:t>Sheet 8 (Data Sources): hyperlink each source URL using openpyxl's Hyperlink class</w:t>
      </w:r>
    </w:p>
    <w:p>
      <w:pPr>
        <w:pStyle w:val="ListBullet"/>
        <w:spacing w:after="60" w:before="0"/>
      </w:pPr>
      <w:r>
        <w:rPr>
          <w:rFonts w:ascii="Calibri" w:hAnsi="Calibri"/>
          <w:sz w:val="20"/>
        </w:rPr>
        <w:t>Sheet 9 (Validation): conditional formatting rules applied programmatically via DifferentialStyle</w:t>
      </w:r>
    </w:p>
    <w:p>
      <w:r>
        <w:br w:type="page"/>
      </w:r>
    </w:p>
    <w:p>
      <w:pPr>
        <w:pStyle w:val="Heading1"/>
        <w:spacing w:before="280" w:after="80"/>
      </w:pPr>
      <w:r>
        <w:rPr>
          <w:rFonts w:ascii="Calibri" w:hAnsi="Calibri"/>
          <w:color w:val="1F3864"/>
          <w:sz w:val="32"/>
        </w:rPr>
        <w:t>Section 8 — Authentication &amp; User Management</w:t>
      </w:r>
    </w:p>
    <w:p>
      <w:pPr>
        <w:spacing w:before="80" w:after="80"/>
        <w:pBdr>
          <w:bottom w:val="single" w:sz="6" w:space="1" w:color="2E75B6"/>
        </w:pBdr>
      </w:pPr>
    </w:p>
    <w:p>
      <w:pPr>
        <w:pStyle w:val="Heading2"/>
        <w:spacing w:before="280" w:after="80"/>
      </w:pPr>
      <w:r>
        <w:rPr>
          <w:rFonts w:ascii="Calibri" w:hAnsi="Calibri"/>
          <w:color w:val="2E75B6"/>
          <w:sz w:val="26"/>
        </w:rPr>
        <w:t>8.1  Missing Information</w:t>
      </w:r>
    </w:p>
    <w:p>
      <w:pPr>
        <w:pStyle w:val="ListBullet"/>
        <w:spacing w:after="60" w:before="0"/>
      </w:pPr>
      <w:r>
        <w:rPr>
          <w:rFonts w:ascii="Calibri" w:hAnsi="Calibri"/>
          <w:sz w:val="20"/>
        </w:rPr>
        <w:t>No authentication mechanism specified — JWT, sessions, or OAuth is undecided</w:t>
      </w:r>
    </w:p>
    <w:p>
      <w:pPr>
        <w:pStyle w:val="ListBullet"/>
        <w:spacing w:after="60" w:before="0"/>
      </w:pPr>
      <w:r>
        <w:rPr>
          <w:rFonts w:ascii="Calibri" w:hAnsi="Calibri"/>
          <w:sz w:val="20"/>
        </w:rPr>
        <w:t>No session management design</w:t>
      </w:r>
    </w:p>
    <w:p>
      <w:pPr>
        <w:pStyle w:val="ListBullet"/>
        <w:spacing w:after="60" w:before="0"/>
      </w:pPr>
      <w:r>
        <w:rPr>
          <w:rFonts w:ascii="Calibri" w:hAnsi="Calibri"/>
          <w:sz w:val="20"/>
        </w:rPr>
        <w:t>No password policy — minimum length, complexity, breach checking</w:t>
      </w:r>
    </w:p>
    <w:p>
      <w:pPr>
        <w:pStyle w:val="ListBullet"/>
        <w:spacing w:after="60" w:before="0"/>
      </w:pPr>
      <w:r>
        <w:rPr>
          <w:rFonts w:ascii="Calibri" w:hAnsi="Calibri"/>
          <w:sz w:val="20"/>
        </w:rPr>
        <w:t>No role definitions — what each role can and cannot do</w:t>
      </w:r>
    </w:p>
    <w:p>
      <w:pPr>
        <w:pStyle w:val="ListBullet"/>
        <w:spacing w:after="60" w:before="0"/>
      </w:pPr>
      <w:r>
        <w:rPr>
          <w:rFonts w:ascii="Calibri" w:hAnsi="Calibri"/>
          <w:sz w:val="20"/>
        </w:rPr>
        <w:t>No permission matrix across all API endpoints</w:t>
      </w:r>
    </w:p>
    <w:p>
      <w:pPr>
        <w:pStyle w:val="ListBullet"/>
        <w:spacing w:after="60" w:before="0"/>
      </w:pPr>
      <w:r>
        <w:rPr>
          <w:rFonts w:ascii="Calibri" w:hAnsi="Calibri"/>
          <w:sz w:val="20"/>
        </w:rPr>
        <w:t>No multi-factor authentication design</w:t>
      </w:r>
    </w:p>
    <w:p>
      <w:pPr>
        <w:pStyle w:val="ListBullet"/>
        <w:spacing w:after="60" w:before="0"/>
      </w:pPr>
      <w:r>
        <w:rPr>
          <w:rFonts w:ascii="Calibri" w:hAnsi="Calibri"/>
          <w:sz w:val="20"/>
        </w:rPr>
        <w:t>No OAuth / SSO design for enterprise customers</w:t>
      </w:r>
    </w:p>
    <w:p>
      <w:pPr>
        <w:pStyle w:val="ListBullet"/>
        <w:spacing w:after="60" w:before="0"/>
      </w:pPr>
      <w:r>
        <w:rPr>
          <w:rFonts w:ascii="Calibri" w:hAnsi="Calibri"/>
          <w:sz w:val="20"/>
        </w:rPr>
        <w:t>No account recovery flow</w:t>
      </w:r>
    </w:p>
    <w:p>
      <w:pPr>
        <w:pStyle w:val="ListBullet"/>
        <w:spacing w:after="60" w:before="0"/>
      </w:pPr>
      <w:r>
        <w:rPr>
          <w:rFonts w:ascii="Calibri" w:hAnsi="Calibri"/>
          <w:sz w:val="20"/>
        </w:rPr>
        <w:t>No session invalidation strategy — compromised tokens cannot be revoked without server-side state</w:t>
      </w:r>
    </w:p>
    <w:p>
      <w:pPr>
        <w:pStyle w:val="ListBullet"/>
        <w:spacing w:after="60" w:before="0"/>
      </w:pPr>
      <w:r>
        <w:rPr>
          <w:rFonts w:ascii="Calibri" w:hAnsi="Calibri"/>
          <w:sz w:val="20"/>
        </w:rPr>
        <w:t>No rate limiting on authentication endpoints — brute-force attacks unmitigated</w:t>
      </w:r>
    </w:p>
    <w:p>
      <w:pPr>
        <w:pStyle w:val="Heading2"/>
        <w:spacing w:before="280" w:after="80"/>
      </w:pPr>
      <w:r>
        <w:rPr>
          <w:rFonts w:ascii="Calibri" w:hAnsi="Calibri"/>
          <w:color w:val="2E75B6"/>
          <w:sz w:val="26"/>
        </w:rPr>
        <w:t>8.2  Required Decisions</w:t>
      </w:r>
    </w:p>
    <w:p>
      <w:pPr>
        <w:spacing w:before="160" w:after="40"/>
      </w:pPr>
      <w:r>
        <w:rPr>
          <w:rFonts w:ascii="Calibri" w:hAnsi="Calibri"/>
          <w:b/>
          <w:color w:val="2E75B6"/>
          <w:sz w:val="20"/>
        </w:rPr>
        <w:t>Decision 1: Authentication Mechanism</w:t>
      </w:r>
    </w:p>
    <w:p>
      <w:pPr>
        <w:spacing w:after="40" w:before="0"/>
      </w:pPr>
      <w:r>
        <w:rPr>
          <w:rFonts w:ascii="Calibri" w:hAnsi="Calibri"/>
          <w:b w:val="0"/>
          <w:i/>
          <w:sz w:val="20"/>
        </w:rPr>
        <w:t>Options: JWT stateless tokens, server-side sessions, OAuth2 with refresh tokens</w:t>
      </w:r>
    </w:p>
    <w:p>
      <w:pPr>
        <w:spacing w:after="120" w:before="0"/>
      </w:pPr>
      <w:r>
        <w:rPr>
          <w:rFonts w:ascii="Calibri" w:hAnsi="Calibri"/>
          <w:b w:val="0"/>
          <w:i w:val="0"/>
          <w:sz w:val="20"/>
        </w:rPr>
        <w:t>Recommendation: JWT access tokens (15-minute expiry) + Refresh tokens (30-day expiry, stored in httpOnly cookie). Access token in Authorization header for API calls. Refresh token rotation on every use. This is the standard pattern for SPAs with FastAPI backends.</w:t>
      </w:r>
    </w:p>
    <w:p>
      <w:pPr>
        <w:spacing w:before="160" w:after="40"/>
      </w:pPr>
      <w:r>
        <w:rPr>
          <w:rFonts w:ascii="Calibri" w:hAnsi="Calibri"/>
          <w:b/>
          <w:color w:val="2E75B6"/>
          <w:sz w:val="20"/>
        </w:rPr>
        <w:t>Decision 2: Password Storage</w:t>
      </w:r>
    </w:p>
    <w:p>
      <w:pPr>
        <w:spacing w:after="120" w:before="0"/>
      </w:pPr>
      <w:r>
        <w:rPr>
          <w:rFonts w:ascii="Calibri" w:hAnsi="Calibri"/>
          <w:b w:val="0"/>
          <w:i w:val="0"/>
          <w:sz w:val="20"/>
        </w:rPr>
        <w:t>Recommendation: bcrypt with cost factor 12 via passlib[bcrypt]. Never store plaintext or reversibly-encrypted passwords. Check new passwords against HaveIBeenPwned API using k-anonymity model (does not send the actual password).</w:t>
      </w:r>
    </w:p>
    <w:p>
      <w:pPr>
        <w:spacing w:before="160" w:after="40"/>
      </w:pPr>
      <w:r>
        <w:rPr>
          <w:rFonts w:ascii="Calibri" w:hAnsi="Calibri"/>
          <w:b/>
          <w:color w:val="2E75B6"/>
          <w:sz w:val="20"/>
        </w:rPr>
        <w:t>Decision 3: Role-Based Access Control</w:t>
      </w:r>
    </w:p>
    <w:p>
      <w:pPr>
        <w:spacing w:after="120" w:before="0"/>
      </w:pPr>
      <w:r>
        <w:rPr>
          <w:rFonts w:ascii="Calibri" w:hAnsi="Calibri"/>
          <w:b w:val="0"/>
          <w:i w:val="0"/>
          <w:sz w:val="20"/>
        </w:rPr>
        <w:t>Recommendation: Four roles: OWNER (full access, billing, workspace deletion). ADMIN (full data access, user management). ANALYST (full data access, create and export jobs, cannot manage users). VIEWER (read-only, cannot create jobs or export).</w:t>
      </w:r>
    </w:p>
    <w:p>
      <w:pPr>
        <w:spacing w:before="160" w:after="40"/>
      </w:pPr>
      <w:r>
        <w:rPr>
          <w:rFonts w:ascii="Calibri" w:hAnsi="Calibri"/>
          <w:b/>
          <w:color w:val="2E75B6"/>
          <w:sz w:val="20"/>
        </w:rPr>
        <w:t>Decision 4: Multi-Factor Authentication</w:t>
      </w:r>
    </w:p>
    <w:p>
      <w:pPr>
        <w:spacing w:after="120" w:before="0"/>
      </w:pPr>
      <w:r>
        <w:rPr>
          <w:rFonts w:ascii="Calibri" w:hAnsi="Calibri"/>
          <w:b w:val="0"/>
          <w:i w:val="0"/>
          <w:sz w:val="20"/>
        </w:rPr>
        <w:t>Recommendation: TOTP via authenticator app using pyotp library. Optional in Phase 1, required for Enterprise plan in Phase 7. Store TOTP secret AES-encrypted in users table. Never store TOTP secret in plaintext.</w:t>
      </w:r>
    </w:p>
    <w:p>
      <w:pPr>
        <w:spacing w:before="160" w:after="40"/>
      </w:pPr>
      <w:r>
        <w:rPr>
          <w:rFonts w:ascii="Calibri" w:hAnsi="Calibri"/>
          <w:b/>
          <w:color w:val="2E75B6"/>
          <w:sz w:val="20"/>
        </w:rPr>
        <w:t>Decision 5: Enterprise SSO</w:t>
      </w:r>
    </w:p>
    <w:p>
      <w:pPr>
        <w:spacing w:after="120" w:before="0"/>
      </w:pPr>
      <w:r>
        <w:rPr>
          <w:rFonts w:ascii="Calibri" w:hAnsi="Calibri"/>
          <w:b w:val="0"/>
          <w:i w:val="0"/>
          <w:sz w:val="20"/>
        </w:rPr>
        <w:t>Recommendation: SAML 2.0 and OIDC support for Phase 7. Design the auth layer with a provider abstraction interface from Phase 1 so SSO can be added without rewriting auth middleware.</w:t>
      </w:r>
    </w:p>
    <w:p>
      <w:pPr>
        <w:pStyle w:val="Heading2"/>
        <w:spacing w:before="280" w:after="80"/>
      </w:pPr>
      <w:r>
        <w:rPr>
          <w:rFonts w:ascii="Calibri" w:hAnsi="Calibri"/>
          <w:color w:val="2E75B6"/>
          <w:sz w:val="26"/>
        </w:rPr>
        <w:t>8.3  Recommended Design</w:t>
      </w:r>
    </w:p>
    <w:p>
      <w:pPr>
        <w:spacing w:after="120" w:before="0"/>
      </w:pPr>
      <w:r>
        <w:rPr>
          <w:rFonts w:ascii="Calibri" w:hAnsi="Calibri"/>
          <w:b/>
          <w:i w:val="0"/>
          <w:sz w:val="20"/>
        </w:rPr>
        <w:t>Authentication Flow</w:t>
      </w:r>
    </w:p>
    <w:tbl>
      <w:tblPr>
        <w:tblStyle w:val="TableGrid"/>
        <w:tblW w:type="auto" w:w="0"/>
        <w:jc w:val="left"/>
        <w:tblLook w:firstColumn="1" w:firstRow="1" w:lastColumn="0" w:lastRow="0" w:noHBand="0" w:noVBand="1" w:val="04A0"/>
      </w:tblPr>
      <w:tblGrid>
        <w:gridCol w:w="4320"/>
        <w:gridCol w:w="4320"/>
      </w:tblGrid>
      <w:tr>
        <w:trPr>
          <w:trHeight w:val="397"/>
        </w:trPr>
        <w:tc>
          <w:tcPr>
            <w:tcW w:type="dxa" w:w="4032"/>
            <w:shd w:val="clear" w:color="auto" w:fill="1F3864"/>
          </w:tcPr>
          <w:p>
            <w:pPr>
              <w:spacing w:after="0" w:before="0"/>
              <w:jc w:val="center"/>
            </w:pPr>
            <w:r/>
            <w:r>
              <w:rPr>
                <w:rFonts w:ascii="Calibri" w:hAnsi="Calibri"/>
                <w:b/>
                <w:color w:val="FFFFFF"/>
                <w:sz w:val="18"/>
              </w:rPr>
              <w:t>Endpoint</w:t>
            </w:r>
          </w:p>
        </w:tc>
        <w:tc>
          <w:tcPr>
            <w:tcW w:type="dxa" w:w="4608"/>
            <w:shd w:val="clear" w:color="auto" w:fill="1F3864"/>
          </w:tcPr>
          <w:p>
            <w:pPr>
              <w:spacing w:after="0" w:before="0"/>
              <w:jc w:val="center"/>
            </w:pPr>
            <w:r/>
            <w:r>
              <w:rPr>
                <w:rFonts w:ascii="Calibri" w:hAnsi="Calibri"/>
                <w:b/>
                <w:color w:val="FFFFFF"/>
                <w:sz w:val="18"/>
              </w:rPr>
              <w:t>Action</w:t>
            </w:r>
          </w:p>
        </w:tc>
      </w:tr>
      <w:tr>
        <w:tc>
          <w:tcPr>
            <w:tcW w:type="dxa" w:w="4032"/>
            <w:shd w:val="clear" w:color="auto" w:fill="F2F2F2"/>
          </w:tcPr>
          <w:p>
            <w:pPr>
              <w:spacing w:after="0" w:before="0"/>
              <w:jc w:val="left"/>
            </w:pPr>
            <w:r/>
            <w:r>
              <w:rPr>
                <w:rFonts w:ascii="Calibri" w:hAnsi="Calibri"/>
                <w:b w:val="0"/>
                <w:sz w:val="18"/>
              </w:rPr>
              <w:t>POST /api/v1/auth/register</w:t>
            </w:r>
          </w:p>
        </w:tc>
        <w:tc>
          <w:tcPr>
            <w:tcW w:type="dxa" w:w="4608"/>
            <w:shd w:val="clear" w:color="auto" w:fill="F2F2F2"/>
          </w:tcPr>
          <w:p>
            <w:pPr>
              <w:spacing w:after="0" w:before="0"/>
              <w:jc w:val="left"/>
            </w:pPr>
            <w:r/>
            <w:r>
              <w:rPr>
                <w:rFonts w:ascii="Calibri" w:hAnsi="Calibri"/>
                <w:b w:val="0"/>
                <w:sz w:val="18"/>
              </w:rPr>
              <w:t>Create user + tenant; return access token + set refresh cookie</w:t>
            </w:r>
          </w:p>
        </w:tc>
      </w:tr>
      <w:tr>
        <w:tc>
          <w:tcPr>
            <w:tcW w:type="dxa" w:w="4032"/>
            <w:shd w:val="clear" w:color="auto" w:fill="FFFFFF"/>
          </w:tcPr>
          <w:p>
            <w:pPr>
              <w:spacing w:after="0" w:before="0"/>
              <w:jc w:val="left"/>
            </w:pPr>
            <w:r/>
            <w:r>
              <w:rPr>
                <w:rFonts w:ascii="Calibri" w:hAnsi="Calibri"/>
                <w:b w:val="0"/>
                <w:sz w:val="18"/>
              </w:rPr>
              <w:t>POST /api/v1/auth/login</w:t>
            </w:r>
          </w:p>
        </w:tc>
        <w:tc>
          <w:tcPr>
            <w:tcW w:type="dxa" w:w="4608"/>
            <w:shd w:val="clear" w:color="auto" w:fill="FFFFFF"/>
          </w:tcPr>
          <w:p>
            <w:pPr>
              <w:spacing w:after="0" w:before="0"/>
              <w:jc w:val="left"/>
            </w:pPr>
            <w:r/>
            <w:r>
              <w:rPr>
                <w:rFonts w:ascii="Calibri" w:hAnsi="Calibri"/>
                <w:b w:val="0"/>
                <w:sz w:val="18"/>
              </w:rPr>
              <w:t>Validate credentials; return access token + set refresh cookie</w:t>
            </w:r>
          </w:p>
        </w:tc>
      </w:tr>
      <w:tr>
        <w:tc>
          <w:tcPr>
            <w:tcW w:type="dxa" w:w="4032"/>
            <w:shd w:val="clear" w:color="auto" w:fill="F2F2F2"/>
          </w:tcPr>
          <w:p>
            <w:pPr>
              <w:spacing w:after="0" w:before="0"/>
              <w:jc w:val="left"/>
            </w:pPr>
            <w:r/>
            <w:r>
              <w:rPr>
                <w:rFonts w:ascii="Calibri" w:hAnsi="Calibri"/>
                <w:b w:val="0"/>
                <w:sz w:val="18"/>
              </w:rPr>
              <w:t>POST /api/v1/auth/refresh</w:t>
            </w:r>
          </w:p>
        </w:tc>
        <w:tc>
          <w:tcPr>
            <w:tcW w:type="dxa" w:w="4608"/>
            <w:shd w:val="clear" w:color="auto" w:fill="F2F2F2"/>
          </w:tcPr>
          <w:p>
            <w:pPr>
              <w:spacing w:after="0" w:before="0"/>
              <w:jc w:val="left"/>
            </w:pPr>
            <w:r/>
            <w:r>
              <w:rPr>
                <w:rFonts w:ascii="Calibri" w:hAnsi="Calibri"/>
                <w:b w:val="0"/>
                <w:sz w:val="18"/>
              </w:rPr>
              <w:t>Validate refresh cookie; rotate refresh token; return new access token</w:t>
            </w:r>
          </w:p>
        </w:tc>
      </w:tr>
      <w:tr>
        <w:tc>
          <w:tcPr>
            <w:tcW w:type="dxa" w:w="4032"/>
            <w:shd w:val="clear" w:color="auto" w:fill="FFFFFF"/>
          </w:tcPr>
          <w:p>
            <w:pPr>
              <w:spacing w:after="0" w:before="0"/>
              <w:jc w:val="left"/>
            </w:pPr>
            <w:r/>
            <w:r>
              <w:rPr>
                <w:rFonts w:ascii="Calibri" w:hAnsi="Calibri"/>
                <w:b w:val="0"/>
                <w:sz w:val="18"/>
              </w:rPr>
              <w:t>POST /api/v1/auth/logout</w:t>
            </w:r>
          </w:p>
        </w:tc>
        <w:tc>
          <w:tcPr>
            <w:tcW w:type="dxa" w:w="4608"/>
            <w:shd w:val="clear" w:color="auto" w:fill="FFFFFF"/>
          </w:tcPr>
          <w:p>
            <w:pPr>
              <w:spacing w:after="0" w:before="0"/>
              <w:jc w:val="left"/>
            </w:pPr>
            <w:r/>
            <w:r>
              <w:rPr>
                <w:rFonts w:ascii="Calibri" w:hAnsi="Calibri"/>
                <w:b w:val="0"/>
                <w:sz w:val="18"/>
              </w:rPr>
              <w:t>Invalidate refresh token in Redis blocklist; clear cookie</w:t>
            </w:r>
          </w:p>
        </w:tc>
      </w:tr>
      <w:tr>
        <w:tc>
          <w:tcPr>
            <w:tcW w:type="dxa" w:w="4032"/>
            <w:shd w:val="clear" w:color="auto" w:fill="F2F2F2"/>
          </w:tcPr>
          <w:p>
            <w:pPr>
              <w:spacing w:after="0" w:before="0"/>
              <w:jc w:val="left"/>
            </w:pPr>
            <w:r/>
            <w:r>
              <w:rPr>
                <w:rFonts w:ascii="Calibri" w:hAnsi="Calibri"/>
                <w:b w:val="0"/>
                <w:sz w:val="18"/>
              </w:rPr>
              <w:t>POST /api/v1/auth/forgot-password</w:t>
            </w:r>
          </w:p>
        </w:tc>
        <w:tc>
          <w:tcPr>
            <w:tcW w:type="dxa" w:w="4608"/>
            <w:shd w:val="clear" w:color="auto" w:fill="F2F2F2"/>
          </w:tcPr>
          <w:p>
            <w:pPr>
              <w:spacing w:after="0" w:before="0"/>
              <w:jc w:val="left"/>
            </w:pPr>
            <w:r/>
            <w:r>
              <w:rPr>
                <w:rFonts w:ascii="Calibri" w:hAnsi="Calibri"/>
                <w:b w:val="0"/>
                <w:sz w:val="18"/>
              </w:rPr>
              <w:t>Send reset email with 1-hour time-limited token</w:t>
            </w:r>
          </w:p>
        </w:tc>
      </w:tr>
      <w:tr>
        <w:tc>
          <w:tcPr>
            <w:tcW w:type="dxa" w:w="4032"/>
            <w:shd w:val="clear" w:color="auto" w:fill="FFFFFF"/>
          </w:tcPr>
          <w:p>
            <w:pPr>
              <w:spacing w:after="0" w:before="0"/>
              <w:jc w:val="left"/>
            </w:pPr>
            <w:r/>
            <w:r>
              <w:rPr>
                <w:rFonts w:ascii="Calibri" w:hAnsi="Calibri"/>
                <w:b w:val="0"/>
                <w:sz w:val="18"/>
              </w:rPr>
              <w:t>POST /api/v1/auth/reset-password/{token}</w:t>
            </w:r>
          </w:p>
        </w:tc>
        <w:tc>
          <w:tcPr>
            <w:tcW w:type="dxa" w:w="4608"/>
            <w:shd w:val="clear" w:color="auto" w:fill="FFFFFF"/>
          </w:tcPr>
          <w:p>
            <w:pPr>
              <w:spacing w:after="0" w:before="0"/>
              <w:jc w:val="left"/>
            </w:pPr>
            <w:r/>
            <w:r>
              <w:rPr>
                <w:rFonts w:ascii="Calibri" w:hAnsi="Calibri"/>
                <w:b w:val="0"/>
                <w:sz w:val="18"/>
              </w:rPr>
              <w:t>Validate reset token; update password; invalidate all sessions</w:t>
            </w:r>
          </w:p>
        </w:tc>
      </w:tr>
    </w:tbl>
    <w:p/>
    <w:p>
      <w:pPr>
        <w:spacing w:after="120" w:before="0"/>
      </w:pPr>
      <w:r>
        <w:rPr>
          <w:rFonts w:ascii="Calibri" w:hAnsi="Calibri"/>
          <w:b/>
          <w:i w:val="0"/>
          <w:sz w:val="20"/>
        </w:rPr>
        <w:t>JWT Access Token Payload</w:t>
      </w:r>
    </w:p>
    <w:p>
      <w:pPr>
        <w:spacing w:after="120" w:before="0"/>
      </w:pPr>
      <w:r>
        <w:rPr>
          <w:rFonts w:ascii="Calibri" w:hAnsi="Calibri"/>
          <w:b w:val="0"/>
          <w:i/>
          <w:sz w:val="20"/>
        </w:rPr>
        <w:t>{ "sub": "user_id", "tid": "tenant_id", "role": "analyst", "exp": timestamp, "jti": "token_id" }</w:t>
      </w:r>
    </w:p>
    <w:p>
      <w:pPr>
        <w:spacing w:after="120" w:before="0"/>
      </w:pPr>
      <w:r>
        <w:rPr>
          <w:rFonts w:ascii="Calibri" w:hAnsi="Calibri"/>
          <w:b/>
          <w:i w:val="0"/>
          <w:sz w:val="20"/>
        </w:rPr>
        <w:t>Security Headers (applied to all responses by middleware)</w:t>
      </w:r>
    </w:p>
    <w:tbl>
      <w:tblPr>
        <w:tblStyle w:val="TableGrid"/>
        <w:tblW w:type="auto" w:w="0"/>
        <w:jc w:val="left"/>
        <w:tblLook w:firstColumn="1" w:firstRow="1" w:lastColumn="0" w:lastRow="0" w:noHBand="0" w:noVBand="1" w:val="04A0"/>
      </w:tblPr>
      <w:tblGrid>
        <w:gridCol w:w="4320"/>
        <w:gridCol w:w="4320"/>
      </w:tblGrid>
      <w:tr>
        <w:trPr>
          <w:trHeight w:val="397"/>
        </w:trPr>
        <w:tc>
          <w:tcPr>
            <w:tcW w:type="dxa" w:w="3600"/>
            <w:shd w:val="clear" w:color="auto" w:fill="1F3864"/>
          </w:tcPr>
          <w:p>
            <w:pPr>
              <w:spacing w:after="0" w:before="0"/>
              <w:jc w:val="center"/>
            </w:pPr>
            <w:r/>
            <w:r>
              <w:rPr>
                <w:rFonts w:ascii="Calibri" w:hAnsi="Calibri"/>
                <w:b/>
                <w:color w:val="FFFFFF"/>
                <w:sz w:val="18"/>
              </w:rPr>
              <w:t>Header</w:t>
            </w:r>
          </w:p>
        </w:tc>
        <w:tc>
          <w:tcPr>
            <w:tcW w:type="dxa" w:w="5040"/>
            <w:shd w:val="clear" w:color="auto" w:fill="1F3864"/>
          </w:tcPr>
          <w:p>
            <w:pPr>
              <w:spacing w:after="0" w:before="0"/>
              <w:jc w:val="center"/>
            </w:pPr>
            <w:r/>
            <w:r>
              <w:rPr>
                <w:rFonts w:ascii="Calibri" w:hAnsi="Calibri"/>
                <w:b/>
                <w:color w:val="FFFFFF"/>
                <w:sz w:val="18"/>
              </w:rPr>
              <w:t>Value</w:t>
            </w:r>
          </w:p>
        </w:tc>
      </w:tr>
      <w:tr>
        <w:tc>
          <w:tcPr>
            <w:tcW w:type="dxa" w:w="3600"/>
            <w:shd w:val="clear" w:color="auto" w:fill="F2F2F2"/>
          </w:tcPr>
          <w:p>
            <w:pPr>
              <w:spacing w:after="0" w:before="0"/>
              <w:jc w:val="left"/>
            </w:pPr>
            <w:r/>
            <w:r>
              <w:rPr>
                <w:rFonts w:ascii="Calibri" w:hAnsi="Calibri"/>
                <w:b w:val="0"/>
                <w:sz w:val="18"/>
              </w:rPr>
              <w:t>Strict-Transport-Security</w:t>
            </w:r>
          </w:p>
        </w:tc>
        <w:tc>
          <w:tcPr>
            <w:tcW w:type="dxa" w:w="5040"/>
            <w:shd w:val="clear" w:color="auto" w:fill="F2F2F2"/>
          </w:tcPr>
          <w:p>
            <w:pPr>
              <w:spacing w:after="0" w:before="0"/>
              <w:jc w:val="left"/>
            </w:pPr>
            <w:r/>
            <w:r>
              <w:rPr>
                <w:rFonts w:ascii="Calibri" w:hAnsi="Calibri"/>
                <w:b w:val="0"/>
                <w:sz w:val="18"/>
              </w:rPr>
              <w:t>max-age=31536000; includeSubDomains</w:t>
            </w:r>
          </w:p>
        </w:tc>
      </w:tr>
      <w:tr>
        <w:tc>
          <w:tcPr>
            <w:tcW w:type="dxa" w:w="3600"/>
            <w:shd w:val="clear" w:color="auto" w:fill="FFFFFF"/>
          </w:tcPr>
          <w:p>
            <w:pPr>
              <w:spacing w:after="0" w:before="0"/>
              <w:jc w:val="left"/>
            </w:pPr>
            <w:r/>
            <w:r>
              <w:rPr>
                <w:rFonts w:ascii="Calibri" w:hAnsi="Calibri"/>
                <w:b w:val="0"/>
                <w:sz w:val="18"/>
              </w:rPr>
              <w:t>X-Content-Type-Options</w:t>
            </w:r>
          </w:p>
        </w:tc>
        <w:tc>
          <w:tcPr>
            <w:tcW w:type="dxa" w:w="5040"/>
            <w:shd w:val="clear" w:color="auto" w:fill="FFFFFF"/>
          </w:tcPr>
          <w:p>
            <w:pPr>
              <w:spacing w:after="0" w:before="0"/>
              <w:jc w:val="left"/>
            </w:pPr>
            <w:r/>
            <w:r>
              <w:rPr>
                <w:rFonts w:ascii="Calibri" w:hAnsi="Calibri"/>
                <w:b w:val="0"/>
                <w:sz w:val="18"/>
              </w:rPr>
              <w:t>nosniff</w:t>
            </w:r>
          </w:p>
        </w:tc>
      </w:tr>
      <w:tr>
        <w:tc>
          <w:tcPr>
            <w:tcW w:type="dxa" w:w="3600"/>
            <w:shd w:val="clear" w:color="auto" w:fill="F2F2F2"/>
          </w:tcPr>
          <w:p>
            <w:pPr>
              <w:spacing w:after="0" w:before="0"/>
              <w:jc w:val="left"/>
            </w:pPr>
            <w:r/>
            <w:r>
              <w:rPr>
                <w:rFonts w:ascii="Calibri" w:hAnsi="Calibri"/>
                <w:b w:val="0"/>
                <w:sz w:val="18"/>
              </w:rPr>
              <w:t>X-Frame-Options</w:t>
            </w:r>
          </w:p>
        </w:tc>
        <w:tc>
          <w:tcPr>
            <w:tcW w:type="dxa" w:w="5040"/>
            <w:shd w:val="clear" w:color="auto" w:fill="F2F2F2"/>
          </w:tcPr>
          <w:p>
            <w:pPr>
              <w:spacing w:after="0" w:before="0"/>
              <w:jc w:val="left"/>
            </w:pPr>
            <w:r/>
            <w:r>
              <w:rPr>
                <w:rFonts w:ascii="Calibri" w:hAnsi="Calibri"/>
                <w:b w:val="0"/>
                <w:sz w:val="18"/>
              </w:rPr>
              <w:t>DENY</w:t>
            </w:r>
          </w:p>
        </w:tc>
      </w:tr>
      <w:tr>
        <w:tc>
          <w:tcPr>
            <w:tcW w:type="dxa" w:w="3600"/>
            <w:shd w:val="clear" w:color="auto" w:fill="FFFFFF"/>
          </w:tcPr>
          <w:p>
            <w:pPr>
              <w:spacing w:after="0" w:before="0"/>
              <w:jc w:val="left"/>
            </w:pPr>
            <w:r/>
            <w:r>
              <w:rPr>
                <w:rFonts w:ascii="Calibri" w:hAnsi="Calibri"/>
                <w:b w:val="0"/>
                <w:sz w:val="18"/>
              </w:rPr>
              <w:t>Referrer-Policy</w:t>
            </w:r>
          </w:p>
        </w:tc>
        <w:tc>
          <w:tcPr>
            <w:tcW w:type="dxa" w:w="5040"/>
            <w:shd w:val="clear" w:color="auto" w:fill="FFFFFF"/>
          </w:tcPr>
          <w:p>
            <w:pPr>
              <w:spacing w:after="0" w:before="0"/>
              <w:jc w:val="left"/>
            </w:pPr>
            <w:r/>
            <w:r>
              <w:rPr>
                <w:rFonts w:ascii="Calibri" w:hAnsi="Calibri"/>
                <w:b w:val="0"/>
                <w:sz w:val="18"/>
              </w:rPr>
              <w:t>strict-origin-when-cross-origin</w:t>
            </w:r>
          </w:p>
        </w:tc>
      </w:tr>
      <w:tr>
        <w:tc>
          <w:tcPr>
            <w:tcW w:type="dxa" w:w="3600"/>
            <w:shd w:val="clear" w:color="auto" w:fill="F2F2F2"/>
          </w:tcPr>
          <w:p>
            <w:pPr>
              <w:spacing w:after="0" w:before="0"/>
              <w:jc w:val="left"/>
            </w:pPr>
            <w:r/>
            <w:r>
              <w:rPr>
                <w:rFonts w:ascii="Calibri" w:hAnsi="Calibri"/>
                <w:b w:val="0"/>
                <w:sz w:val="18"/>
              </w:rPr>
              <w:t>Content-Security-Policy</w:t>
            </w:r>
          </w:p>
        </w:tc>
        <w:tc>
          <w:tcPr>
            <w:tcW w:type="dxa" w:w="5040"/>
            <w:shd w:val="clear" w:color="auto" w:fill="F2F2F2"/>
          </w:tcPr>
          <w:p>
            <w:pPr>
              <w:spacing w:after="0" w:before="0"/>
              <w:jc w:val="left"/>
            </w:pPr>
            <w:r/>
            <w:r>
              <w:rPr>
                <w:rFonts w:ascii="Calibri" w:hAnsi="Calibri"/>
                <w:b w:val="0"/>
                <w:sz w:val="18"/>
              </w:rPr>
              <w:t>Defined per route type</w:t>
            </w:r>
          </w:p>
        </w:tc>
      </w:tr>
    </w:tbl>
    <w:p/>
    <w:p>
      <w:pPr>
        <w:spacing w:after="120" w:before="0"/>
      </w:pPr>
      <w:r>
        <w:rPr>
          <w:rFonts w:ascii="Calibri" w:hAnsi="Calibri"/>
          <w:b/>
          <w:i w:val="0"/>
          <w:sz w:val="20"/>
        </w:rPr>
        <w:t>Rate Limiting on Auth Endpoints</w:t>
      </w:r>
    </w:p>
    <w:tbl>
      <w:tblPr>
        <w:tblStyle w:val="TableGrid"/>
        <w:tblW w:type="auto" w:w="0"/>
        <w:jc w:val="left"/>
        <w:tblLook w:firstColumn="1" w:firstRow="1" w:lastColumn="0" w:lastRow="0" w:noHBand="0" w:noVBand="1" w:val="04A0"/>
      </w:tblPr>
      <w:tblGrid>
        <w:gridCol w:w="4320"/>
        <w:gridCol w:w="4320"/>
      </w:tblGrid>
      <w:tr>
        <w:trPr>
          <w:trHeight w:val="397"/>
        </w:trPr>
        <w:tc>
          <w:tcPr>
            <w:tcW w:type="dxa" w:w="2880"/>
            <w:shd w:val="clear" w:color="auto" w:fill="1F3864"/>
          </w:tcPr>
          <w:p>
            <w:pPr>
              <w:spacing w:after="0" w:before="0"/>
              <w:jc w:val="center"/>
            </w:pPr>
            <w:r/>
            <w:r>
              <w:rPr>
                <w:rFonts w:ascii="Calibri" w:hAnsi="Calibri"/>
                <w:b/>
                <w:color w:val="FFFFFF"/>
                <w:sz w:val="18"/>
              </w:rPr>
              <w:t>Endpoint</w:t>
            </w:r>
          </w:p>
        </w:tc>
        <w:tc>
          <w:tcPr>
            <w:tcW w:type="dxa" w:w="5760"/>
            <w:shd w:val="clear" w:color="auto" w:fill="1F3864"/>
          </w:tcPr>
          <w:p>
            <w:pPr>
              <w:spacing w:after="0" w:before="0"/>
              <w:jc w:val="center"/>
            </w:pPr>
            <w:r/>
            <w:r>
              <w:rPr>
                <w:rFonts w:ascii="Calibri" w:hAnsi="Calibri"/>
                <w:b/>
                <w:color w:val="FFFFFF"/>
                <w:sz w:val="18"/>
              </w:rPr>
              <w:t>Limit</w:t>
            </w:r>
          </w:p>
        </w:tc>
      </w:tr>
      <w:tr>
        <w:tc>
          <w:tcPr>
            <w:tcW w:type="dxa" w:w="2880"/>
            <w:shd w:val="clear" w:color="auto" w:fill="F2F2F2"/>
          </w:tcPr>
          <w:p>
            <w:pPr>
              <w:spacing w:after="0" w:before="0"/>
              <w:jc w:val="left"/>
            </w:pPr>
            <w:r/>
            <w:r>
              <w:rPr>
                <w:rFonts w:ascii="Calibri" w:hAnsi="Calibri"/>
                <w:b w:val="0"/>
                <w:sz w:val="18"/>
              </w:rPr>
              <w:t>POST /auth/login</w:t>
            </w:r>
          </w:p>
        </w:tc>
        <w:tc>
          <w:tcPr>
            <w:tcW w:type="dxa" w:w="5760"/>
            <w:shd w:val="clear" w:color="auto" w:fill="F2F2F2"/>
          </w:tcPr>
          <w:p>
            <w:pPr>
              <w:spacing w:after="0" w:before="0"/>
              <w:jc w:val="left"/>
            </w:pPr>
            <w:r/>
            <w:r>
              <w:rPr>
                <w:rFonts w:ascii="Calibri" w:hAnsi="Calibri"/>
                <w:b w:val="0"/>
                <w:sz w:val="18"/>
              </w:rPr>
              <w:t>5 attempts per 15 minutes per IP; exponential backoff after 3 failures</w:t>
            </w:r>
          </w:p>
        </w:tc>
      </w:tr>
      <w:tr>
        <w:tc>
          <w:tcPr>
            <w:tcW w:type="dxa" w:w="2880"/>
            <w:shd w:val="clear" w:color="auto" w:fill="FFFFFF"/>
          </w:tcPr>
          <w:p>
            <w:pPr>
              <w:spacing w:after="0" w:before="0"/>
              <w:jc w:val="left"/>
            </w:pPr>
            <w:r/>
            <w:r>
              <w:rPr>
                <w:rFonts w:ascii="Calibri" w:hAnsi="Calibri"/>
                <w:b w:val="0"/>
                <w:sz w:val="18"/>
              </w:rPr>
              <w:t>POST /auth/forgot-password</w:t>
            </w:r>
          </w:p>
        </w:tc>
        <w:tc>
          <w:tcPr>
            <w:tcW w:type="dxa" w:w="5760"/>
            <w:shd w:val="clear" w:color="auto" w:fill="FFFFFF"/>
          </w:tcPr>
          <w:p>
            <w:pPr>
              <w:spacing w:after="0" w:before="0"/>
              <w:jc w:val="left"/>
            </w:pPr>
            <w:r/>
            <w:r>
              <w:rPr>
                <w:rFonts w:ascii="Calibri" w:hAnsi="Calibri"/>
                <w:b w:val="0"/>
                <w:sz w:val="18"/>
              </w:rPr>
              <w:t>3 attempts per hour per email address</w:t>
            </w:r>
          </w:p>
        </w:tc>
      </w:tr>
      <w:tr>
        <w:tc>
          <w:tcPr>
            <w:tcW w:type="dxa" w:w="2880"/>
            <w:shd w:val="clear" w:color="auto" w:fill="F2F2F2"/>
          </w:tcPr>
          <w:p>
            <w:pPr>
              <w:spacing w:after="0" w:before="0"/>
              <w:jc w:val="left"/>
            </w:pPr>
            <w:r/>
            <w:r>
              <w:rPr>
                <w:rFonts w:ascii="Calibri" w:hAnsi="Calibri"/>
                <w:b w:val="0"/>
                <w:sz w:val="18"/>
              </w:rPr>
              <w:t>POST /auth/register</w:t>
            </w:r>
          </w:p>
        </w:tc>
        <w:tc>
          <w:tcPr>
            <w:tcW w:type="dxa" w:w="5760"/>
            <w:shd w:val="clear" w:color="auto" w:fill="F2F2F2"/>
          </w:tcPr>
          <w:p>
            <w:pPr>
              <w:spacing w:after="0" w:before="0"/>
              <w:jc w:val="left"/>
            </w:pPr>
            <w:r/>
            <w:r>
              <w:rPr>
                <w:rFonts w:ascii="Calibri" w:hAnsi="Calibri"/>
                <w:b w:val="0"/>
                <w:sz w:val="18"/>
              </w:rPr>
              <w:t>10 registrations per hour per IP</w:t>
            </w:r>
          </w:p>
        </w:tc>
      </w:tr>
    </w:tbl>
    <w:p/>
    <w:p>
      <w:pPr>
        <w:spacing w:after="120" w:before="0"/>
      </w:pPr>
      <w:r>
        <w:rPr>
          <w:rFonts w:ascii="Calibri" w:hAnsi="Calibri"/>
          <w:b/>
          <w:i w:val="0"/>
          <w:sz w:val="20"/>
        </w:rPr>
        <w:t>Password Policy</w:t>
      </w:r>
    </w:p>
    <w:p>
      <w:pPr>
        <w:pStyle w:val="ListBullet"/>
        <w:spacing w:after="60" w:before="0"/>
      </w:pPr>
      <w:r>
        <w:rPr>
          <w:rFonts w:ascii="Calibri" w:hAnsi="Calibri"/>
          <w:sz w:val="20"/>
        </w:rPr>
        <w:t>Minimum 12 characters</w:t>
      </w:r>
    </w:p>
    <w:p>
      <w:pPr>
        <w:pStyle w:val="ListBullet"/>
        <w:spacing w:after="60" w:before="0"/>
      </w:pPr>
      <w:r>
        <w:rPr>
          <w:rFonts w:ascii="Calibri" w:hAnsi="Calibri"/>
          <w:sz w:val="20"/>
        </w:rPr>
        <w:t>Must contain: uppercase letter, lowercase letter, digit, special character</w:t>
      </w:r>
    </w:p>
    <w:p>
      <w:pPr>
        <w:pStyle w:val="ListBullet"/>
        <w:spacing w:after="60" w:before="0"/>
      </w:pPr>
      <w:r>
        <w:rPr>
          <w:rFonts w:ascii="Calibri" w:hAnsi="Calibri"/>
          <w:sz w:val="20"/>
        </w:rPr>
        <w:t>Check against HaveIBeenPwned API (k-anonymity — does not send actual password)</w:t>
      </w:r>
    </w:p>
    <w:p>
      <w:pPr>
        <w:pStyle w:val="ListBullet"/>
        <w:spacing w:after="60" w:before="0"/>
      </w:pPr>
      <w:r>
        <w:rPr>
          <w:rFonts w:ascii="Calibri" w:hAnsi="Calibri"/>
          <w:sz w:val="20"/>
        </w:rPr>
        <w:t>No maximum length (bcrypt hashes the input; length is irrelevant to storage)</w:t>
      </w:r>
    </w:p>
    <w:p>
      <w:pPr>
        <w:pStyle w:val="ListBullet"/>
        <w:spacing w:after="60" w:before="0"/>
      </w:pPr>
      <w:r>
        <w:rPr>
          <w:rFonts w:ascii="Calibri" w:hAnsi="Calibri"/>
          <w:sz w:val="20"/>
        </w:rPr>
        <w:t>Account lockout after 10 failed attempts; 30-minute unlock or admin reset</w:t>
      </w:r>
    </w:p>
    <w:p>
      <w:r>
        <w:br w:type="page"/>
      </w:r>
    </w:p>
    <w:p>
      <w:pPr>
        <w:pStyle w:val="Heading1"/>
        <w:spacing w:before="280" w:after="80"/>
      </w:pPr>
      <w:r>
        <w:rPr>
          <w:rFonts w:ascii="Calibri" w:hAnsi="Calibri"/>
          <w:color w:val="1F3864"/>
          <w:sz w:val="32"/>
        </w:rPr>
        <w:t>Section 9 — Background Job Processing</w:t>
      </w:r>
    </w:p>
    <w:p>
      <w:pPr>
        <w:spacing w:before="80" w:after="80"/>
        <w:pBdr>
          <w:bottom w:val="single" w:sz="6" w:space="1" w:color="2E75B6"/>
        </w:pBdr>
      </w:pPr>
    </w:p>
    <w:p>
      <w:pPr>
        <w:pStyle w:val="Heading2"/>
        <w:spacing w:before="280" w:after="80"/>
      </w:pPr>
      <w:r>
        <w:rPr>
          <w:rFonts w:ascii="Calibri" w:hAnsi="Calibri"/>
          <w:color w:val="2E75B6"/>
          <w:sz w:val="26"/>
        </w:rPr>
        <w:t>9.1  Missing Information</w:t>
      </w:r>
    </w:p>
    <w:p>
      <w:pPr>
        <w:pStyle w:val="ListBullet"/>
        <w:spacing w:after="60" w:before="0"/>
      </w:pPr>
      <w:r>
        <w:rPr>
          <w:rFonts w:ascii="Calibri" w:hAnsi="Calibri"/>
          <w:sz w:val="20"/>
        </w:rPr>
        <w:t>No Celery queue definitions — 'use Celery' with no queue architecture</w:t>
      </w:r>
    </w:p>
    <w:p>
      <w:pPr>
        <w:pStyle w:val="ListBullet"/>
        <w:spacing w:after="60" w:before="0"/>
      </w:pPr>
      <w:r>
        <w:rPr>
          <w:rFonts w:ascii="Calibri" w:hAnsi="Calibri"/>
          <w:sz w:val="20"/>
        </w:rPr>
        <w:t>No task routing strategy — all tasks on one queue will cause fast tasks to wait behind slow AI calls</w:t>
      </w:r>
    </w:p>
    <w:p>
      <w:pPr>
        <w:pStyle w:val="ListBullet"/>
        <w:spacing w:after="60" w:before="0"/>
      </w:pPr>
      <w:r>
        <w:rPr>
          <w:rFonts w:ascii="Calibri" w:hAnsi="Calibri"/>
          <w:sz w:val="20"/>
        </w:rPr>
        <w:t>No worker scaling strategy — no definition of concurrency or worker count per queue type</w:t>
      </w:r>
    </w:p>
    <w:p>
      <w:pPr>
        <w:pStyle w:val="ListBullet"/>
        <w:spacing w:after="60" w:before="0"/>
      </w:pPr>
      <w:r>
        <w:rPr>
          <w:rFonts w:ascii="Calibri" w:hAnsi="Calibri"/>
          <w:sz w:val="20"/>
        </w:rPr>
        <w:t>No dead letter queue design — failed tasks silently disappear</w:t>
      </w:r>
    </w:p>
    <w:p>
      <w:pPr>
        <w:pStyle w:val="ListBullet"/>
        <w:spacing w:after="60" w:before="0"/>
      </w:pPr>
      <w:r>
        <w:rPr>
          <w:rFonts w:ascii="Calibri" w:hAnsi="Calibri"/>
          <w:sz w:val="20"/>
        </w:rPr>
        <w:t>No task priority design</w:t>
      </w:r>
    </w:p>
    <w:p>
      <w:pPr>
        <w:pStyle w:val="ListBullet"/>
        <w:spacing w:after="60" w:before="0"/>
      </w:pPr>
      <w:r>
        <w:rPr>
          <w:rFonts w:ascii="Calibri" w:hAnsi="Calibri"/>
          <w:sz w:val="20"/>
        </w:rPr>
        <w:t>No job cancellation design — no way for users to stop a running job</w:t>
      </w:r>
    </w:p>
    <w:p>
      <w:pPr>
        <w:pStyle w:val="ListBullet"/>
        <w:spacing w:after="60" w:before="0"/>
      </w:pPr>
      <w:r>
        <w:rPr>
          <w:rFonts w:ascii="Calibri" w:hAnsi="Calibri"/>
          <w:sz w:val="20"/>
        </w:rPr>
        <w:t>No task idempotency design — retried tasks may duplicate data</w:t>
      </w:r>
    </w:p>
    <w:p>
      <w:pPr>
        <w:pStyle w:val="ListBullet"/>
        <w:spacing w:after="60" w:before="0"/>
      </w:pPr>
      <w:r>
        <w:rPr>
          <w:rFonts w:ascii="Calibri" w:hAnsi="Calibri"/>
          <w:sz w:val="20"/>
        </w:rPr>
        <w:t>No Celery worker monitoring strategy</w:t>
      </w:r>
    </w:p>
    <w:p>
      <w:pPr>
        <w:pStyle w:val="ListBullet"/>
        <w:spacing w:after="60" w:before="0"/>
      </w:pPr>
      <w:r>
        <w:rPr>
          <w:rFonts w:ascii="Calibri" w:hAnsi="Calibri"/>
          <w:sz w:val="20"/>
        </w:rPr>
        <w:t>No Celery Beat scheduler design for recurring system tasks (currency rates, cleanup)</w:t>
      </w:r>
    </w:p>
    <w:p>
      <w:pPr>
        <w:pStyle w:val="Heading2"/>
        <w:spacing w:before="280" w:after="80"/>
      </w:pPr>
      <w:r>
        <w:rPr>
          <w:rFonts w:ascii="Calibri" w:hAnsi="Calibri"/>
          <w:color w:val="2E75B6"/>
          <w:sz w:val="26"/>
        </w:rPr>
        <w:t>9.2  Required Decisions</w:t>
      </w:r>
    </w:p>
    <w:p>
      <w:pPr>
        <w:spacing w:before="160" w:after="40"/>
      </w:pPr>
      <w:r>
        <w:rPr>
          <w:rFonts w:ascii="Calibri" w:hAnsi="Calibri"/>
          <w:b/>
          <w:color w:val="2E75B6"/>
          <w:sz w:val="20"/>
        </w:rPr>
        <w:t>Decision 1: Queue Architecture</w:t>
      </w:r>
    </w:p>
    <w:p>
      <w:pPr>
        <w:spacing w:after="120" w:before="0"/>
      </w:pPr>
      <w:r>
        <w:rPr>
          <w:rFonts w:ascii="Calibri" w:hAnsi="Calibri"/>
          <w:b w:val="0"/>
          <w:i w:val="0"/>
          <w:sz w:val="20"/>
        </w:rPr>
        <w:t>Recommendation: Four dedicated queues with separate worker pools: 'fetch' (document download, I/O bound, 10 workers, concurrency 4). 'ai' (Claude API calls, API-rate-bound, 2 workers, concurrency 3). 'compute' (validation, normalization, CPU-bound, 4 workers, concurrency 8). 'export' (Excel generation, memory-bound, 2 workers, concurrency 2).</w:t>
      </w:r>
    </w:p>
    <w:p>
      <w:pPr>
        <w:spacing w:before="160" w:after="40"/>
      </w:pPr>
      <w:r>
        <w:rPr>
          <w:rFonts w:ascii="Calibri" w:hAnsi="Calibri"/>
          <w:b/>
          <w:color w:val="2E75B6"/>
          <w:sz w:val="20"/>
        </w:rPr>
        <w:t>Decision 2: Task Idempotency</w:t>
      </w:r>
    </w:p>
    <w:p>
      <w:pPr>
        <w:spacing w:after="120" w:before="0"/>
      </w:pPr>
      <w:r>
        <w:rPr>
          <w:rFonts w:ascii="Calibri" w:hAnsi="Calibri"/>
          <w:b w:val="0"/>
          <w:i w:val="0"/>
          <w:sz w:val="20"/>
        </w:rPr>
        <w:t>Recommendation: All Celery tasks must be idempotent — running twice produces the same result without side effects. Implement by: checking database state before starting, using database unique constraints to prevent duplicate inserts, and using S3 PUT (which is idempotent by key) for file writes.</w:t>
      </w:r>
    </w:p>
    <w:p>
      <w:pPr>
        <w:spacing w:before="160" w:after="40"/>
      </w:pPr>
      <w:r>
        <w:rPr>
          <w:rFonts w:ascii="Calibri" w:hAnsi="Calibri"/>
          <w:b/>
          <w:color w:val="2E75B6"/>
          <w:sz w:val="20"/>
        </w:rPr>
        <w:t>Decision 3: Job Cancellation</w:t>
      </w:r>
    </w:p>
    <w:p>
      <w:pPr>
        <w:spacing w:after="120" w:before="0"/>
      </w:pPr>
      <w:r>
        <w:rPr>
          <w:rFonts w:ascii="Calibri" w:hAnsi="Calibri"/>
          <w:b w:val="0"/>
          <w:i w:val="0"/>
          <w:sz w:val="20"/>
        </w:rPr>
        <w:t>Recommendation: User cancels job → set jobs.status = 'cancelled' in database. Each task checks this status at start and at checkpoints. If cancelled, task raises CancellationException and exits cleanly. Pending tasks revoked via Celery revoke() with terminate=True.</w:t>
      </w:r>
    </w:p>
    <w:p>
      <w:pPr>
        <w:spacing w:before="160" w:after="40"/>
      </w:pPr>
      <w:r>
        <w:rPr>
          <w:rFonts w:ascii="Calibri" w:hAnsi="Calibri"/>
          <w:b/>
          <w:color w:val="2E75B6"/>
          <w:sz w:val="20"/>
        </w:rPr>
        <w:t>Decision 4: Dead Letter Queue</w:t>
      </w:r>
    </w:p>
    <w:p>
      <w:pPr>
        <w:spacing w:after="120" w:before="0"/>
      </w:pPr>
      <w:r>
        <w:rPr>
          <w:rFonts w:ascii="Calibri" w:hAnsi="Calibri"/>
          <w:b w:val="0"/>
          <w:i w:val="0"/>
          <w:sz w:val="20"/>
        </w:rPr>
        <w:t>Recommendation: Tasks failing after max retries move to a 'dead_letter' queue. A daily Celery Beat task scans this queue, logs failures to audit_log, and notifies the ops team. Dead letter tasks can be re-queued manually after investigation.</w:t>
      </w:r>
    </w:p>
    <w:p>
      <w:pPr>
        <w:spacing w:before="160" w:after="40"/>
      </w:pPr>
      <w:r>
        <w:rPr>
          <w:rFonts w:ascii="Calibri" w:hAnsi="Calibri"/>
          <w:b/>
          <w:color w:val="2E75B6"/>
          <w:sz w:val="20"/>
        </w:rPr>
        <w:t>Decision 5: Recurring Tasks (Celery Beat)</w:t>
      </w:r>
    </w:p>
    <w:p>
      <w:pPr>
        <w:spacing w:after="120" w:before="0"/>
      </w:pPr>
      <w:r>
        <w:rPr>
          <w:rFonts w:ascii="Calibri" w:hAnsi="Calibri"/>
          <w:b w:val="0"/>
          <w:i w:val="0"/>
          <w:sz w:val="20"/>
        </w:rPr>
        <w:t>Recommendation: Currency rates update: daily at 06:00 UTC. Expired export file cleanup: daily at 02:00 UTC. Completed job archival: weekly. Source URL health check: every 4 hours.</w:t>
      </w:r>
    </w:p>
    <w:p>
      <w:pPr>
        <w:pStyle w:val="Heading2"/>
        <w:spacing w:before="280" w:after="80"/>
      </w:pPr>
      <w:r>
        <w:rPr>
          <w:rFonts w:ascii="Calibri" w:hAnsi="Calibri"/>
          <w:color w:val="2E75B6"/>
          <w:sz w:val="26"/>
        </w:rPr>
        <w:t>9.3  Recommended Design</w:t>
      </w:r>
    </w:p>
    <w:p>
      <w:pPr>
        <w:spacing w:after="120" w:before="0"/>
      </w:pPr>
      <w:r>
        <w:rPr>
          <w:rFonts w:ascii="Calibri" w:hAnsi="Calibri"/>
          <w:b/>
          <w:i w:val="0"/>
          <w:sz w:val="20"/>
        </w:rPr>
        <w:t>Queue Configuration Summary</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rPr>
          <w:trHeight w:val="397"/>
        </w:trPr>
        <w:tc>
          <w:tcPr>
            <w:tcW w:type="dxa" w:w="1152"/>
            <w:shd w:val="clear" w:color="auto" w:fill="1F3864"/>
          </w:tcPr>
          <w:p>
            <w:pPr>
              <w:spacing w:after="0" w:before="0"/>
              <w:jc w:val="center"/>
            </w:pPr>
            <w:r/>
            <w:r>
              <w:rPr>
                <w:rFonts w:ascii="Calibri" w:hAnsi="Calibri"/>
                <w:b/>
                <w:color w:val="FFFFFF"/>
                <w:sz w:val="18"/>
              </w:rPr>
              <w:t>Queue</w:t>
            </w:r>
          </w:p>
        </w:tc>
        <w:tc>
          <w:tcPr>
            <w:tcW w:type="dxa" w:w="2592"/>
            <w:shd w:val="clear" w:color="auto" w:fill="1F3864"/>
          </w:tcPr>
          <w:p>
            <w:pPr>
              <w:spacing w:after="0" w:before="0"/>
              <w:jc w:val="center"/>
            </w:pPr>
            <w:r/>
            <w:r>
              <w:rPr>
                <w:rFonts w:ascii="Calibri" w:hAnsi="Calibri"/>
                <w:b/>
                <w:color w:val="FFFFFF"/>
                <w:sz w:val="18"/>
              </w:rPr>
              <w:t>Task Types</w:t>
            </w:r>
          </w:p>
        </w:tc>
        <w:tc>
          <w:tcPr>
            <w:tcW w:type="dxa" w:w="1440"/>
            <w:shd w:val="clear" w:color="auto" w:fill="1F3864"/>
          </w:tcPr>
          <w:p>
            <w:pPr>
              <w:spacing w:after="0" w:before="0"/>
              <w:jc w:val="center"/>
            </w:pPr>
            <w:r/>
            <w:r>
              <w:rPr>
                <w:rFonts w:ascii="Calibri" w:hAnsi="Calibri"/>
                <w:b/>
                <w:color w:val="FFFFFF"/>
                <w:sz w:val="18"/>
              </w:rPr>
              <w:t>Profile</w:t>
            </w:r>
          </w:p>
        </w:tc>
        <w:tc>
          <w:tcPr>
            <w:tcW w:type="dxa" w:w="1008"/>
            <w:shd w:val="clear" w:color="auto" w:fill="1F3864"/>
          </w:tcPr>
          <w:p>
            <w:pPr>
              <w:spacing w:after="0" w:before="0"/>
              <w:jc w:val="center"/>
            </w:pPr>
            <w:r/>
            <w:r>
              <w:rPr>
                <w:rFonts w:ascii="Calibri" w:hAnsi="Calibri"/>
                <w:b/>
                <w:color w:val="FFFFFF"/>
                <w:sz w:val="18"/>
              </w:rPr>
              <w:t>Workers</w:t>
            </w:r>
          </w:p>
        </w:tc>
        <w:tc>
          <w:tcPr>
            <w:tcW w:type="dxa" w:w="1584"/>
            <w:shd w:val="clear" w:color="auto" w:fill="1F3864"/>
          </w:tcPr>
          <w:p>
            <w:pPr>
              <w:spacing w:after="0" w:before="0"/>
              <w:jc w:val="center"/>
            </w:pPr>
            <w:r/>
            <w:r>
              <w:rPr>
                <w:rFonts w:ascii="Calibri" w:hAnsi="Calibri"/>
                <w:b/>
                <w:color w:val="FFFFFF"/>
                <w:sz w:val="18"/>
              </w:rPr>
              <w:t>Concurrency</w:t>
            </w:r>
          </w:p>
        </w:tc>
        <w:tc>
          <w:tcPr>
            <w:tcW w:type="dxa" w:w="864"/>
            <w:shd w:val="clear" w:color="auto" w:fill="1F3864"/>
          </w:tcPr>
          <w:p>
            <w:pPr>
              <w:spacing w:after="0" w:before="0"/>
              <w:jc w:val="center"/>
            </w:pPr>
            <w:r/>
            <w:r>
              <w:rPr>
                <w:rFonts w:ascii="Calibri" w:hAnsi="Calibri"/>
                <w:b/>
                <w:color w:val="FFFFFF"/>
                <w:sz w:val="18"/>
              </w:rPr>
              <w:t>Timeout</w:t>
            </w:r>
          </w:p>
        </w:tc>
      </w:tr>
      <w:tr>
        <w:tc>
          <w:tcPr>
            <w:tcW w:type="dxa" w:w="1152"/>
            <w:shd w:val="clear" w:color="auto" w:fill="F2F2F2"/>
          </w:tcPr>
          <w:p>
            <w:pPr>
              <w:spacing w:after="0" w:before="0"/>
              <w:jc w:val="left"/>
            </w:pPr>
            <w:r/>
            <w:r>
              <w:rPr>
                <w:rFonts w:ascii="Calibri" w:hAnsi="Calibri"/>
                <w:b w:val="0"/>
                <w:sz w:val="18"/>
              </w:rPr>
              <w:t>fetch</w:t>
            </w:r>
          </w:p>
        </w:tc>
        <w:tc>
          <w:tcPr>
            <w:tcW w:type="dxa" w:w="2592"/>
            <w:shd w:val="clear" w:color="auto" w:fill="F2F2F2"/>
          </w:tcPr>
          <w:p>
            <w:pPr>
              <w:spacing w:after="0" w:before="0"/>
              <w:jc w:val="left"/>
            </w:pPr>
            <w:r/>
            <w:r>
              <w:rPr>
                <w:rFonts w:ascii="Calibri" w:hAnsi="Calibri"/>
                <w:b w:val="0"/>
                <w:sz w:val="18"/>
              </w:rPr>
              <w:t>Document download, source discovery, company resolution</w:t>
            </w:r>
          </w:p>
        </w:tc>
        <w:tc>
          <w:tcPr>
            <w:tcW w:type="dxa" w:w="1440"/>
            <w:shd w:val="clear" w:color="auto" w:fill="F2F2F2"/>
          </w:tcPr>
          <w:p>
            <w:pPr>
              <w:spacing w:after="0" w:before="0"/>
              <w:jc w:val="left"/>
            </w:pPr>
            <w:r/>
            <w:r>
              <w:rPr>
                <w:rFonts w:ascii="Calibri" w:hAnsi="Calibri"/>
                <w:b w:val="0"/>
                <w:sz w:val="18"/>
              </w:rPr>
              <w:t>I/O bound</w:t>
            </w:r>
          </w:p>
        </w:tc>
        <w:tc>
          <w:tcPr>
            <w:tcW w:type="dxa" w:w="1008"/>
            <w:shd w:val="clear" w:color="auto" w:fill="F2F2F2"/>
          </w:tcPr>
          <w:p>
            <w:pPr>
              <w:spacing w:after="0" w:before="0"/>
              <w:jc w:val="left"/>
            </w:pPr>
            <w:r/>
            <w:r>
              <w:rPr>
                <w:rFonts w:ascii="Calibri" w:hAnsi="Calibri"/>
                <w:b w:val="0"/>
                <w:sz w:val="18"/>
              </w:rPr>
              <w:t>10</w:t>
            </w:r>
          </w:p>
        </w:tc>
        <w:tc>
          <w:tcPr>
            <w:tcW w:type="dxa" w:w="1584"/>
            <w:shd w:val="clear" w:color="auto" w:fill="F2F2F2"/>
          </w:tcPr>
          <w:p>
            <w:pPr>
              <w:spacing w:after="0" w:before="0"/>
              <w:jc w:val="left"/>
            </w:pPr>
            <w:r/>
            <w:r>
              <w:rPr>
                <w:rFonts w:ascii="Calibri" w:hAnsi="Calibri"/>
                <w:b w:val="0"/>
                <w:sz w:val="18"/>
              </w:rPr>
              <w:t>4 per worker</w:t>
            </w:r>
          </w:p>
        </w:tc>
        <w:tc>
          <w:tcPr>
            <w:tcW w:type="dxa" w:w="864"/>
            <w:shd w:val="clear" w:color="auto" w:fill="F2F2F2"/>
          </w:tcPr>
          <w:p>
            <w:pPr>
              <w:spacing w:after="0" w:before="0"/>
              <w:jc w:val="left"/>
            </w:pPr>
            <w:r/>
            <w:r>
              <w:rPr>
                <w:rFonts w:ascii="Calibri" w:hAnsi="Calibri"/>
                <w:b w:val="0"/>
                <w:sz w:val="18"/>
              </w:rPr>
              <w:t>120s</w:t>
            </w:r>
          </w:p>
        </w:tc>
      </w:tr>
      <w:tr>
        <w:tc>
          <w:tcPr>
            <w:tcW w:type="dxa" w:w="1152"/>
            <w:shd w:val="clear" w:color="auto" w:fill="FFFFFF"/>
          </w:tcPr>
          <w:p>
            <w:pPr>
              <w:spacing w:after="0" w:before="0"/>
              <w:jc w:val="left"/>
            </w:pPr>
            <w:r/>
            <w:r>
              <w:rPr>
                <w:rFonts w:ascii="Calibri" w:hAnsi="Calibri"/>
                <w:b w:val="0"/>
                <w:sz w:val="18"/>
              </w:rPr>
              <w:t>ai</w:t>
            </w:r>
          </w:p>
        </w:tc>
        <w:tc>
          <w:tcPr>
            <w:tcW w:type="dxa" w:w="2592"/>
            <w:shd w:val="clear" w:color="auto" w:fill="FFFFFF"/>
          </w:tcPr>
          <w:p>
            <w:pPr>
              <w:spacing w:after="0" w:before="0"/>
              <w:jc w:val="left"/>
            </w:pPr>
            <w:r/>
            <w:r>
              <w:rPr>
                <w:rFonts w:ascii="Calibri" w:hAnsi="Calibri"/>
                <w:b w:val="0"/>
                <w:sz w:val="18"/>
              </w:rPr>
              <w:t>Claude API extraction calls</w:t>
            </w:r>
          </w:p>
        </w:tc>
        <w:tc>
          <w:tcPr>
            <w:tcW w:type="dxa" w:w="1440"/>
            <w:shd w:val="clear" w:color="auto" w:fill="FFFFFF"/>
          </w:tcPr>
          <w:p>
            <w:pPr>
              <w:spacing w:after="0" w:before="0"/>
              <w:jc w:val="left"/>
            </w:pPr>
            <w:r/>
            <w:r>
              <w:rPr>
                <w:rFonts w:ascii="Calibri" w:hAnsi="Calibri"/>
                <w:b w:val="0"/>
                <w:sz w:val="18"/>
              </w:rPr>
              <w:t>API-rate-bound</w:t>
            </w:r>
          </w:p>
        </w:tc>
        <w:tc>
          <w:tcPr>
            <w:tcW w:type="dxa" w:w="1008"/>
            <w:shd w:val="clear" w:color="auto" w:fill="FFFFFF"/>
          </w:tcPr>
          <w:p>
            <w:pPr>
              <w:spacing w:after="0" w:before="0"/>
              <w:jc w:val="left"/>
            </w:pPr>
            <w:r/>
            <w:r>
              <w:rPr>
                <w:rFonts w:ascii="Calibri" w:hAnsi="Calibri"/>
                <w:b w:val="0"/>
                <w:sz w:val="18"/>
              </w:rPr>
              <w:t>2</w:t>
            </w:r>
          </w:p>
        </w:tc>
        <w:tc>
          <w:tcPr>
            <w:tcW w:type="dxa" w:w="1584"/>
            <w:shd w:val="clear" w:color="auto" w:fill="FFFFFF"/>
          </w:tcPr>
          <w:p>
            <w:pPr>
              <w:spacing w:after="0" w:before="0"/>
              <w:jc w:val="left"/>
            </w:pPr>
            <w:r/>
            <w:r>
              <w:rPr>
                <w:rFonts w:ascii="Calibri" w:hAnsi="Calibri"/>
                <w:b w:val="0"/>
                <w:sz w:val="18"/>
              </w:rPr>
              <w:t>3 per worker</w:t>
            </w:r>
          </w:p>
        </w:tc>
        <w:tc>
          <w:tcPr>
            <w:tcW w:type="dxa" w:w="864"/>
            <w:shd w:val="clear" w:color="auto" w:fill="FFFFFF"/>
          </w:tcPr>
          <w:p>
            <w:pPr>
              <w:spacing w:after="0" w:before="0"/>
              <w:jc w:val="left"/>
            </w:pPr>
            <w:r/>
            <w:r>
              <w:rPr>
                <w:rFonts w:ascii="Calibri" w:hAnsi="Calibri"/>
                <w:b w:val="0"/>
                <w:sz w:val="18"/>
              </w:rPr>
              <w:t>180s</w:t>
            </w:r>
          </w:p>
        </w:tc>
      </w:tr>
      <w:tr>
        <w:tc>
          <w:tcPr>
            <w:tcW w:type="dxa" w:w="1152"/>
            <w:shd w:val="clear" w:color="auto" w:fill="F2F2F2"/>
          </w:tcPr>
          <w:p>
            <w:pPr>
              <w:spacing w:after="0" w:before="0"/>
              <w:jc w:val="left"/>
            </w:pPr>
            <w:r/>
            <w:r>
              <w:rPr>
                <w:rFonts w:ascii="Calibri" w:hAnsi="Calibri"/>
                <w:b w:val="0"/>
                <w:sz w:val="18"/>
              </w:rPr>
              <w:t>compute</w:t>
            </w:r>
          </w:p>
        </w:tc>
        <w:tc>
          <w:tcPr>
            <w:tcW w:type="dxa" w:w="2592"/>
            <w:shd w:val="clear" w:color="auto" w:fill="F2F2F2"/>
          </w:tcPr>
          <w:p>
            <w:pPr>
              <w:spacing w:after="0" w:before="0"/>
              <w:jc w:val="left"/>
            </w:pPr>
            <w:r/>
            <w:r>
              <w:rPr>
                <w:rFonts w:ascii="Calibri" w:hAnsi="Calibri"/>
                <w:b w:val="0"/>
                <w:sz w:val="18"/>
              </w:rPr>
              <w:t>Validation, normalization, ratio calculation</w:t>
            </w:r>
          </w:p>
        </w:tc>
        <w:tc>
          <w:tcPr>
            <w:tcW w:type="dxa" w:w="1440"/>
            <w:shd w:val="clear" w:color="auto" w:fill="F2F2F2"/>
          </w:tcPr>
          <w:p>
            <w:pPr>
              <w:spacing w:after="0" w:before="0"/>
              <w:jc w:val="left"/>
            </w:pPr>
            <w:r/>
            <w:r>
              <w:rPr>
                <w:rFonts w:ascii="Calibri" w:hAnsi="Calibri"/>
                <w:b w:val="0"/>
                <w:sz w:val="18"/>
              </w:rPr>
              <w:t>CPU bound</w:t>
            </w:r>
          </w:p>
        </w:tc>
        <w:tc>
          <w:tcPr>
            <w:tcW w:type="dxa" w:w="1008"/>
            <w:shd w:val="clear" w:color="auto" w:fill="F2F2F2"/>
          </w:tcPr>
          <w:p>
            <w:pPr>
              <w:spacing w:after="0" w:before="0"/>
              <w:jc w:val="left"/>
            </w:pPr>
            <w:r/>
            <w:r>
              <w:rPr>
                <w:rFonts w:ascii="Calibri" w:hAnsi="Calibri"/>
                <w:b w:val="0"/>
                <w:sz w:val="18"/>
              </w:rPr>
              <w:t>4</w:t>
            </w:r>
          </w:p>
        </w:tc>
        <w:tc>
          <w:tcPr>
            <w:tcW w:type="dxa" w:w="1584"/>
            <w:shd w:val="clear" w:color="auto" w:fill="F2F2F2"/>
          </w:tcPr>
          <w:p>
            <w:pPr>
              <w:spacing w:after="0" w:before="0"/>
              <w:jc w:val="left"/>
            </w:pPr>
            <w:r/>
            <w:r>
              <w:rPr>
                <w:rFonts w:ascii="Calibri" w:hAnsi="Calibri"/>
                <w:b w:val="0"/>
                <w:sz w:val="18"/>
              </w:rPr>
              <w:t>8 per worker</w:t>
            </w:r>
          </w:p>
        </w:tc>
        <w:tc>
          <w:tcPr>
            <w:tcW w:type="dxa" w:w="864"/>
            <w:shd w:val="clear" w:color="auto" w:fill="F2F2F2"/>
          </w:tcPr>
          <w:p>
            <w:pPr>
              <w:spacing w:after="0" w:before="0"/>
              <w:jc w:val="left"/>
            </w:pPr>
            <w:r/>
            <w:r>
              <w:rPr>
                <w:rFonts w:ascii="Calibri" w:hAnsi="Calibri"/>
                <w:b w:val="0"/>
                <w:sz w:val="18"/>
              </w:rPr>
              <w:t>60s</w:t>
            </w:r>
          </w:p>
        </w:tc>
      </w:tr>
      <w:tr>
        <w:tc>
          <w:tcPr>
            <w:tcW w:type="dxa" w:w="1152"/>
            <w:shd w:val="clear" w:color="auto" w:fill="FFFFFF"/>
          </w:tcPr>
          <w:p>
            <w:pPr>
              <w:spacing w:after="0" w:before="0"/>
              <w:jc w:val="left"/>
            </w:pPr>
            <w:r/>
            <w:r>
              <w:rPr>
                <w:rFonts w:ascii="Calibri" w:hAnsi="Calibri"/>
                <w:b w:val="0"/>
                <w:sz w:val="18"/>
              </w:rPr>
              <w:t>export</w:t>
            </w:r>
          </w:p>
        </w:tc>
        <w:tc>
          <w:tcPr>
            <w:tcW w:type="dxa" w:w="2592"/>
            <w:shd w:val="clear" w:color="auto" w:fill="FFFFFF"/>
          </w:tcPr>
          <w:p>
            <w:pPr>
              <w:spacing w:after="0" w:before="0"/>
              <w:jc w:val="left"/>
            </w:pPr>
            <w:r/>
            <w:r>
              <w:rPr>
                <w:rFonts w:ascii="Calibri" w:hAnsi="Calibri"/>
                <w:b w:val="0"/>
                <w:sz w:val="18"/>
              </w:rPr>
              <w:t>Excel file generation</w:t>
            </w:r>
          </w:p>
        </w:tc>
        <w:tc>
          <w:tcPr>
            <w:tcW w:type="dxa" w:w="1440"/>
            <w:shd w:val="clear" w:color="auto" w:fill="FFFFFF"/>
          </w:tcPr>
          <w:p>
            <w:pPr>
              <w:spacing w:after="0" w:before="0"/>
              <w:jc w:val="left"/>
            </w:pPr>
            <w:r/>
            <w:r>
              <w:rPr>
                <w:rFonts w:ascii="Calibri" w:hAnsi="Calibri"/>
                <w:b w:val="0"/>
                <w:sz w:val="18"/>
              </w:rPr>
              <w:t>Memory bound</w:t>
            </w:r>
          </w:p>
        </w:tc>
        <w:tc>
          <w:tcPr>
            <w:tcW w:type="dxa" w:w="1008"/>
            <w:shd w:val="clear" w:color="auto" w:fill="FFFFFF"/>
          </w:tcPr>
          <w:p>
            <w:pPr>
              <w:spacing w:after="0" w:before="0"/>
              <w:jc w:val="left"/>
            </w:pPr>
            <w:r/>
            <w:r>
              <w:rPr>
                <w:rFonts w:ascii="Calibri" w:hAnsi="Calibri"/>
                <w:b w:val="0"/>
                <w:sz w:val="18"/>
              </w:rPr>
              <w:t>2</w:t>
            </w:r>
          </w:p>
        </w:tc>
        <w:tc>
          <w:tcPr>
            <w:tcW w:type="dxa" w:w="1584"/>
            <w:shd w:val="clear" w:color="auto" w:fill="FFFFFF"/>
          </w:tcPr>
          <w:p>
            <w:pPr>
              <w:spacing w:after="0" w:before="0"/>
              <w:jc w:val="left"/>
            </w:pPr>
            <w:r/>
            <w:r>
              <w:rPr>
                <w:rFonts w:ascii="Calibri" w:hAnsi="Calibri"/>
                <w:b w:val="0"/>
                <w:sz w:val="18"/>
              </w:rPr>
              <w:t>2 per worker</w:t>
            </w:r>
          </w:p>
        </w:tc>
        <w:tc>
          <w:tcPr>
            <w:tcW w:type="dxa" w:w="864"/>
            <w:shd w:val="clear" w:color="auto" w:fill="FFFFFF"/>
          </w:tcPr>
          <w:p>
            <w:pPr>
              <w:spacing w:after="0" w:before="0"/>
              <w:jc w:val="left"/>
            </w:pPr>
            <w:r/>
            <w:r>
              <w:rPr>
                <w:rFonts w:ascii="Calibri" w:hAnsi="Calibri"/>
                <w:b w:val="0"/>
                <w:sz w:val="18"/>
              </w:rPr>
              <w:t>120s</w:t>
            </w:r>
          </w:p>
        </w:tc>
      </w:tr>
      <w:tr>
        <w:tc>
          <w:tcPr>
            <w:tcW w:type="dxa" w:w="1152"/>
            <w:shd w:val="clear" w:color="auto" w:fill="F2F2F2"/>
          </w:tcPr>
          <w:p>
            <w:pPr>
              <w:spacing w:after="0" w:before="0"/>
              <w:jc w:val="left"/>
            </w:pPr>
            <w:r/>
            <w:r>
              <w:rPr>
                <w:rFonts w:ascii="Calibri" w:hAnsi="Calibri"/>
                <w:b w:val="0"/>
                <w:sz w:val="18"/>
              </w:rPr>
              <w:t>default</w:t>
            </w:r>
          </w:p>
        </w:tc>
        <w:tc>
          <w:tcPr>
            <w:tcW w:type="dxa" w:w="2592"/>
            <w:shd w:val="clear" w:color="auto" w:fill="F2F2F2"/>
          </w:tcPr>
          <w:p>
            <w:pPr>
              <w:spacing w:after="0" w:before="0"/>
              <w:jc w:val="left"/>
            </w:pPr>
            <w:r/>
            <w:r>
              <w:rPr>
                <w:rFonts w:ascii="Calibri" w:hAnsi="Calibri"/>
                <w:b w:val="0"/>
                <w:sz w:val="18"/>
              </w:rPr>
              <w:t>Notifications, cache invalidation, misc</w:t>
            </w:r>
          </w:p>
        </w:tc>
        <w:tc>
          <w:tcPr>
            <w:tcW w:type="dxa" w:w="1440"/>
            <w:shd w:val="clear" w:color="auto" w:fill="F2F2F2"/>
          </w:tcPr>
          <w:p>
            <w:pPr>
              <w:spacing w:after="0" w:before="0"/>
              <w:jc w:val="left"/>
            </w:pPr>
            <w:r/>
            <w:r>
              <w:rPr>
                <w:rFonts w:ascii="Calibri" w:hAnsi="Calibri"/>
                <w:b w:val="0"/>
                <w:sz w:val="18"/>
              </w:rPr>
              <w:t>Mixed</w:t>
            </w:r>
          </w:p>
        </w:tc>
        <w:tc>
          <w:tcPr>
            <w:tcW w:type="dxa" w:w="1008"/>
            <w:shd w:val="clear" w:color="auto" w:fill="F2F2F2"/>
          </w:tcPr>
          <w:p>
            <w:pPr>
              <w:spacing w:after="0" w:before="0"/>
              <w:jc w:val="left"/>
            </w:pPr>
            <w:r/>
            <w:r>
              <w:rPr>
                <w:rFonts w:ascii="Calibri" w:hAnsi="Calibri"/>
                <w:b w:val="0"/>
                <w:sz w:val="18"/>
              </w:rPr>
              <w:t>2</w:t>
            </w:r>
          </w:p>
        </w:tc>
        <w:tc>
          <w:tcPr>
            <w:tcW w:type="dxa" w:w="1584"/>
            <w:shd w:val="clear" w:color="auto" w:fill="F2F2F2"/>
          </w:tcPr>
          <w:p>
            <w:pPr>
              <w:spacing w:after="0" w:before="0"/>
              <w:jc w:val="left"/>
            </w:pPr>
            <w:r/>
            <w:r>
              <w:rPr>
                <w:rFonts w:ascii="Calibri" w:hAnsi="Calibri"/>
                <w:b w:val="0"/>
                <w:sz w:val="18"/>
              </w:rPr>
              <w:t>4 per worker</w:t>
            </w:r>
          </w:p>
        </w:tc>
        <w:tc>
          <w:tcPr>
            <w:tcW w:type="dxa" w:w="864"/>
            <w:shd w:val="clear" w:color="auto" w:fill="F2F2F2"/>
          </w:tcPr>
          <w:p>
            <w:pPr>
              <w:spacing w:after="0" w:before="0"/>
              <w:jc w:val="left"/>
            </w:pPr>
            <w:r/>
            <w:r>
              <w:rPr>
                <w:rFonts w:ascii="Calibri" w:hAnsi="Calibri"/>
                <w:b w:val="0"/>
                <w:sz w:val="18"/>
              </w:rPr>
              <w:t>60s</w:t>
            </w:r>
          </w:p>
        </w:tc>
      </w:tr>
    </w:tbl>
    <w:p/>
    <w:p>
      <w:pPr>
        <w:spacing w:after="120" w:before="0"/>
      </w:pPr>
      <w:r>
        <w:rPr>
          <w:rFonts w:ascii="Calibri" w:hAnsi="Calibri"/>
          <w:b/>
          <w:i w:val="0"/>
          <w:sz w:val="20"/>
        </w:rPr>
        <w:t>Job Pipeline Task Chain</w:t>
      </w:r>
    </w:p>
    <w:p>
      <w:pPr>
        <w:spacing w:after="120" w:before="0"/>
      </w:pPr>
      <w:r>
        <w:rPr>
          <w:rFonts w:ascii="Calibri" w:hAnsi="Calibri"/>
          <w:b w:val="0"/>
          <w:i w:val="0"/>
          <w:sz w:val="20"/>
        </w:rPr>
        <w:t>A job submission triggers a Celery chain of sequenced and parallel tasks. Sequential stages are chained. The document processing stage uses a group() for parallel per-document processing, followed by a chord() that waits for all parallel tasks before proceeding to validation.</w:t>
      </w:r>
    </w:p>
    <w:tbl>
      <w:tblPr>
        <w:tblStyle w:val="TableGrid"/>
        <w:tblW w:type="auto" w:w="0"/>
        <w:jc w:val="left"/>
        <w:tblLook w:firstColumn="1" w:firstRow="1" w:lastColumn="0" w:lastRow="0" w:noHBand="0" w:noVBand="1" w:val="04A0"/>
      </w:tblPr>
      <w:tblGrid>
        <w:gridCol w:w="2880"/>
        <w:gridCol w:w="2880"/>
        <w:gridCol w:w="2880"/>
      </w:tblGrid>
      <w:tr>
        <w:trPr>
          <w:trHeight w:val="397"/>
        </w:trPr>
        <w:tc>
          <w:tcPr>
            <w:tcW w:type="dxa" w:w="3168"/>
            <w:shd w:val="clear" w:color="auto" w:fill="1F3864"/>
          </w:tcPr>
          <w:p>
            <w:pPr>
              <w:spacing w:after="0" w:before="0"/>
              <w:jc w:val="center"/>
            </w:pPr>
            <w:r/>
            <w:r>
              <w:rPr>
                <w:rFonts w:ascii="Calibri" w:hAnsi="Calibri"/>
                <w:b/>
                <w:color w:val="FFFFFF"/>
                <w:sz w:val="18"/>
              </w:rPr>
              <w:t>Step</w:t>
            </w:r>
          </w:p>
        </w:tc>
        <w:tc>
          <w:tcPr>
            <w:tcW w:type="dxa" w:w="1440"/>
            <w:shd w:val="clear" w:color="auto" w:fill="1F3864"/>
          </w:tcPr>
          <w:p>
            <w:pPr>
              <w:spacing w:after="0" w:before="0"/>
              <w:jc w:val="center"/>
            </w:pPr>
            <w:r/>
            <w:r>
              <w:rPr>
                <w:rFonts w:ascii="Calibri" w:hAnsi="Calibri"/>
                <w:b/>
                <w:color w:val="FFFFFF"/>
                <w:sz w:val="18"/>
              </w:rPr>
              <w:t>Queue</w:t>
            </w:r>
          </w:p>
        </w:tc>
        <w:tc>
          <w:tcPr>
            <w:tcW w:type="dxa" w:w="4032"/>
            <w:shd w:val="clear" w:color="auto" w:fill="1F3864"/>
          </w:tcPr>
          <w:p>
            <w:pPr>
              <w:spacing w:after="0" w:before="0"/>
              <w:jc w:val="center"/>
            </w:pPr>
            <w:r/>
            <w:r>
              <w:rPr>
                <w:rFonts w:ascii="Calibri" w:hAnsi="Calibri"/>
                <w:b/>
                <w:color w:val="FFFFFF"/>
                <w:sz w:val="18"/>
              </w:rPr>
              <w:t>Responsibility</w:t>
            </w:r>
          </w:p>
        </w:tc>
      </w:tr>
      <w:tr>
        <w:tc>
          <w:tcPr>
            <w:tcW w:type="dxa" w:w="3168"/>
            <w:shd w:val="clear" w:color="auto" w:fill="F2F2F2"/>
          </w:tcPr>
          <w:p>
            <w:pPr>
              <w:spacing w:after="0" w:before="0"/>
              <w:jc w:val="left"/>
            </w:pPr>
            <w:r/>
            <w:r>
              <w:rPr>
                <w:rFonts w:ascii="Calibri" w:hAnsi="Calibri"/>
                <w:b w:val="0"/>
                <w:sz w:val="18"/>
              </w:rPr>
              <w:t>1. resolve_company</w:t>
            </w:r>
          </w:p>
        </w:tc>
        <w:tc>
          <w:tcPr>
            <w:tcW w:type="dxa" w:w="1440"/>
            <w:shd w:val="clear" w:color="auto" w:fill="F2F2F2"/>
          </w:tcPr>
          <w:p>
            <w:pPr>
              <w:spacing w:after="0" w:before="0"/>
              <w:jc w:val="left"/>
            </w:pPr>
            <w:r/>
            <w:r>
              <w:rPr>
                <w:rFonts w:ascii="Calibri" w:hAnsi="Calibri"/>
                <w:b w:val="0"/>
                <w:sz w:val="18"/>
              </w:rPr>
              <w:t>fetch</w:t>
            </w:r>
          </w:p>
        </w:tc>
        <w:tc>
          <w:tcPr>
            <w:tcW w:type="dxa" w:w="4032"/>
            <w:shd w:val="clear" w:color="auto" w:fill="F2F2F2"/>
          </w:tcPr>
          <w:p>
            <w:pPr>
              <w:spacing w:after="0" w:before="0"/>
              <w:jc w:val="left"/>
            </w:pPr>
            <w:r/>
            <w:r>
              <w:rPr>
                <w:rFonts w:ascii="Calibri" w:hAnsi="Calibri"/>
                <w:b w:val="0"/>
                <w:sz w:val="18"/>
              </w:rPr>
              <w:t>Resolve company name/ticker to a companies record</w:t>
            </w:r>
          </w:p>
        </w:tc>
      </w:tr>
      <w:tr>
        <w:tc>
          <w:tcPr>
            <w:tcW w:type="dxa" w:w="3168"/>
            <w:shd w:val="clear" w:color="auto" w:fill="FFFFFF"/>
          </w:tcPr>
          <w:p>
            <w:pPr>
              <w:spacing w:after="0" w:before="0"/>
              <w:jc w:val="left"/>
            </w:pPr>
            <w:r/>
            <w:r>
              <w:rPr>
                <w:rFonts w:ascii="Calibri" w:hAnsi="Calibri"/>
                <w:b w:val="0"/>
                <w:sz w:val="18"/>
              </w:rPr>
              <w:t>2. discover_sources</w:t>
            </w:r>
          </w:p>
        </w:tc>
        <w:tc>
          <w:tcPr>
            <w:tcW w:type="dxa" w:w="1440"/>
            <w:shd w:val="clear" w:color="auto" w:fill="FFFFFF"/>
          </w:tcPr>
          <w:p>
            <w:pPr>
              <w:spacing w:after="0" w:before="0"/>
              <w:jc w:val="left"/>
            </w:pPr>
            <w:r/>
            <w:r>
              <w:rPr>
                <w:rFonts w:ascii="Calibri" w:hAnsi="Calibri"/>
                <w:b w:val="0"/>
                <w:sz w:val="18"/>
              </w:rPr>
              <w:t>fetch</w:t>
            </w:r>
          </w:p>
        </w:tc>
        <w:tc>
          <w:tcPr>
            <w:tcW w:type="dxa" w:w="4032"/>
            <w:shd w:val="clear" w:color="auto" w:fill="FFFFFF"/>
          </w:tcPr>
          <w:p>
            <w:pPr>
              <w:spacing w:after="0" w:before="0"/>
              <w:jc w:val="left"/>
            </w:pPr>
            <w:r/>
            <w:r>
              <w:rPr>
                <w:rFonts w:ascii="Calibri" w:hAnsi="Calibri"/>
                <w:b w:val="0"/>
                <w:sz w:val="18"/>
              </w:rPr>
              <w:t>Find relevant source URLs for the company and fiscal years</w:t>
            </w:r>
          </w:p>
        </w:tc>
      </w:tr>
      <w:tr>
        <w:tc>
          <w:tcPr>
            <w:tcW w:type="dxa" w:w="3168"/>
            <w:shd w:val="clear" w:color="auto" w:fill="F2F2F2"/>
          </w:tcPr>
          <w:p>
            <w:pPr>
              <w:spacing w:after="0" w:before="0"/>
              <w:jc w:val="left"/>
            </w:pPr>
            <w:r/>
            <w:r>
              <w:rPr>
                <w:rFonts w:ascii="Calibri" w:hAnsi="Calibri"/>
                <w:b w:val="0"/>
                <w:sz w:val="18"/>
              </w:rPr>
              <w:t>3. fetch_documents</w:t>
            </w:r>
          </w:p>
        </w:tc>
        <w:tc>
          <w:tcPr>
            <w:tcW w:type="dxa" w:w="1440"/>
            <w:shd w:val="clear" w:color="auto" w:fill="F2F2F2"/>
          </w:tcPr>
          <w:p>
            <w:pPr>
              <w:spacing w:after="0" w:before="0"/>
              <w:jc w:val="left"/>
            </w:pPr>
            <w:r/>
            <w:r>
              <w:rPr>
                <w:rFonts w:ascii="Calibri" w:hAnsi="Calibri"/>
                <w:b w:val="0"/>
                <w:sz w:val="18"/>
              </w:rPr>
              <w:t>fetch</w:t>
            </w:r>
          </w:p>
        </w:tc>
        <w:tc>
          <w:tcPr>
            <w:tcW w:type="dxa" w:w="4032"/>
            <w:shd w:val="clear" w:color="auto" w:fill="F2F2F2"/>
          </w:tcPr>
          <w:p>
            <w:pPr>
              <w:spacing w:after="0" w:before="0"/>
              <w:jc w:val="left"/>
            </w:pPr>
            <w:r/>
            <w:r>
              <w:rPr>
                <w:rFonts w:ascii="Calibri" w:hAnsi="Calibri"/>
                <w:b w:val="0"/>
                <w:sz w:val="18"/>
              </w:rPr>
              <w:t>Download all discovered documents; deduplication check</w:t>
            </w:r>
          </w:p>
        </w:tc>
      </w:tr>
      <w:tr>
        <w:tc>
          <w:tcPr>
            <w:tcW w:type="dxa" w:w="3168"/>
            <w:shd w:val="clear" w:color="auto" w:fill="FFFFFF"/>
          </w:tcPr>
          <w:p>
            <w:pPr>
              <w:spacing w:after="0" w:before="0"/>
              <w:jc w:val="left"/>
            </w:pPr>
            <w:r/>
            <w:r>
              <w:rPr>
                <w:rFonts w:ascii="Calibri" w:hAnsi="Calibri"/>
                <w:b w:val="0"/>
                <w:sz w:val="18"/>
              </w:rPr>
              <w:t>4. process_document (parallel group)</w:t>
            </w:r>
          </w:p>
        </w:tc>
        <w:tc>
          <w:tcPr>
            <w:tcW w:type="dxa" w:w="1440"/>
            <w:shd w:val="clear" w:color="auto" w:fill="FFFFFF"/>
          </w:tcPr>
          <w:p>
            <w:pPr>
              <w:spacing w:after="0" w:before="0"/>
              <w:jc w:val="left"/>
            </w:pPr>
            <w:r/>
            <w:r>
              <w:rPr>
                <w:rFonts w:ascii="Calibri" w:hAnsi="Calibri"/>
                <w:b w:val="0"/>
                <w:sz w:val="18"/>
              </w:rPr>
              <w:t>fetch + ai</w:t>
            </w:r>
          </w:p>
        </w:tc>
        <w:tc>
          <w:tcPr>
            <w:tcW w:type="dxa" w:w="4032"/>
            <w:shd w:val="clear" w:color="auto" w:fill="FFFFFF"/>
          </w:tcPr>
          <w:p>
            <w:pPr>
              <w:spacing w:after="0" w:before="0"/>
              <w:jc w:val="left"/>
            </w:pPr>
            <w:r/>
            <w:r>
              <w:rPr>
                <w:rFonts w:ascii="Calibri" w:hAnsi="Calibri"/>
                <w:b w:val="0"/>
                <w:sz w:val="18"/>
              </w:rPr>
              <w:t>Classify, parse, extract each document in parallel</w:t>
            </w:r>
          </w:p>
        </w:tc>
      </w:tr>
      <w:tr>
        <w:tc>
          <w:tcPr>
            <w:tcW w:type="dxa" w:w="3168"/>
            <w:shd w:val="clear" w:color="auto" w:fill="F2F2F2"/>
          </w:tcPr>
          <w:p>
            <w:pPr>
              <w:spacing w:after="0" w:before="0"/>
              <w:jc w:val="left"/>
            </w:pPr>
            <w:r/>
            <w:r>
              <w:rPr>
                <w:rFonts w:ascii="Calibri" w:hAnsi="Calibri"/>
                <w:b w:val="0"/>
                <w:sz w:val="18"/>
              </w:rPr>
              <w:t>5. aggregate_extractions (chord callback)</w:t>
            </w:r>
          </w:p>
        </w:tc>
        <w:tc>
          <w:tcPr>
            <w:tcW w:type="dxa" w:w="1440"/>
            <w:shd w:val="clear" w:color="auto" w:fill="F2F2F2"/>
          </w:tcPr>
          <w:p>
            <w:pPr>
              <w:spacing w:after="0" w:before="0"/>
              <w:jc w:val="left"/>
            </w:pPr>
            <w:r/>
            <w:r>
              <w:rPr>
                <w:rFonts w:ascii="Calibri" w:hAnsi="Calibri"/>
                <w:b w:val="0"/>
                <w:sz w:val="18"/>
              </w:rPr>
              <w:t>compute</w:t>
            </w:r>
          </w:p>
        </w:tc>
        <w:tc>
          <w:tcPr>
            <w:tcW w:type="dxa" w:w="4032"/>
            <w:shd w:val="clear" w:color="auto" w:fill="F2F2F2"/>
          </w:tcPr>
          <w:p>
            <w:pPr>
              <w:spacing w:after="0" w:before="0"/>
              <w:jc w:val="left"/>
            </w:pPr>
            <w:r/>
            <w:r>
              <w:rPr>
                <w:rFonts w:ascii="Calibri" w:hAnsi="Calibri"/>
                <w:b w:val="0"/>
                <w:sz w:val="18"/>
              </w:rPr>
              <w:t>Merge parallel results into unified dataset</w:t>
            </w:r>
          </w:p>
        </w:tc>
      </w:tr>
      <w:tr>
        <w:tc>
          <w:tcPr>
            <w:tcW w:type="dxa" w:w="3168"/>
            <w:shd w:val="clear" w:color="auto" w:fill="FFFFFF"/>
          </w:tcPr>
          <w:p>
            <w:pPr>
              <w:spacing w:after="0" w:before="0"/>
              <w:jc w:val="left"/>
            </w:pPr>
            <w:r/>
            <w:r>
              <w:rPr>
                <w:rFonts w:ascii="Calibri" w:hAnsi="Calibri"/>
                <w:b w:val="0"/>
                <w:sz w:val="18"/>
              </w:rPr>
              <w:t>6. validate_financials</w:t>
            </w:r>
          </w:p>
        </w:tc>
        <w:tc>
          <w:tcPr>
            <w:tcW w:type="dxa" w:w="1440"/>
            <w:shd w:val="clear" w:color="auto" w:fill="FFFFFF"/>
          </w:tcPr>
          <w:p>
            <w:pPr>
              <w:spacing w:after="0" w:before="0"/>
              <w:jc w:val="left"/>
            </w:pPr>
            <w:r/>
            <w:r>
              <w:rPr>
                <w:rFonts w:ascii="Calibri" w:hAnsi="Calibri"/>
                <w:b w:val="0"/>
                <w:sz w:val="18"/>
              </w:rPr>
              <w:t>compute</w:t>
            </w:r>
          </w:p>
        </w:tc>
        <w:tc>
          <w:tcPr>
            <w:tcW w:type="dxa" w:w="4032"/>
            <w:shd w:val="clear" w:color="auto" w:fill="FFFFFF"/>
          </w:tcPr>
          <w:p>
            <w:pPr>
              <w:spacing w:after="0" w:before="0"/>
              <w:jc w:val="left"/>
            </w:pPr>
            <w:r/>
            <w:r>
              <w:rPr>
                <w:rFonts w:ascii="Calibri" w:hAnsi="Calibri"/>
                <w:b w:val="0"/>
                <w:sz w:val="18"/>
              </w:rPr>
              <w:t>Run all validation rules; compute confidence scores</w:t>
            </w:r>
          </w:p>
        </w:tc>
      </w:tr>
      <w:tr>
        <w:tc>
          <w:tcPr>
            <w:tcW w:type="dxa" w:w="3168"/>
            <w:shd w:val="clear" w:color="auto" w:fill="F2F2F2"/>
          </w:tcPr>
          <w:p>
            <w:pPr>
              <w:spacing w:after="0" w:before="0"/>
              <w:jc w:val="left"/>
            </w:pPr>
            <w:r/>
            <w:r>
              <w:rPr>
                <w:rFonts w:ascii="Calibri" w:hAnsi="Calibri"/>
                <w:b w:val="0"/>
                <w:sz w:val="18"/>
              </w:rPr>
              <w:t>7. generate_export</w:t>
            </w:r>
          </w:p>
        </w:tc>
        <w:tc>
          <w:tcPr>
            <w:tcW w:type="dxa" w:w="1440"/>
            <w:shd w:val="clear" w:color="auto" w:fill="F2F2F2"/>
          </w:tcPr>
          <w:p>
            <w:pPr>
              <w:spacing w:after="0" w:before="0"/>
              <w:jc w:val="left"/>
            </w:pPr>
            <w:r/>
            <w:r>
              <w:rPr>
                <w:rFonts w:ascii="Calibri" w:hAnsi="Calibri"/>
                <w:b w:val="0"/>
                <w:sz w:val="18"/>
              </w:rPr>
              <w:t>export</w:t>
            </w:r>
          </w:p>
        </w:tc>
        <w:tc>
          <w:tcPr>
            <w:tcW w:type="dxa" w:w="4032"/>
            <w:shd w:val="clear" w:color="auto" w:fill="F2F2F2"/>
          </w:tcPr>
          <w:p>
            <w:pPr>
              <w:spacing w:after="0" w:before="0"/>
              <w:jc w:val="left"/>
            </w:pPr>
            <w:r/>
            <w:r>
              <w:rPr>
                <w:rFonts w:ascii="Calibri" w:hAnsi="Calibri"/>
                <w:b w:val="0"/>
                <w:sz w:val="18"/>
              </w:rPr>
              <w:t>Build Excel workbook; upload to file storage</w:t>
            </w:r>
          </w:p>
        </w:tc>
      </w:tr>
      <w:tr>
        <w:tc>
          <w:tcPr>
            <w:tcW w:type="dxa" w:w="3168"/>
            <w:shd w:val="clear" w:color="auto" w:fill="FFFFFF"/>
          </w:tcPr>
          <w:p>
            <w:pPr>
              <w:spacing w:after="0" w:before="0"/>
              <w:jc w:val="left"/>
            </w:pPr>
            <w:r/>
            <w:r>
              <w:rPr>
                <w:rFonts w:ascii="Calibri" w:hAnsi="Calibri"/>
                <w:b w:val="0"/>
                <w:sz w:val="18"/>
              </w:rPr>
              <w:t>8. notify_completion</w:t>
            </w:r>
          </w:p>
        </w:tc>
        <w:tc>
          <w:tcPr>
            <w:tcW w:type="dxa" w:w="1440"/>
            <w:shd w:val="clear" w:color="auto" w:fill="FFFFFF"/>
          </w:tcPr>
          <w:p>
            <w:pPr>
              <w:spacing w:after="0" w:before="0"/>
              <w:jc w:val="left"/>
            </w:pPr>
            <w:r/>
            <w:r>
              <w:rPr>
                <w:rFonts w:ascii="Calibri" w:hAnsi="Calibri"/>
                <w:b w:val="0"/>
                <w:sz w:val="18"/>
              </w:rPr>
              <w:t>default</w:t>
            </w:r>
          </w:p>
        </w:tc>
        <w:tc>
          <w:tcPr>
            <w:tcW w:type="dxa" w:w="4032"/>
            <w:shd w:val="clear" w:color="auto" w:fill="FFFFFF"/>
          </w:tcPr>
          <w:p>
            <w:pPr>
              <w:spacing w:after="0" w:before="0"/>
              <w:jc w:val="left"/>
            </w:pPr>
            <w:r/>
            <w:r>
              <w:rPr>
                <w:rFonts w:ascii="Calibri" w:hAnsi="Calibri"/>
                <w:b w:val="0"/>
                <w:sz w:val="18"/>
              </w:rPr>
              <w:t>Update job status; send SSE event; log to audit_log</w:t>
            </w:r>
          </w:p>
        </w:tc>
      </w:tr>
    </w:tbl>
    <w:p/>
    <w:p>
      <w:pPr>
        <w:spacing w:after="120" w:before="0"/>
      </w:pPr>
      <w:r>
        <w:rPr>
          <w:rFonts w:ascii="Calibri" w:hAnsi="Calibri"/>
          <w:b/>
          <w:i w:val="0"/>
          <w:sz w:val="20"/>
        </w:rPr>
        <w:t>Retry Configuration</w:t>
      </w:r>
    </w:p>
    <w:tbl>
      <w:tblPr>
        <w:tblStyle w:val="TableGrid"/>
        <w:tblW w:type="auto" w:w="0"/>
        <w:jc w:val="left"/>
        <w:tblLook w:firstColumn="1" w:firstRow="1" w:lastColumn="0" w:lastRow="0" w:noHBand="0" w:noVBand="1" w:val="04A0"/>
      </w:tblPr>
      <w:tblGrid>
        <w:gridCol w:w="4320"/>
        <w:gridCol w:w="4320"/>
      </w:tblGrid>
      <w:tr>
        <w:trPr>
          <w:trHeight w:val="397"/>
        </w:trPr>
        <w:tc>
          <w:tcPr>
            <w:tcW w:type="dxa" w:w="2160"/>
            <w:shd w:val="clear" w:color="auto" w:fill="1F3864"/>
          </w:tcPr>
          <w:p>
            <w:pPr>
              <w:spacing w:after="0" w:before="0"/>
              <w:jc w:val="center"/>
            </w:pPr>
            <w:r/>
            <w:r>
              <w:rPr>
                <w:rFonts w:ascii="Calibri" w:hAnsi="Calibri"/>
                <w:b/>
                <w:color w:val="FFFFFF"/>
                <w:sz w:val="18"/>
              </w:rPr>
              <w:t>Queue</w:t>
            </w:r>
          </w:p>
        </w:tc>
        <w:tc>
          <w:tcPr>
            <w:tcW w:type="dxa" w:w="6480"/>
            <w:shd w:val="clear" w:color="auto" w:fill="1F3864"/>
          </w:tcPr>
          <w:p>
            <w:pPr>
              <w:spacing w:after="0" w:before="0"/>
              <w:jc w:val="center"/>
            </w:pPr>
            <w:r/>
            <w:r>
              <w:rPr>
                <w:rFonts w:ascii="Calibri" w:hAnsi="Calibri"/>
                <w:b/>
                <w:color w:val="FFFFFF"/>
                <w:sz w:val="18"/>
              </w:rPr>
              <w:t>Retry Policy</w:t>
            </w:r>
          </w:p>
        </w:tc>
      </w:tr>
      <w:tr>
        <w:tc>
          <w:tcPr>
            <w:tcW w:type="dxa" w:w="2160"/>
            <w:shd w:val="clear" w:color="auto" w:fill="F2F2F2"/>
          </w:tcPr>
          <w:p>
            <w:pPr>
              <w:spacing w:after="0" w:before="0"/>
              <w:jc w:val="left"/>
            </w:pPr>
            <w:r/>
            <w:r>
              <w:rPr>
                <w:rFonts w:ascii="Calibri" w:hAnsi="Calibri"/>
                <w:b w:val="0"/>
                <w:sz w:val="18"/>
              </w:rPr>
              <w:t>fetch tasks</w:t>
            </w:r>
          </w:p>
        </w:tc>
        <w:tc>
          <w:tcPr>
            <w:tcW w:type="dxa" w:w="6480"/>
            <w:shd w:val="clear" w:color="auto" w:fill="F2F2F2"/>
          </w:tcPr>
          <w:p>
            <w:pPr>
              <w:spacing w:after="0" w:before="0"/>
              <w:jc w:val="left"/>
            </w:pPr>
            <w:r/>
            <w:r>
              <w:rPr>
                <w:rFonts w:ascii="Calibri" w:hAnsi="Calibri"/>
                <w:b w:val="0"/>
                <w:sz w:val="18"/>
              </w:rPr>
              <w:t>max_retries=5, exponential backoff, max 300s, jitter=True</w:t>
            </w:r>
          </w:p>
        </w:tc>
      </w:tr>
      <w:tr>
        <w:tc>
          <w:tcPr>
            <w:tcW w:type="dxa" w:w="2160"/>
            <w:shd w:val="clear" w:color="auto" w:fill="FFFFFF"/>
          </w:tcPr>
          <w:p>
            <w:pPr>
              <w:spacing w:after="0" w:before="0"/>
              <w:jc w:val="left"/>
            </w:pPr>
            <w:r/>
            <w:r>
              <w:rPr>
                <w:rFonts w:ascii="Calibri" w:hAnsi="Calibri"/>
                <w:b w:val="0"/>
                <w:sz w:val="18"/>
              </w:rPr>
              <w:t>ai tasks</w:t>
            </w:r>
          </w:p>
        </w:tc>
        <w:tc>
          <w:tcPr>
            <w:tcW w:type="dxa" w:w="6480"/>
            <w:shd w:val="clear" w:color="auto" w:fill="FFFFFF"/>
          </w:tcPr>
          <w:p>
            <w:pPr>
              <w:spacing w:after="0" w:before="0"/>
              <w:jc w:val="left"/>
            </w:pPr>
            <w:r/>
            <w:r>
              <w:rPr>
                <w:rFonts w:ascii="Calibri" w:hAnsi="Calibri"/>
                <w:b w:val="0"/>
                <w:sz w:val="18"/>
              </w:rPr>
              <w:t>max_retries=3, exponential backoff, max 120s, rate_limit='10/m'</w:t>
            </w:r>
          </w:p>
        </w:tc>
      </w:tr>
      <w:tr>
        <w:tc>
          <w:tcPr>
            <w:tcW w:type="dxa" w:w="2160"/>
            <w:shd w:val="clear" w:color="auto" w:fill="F2F2F2"/>
          </w:tcPr>
          <w:p>
            <w:pPr>
              <w:spacing w:after="0" w:before="0"/>
              <w:jc w:val="left"/>
            </w:pPr>
            <w:r/>
            <w:r>
              <w:rPr>
                <w:rFonts w:ascii="Calibri" w:hAnsi="Calibri"/>
                <w:b w:val="0"/>
                <w:sz w:val="18"/>
              </w:rPr>
              <w:t>compute tasks</w:t>
            </w:r>
          </w:p>
        </w:tc>
        <w:tc>
          <w:tcPr>
            <w:tcW w:type="dxa" w:w="6480"/>
            <w:shd w:val="clear" w:color="auto" w:fill="F2F2F2"/>
          </w:tcPr>
          <w:p>
            <w:pPr>
              <w:spacing w:after="0" w:before="0"/>
              <w:jc w:val="left"/>
            </w:pPr>
            <w:r/>
            <w:r>
              <w:rPr>
                <w:rFonts w:ascii="Calibri" w:hAnsi="Calibri"/>
                <w:b w:val="0"/>
                <w:sz w:val="18"/>
              </w:rPr>
              <w:t>max_retries=2, no backoff (compute failures are usually bugs, not transient)</w:t>
            </w:r>
          </w:p>
        </w:tc>
      </w:tr>
      <w:tr>
        <w:tc>
          <w:tcPr>
            <w:tcW w:type="dxa" w:w="2160"/>
            <w:shd w:val="clear" w:color="auto" w:fill="FFFFFF"/>
          </w:tcPr>
          <w:p>
            <w:pPr>
              <w:spacing w:after="0" w:before="0"/>
              <w:jc w:val="left"/>
            </w:pPr>
            <w:r/>
            <w:r>
              <w:rPr>
                <w:rFonts w:ascii="Calibri" w:hAnsi="Calibri"/>
                <w:b w:val="0"/>
                <w:sz w:val="18"/>
              </w:rPr>
              <w:t>export tasks</w:t>
            </w:r>
          </w:p>
        </w:tc>
        <w:tc>
          <w:tcPr>
            <w:tcW w:type="dxa" w:w="6480"/>
            <w:shd w:val="clear" w:color="auto" w:fill="FFFFFF"/>
          </w:tcPr>
          <w:p>
            <w:pPr>
              <w:spacing w:after="0" w:before="0"/>
              <w:jc w:val="left"/>
            </w:pPr>
            <w:r/>
            <w:r>
              <w:rPr>
                <w:rFonts w:ascii="Calibri" w:hAnsi="Calibri"/>
                <w:b w:val="0"/>
                <w:sz w:val="18"/>
              </w:rPr>
              <w:t>max_retries=2, exponential backoff, max 60s</w:t>
            </w:r>
          </w:p>
        </w:tc>
      </w:tr>
    </w:tbl>
    <w:p/>
    <w:p>
      <w:pPr>
        <w:spacing w:after="120" w:before="0"/>
      </w:pPr>
      <w:r>
        <w:rPr>
          <w:rFonts w:ascii="Calibri" w:hAnsi="Calibri"/>
          <w:b/>
          <w:i w:val="0"/>
          <w:sz w:val="20"/>
        </w:rPr>
        <w:t>State Passing Between Tasks</w:t>
      </w:r>
    </w:p>
    <w:p>
      <w:pPr>
        <w:spacing w:after="120" w:before="0"/>
      </w:pPr>
      <w:r>
        <w:rPr>
          <w:rFonts w:ascii="Calibri" w:hAnsi="Calibri"/>
          <w:b w:val="0"/>
          <w:i w:val="0"/>
          <w:sz w:val="20"/>
        </w:rPr>
        <w:t>Tasks do not pass large data payloads via Celery messages (Redis has limits; large documents would exceed them). Each task writes its results to the database and passes only the job_id and relevant record IDs to the next task. Each task reads its inputs from the database and writes outputs to the database. This pattern also ensures idempotency and enables task replay.</w:t>
      </w:r>
    </w:p>
    <w:p>
      <w:r>
        <w:br w:type="page"/>
      </w:r>
    </w:p>
    <w:p>
      <w:pPr>
        <w:shd w:val="clear" w:color="auto" w:fill="37864F"/>
        <w:spacing w:before="120" w:after="120"/>
      </w:pPr>
      <w:r>
        <w:rPr>
          <w:rFonts w:ascii="Calibri" w:hAnsi="Calibri"/>
          <w:b/>
          <w:color w:val="FFFFFF"/>
          <w:sz w:val="24"/>
        </w:rPr>
        <w:t>AMENDMENT — Blocker 2 Resolution: pandas Data Transformation Step Added to Excel Export (Section 7)</w:t>
      </w:r>
    </w:p>
    <w:p>
      <w:pPr>
        <w:spacing w:after="120" w:before="0"/>
      </w:pPr>
      <w:r>
        <w:rPr>
          <w:rFonts w:ascii="Calibri" w:hAnsi="Calibri"/>
          <w:b w:val="0"/>
          <w:color w:val="378644"/>
          <w:sz w:val="18"/>
        </w:rPr>
        <w:t>Added: June 2, 2026  |  Source: Final Project Readiness Assessment</w:t>
      </w:r>
    </w:p>
    <w:p>
      <w:pPr>
        <w:spacing w:before="80" w:after="80"/>
        <w:pBdr>
          <w:bottom w:val="single" w:sz="6" w:space="1" w:color="2E75B6"/>
        </w:pBdr>
      </w:pPr>
    </w:p>
    <w:p>
      <w:pPr>
        <w:pStyle w:val="Heading2"/>
        <w:spacing w:before="280" w:after="80"/>
      </w:pPr>
      <w:r>
        <w:rPr>
          <w:rFonts w:ascii="Calibri" w:hAnsi="Calibri"/>
          <w:color w:val="2E75B6"/>
          <w:sz w:val="26"/>
        </w:rPr>
        <w:t>Section 7 Amendment — pandas Transformation Stage</w:t>
      </w:r>
    </w:p>
    <w:p>
      <w:pPr>
        <w:spacing w:after="120" w:before="0"/>
      </w:pPr>
      <w:r>
        <w:rPr>
          <w:rFonts w:ascii="Calibri" w:hAnsi="Calibri"/>
          <w:b w:val="0"/>
          <w:sz w:val="20"/>
        </w:rPr>
        <w:t>Section 7 specifies the Excel workbook structure and openpyxl implementation. This amendment adds the missing pandas transformation stage that sits between the database query and the openpyxl workbook builder.</w:t>
      </w:r>
    </w:p>
    <w:p>
      <w:pPr>
        <w:pStyle w:val="Heading3"/>
        <w:spacing w:before="280" w:after="80"/>
      </w:pPr>
      <w:r>
        <w:rPr>
          <w:rFonts w:ascii="Calibri" w:hAnsi="Calibri"/>
          <w:color w:val="2E75B6"/>
          <w:sz w:val="22"/>
        </w:rPr>
        <w:t>Updated Excel Export Pipeline (Revised Section 7.3)</w:t>
      </w:r>
    </w:p>
    <w:p>
      <w:pPr>
        <w:spacing w:after="120" w:before="0"/>
      </w:pPr>
      <w:r>
        <w:rPr>
          <w:rFonts w:ascii="Calibri" w:hAnsi="Calibri"/>
          <w:b w:val="0"/>
          <w:sz w:val="20"/>
        </w:rPr>
        <w:t>The export pipeline has four stages, not two. The original specification implied a direct path from database to openpyxl. The corrected pipeline is:</w:t>
      </w: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1F3864"/>
          </w:tcPr>
          <w:p>
            <w:pPr>
              <w:spacing w:after="0" w:before="0"/>
              <w:jc w:val="center"/>
            </w:pPr>
            <w:r/>
            <w:r>
              <w:rPr>
                <w:rFonts w:ascii="Calibri" w:hAnsi="Calibri"/>
                <w:b/>
                <w:color w:val="FFFFFF"/>
                <w:sz w:val="18"/>
              </w:rPr>
              <w:t>Stage</w:t>
            </w:r>
          </w:p>
        </w:tc>
        <w:tc>
          <w:tcPr>
            <w:tcW w:type="dxa" w:w="6048"/>
            <w:shd w:val="clear" w:color="auto" w:fill="1F3864"/>
          </w:tcPr>
          <w:p>
            <w:pPr>
              <w:spacing w:after="0" w:before="0"/>
              <w:jc w:val="center"/>
            </w:pPr>
            <w:r/>
            <w:r>
              <w:rPr>
                <w:rFonts w:ascii="Calibri" w:hAnsi="Calibri"/>
                <w:b/>
                <w:color w:val="FFFFFF"/>
                <w:sz w:val="18"/>
              </w:rPr>
              <w:t>Description</w:t>
            </w:r>
          </w:p>
        </w:tc>
      </w:tr>
      <w:tr>
        <w:tc>
          <w:tcPr>
            <w:tcW w:type="dxa" w:w="2592"/>
            <w:shd w:val="clear" w:color="auto" w:fill="F2F2F2"/>
          </w:tcPr>
          <w:p>
            <w:pPr>
              <w:spacing w:after="0" w:before="0"/>
              <w:jc w:val="left"/>
            </w:pPr>
            <w:r/>
            <w:r>
              <w:rPr>
                <w:rFonts w:ascii="Calibri" w:hAnsi="Calibri"/>
                <w:b w:val="0"/>
                <w:sz w:val="18"/>
              </w:rPr>
              <w:t>Stage 1 — Query</w:t>
            </w:r>
          </w:p>
        </w:tc>
        <w:tc>
          <w:tcPr>
            <w:tcW w:type="dxa" w:w="6048"/>
            <w:shd w:val="clear" w:color="auto" w:fill="F2F2F2"/>
          </w:tcPr>
          <w:p>
            <w:pPr>
              <w:spacing w:after="0" w:before="0"/>
              <w:jc w:val="left"/>
            </w:pPr>
            <w:r/>
            <w:r>
              <w:rPr>
                <w:rFonts w:ascii="Calibri" w:hAnsi="Calibri"/>
                <w:b w:val="0"/>
                <w:sz w:val="18"/>
              </w:rPr>
              <w:t>Repository layer queries financial_line_items, ratios, segments, and validation_results for the requested company and fiscal years. Returns raw SQLAlchemy result rows.</w:t>
            </w:r>
          </w:p>
        </w:tc>
      </w:tr>
      <w:tr>
        <w:tc>
          <w:tcPr>
            <w:tcW w:type="dxa" w:w="2592"/>
            <w:shd w:val="clear" w:color="auto" w:fill="FFFFFF"/>
          </w:tcPr>
          <w:p>
            <w:pPr>
              <w:spacing w:after="0" w:before="0"/>
              <w:jc w:val="left"/>
            </w:pPr>
            <w:r/>
            <w:r>
              <w:rPr>
                <w:rFonts w:ascii="Calibri" w:hAnsi="Calibri"/>
                <w:b w:val="0"/>
                <w:sz w:val="18"/>
              </w:rPr>
              <w:t>Stage 2 — Transform (pandas)</w:t>
            </w:r>
          </w:p>
        </w:tc>
        <w:tc>
          <w:tcPr>
            <w:tcW w:type="dxa" w:w="6048"/>
            <w:shd w:val="clear" w:color="auto" w:fill="FFFFFF"/>
          </w:tcPr>
          <w:p>
            <w:pPr>
              <w:spacing w:after="0" w:before="0"/>
              <w:jc w:val="left"/>
            </w:pPr>
            <w:r/>
            <w:r>
              <w:rPr>
                <w:rFonts w:ascii="Calibri" w:hAnsi="Calibri"/>
                <w:b w:val="0"/>
                <w:sz w:val="18"/>
              </w:rPr>
              <w:t>services/export/transformer.py receives the raw rows and uses pandas to: pivot long-format line items into wide-format (field × year) DataFrames; compute YoY growth rates; fill missing values with NaN; aggregate segment data; compute ratio DataFrame from line item DataFrame. Returns a typed ExportDataset object containing one DataFrame per Excel sheet.</w:t>
            </w:r>
          </w:p>
        </w:tc>
      </w:tr>
      <w:tr>
        <w:tc>
          <w:tcPr>
            <w:tcW w:type="dxa" w:w="2592"/>
            <w:shd w:val="clear" w:color="auto" w:fill="F2F2F2"/>
          </w:tcPr>
          <w:p>
            <w:pPr>
              <w:spacing w:after="0" w:before="0"/>
              <w:jc w:val="left"/>
            </w:pPr>
            <w:r/>
            <w:r>
              <w:rPr>
                <w:rFonts w:ascii="Calibri" w:hAnsi="Calibri"/>
                <w:b w:val="0"/>
                <w:sz w:val="18"/>
              </w:rPr>
              <w:t>Stage 3 — Build (openpyxl)</w:t>
            </w:r>
          </w:p>
        </w:tc>
        <w:tc>
          <w:tcPr>
            <w:tcW w:type="dxa" w:w="6048"/>
            <w:shd w:val="clear" w:color="auto" w:fill="F2F2F2"/>
          </w:tcPr>
          <w:p>
            <w:pPr>
              <w:spacing w:after="0" w:before="0"/>
              <w:jc w:val="left"/>
            </w:pPr>
            <w:r/>
            <w:r>
              <w:rPr>
                <w:rFonts w:ascii="Calibri" w:hAnsi="Calibri"/>
                <w:b w:val="0"/>
                <w:sz w:val="18"/>
              </w:rPr>
              <w:t>services/export/builder.py receives the ExportDataset and writes each DataFrame into the corresponding Excel sheet. Applies all formatting: number formats, colours, freeze panes, conditional formatting, formulas for growth rows, hyperlinks on Sheet 8, and sheet protection.</w:t>
            </w:r>
          </w:p>
        </w:tc>
      </w:tr>
      <w:tr>
        <w:tc>
          <w:tcPr>
            <w:tcW w:type="dxa" w:w="2592"/>
            <w:shd w:val="clear" w:color="auto" w:fill="FFFFFF"/>
          </w:tcPr>
          <w:p>
            <w:pPr>
              <w:spacing w:after="0" w:before="0"/>
              <w:jc w:val="left"/>
            </w:pPr>
            <w:r/>
            <w:r>
              <w:rPr>
                <w:rFonts w:ascii="Calibri" w:hAnsi="Calibri"/>
                <w:b w:val="0"/>
                <w:sz w:val="18"/>
              </w:rPr>
              <w:t>Stage 4 — Store</w:t>
            </w:r>
          </w:p>
        </w:tc>
        <w:tc>
          <w:tcPr>
            <w:tcW w:type="dxa" w:w="6048"/>
            <w:shd w:val="clear" w:color="auto" w:fill="FFFFFF"/>
          </w:tcPr>
          <w:p>
            <w:pPr>
              <w:spacing w:after="0" w:before="0"/>
              <w:jc w:val="left"/>
            </w:pPr>
            <w:r/>
            <w:r>
              <w:rPr>
                <w:rFonts w:ascii="Calibri" w:hAnsi="Calibri"/>
                <w:b w:val="0"/>
                <w:sz w:val="18"/>
              </w:rPr>
              <w:t>Completed workbook buffer is written to S3 (fdh-exports bucket) with the standard key convention. exports table record created. Signed URL generated.</w:t>
            </w:r>
          </w:p>
        </w:tc>
      </w:tr>
    </w:tbl>
    <w:p/>
    <w:p>
      <w:pPr>
        <w:pStyle w:val="Heading3"/>
        <w:spacing w:before="280" w:after="80"/>
      </w:pPr>
      <w:r>
        <w:rPr>
          <w:rFonts w:ascii="Calibri" w:hAnsi="Calibri"/>
          <w:color w:val="2E75B6"/>
          <w:sz w:val="22"/>
        </w:rPr>
        <w:t>pandas Pivot Logic (Transformer Detail)</w:t>
      </w:r>
    </w:p>
    <w:p>
      <w:pPr>
        <w:spacing w:after="120" w:before="0"/>
      </w:pPr>
      <w:r>
        <w:rPr>
          <w:rFonts w:ascii="Calibri" w:hAnsi="Calibri"/>
          <w:b/>
          <w:sz w:val="20"/>
        </w:rPr>
        <w:t>The core transformation for financial statement sheets:</w:t>
      </w:r>
    </w:p>
    <w:p>
      <w:pPr>
        <w:spacing w:after="120" w:before="0"/>
      </w:pPr>
      <w:r>
        <w:rPr>
          <w:rFonts w:ascii="Calibri" w:hAnsi="Calibri"/>
          <w:b w:val="0"/>
          <w:sz w:val="20"/>
        </w:rPr>
        <w:t>Input: List of financial_line_items records with fields (canonical_field, fiscal_year, fiscal_period, value_normalized, confidence_score). Operation: pandas.DataFrame.pivot_table(index='canonical_field', columns='fiscal_year', values='value_normalized', aggfunc='first'). Output: DataFrame where rows are canonical fields (revenue, gross_profit, etc.) and columns are fiscal years (2020, 2021, 2022, 2023, 2024), ordered most recent first. The openpyxl builder then iterates this DataFrame row-by-row to write the Excel sheet.</w:t>
      </w:r>
    </w:p>
    <w:p>
      <w:pPr>
        <w:spacing w:after="120" w:before="0"/>
      </w:pPr>
      <w:r>
        <w:rPr>
          <w:rFonts w:ascii="Calibri" w:hAnsi="Calibri"/>
          <w:b/>
          <w:sz w:val="20"/>
        </w:rPr>
        <w:t>YoY Growth Calculation</w:t>
      </w:r>
    </w:p>
    <w:p>
      <w:pPr>
        <w:spacing w:after="120" w:before="0"/>
      </w:pPr>
      <w:r>
        <w:rPr>
          <w:rFonts w:ascii="Calibri" w:hAnsi="Calibri"/>
          <w:b w:val="0"/>
          <w:sz w:val="20"/>
        </w:rPr>
        <w:t>After pivoting, the transformer computes a parallel growth DataFrame: growth_df = df.pct_change(axis='columns', periods=-1). Negative periods because years are ordered most-recent-first (left to right). NaN values in the growth DataFrame are written to Excel as empty cells, not as formula errors.</w:t>
      </w:r>
    </w:p>
    <w:p>
      <w:pPr>
        <w:spacing w:after="120" w:before="0"/>
      </w:pPr>
      <w:r>
        <w:rPr>
          <w:rFonts w:ascii="Calibri" w:hAnsi="Calibri"/>
          <w:b/>
          <w:sz w:val="20"/>
        </w:rPr>
        <w:t>Confidence Score Overlay</w:t>
      </w:r>
    </w:p>
    <w:p>
      <w:pPr>
        <w:spacing w:after="120" w:before="0"/>
      </w:pPr>
      <w:r>
        <w:rPr>
          <w:rFonts w:ascii="Calibri" w:hAnsi="Calibri"/>
          <w:b w:val="0"/>
          <w:sz w:val="20"/>
        </w:rPr>
        <w:t>A separate confidence_df is pivoted alongside the value_df with the same index and column structure. During openpyxl writing, if confidence_df.loc[field, year] &lt; 80, the corresponding cell receives a yellow background fill (PatternFill). This is how the 'yellow highlight for low-confidence values' specified in Section 7.3 is implemented in practice.</w:t>
      </w:r>
    </w:p>
    <w:p>
      <w:pPr>
        <w:spacing w:after="120" w:before="0"/>
      </w:pPr>
      <w:r>
        <w:rPr>
          <w:rFonts w:ascii="Calibri" w:hAnsi="Calibri"/>
          <w:b/>
          <w:sz w:val="20"/>
        </w:rPr>
        <w:t>New Dependency (reconfirmed)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28"/>
            <w:shd w:val="clear" w:color="auto" w:fill="1F3864"/>
          </w:tcPr>
          <w:p>
            <w:pPr>
              <w:spacing w:after="0" w:before="0"/>
              <w:jc w:val="center"/>
            </w:pPr>
            <w:r/>
            <w:r>
              <w:rPr>
                <w:rFonts w:ascii="Calibri" w:hAnsi="Calibri"/>
                <w:b/>
                <w:color w:val="FFFFFF"/>
                <w:sz w:val="18"/>
              </w:rPr>
              <w:t>Package</w:t>
            </w:r>
          </w:p>
        </w:tc>
        <w:tc>
          <w:tcPr>
            <w:tcW w:type="dxa" w:w="1152"/>
            <w:shd w:val="clear" w:color="auto" w:fill="1F3864"/>
          </w:tcPr>
          <w:p>
            <w:pPr>
              <w:spacing w:after="0" w:before="0"/>
              <w:jc w:val="center"/>
            </w:pPr>
            <w:r/>
            <w:r>
              <w:rPr>
                <w:rFonts w:ascii="Calibri" w:hAnsi="Calibri"/>
                <w:b/>
                <w:color w:val="FFFFFF"/>
                <w:sz w:val="18"/>
              </w:rPr>
              <w:t>Version</w:t>
            </w:r>
          </w:p>
        </w:tc>
        <w:tc>
          <w:tcPr>
            <w:tcW w:type="dxa" w:w="2880"/>
            <w:shd w:val="clear" w:color="auto" w:fill="1F3864"/>
          </w:tcPr>
          <w:p>
            <w:pPr>
              <w:spacing w:after="0" w:before="0"/>
              <w:jc w:val="center"/>
            </w:pPr>
            <w:r/>
            <w:r>
              <w:rPr>
                <w:rFonts w:ascii="Calibri" w:hAnsi="Calibri"/>
                <w:b/>
                <w:color w:val="FFFFFF"/>
                <w:sz w:val="18"/>
              </w:rPr>
              <w:t>Install</w:t>
            </w:r>
          </w:p>
        </w:tc>
        <w:tc>
          <w:tcPr>
            <w:tcW w:type="dxa" w:w="2880"/>
            <w:shd w:val="clear" w:color="auto" w:fill="1F3864"/>
          </w:tcPr>
          <w:p>
            <w:pPr>
              <w:spacing w:after="0" w:before="0"/>
              <w:jc w:val="center"/>
            </w:pPr>
            <w:r/>
            <w:r>
              <w:rPr>
                <w:rFonts w:ascii="Calibri" w:hAnsi="Calibri"/>
                <w:b/>
                <w:color w:val="FFFFFF"/>
                <w:sz w:val="18"/>
              </w:rPr>
              <w:t>Purpose</w:t>
            </w:r>
          </w:p>
        </w:tc>
      </w:tr>
      <w:tr>
        <w:tc>
          <w:tcPr>
            <w:tcW w:type="dxa" w:w="1728"/>
            <w:shd w:val="clear" w:color="auto" w:fill="F2F2F2"/>
          </w:tcPr>
          <w:p>
            <w:pPr>
              <w:spacing w:after="0" w:before="0"/>
              <w:jc w:val="left"/>
            </w:pPr>
            <w:r/>
            <w:r>
              <w:rPr>
                <w:rFonts w:ascii="Calibri" w:hAnsi="Calibri"/>
                <w:b w:val="0"/>
                <w:sz w:val="18"/>
              </w:rPr>
              <w:t>pandas</w:t>
            </w:r>
          </w:p>
        </w:tc>
        <w:tc>
          <w:tcPr>
            <w:tcW w:type="dxa" w:w="1152"/>
            <w:shd w:val="clear" w:color="auto" w:fill="F2F2F2"/>
          </w:tcPr>
          <w:p>
            <w:pPr>
              <w:spacing w:after="0" w:before="0"/>
              <w:jc w:val="left"/>
            </w:pPr>
            <w:r/>
            <w:r>
              <w:rPr>
                <w:rFonts w:ascii="Calibri" w:hAnsi="Calibri"/>
                <w:b w:val="0"/>
                <w:sz w:val="18"/>
              </w:rPr>
              <w:t>2.x</w:t>
            </w:r>
          </w:p>
        </w:tc>
        <w:tc>
          <w:tcPr>
            <w:tcW w:type="dxa" w:w="2880"/>
            <w:shd w:val="clear" w:color="auto" w:fill="F2F2F2"/>
          </w:tcPr>
          <w:p>
            <w:pPr>
              <w:spacing w:after="0" w:before="0"/>
              <w:jc w:val="left"/>
            </w:pPr>
            <w:r/>
            <w:r>
              <w:rPr>
                <w:rFonts w:ascii="Calibri" w:hAnsi="Calibri"/>
                <w:b w:val="0"/>
                <w:sz w:val="18"/>
              </w:rPr>
              <w:t>pip install pandas==2.*</w:t>
            </w:r>
          </w:p>
        </w:tc>
        <w:tc>
          <w:tcPr>
            <w:tcW w:type="dxa" w:w="2880"/>
            <w:shd w:val="clear" w:color="auto" w:fill="F2F2F2"/>
          </w:tcPr>
          <w:p>
            <w:pPr>
              <w:spacing w:after="0" w:before="0"/>
              <w:jc w:val="left"/>
            </w:pPr>
            <w:r/>
            <w:r>
              <w:rPr>
                <w:rFonts w:ascii="Calibri" w:hAnsi="Calibri"/>
                <w:b w:val="0"/>
                <w:sz w:val="18"/>
              </w:rPr>
              <w:t>Transform, pivot, growth rates</w:t>
            </w:r>
          </w:p>
        </w:tc>
      </w:tr>
    </w:tbl>
    <w:p/>
    <w:p>
      <w:r>
        <w:br w:type="page"/>
      </w:r>
    </w:p>
    <w:p>
      <w:pPr>
        <w:shd w:val="clear" w:color="auto" w:fill="37864F"/>
        <w:spacing w:before="120" w:after="120"/>
      </w:pPr>
      <w:r>
        <w:rPr>
          <w:rFonts w:ascii="Calibri" w:hAnsi="Calibri"/>
          <w:b/>
          <w:color w:val="FFFFFF"/>
          <w:sz w:val="24"/>
        </w:rPr>
        <w:t>AMENDMENT — Blocker 2 Resolution: pandas Data Transformation Step Added to Excel Export (Section 7)</w:t>
      </w:r>
    </w:p>
    <w:p>
      <w:pPr>
        <w:spacing w:after="120" w:before="0"/>
      </w:pPr>
      <w:r>
        <w:rPr>
          <w:rFonts w:ascii="Calibri" w:hAnsi="Calibri"/>
          <w:b w:val="0"/>
          <w:color w:val="378644"/>
          <w:sz w:val="18"/>
        </w:rPr>
        <w:t>Added: June 2, 2026  |  Source: Final Project Readiness Assessment</w:t>
      </w:r>
    </w:p>
    <w:p>
      <w:pPr>
        <w:spacing w:before="80" w:after="80"/>
        <w:pBdr>
          <w:bottom w:val="single" w:sz="6" w:space="1" w:color="2E75B6"/>
        </w:pBdr>
      </w:pPr>
    </w:p>
    <w:p>
      <w:pPr>
        <w:pStyle w:val="Heading2"/>
        <w:spacing w:before="280" w:after="80"/>
      </w:pPr>
      <w:r>
        <w:rPr>
          <w:rFonts w:ascii="Calibri" w:hAnsi="Calibri"/>
          <w:color w:val="2E75B6"/>
          <w:sz w:val="26"/>
        </w:rPr>
        <w:t>Section 7 Amendment — pandas Transformation Stage</w:t>
      </w:r>
    </w:p>
    <w:p>
      <w:pPr>
        <w:spacing w:after="120" w:before="0"/>
      </w:pPr>
      <w:r>
        <w:rPr>
          <w:rFonts w:ascii="Calibri" w:hAnsi="Calibri"/>
          <w:b w:val="0"/>
          <w:sz w:val="20"/>
        </w:rPr>
        <w:t>Section 7 specifies the Excel workbook structure and openpyxl implementation. This amendment adds the missing pandas transformation stage that sits between the database query and the openpyxl workbook builder.</w:t>
      </w:r>
    </w:p>
    <w:p>
      <w:pPr>
        <w:pStyle w:val="Heading3"/>
        <w:spacing w:before="280" w:after="80"/>
      </w:pPr>
      <w:r>
        <w:rPr>
          <w:rFonts w:ascii="Calibri" w:hAnsi="Calibri"/>
          <w:color w:val="2E75B6"/>
          <w:sz w:val="22"/>
        </w:rPr>
        <w:t>Updated Excel Export Pipeline (Revised Section 7.3)</w:t>
      </w:r>
    </w:p>
    <w:p>
      <w:pPr>
        <w:spacing w:after="120" w:before="0"/>
      </w:pPr>
      <w:r>
        <w:rPr>
          <w:rFonts w:ascii="Calibri" w:hAnsi="Calibri"/>
          <w:b w:val="0"/>
          <w:sz w:val="20"/>
        </w:rPr>
        <w:t>The export pipeline has four stages, not two. The original specification implied a direct path from database to openpyxl. The corrected pipeline is:</w:t>
      </w: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1F3864"/>
          </w:tcPr>
          <w:p>
            <w:pPr>
              <w:spacing w:after="0" w:before="0"/>
              <w:jc w:val="center"/>
            </w:pPr>
            <w:r/>
            <w:r>
              <w:rPr>
                <w:rFonts w:ascii="Calibri" w:hAnsi="Calibri"/>
                <w:b/>
                <w:color w:val="FFFFFF"/>
                <w:sz w:val="18"/>
              </w:rPr>
              <w:t>Stage</w:t>
            </w:r>
          </w:p>
        </w:tc>
        <w:tc>
          <w:tcPr>
            <w:tcW w:type="dxa" w:w="6048"/>
            <w:shd w:val="clear" w:color="auto" w:fill="1F3864"/>
          </w:tcPr>
          <w:p>
            <w:pPr>
              <w:spacing w:after="0" w:before="0"/>
              <w:jc w:val="center"/>
            </w:pPr>
            <w:r/>
            <w:r>
              <w:rPr>
                <w:rFonts w:ascii="Calibri" w:hAnsi="Calibri"/>
                <w:b/>
                <w:color w:val="FFFFFF"/>
                <w:sz w:val="18"/>
              </w:rPr>
              <w:t>Description</w:t>
            </w:r>
          </w:p>
        </w:tc>
      </w:tr>
      <w:tr>
        <w:tc>
          <w:tcPr>
            <w:tcW w:type="dxa" w:w="2592"/>
            <w:shd w:val="clear" w:color="auto" w:fill="F2F2F2"/>
          </w:tcPr>
          <w:p>
            <w:pPr>
              <w:spacing w:after="0" w:before="0"/>
              <w:jc w:val="left"/>
            </w:pPr>
            <w:r/>
            <w:r>
              <w:rPr>
                <w:rFonts w:ascii="Calibri" w:hAnsi="Calibri"/>
                <w:b w:val="0"/>
                <w:sz w:val="18"/>
              </w:rPr>
              <w:t>Stage 1 — Query</w:t>
            </w:r>
          </w:p>
        </w:tc>
        <w:tc>
          <w:tcPr>
            <w:tcW w:type="dxa" w:w="6048"/>
            <w:shd w:val="clear" w:color="auto" w:fill="F2F2F2"/>
          </w:tcPr>
          <w:p>
            <w:pPr>
              <w:spacing w:after="0" w:before="0"/>
              <w:jc w:val="left"/>
            </w:pPr>
            <w:r/>
            <w:r>
              <w:rPr>
                <w:rFonts w:ascii="Calibri" w:hAnsi="Calibri"/>
                <w:b w:val="0"/>
                <w:sz w:val="18"/>
              </w:rPr>
              <w:t>Repository layer queries financial_line_items, ratios, segments, and validation_results for the requested company and fiscal years. Returns raw SQLAlchemy result rows.</w:t>
            </w:r>
          </w:p>
        </w:tc>
      </w:tr>
      <w:tr>
        <w:tc>
          <w:tcPr>
            <w:tcW w:type="dxa" w:w="2592"/>
            <w:shd w:val="clear" w:color="auto" w:fill="FFFFFF"/>
          </w:tcPr>
          <w:p>
            <w:pPr>
              <w:spacing w:after="0" w:before="0"/>
              <w:jc w:val="left"/>
            </w:pPr>
            <w:r/>
            <w:r>
              <w:rPr>
                <w:rFonts w:ascii="Calibri" w:hAnsi="Calibri"/>
                <w:b w:val="0"/>
                <w:sz w:val="18"/>
              </w:rPr>
              <w:t>Stage 2 — Transform (pandas)</w:t>
            </w:r>
          </w:p>
        </w:tc>
        <w:tc>
          <w:tcPr>
            <w:tcW w:type="dxa" w:w="6048"/>
            <w:shd w:val="clear" w:color="auto" w:fill="FFFFFF"/>
          </w:tcPr>
          <w:p>
            <w:pPr>
              <w:spacing w:after="0" w:before="0"/>
              <w:jc w:val="left"/>
            </w:pPr>
            <w:r/>
            <w:r>
              <w:rPr>
                <w:rFonts w:ascii="Calibri" w:hAnsi="Calibri"/>
                <w:b w:val="0"/>
                <w:sz w:val="18"/>
              </w:rPr>
              <w:t>services/export/transformer.py receives the raw rows and uses pandas to: pivot long-format line items into wide-format (field × year) DataFrames; compute YoY growth rates; fill missing values with NaN; aggregate segment data; compute ratio DataFrame from line item DataFrame. Returns a typed ExportDataset object containing one DataFrame per Excel sheet.</w:t>
            </w:r>
          </w:p>
        </w:tc>
      </w:tr>
      <w:tr>
        <w:tc>
          <w:tcPr>
            <w:tcW w:type="dxa" w:w="2592"/>
            <w:shd w:val="clear" w:color="auto" w:fill="F2F2F2"/>
          </w:tcPr>
          <w:p>
            <w:pPr>
              <w:spacing w:after="0" w:before="0"/>
              <w:jc w:val="left"/>
            </w:pPr>
            <w:r/>
            <w:r>
              <w:rPr>
                <w:rFonts w:ascii="Calibri" w:hAnsi="Calibri"/>
                <w:b w:val="0"/>
                <w:sz w:val="18"/>
              </w:rPr>
              <w:t>Stage 3 — Build (openpyxl)</w:t>
            </w:r>
          </w:p>
        </w:tc>
        <w:tc>
          <w:tcPr>
            <w:tcW w:type="dxa" w:w="6048"/>
            <w:shd w:val="clear" w:color="auto" w:fill="F2F2F2"/>
          </w:tcPr>
          <w:p>
            <w:pPr>
              <w:spacing w:after="0" w:before="0"/>
              <w:jc w:val="left"/>
            </w:pPr>
            <w:r/>
            <w:r>
              <w:rPr>
                <w:rFonts w:ascii="Calibri" w:hAnsi="Calibri"/>
                <w:b w:val="0"/>
                <w:sz w:val="18"/>
              </w:rPr>
              <w:t>services/export/builder.py receives the ExportDataset and writes each DataFrame into the corresponding Excel sheet. Applies all formatting: number formats, colours, freeze panes, conditional formatting, formulas for growth rows, hyperlinks on Sheet 8, and sheet protection.</w:t>
            </w:r>
          </w:p>
        </w:tc>
      </w:tr>
      <w:tr>
        <w:tc>
          <w:tcPr>
            <w:tcW w:type="dxa" w:w="2592"/>
            <w:shd w:val="clear" w:color="auto" w:fill="FFFFFF"/>
          </w:tcPr>
          <w:p>
            <w:pPr>
              <w:spacing w:after="0" w:before="0"/>
              <w:jc w:val="left"/>
            </w:pPr>
            <w:r/>
            <w:r>
              <w:rPr>
                <w:rFonts w:ascii="Calibri" w:hAnsi="Calibri"/>
                <w:b w:val="0"/>
                <w:sz w:val="18"/>
              </w:rPr>
              <w:t>Stage 4 — Store</w:t>
            </w:r>
          </w:p>
        </w:tc>
        <w:tc>
          <w:tcPr>
            <w:tcW w:type="dxa" w:w="6048"/>
            <w:shd w:val="clear" w:color="auto" w:fill="FFFFFF"/>
          </w:tcPr>
          <w:p>
            <w:pPr>
              <w:spacing w:after="0" w:before="0"/>
              <w:jc w:val="left"/>
            </w:pPr>
            <w:r/>
            <w:r>
              <w:rPr>
                <w:rFonts w:ascii="Calibri" w:hAnsi="Calibri"/>
                <w:b w:val="0"/>
                <w:sz w:val="18"/>
              </w:rPr>
              <w:t>Completed workbook buffer is written to S3 (fdh-exports bucket) with the standard key convention. exports table record created. Signed URL generated.</w:t>
            </w:r>
          </w:p>
        </w:tc>
      </w:tr>
    </w:tbl>
    <w:p/>
    <w:p>
      <w:pPr>
        <w:pStyle w:val="Heading3"/>
        <w:spacing w:before="280" w:after="80"/>
      </w:pPr>
      <w:r>
        <w:rPr>
          <w:rFonts w:ascii="Calibri" w:hAnsi="Calibri"/>
          <w:color w:val="2E75B6"/>
          <w:sz w:val="22"/>
        </w:rPr>
        <w:t>pandas Pivot Logic (Transformer Detail)</w:t>
      </w:r>
    </w:p>
    <w:p>
      <w:pPr>
        <w:spacing w:after="120" w:before="0"/>
      </w:pPr>
      <w:r>
        <w:rPr>
          <w:rFonts w:ascii="Calibri" w:hAnsi="Calibri"/>
          <w:b/>
          <w:sz w:val="20"/>
        </w:rPr>
        <w:t>The core transformation for financial statement sheets:</w:t>
      </w:r>
    </w:p>
    <w:p>
      <w:pPr>
        <w:spacing w:after="120" w:before="0"/>
      </w:pPr>
      <w:r>
        <w:rPr>
          <w:rFonts w:ascii="Calibri" w:hAnsi="Calibri"/>
          <w:b w:val="0"/>
          <w:sz w:val="20"/>
        </w:rPr>
        <w:t>Input: List of financial_line_items records with fields (canonical_field, fiscal_year, fiscal_period, value_normalized, confidence_score). Operation: pandas.DataFrame.pivot_table(index='canonical_field', columns='fiscal_year', values='value_normalized', aggfunc='first'). Output: DataFrame where rows are canonical fields (revenue, gross_profit, etc.) and columns are fiscal years (2020, 2021, 2022, 2023, 2024), ordered most recent first. The openpyxl builder then iterates this DataFrame row-by-row to write the Excel sheet.</w:t>
      </w:r>
    </w:p>
    <w:p>
      <w:pPr>
        <w:spacing w:after="120" w:before="0"/>
      </w:pPr>
      <w:r>
        <w:rPr>
          <w:rFonts w:ascii="Calibri" w:hAnsi="Calibri"/>
          <w:b/>
          <w:sz w:val="20"/>
        </w:rPr>
        <w:t>YoY Growth Calculation</w:t>
      </w:r>
    </w:p>
    <w:p>
      <w:pPr>
        <w:spacing w:after="120" w:before="0"/>
      </w:pPr>
      <w:r>
        <w:rPr>
          <w:rFonts w:ascii="Calibri" w:hAnsi="Calibri"/>
          <w:b w:val="0"/>
          <w:sz w:val="20"/>
        </w:rPr>
        <w:t>After pivoting, the transformer computes a parallel growth DataFrame: growth_df = df.pct_change(axis='columns', periods=-1). Negative periods because years are ordered most-recent-first (left to right). NaN values in the growth DataFrame are written to Excel as empty cells, not as formula errors.</w:t>
      </w:r>
    </w:p>
    <w:p>
      <w:pPr>
        <w:spacing w:after="120" w:before="0"/>
      </w:pPr>
      <w:r>
        <w:rPr>
          <w:rFonts w:ascii="Calibri" w:hAnsi="Calibri"/>
          <w:b/>
          <w:sz w:val="20"/>
        </w:rPr>
        <w:t>Confidence Score Overlay</w:t>
      </w:r>
    </w:p>
    <w:p>
      <w:pPr>
        <w:spacing w:after="120" w:before="0"/>
      </w:pPr>
      <w:r>
        <w:rPr>
          <w:rFonts w:ascii="Calibri" w:hAnsi="Calibri"/>
          <w:b w:val="0"/>
          <w:sz w:val="20"/>
        </w:rPr>
        <w:t>A separate confidence_df is pivoted alongside the value_df with the same index and column structure. During openpyxl writing, if confidence_df.loc[field, year] &lt; 80, the corresponding cell receives a yellow background fill (PatternFill). This is how the 'yellow highlight for low-confidence values' specified in Section 7.3 is implemented in practice.</w:t>
      </w:r>
    </w:p>
    <w:p>
      <w:pPr>
        <w:spacing w:after="120" w:before="0"/>
      </w:pPr>
      <w:r>
        <w:rPr>
          <w:rFonts w:ascii="Calibri" w:hAnsi="Calibri"/>
          <w:b/>
          <w:sz w:val="20"/>
        </w:rPr>
        <w:t>New Dependency (reconfirmed)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28"/>
            <w:shd w:val="clear" w:color="auto" w:fill="1F3864"/>
          </w:tcPr>
          <w:p>
            <w:pPr>
              <w:spacing w:after="0" w:before="0"/>
              <w:jc w:val="center"/>
            </w:pPr>
            <w:r/>
            <w:r>
              <w:rPr>
                <w:rFonts w:ascii="Calibri" w:hAnsi="Calibri"/>
                <w:b/>
                <w:color w:val="FFFFFF"/>
                <w:sz w:val="18"/>
              </w:rPr>
              <w:t>Package</w:t>
            </w:r>
          </w:p>
        </w:tc>
        <w:tc>
          <w:tcPr>
            <w:tcW w:type="dxa" w:w="1152"/>
            <w:shd w:val="clear" w:color="auto" w:fill="1F3864"/>
          </w:tcPr>
          <w:p>
            <w:pPr>
              <w:spacing w:after="0" w:before="0"/>
              <w:jc w:val="center"/>
            </w:pPr>
            <w:r/>
            <w:r>
              <w:rPr>
                <w:rFonts w:ascii="Calibri" w:hAnsi="Calibri"/>
                <w:b/>
                <w:color w:val="FFFFFF"/>
                <w:sz w:val="18"/>
              </w:rPr>
              <w:t>Version</w:t>
            </w:r>
          </w:p>
        </w:tc>
        <w:tc>
          <w:tcPr>
            <w:tcW w:type="dxa" w:w="2880"/>
            <w:shd w:val="clear" w:color="auto" w:fill="1F3864"/>
          </w:tcPr>
          <w:p>
            <w:pPr>
              <w:spacing w:after="0" w:before="0"/>
              <w:jc w:val="center"/>
            </w:pPr>
            <w:r/>
            <w:r>
              <w:rPr>
                <w:rFonts w:ascii="Calibri" w:hAnsi="Calibri"/>
                <w:b/>
                <w:color w:val="FFFFFF"/>
                <w:sz w:val="18"/>
              </w:rPr>
              <w:t>Install</w:t>
            </w:r>
          </w:p>
        </w:tc>
        <w:tc>
          <w:tcPr>
            <w:tcW w:type="dxa" w:w="2880"/>
            <w:shd w:val="clear" w:color="auto" w:fill="1F3864"/>
          </w:tcPr>
          <w:p>
            <w:pPr>
              <w:spacing w:after="0" w:before="0"/>
              <w:jc w:val="center"/>
            </w:pPr>
            <w:r/>
            <w:r>
              <w:rPr>
                <w:rFonts w:ascii="Calibri" w:hAnsi="Calibri"/>
                <w:b/>
                <w:color w:val="FFFFFF"/>
                <w:sz w:val="18"/>
              </w:rPr>
              <w:t>Purpose</w:t>
            </w:r>
          </w:p>
        </w:tc>
      </w:tr>
      <w:tr>
        <w:tc>
          <w:tcPr>
            <w:tcW w:type="dxa" w:w="1728"/>
            <w:shd w:val="clear" w:color="auto" w:fill="F2F2F2"/>
          </w:tcPr>
          <w:p>
            <w:pPr>
              <w:spacing w:after="0" w:before="0"/>
              <w:jc w:val="left"/>
            </w:pPr>
            <w:r/>
            <w:r>
              <w:rPr>
                <w:rFonts w:ascii="Calibri" w:hAnsi="Calibri"/>
                <w:b w:val="0"/>
                <w:sz w:val="18"/>
              </w:rPr>
              <w:t>pandas</w:t>
            </w:r>
          </w:p>
        </w:tc>
        <w:tc>
          <w:tcPr>
            <w:tcW w:type="dxa" w:w="1152"/>
            <w:shd w:val="clear" w:color="auto" w:fill="F2F2F2"/>
          </w:tcPr>
          <w:p>
            <w:pPr>
              <w:spacing w:after="0" w:before="0"/>
              <w:jc w:val="left"/>
            </w:pPr>
            <w:r/>
            <w:r>
              <w:rPr>
                <w:rFonts w:ascii="Calibri" w:hAnsi="Calibri"/>
                <w:b w:val="0"/>
                <w:sz w:val="18"/>
              </w:rPr>
              <w:t>2.x</w:t>
            </w:r>
          </w:p>
        </w:tc>
        <w:tc>
          <w:tcPr>
            <w:tcW w:type="dxa" w:w="2880"/>
            <w:shd w:val="clear" w:color="auto" w:fill="F2F2F2"/>
          </w:tcPr>
          <w:p>
            <w:pPr>
              <w:spacing w:after="0" w:before="0"/>
              <w:jc w:val="left"/>
            </w:pPr>
            <w:r/>
            <w:r>
              <w:rPr>
                <w:rFonts w:ascii="Calibri" w:hAnsi="Calibri"/>
                <w:b w:val="0"/>
                <w:sz w:val="18"/>
              </w:rPr>
              <w:t>pip install pandas==2.*</w:t>
            </w:r>
          </w:p>
        </w:tc>
        <w:tc>
          <w:tcPr>
            <w:tcW w:type="dxa" w:w="2880"/>
            <w:shd w:val="clear" w:color="auto" w:fill="F2F2F2"/>
          </w:tcPr>
          <w:p>
            <w:pPr>
              <w:spacing w:after="0" w:before="0"/>
              <w:jc w:val="left"/>
            </w:pPr>
            <w:r/>
            <w:r>
              <w:rPr>
                <w:rFonts w:ascii="Calibri" w:hAnsi="Calibri"/>
                <w:b w:val="0"/>
                <w:sz w:val="18"/>
              </w:rPr>
              <w:t>Transform, pivot, growth rates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