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8594" w14:textId="7AF7D8C4" w:rsidR="00415AFB" w:rsidRPr="00415AFB" w:rsidRDefault="00415AFB" w:rsidP="00415AFB">
      <w:pPr>
        <w:rPr>
          <w:sz w:val="52"/>
          <w:szCs w:val="52"/>
        </w:rPr>
      </w:pPr>
      <w:r w:rsidRPr="00415AFB">
        <w:rPr>
          <w:sz w:val="52"/>
          <w:szCs w:val="52"/>
        </w:rPr>
        <w:t>Technical Stack Specification</w:t>
      </w:r>
    </w:p>
    <w:p w14:paraId="3AF8A389" w14:textId="77777777" w:rsidR="00415AFB" w:rsidRDefault="00415AFB" w:rsidP="00415AFB"/>
    <w:p w14:paraId="3278029D" w14:textId="10CA4653" w:rsidR="00415AFB" w:rsidRDefault="00415AFB" w:rsidP="00415AFB">
      <w:r>
        <w:t>Frontend:</w:t>
      </w:r>
    </w:p>
    <w:p w14:paraId="410917CD" w14:textId="77777777" w:rsidR="00415AFB" w:rsidRDefault="00415AFB" w:rsidP="00415AFB">
      <w:r>
        <w:t>- Next.js</w:t>
      </w:r>
    </w:p>
    <w:p w14:paraId="14E2FA5A" w14:textId="77777777" w:rsidR="00415AFB" w:rsidRDefault="00415AFB" w:rsidP="00415AFB">
      <w:r>
        <w:t>- TypeScript</w:t>
      </w:r>
    </w:p>
    <w:p w14:paraId="62AB113B" w14:textId="77777777" w:rsidR="00415AFB" w:rsidRDefault="00415AFB" w:rsidP="00415AFB">
      <w:r>
        <w:t>- Tailwind CSS</w:t>
      </w:r>
    </w:p>
    <w:p w14:paraId="57C0E9A9" w14:textId="77777777" w:rsidR="00415AFB" w:rsidRDefault="00415AFB" w:rsidP="00415AFB"/>
    <w:p w14:paraId="1ED0E172" w14:textId="77777777" w:rsidR="00415AFB" w:rsidRDefault="00415AFB" w:rsidP="00415AFB">
      <w:r>
        <w:t>Backend:</w:t>
      </w:r>
    </w:p>
    <w:p w14:paraId="4E659F37" w14:textId="77777777" w:rsidR="00415AFB" w:rsidRDefault="00415AFB" w:rsidP="00415AFB">
      <w:r>
        <w:t>- Python</w:t>
      </w:r>
    </w:p>
    <w:p w14:paraId="2B99E1CA" w14:textId="77777777" w:rsidR="00415AFB" w:rsidRDefault="00415AFB" w:rsidP="00415AFB">
      <w:r>
        <w:t xml:space="preserve">- </w:t>
      </w:r>
      <w:proofErr w:type="spellStart"/>
      <w:r>
        <w:t>FastAPI</w:t>
      </w:r>
      <w:proofErr w:type="spellEnd"/>
    </w:p>
    <w:p w14:paraId="4977CFEF" w14:textId="77777777" w:rsidR="00415AFB" w:rsidRDefault="00415AFB" w:rsidP="00415AFB"/>
    <w:p w14:paraId="1470DD97" w14:textId="77777777" w:rsidR="00415AFB" w:rsidRDefault="00415AFB" w:rsidP="00415AFB">
      <w:r>
        <w:t>Database:</w:t>
      </w:r>
    </w:p>
    <w:p w14:paraId="48F1B48F" w14:textId="77777777" w:rsidR="00415AFB" w:rsidRDefault="00415AFB" w:rsidP="00415AFB">
      <w:r>
        <w:t>- PostgreSQL</w:t>
      </w:r>
    </w:p>
    <w:p w14:paraId="7BA8AF75" w14:textId="77777777" w:rsidR="00415AFB" w:rsidRDefault="00415AFB" w:rsidP="00415AFB"/>
    <w:p w14:paraId="11600FB9" w14:textId="77777777" w:rsidR="00415AFB" w:rsidRDefault="00415AFB" w:rsidP="00415AFB">
      <w:r>
        <w:t>Background Jobs:</w:t>
      </w:r>
    </w:p>
    <w:p w14:paraId="2D47D532" w14:textId="77777777" w:rsidR="00415AFB" w:rsidRDefault="00415AFB" w:rsidP="00415AFB">
      <w:r>
        <w:t>- Celery / Redis</w:t>
      </w:r>
    </w:p>
    <w:p w14:paraId="37CAA05A" w14:textId="77777777" w:rsidR="00415AFB" w:rsidRDefault="00415AFB" w:rsidP="00415AFB"/>
    <w:p w14:paraId="73767795" w14:textId="77777777" w:rsidR="00415AFB" w:rsidRDefault="00415AFB" w:rsidP="00415AFB">
      <w:r>
        <w:t>File Storage:</w:t>
      </w:r>
    </w:p>
    <w:p w14:paraId="22D675A2" w14:textId="77777777" w:rsidR="00415AFB" w:rsidRDefault="00415AFB" w:rsidP="00415AFB">
      <w:r>
        <w:t>- Local Storage (V1)</w:t>
      </w:r>
    </w:p>
    <w:p w14:paraId="186B8DEA" w14:textId="77777777" w:rsidR="00415AFB" w:rsidRDefault="00415AFB" w:rsidP="00415AFB">
      <w:r>
        <w:t>- AWS S3 (Future)</w:t>
      </w:r>
    </w:p>
    <w:p w14:paraId="712FF71D" w14:textId="77777777" w:rsidR="00415AFB" w:rsidRDefault="00415AFB" w:rsidP="00415AFB"/>
    <w:p w14:paraId="5827FAB6" w14:textId="77777777" w:rsidR="00415AFB" w:rsidRDefault="00415AFB" w:rsidP="00415AFB">
      <w:r>
        <w:t>Excel Engine:</w:t>
      </w:r>
    </w:p>
    <w:p w14:paraId="10C9F69B" w14:textId="77777777" w:rsidR="00415AFB" w:rsidRDefault="00415AFB" w:rsidP="00415AFB">
      <w:r>
        <w:t xml:space="preserve">- </w:t>
      </w:r>
      <w:proofErr w:type="spellStart"/>
      <w:r>
        <w:t>openpyxl</w:t>
      </w:r>
      <w:proofErr w:type="spellEnd"/>
    </w:p>
    <w:p w14:paraId="2F064DA9" w14:textId="77777777" w:rsidR="00415AFB" w:rsidRDefault="00415AFB" w:rsidP="00415AFB">
      <w:r>
        <w:t>- pandas</w:t>
      </w:r>
    </w:p>
    <w:p w14:paraId="1FDE0C76" w14:textId="77777777" w:rsidR="00415AFB" w:rsidRDefault="00415AFB" w:rsidP="00415AFB"/>
    <w:p w14:paraId="2490C9F5" w14:textId="77777777" w:rsidR="00415AFB" w:rsidRDefault="00415AFB" w:rsidP="00415AFB">
      <w:r>
        <w:t>Document Processing:</w:t>
      </w:r>
    </w:p>
    <w:p w14:paraId="61A09398" w14:textId="77777777" w:rsidR="00415AFB" w:rsidRDefault="00415AFB" w:rsidP="00415AFB">
      <w:r>
        <w:t>- PDF Extraction</w:t>
      </w:r>
    </w:p>
    <w:p w14:paraId="684B1505" w14:textId="77777777" w:rsidR="00415AFB" w:rsidRDefault="00415AFB" w:rsidP="00415AFB">
      <w:r>
        <w:lastRenderedPageBreak/>
        <w:t>- OCR Engine</w:t>
      </w:r>
    </w:p>
    <w:p w14:paraId="237242C0" w14:textId="77777777" w:rsidR="00415AFB" w:rsidRDefault="00415AFB" w:rsidP="00415AFB"/>
    <w:p w14:paraId="717782BC" w14:textId="77777777" w:rsidR="00415AFB" w:rsidRDefault="00415AFB" w:rsidP="00415AFB">
      <w:r>
        <w:t>AI Layer:</w:t>
      </w:r>
    </w:p>
    <w:p w14:paraId="75883945" w14:textId="10DF4EFA" w:rsidR="00D67072" w:rsidRDefault="00415AFB" w:rsidP="00415AFB">
      <w:r>
        <w:t>- Claude API</w:t>
      </w:r>
    </w:p>
    <w:p/>
    <w:p>
      <w:pPr>
        <w:spacing w:before="80" w:after="80"/>
        <w:pBdr>
          <w:bottom w:val="single" w:sz="6" w:space="1" w:color="2E75B6"/>
        </w:pBdr>
      </w:pPr>
    </w:p>
    <w:p/>
    <w:p>
      <w:r>
        <w:rPr>
          <w:rFonts w:ascii="Calibri" w:hAnsi="Calibri"/>
          <w:b/>
          <w:color w:val="378644"/>
          <w:sz w:val="24"/>
        </w:rPr>
        <w:t>AMENDMENT — June 2, 2026: Storage and pandas Clarifications</w:t>
      </w:r>
    </w:p>
    <w:p>
      <w:pPr>
        <w:spacing w:after="120" w:before="0"/>
      </w:pPr>
      <w:r>
        <w:rPr>
          <w:rFonts w:ascii="Calibri" w:hAnsi="Calibri"/>
          <w:b w:val="0"/>
          <w:color w:val="606060"/>
          <w:sz w:val="18"/>
        </w:rPr>
        <w:t>The following clarifications were made following the Engineering Specification and Final Project Readiness Assessment completed on June 2, 2026.</w:t>
      </w:r>
    </w:p>
    <w:p>
      <w:pPr>
        <w:spacing w:before="80" w:after="80"/>
        <w:pBdr>
          <w:bottom w:val="single" w:sz="6" w:space="1" w:color="2E75B6"/>
        </w:pBdr>
      </w:pPr>
    </w:p>
    <w:p>
      <w:pPr>
        <w:spacing w:after="120" w:before="0"/>
      </w:pPr>
      <w:r>
        <w:rPr>
          <w:rFonts w:ascii="Calibri" w:hAnsi="Calibri"/>
          <w:b/>
          <w:sz w:val="20"/>
        </w:rPr>
        <w:t>1. pandas — Role Clarification</w:t>
      </w:r>
    </w:p>
    <w:p>
      <w:pPr>
        <w:spacing w:after="120" w:before="0"/>
      </w:pPr>
      <w:r>
        <w:rPr>
          <w:rFonts w:ascii="Calibri" w:hAnsi="Calibri"/>
          <w:b w:val="0"/>
          <w:sz w:val="20"/>
        </w:rPr>
        <w:t>pandas (v2.x) is confirmed as part of the Excel Engine. Its role is specifically as the data transformation layer between database query results and openpyxl. pandas handles pivoting, YoY growth computation, and data reshaping. openpyxl handles all workbook formatting and file generation. These two libraries are complementary — neither replaces the other.</w:t>
      </w:r>
    </w:p>
    <w:p>
      <w:pPr>
        <w:spacing w:after="120" w:before="0"/>
      </w:pPr>
      <w:r>
        <w:rPr>
          <w:rFonts w:ascii="Calibri" w:hAnsi="Calibri"/>
          <w:b/>
          <w:sz w:val="20"/>
        </w:rPr>
        <w:t>2. File Storage — Revised Strategy</w:t>
      </w:r>
    </w:p>
    <w:p>
      <w:pPr>
        <w:spacing w:after="120" w:before="0"/>
      </w:pPr>
      <w:r>
        <w:rPr>
          <w:rFonts w:ascii="Calibri" w:hAnsi="Calibri"/>
          <w:b w:val="0"/>
          <w:sz w:val="20"/>
        </w:rPr>
        <w:t>The original specification states 'Local Storage (V1) → AWS S3 (Future).' This has been revised. The Engineering Specification defines an S3-abstraction layer from day one: production uses AWS S3; local development uses LocalStack (a Docker-based S3 emulator). This means the application code always uses boto3 and the S3 API — the only difference per environment is the endpoint URL. This eliminates the need for a storage migration between V1 and S3.</w:t>
      </w:r>
    </w:p>
    <w:p>
      <w:pPr>
        <w:spacing w:after="120" w:before="0"/>
      </w:pPr>
      <w:r>
        <w:rPr>
          <w:rFonts w:ascii="Calibri" w:hAnsi="Calibri"/>
          <w:b/>
          <w:sz w:val="20"/>
        </w:rPr>
        <w:t>3. Email Service — New Addition</w:t>
      </w:r>
    </w:p>
    <w:p>
      <w:pPr>
        <w:spacing w:after="120" w:before="0"/>
      </w:pPr>
      <w:r>
        <w:rPr>
          <w:rFonts w:ascii="Calibri" w:hAnsi="Calibri"/>
          <w:b w:val="0"/>
          <w:sz w:val="20"/>
        </w:rPr>
        <w:t>AWS SES (production) and Resend (development/staging) are added to the stack as the transactional email providers. Email templates use Jinja2 (v3.x). See Engineering Specification Part 3, Section 13.4 for full design.</w:t>
      </w:r>
    </w:p>
    <w:p>
      <w:pPr>
        <w:spacing w:after="120" w:before="0"/>
      </w:pPr>
      <w:r>
        <w:rPr>
          <w:rFonts w:ascii="Calibri" w:hAnsi="Calibri"/>
          <w:b/>
          <w:sz w:val="20"/>
        </w:rPr>
        <w:t>Updated Excel Engine Stack</w:t>
      </w:r>
    </w:p>
    <w:tbl>
      <w:tblPr>
        <w:tblW w:type="auto" w:w="0"/>
        <w:jc w:val="left"/>
        <w:tblLook w:firstColumn="1" w:firstRow="1" w:lastColumn="0" w:lastRow="0" w:noHBand="0" w:noVBand="1" w:val="04A0"/>
      </w:tblPr>
      <w:tblGrid>
        <w:gridCol w:w="3009"/>
        <w:gridCol w:w="3009"/>
        <w:gridCol w:w="3009"/>
      </w:tblGrid>
      <w:tr>
        <w:tc>
          <w:tcPr>
            <w:tcW w:type="dxa" w:w="2160"/>
            <w:shd w:val="clear" w:color="auto" w:fill="1F3864"/>
          </w:tcPr>
          <w:p>
            <w:pPr>
              <w:spacing w:after="0" w:before="0"/>
              <w:jc w:val="center"/>
            </w:pPr>
            <w:r/>
            <w:r>
              <w:rPr>
                <w:rFonts w:ascii="Calibri" w:hAnsi="Calibri"/>
                <w:b/>
                <w:color w:val="FFFFFF"/>
                <w:sz w:val="18"/>
              </w:rPr>
              <w:t>Library</w:t>
            </w:r>
          </w:p>
        </w:tc>
        <w:tc>
          <w:tcPr>
            <w:tcW w:type="dxa" w:w="1440"/>
            <w:shd w:val="clear" w:color="auto" w:fill="1F3864"/>
          </w:tcPr>
          <w:p>
            <w:pPr>
              <w:spacing w:after="0" w:before="0"/>
              <w:jc w:val="center"/>
            </w:pPr>
            <w:r/>
            <w:r>
              <w:rPr>
                <w:rFonts w:ascii="Calibri" w:hAnsi="Calibri"/>
                <w:b/>
                <w:color w:val="FFFFFF"/>
                <w:sz w:val="18"/>
              </w:rPr>
              <w:t>Version</w:t>
            </w:r>
          </w:p>
        </w:tc>
        <w:tc>
          <w:tcPr>
            <w:tcW w:type="dxa" w:w="5040"/>
            <w:shd w:val="clear" w:color="auto" w:fill="1F3864"/>
          </w:tcPr>
          <w:p>
            <w:pPr>
              <w:spacing w:after="0" w:before="0"/>
              <w:jc w:val="center"/>
            </w:pPr>
            <w:r/>
            <w:r>
              <w:rPr>
                <w:rFonts w:ascii="Calibri" w:hAnsi="Calibri"/>
                <w:b/>
                <w:color w:val="FFFFFF"/>
                <w:sz w:val="18"/>
              </w:rPr>
              <w:t>Role</w:t>
            </w:r>
          </w:p>
        </w:tc>
      </w:tr>
      <w:tr>
        <w:tc>
          <w:tcPr>
            <w:tcW w:type="dxa" w:w="2160"/>
            <w:shd w:val="clear" w:color="auto" w:fill="F2F2F2"/>
          </w:tcPr>
          <w:p>
            <w:pPr>
              <w:spacing w:after="0" w:before="0"/>
              <w:jc w:val="left"/>
            </w:pPr>
            <w:r/>
            <w:r>
              <w:rPr>
                <w:rFonts w:ascii="Calibri" w:hAnsi="Calibri"/>
                <w:b w:val="0"/>
                <w:sz w:val="18"/>
              </w:rPr>
              <w:t>openpyxl</w:t>
            </w:r>
          </w:p>
        </w:tc>
        <w:tc>
          <w:tcPr>
            <w:tcW w:type="dxa" w:w="1440"/>
            <w:shd w:val="clear" w:color="auto" w:fill="F2F2F2"/>
          </w:tcPr>
          <w:p>
            <w:pPr>
              <w:spacing w:after="0" w:before="0"/>
              <w:jc w:val="left"/>
            </w:pPr>
            <w:r/>
            <w:r>
              <w:rPr>
                <w:rFonts w:ascii="Calibri" w:hAnsi="Calibri"/>
                <w:b w:val="0"/>
                <w:sz w:val="18"/>
              </w:rPr>
              <w:t>3.x</w:t>
            </w:r>
          </w:p>
        </w:tc>
        <w:tc>
          <w:tcPr>
            <w:tcW w:type="dxa" w:w="5040"/>
            <w:shd w:val="clear" w:color="auto" w:fill="F2F2F2"/>
          </w:tcPr>
          <w:p>
            <w:pPr>
              <w:spacing w:after="0" w:before="0"/>
              <w:jc w:val="left"/>
            </w:pPr>
            <w:r/>
            <w:r>
              <w:rPr>
                <w:rFonts w:ascii="Calibri" w:hAnsi="Calibri"/>
                <w:b w:val="0"/>
                <w:sz w:val="18"/>
              </w:rPr>
              <w:t>Workbook structure, formatting, formulas, file generation</w:t>
            </w:r>
          </w:p>
        </w:tc>
      </w:tr>
      <w:tr>
        <w:tc>
          <w:tcPr>
            <w:tcW w:type="dxa" w:w="2160"/>
            <w:shd w:val="clear" w:color="auto" w:fill="FFFFFF"/>
          </w:tcPr>
          <w:p>
            <w:pPr>
              <w:spacing w:after="0" w:before="0"/>
              <w:jc w:val="left"/>
            </w:pPr>
            <w:r/>
            <w:r>
              <w:rPr>
                <w:rFonts w:ascii="Calibri" w:hAnsi="Calibri"/>
                <w:b w:val="0"/>
                <w:sz w:val="18"/>
              </w:rPr>
              <w:t>pandas</w:t>
            </w:r>
          </w:p>
        </w:tc>
        <w:tc>
          <w:tcPr>
            <w:tcW w:type="dxa" w:w="1440"/>
            <w:shd w:val="clear" w:color="auto" w:fill="FFFFFF"/>
          </w:tcPr>
          <w:p>
            <w:pPr>
              <w:spacing w:after="0" w:before="0"/>
              <w:jc w:val="left"/>
            </w:pPr>
            <w:r/>
            <w:r>
              <w:rPr>
                <w:rFonts w:ascii="Calibri" w:hAnsi="Calibri"/>
                <w:b w:val="0"/>
                <w:sz w:val="18"/>
              </w:rPr>
              <w:t>2.x</w:t>
            </w:r>
          </w:p>
        </w:tc>
        <w:tc>
          <w:tcPr>
            <w:tcW w:type="dxa" w:w="5040"/>
            <w:shd w:val="clear" w:color="auto" w:fill="FFFFFF"/>
          </w:tcPr>
          <w:p>
            <w:pPr>
              <w:spacing w:after="0" w:before="0"/>
              <w:jc w:val="left"/>
            </w:pPr>
            <w:r/>
            <w:r>
              <w:rPr>
                <w:rFonts w:ascii="Calibri" w:hAnsi="Calibri"/>
                <w:b w:val="0"/>
                <w:sz w:val="18"/>
              </w:rPr>
              <w:t>Data transformation, pivot, YoY growth — feeds openpyxl</w:t>
            </w:r>
          </w:p>
        </w:tc>
      </w:tr>
    </w:tbl>
    <w:p/>
    <w:p>
      <w:pPr>
        <w:spacing w:after="120" w:before="0"/>
      </w:pPr>
      <w:r>
        <w:rPr>
          <w:rFonts w:ascii="Calibri" w:hAnsi="Calibri"/>
          <w:b/>
          <w:sz w:val="20"/>
        </w:rPr>
        <w:t>Updated File Storage Stack</w:t>
      </w:r>
    </w:p>
    <w:tbl>
      <w:tblPr>
        <w:tblW w:type="auto" w:w="0"/>
        <w:jc w:val="left"/>
        <w:tblLook w:firstColumn="1" w:firstRow="1" w:lastColumn="0" w:lastRow="0" w:noHBand="0" w:noVBand="1" w:val="04A0"/>
      </w:tblPr>
      <w:tblGrid>
        <w:gridCol w:w="3009"/>
        <w:gridCol w:w="3009"/>
        <w:gridCol w:w="3009"/>
      </w:tblGrid>
      <w:tr>
        <w:tc>
          <w:tcPr>
            <w:tcW w:type="dxa" w:w="2592"/>
            <w:shd w:val="clear" w:color="auto" w:fill="1F3864"/>
          </w:tcPr>
          <w:p>
            <w:pPr>
              <w:spacing w:after="0" w:before="0"/>
              <w:jc w:val="center"/>
            </w:pPr>
            <w:r/>
            <w:r>
              <w:rPr>
                <w:rFonts w:ascii="Calibri" w:hAnsi="Calibri"/>
                <w:b/>
                <w:color w:val="FFFFFF"/>
                <w:sz w:val="18"/>
              </w:rPr>
              <w:t>Component</w:t>
            </w:r>
          </w:p>
        </w:tc>
        <w:tc>
          <w:tcPr>
            <w:tcW w:type="dxa" w:w="1152"/>
            <w:shd w:val="clear" w:color="auto" w:fill="1F3864"/>
          </w:tcPr>
          <w:p>
            <w:pPr>
              <w:spacing w:after="0" w:before="0"/>
              <w:jc w:val="center"/>
            </w:pPr>
            <w:r/>
            <w:r>
              <w:rPr>
                <w:rFonts w:ascii="Calibri" w:hAnsi="Calibri"/>
                <w:b/>
                <w:color w:val="FFFFFF"/>
                <w:sz w:val="18"/>
              </w:rPr>
              <w:t>Version</w:t>
            </w:r>
          </w:p>
        </w:tc>
        <w:tc>
          <w:tcPr>
            <w:tcW w:type="dxa" w:w="4896"/>
            <w:shd w:val="clear" w:color="auto" w:fill="1F3864"/>
          </w:tcPr>
          <w:p>
            <w:pPr>
              <w:spacing w:after="0" w:before="0"/>
              <w:jc w:val="center"/>
            </w:pPr>
            <w:r/>
            <w:r>
              <w:rPr>
                <w:rFonts w:ascii="Calibri" w:hAnsi="Calibri"/>
                <w:b/>
                <w:color w:val="FFFFFF"/>
                <w:sz w:val="18"/>
              </w:rPr>
              <w:t>Role</w:t>
            </w:r>
          </w:p>
        </w:tc>
      </w:tr>
      <w:tr>
        <w:tc>
          <w:tcPr>
            <w:tcW w:type="dxa" w:w="2592"/>
            <w:shd w:val="clear" w:color="auto" w:fill="F2F2F2"/>
          </w:tcPr>
          <w:p>
            <w:pPr>
              <w:spacing w:after="0" w:before="0"/>
              <w:jc w:val="left"/>
            </w:pPr>
            <w:r/>
            <w:r>
              <w:rPr>
                <w:rFonts w:ascii="Calibri" w:hAnsi="Calibri"/>
                <w:b w:val="0"/>
                <w:sz w:val="18"/>
              </w:rPr>
              <w:t>AWS S3 (boto3)</w:t>
            </w:r>
          </w:p>
        </w:tc>
        <w:tc>
          <w:tcPr>
            <w:tcW w:type="dxa" w:w="1152"/>
            <w:shd w:val="clear" w:color="auto" w:fill="F2F2F2"/>
          </w:tcPr>
          <w:p>
            <w:pPr>
              <w:spacing w:after="0" w:before="0"/>
              <w:jc w:val="left"/>
            </w:pPr>
            <w:r/>
            <w:r>
              <w:rPr>
                <w:rFonts w:ascii="Calibri" w:hAnsi="Calibri"/>
                <w:b w:val="0"/>
                <w:sz w:val="18"/>
              </w:rPr>
              <w:t>-</w:t>
            </w:r>
          </w:p>
        </w:tc>
        <w:tc>
          <w:tcPr>
            <w:tcW w:type="dxa" w:w="4896"/>
            <w:shd w:val="clear" w:color="auto" w:fill="F2F2F2"/>
          </w:tcPr>
          <w:p>
            <w:pPr>
              <w:spacing w:after="0" w:before="0"/>
              <w:jc w:val="left"/>
            </w:pPr>
            <w:r/>
            <w:r>
              <w:rPr>
                <w:rFonts w:ascii="Calibri" w:hAnsi="Calibri"/>
                <w:b w:val="0"/>
                <w:sz w:val="18"/>
              </w:rPr>
              <w:t>Production file storage (documents, exports, assets)</w:t>
            </w:r>
          </w:p>
        </w:tc>
      </w:tr>
      <w:tr>
        <w:tc>
          <w:tcPr>
            <w:tcW w:type="dxa" w:w="2592"/>
            <w:shd w:val="clear" w:color="auto" w:fill="FFFFFF"/>
          </w:tcPr>
          <w:p>
            <w:pPr>
              <w:spacing w:after="0" w:before="0"/>
              <w:jc w:val="left"/>
            </w:pPr>
            <w:r/>
            <w:r>
              <w:rPr>
                <w:rFonts w:ascii="Calibri" w:hAnsi="Calibri"/>
                <w:b w:val="0"/>
                <w:sz w:val="18"/>
              </w:rPr>
              <w:t>LocalStack</w:t>
            </w:r>
          </w:p>
        </w:tc>
        <w:tc>
          <w:tcPr>
            <w:tcW w:type="dxa" w:w="1152"/>
            <w:shd w:val="clear" w:color="auto" w:fill="FFFFFF"/>
          </w:tcPr>
          <w:p>
            <w:pPr>
              <w:spacing w:after="0" w:before="0"/>
              <w:jc w:val="left"/>
            </w:pPr>
            <w:r/>
            <w:r>
              <w:rPr>
                <w:rFonts w:ascii="Calibri" w:hAnsi="Calibri"/>
                <w:b w:val="0"/>
                <w:sz w:val="18"/>
              </w:rPr>
              <w:t>latest</w:t>
            </w:r>
          </w:p>
        </w:tc>
        <w:tc>
          <w:tcPr>
            <w:tcW w:type="dxa" w:w="4896"/>
            <w:shd w:val="clear" w:color="auto" w:fill="FFFFFF"/>
          </w:tcPr>
          <w:p>
            <w:pPr>
              <w:spacing w:after="0" w:before="0"/>
              <w:jc w:val="left"/>
            </w:pPr>
            <w:r/>
            <w:r>
              <w:rPr>
                <w:rFonts w:ascii="Calibri" w:hAnsi="Calibri"/>
                <w:b w:val="0"/>
                <w:sz w:val="18"/>
              </w:rPr>
              <w:t>S3 emulator for local development — no AWS account needed for dev</w:t>
            </w:r>
          </w:p>
        </w:tc>
      </w:tr>
    </w:tbl>
    <w:p/>
    <w:p>
      <w:pPr>
        <w:spacing w:after="120" w:before="0"/>
      </w:pPr>
      <w:r>
        <w:rPr>
          <w:rFonts w:ascii="Calibri" w:hAnsi="Calibri"/>
          <w:b/>
          <w:sz w:val="20"/>
        </w:rPr>
        <w:t>Updated Email Stack</w:t>
      </w:r>
    </w:p>
    <w:tbl>
      <w:tblPr>
        <w:tblW w:type="auto" w:w="0"/>
        <w:jc w:val="left"/>
        <w:tblLook w:firstColumn="1" w:firstRow="1" w:lastColumn="0" w:lastRow="0" w:noHBand="0" w:noVBand="1" w:val="04A0"/>
      </w:tblPr>
      <w:tblGrid>
        <w:gridCol w:w="3009"/>
        <w:gridCol w:w="3009"/>
        <w:gridCol w:w="3009"/>
      </w:tblGrid>
      <w:tr>
        <w:tc>
          <w:tcPr>
            <w:tcW w:type="dxa" w:w="2592"/>
            <w:shd w:val="clear" w:color="auto" w:fill="1F3864"/>
          </w:tcPr>
          <w:p>
            <w:pPr>
              <w:spacing w:after="0" w:before="0"/>
              <w:jc w:val="center"/>
            </w:pPr>
            <w:r/>
            <w:r>
              <w:rPr>
                <w:rFonts w:ascii="Calibri" w:hAnsi="Calibri"/>
                <w:b/>
                <w:color w:val="FFFFFF"/>
                <w:sz w:val="18"/>
              </w:rPr>
              <w:t>Component</w:t>
            </w:r>
          </w:p>
        </w:tc>
        <w:tc>
          <w:tcPr>
            <w:tcW w:type="dxa" w:w="1152"/>
            <w:shd w:val="clear" w:color="auto" w:fill="1F3864"/>
          </w:tcPr>
          <w:p>
            <w:pPr>
              <w:spacing w:after="0" w:before="0"/>
              <w:jc w:val="center"/>
            </w:pPr>
            <w:r/>
            <w:r>
              <w:rPr>
                <w:rFonts w:ascii="Calibri" w:hAnsi="Calibri"/>
                <w:b/>
                <w:color w:val="FFFFFF"/>
                <w:sz w:val="18"/>
              </w:rPr>
              <w:t>Version</w:t>
            </w:r>
          </w:p>
        </w:tc>
        <w:tc>
          <w:tcPr>
            <w:tcW w:type="dxa" w:w="4896"/>
            <w:shd w:val="clear" w:color="auto" w:fill="1F3864"/>
          </w:tcPr>
          <w:p>
            <w:pPr>
              <w:spacing w:after="0" w:before="0"/>
              <w:jc w:val="center"/>
            </w:pPr>
            <w:r/>
            <w:r>
              <w:rPr>
                <w:rFonts w:ascii="Calibri" w:hAnsi="Calibri"/>
                <w:b/>
                <w:color w:val="FFFFFF"/>
                <w:sz w:val="18"/>
              </w:rPr>
              <w:t>Role</w:t>
            </w:r>
          </w:p>
        </w:tc>
      </w:tr>
      <w:tr>
        <w:tc>
          <w:tcPr>
            <w:tcW w:type="dxa" w:w="2592"/>
            <w:shd w:val="clear" w:color="auto" w:fill="F2F2F2"/>
          </w:tcPr>
          <w:p>
            <w:pPr>
              <w:spacing w:after="0" w:before="0"/>
              <w:jc w:val="left"/>
            </w:pPr>
            <w:r/>
            <w:r>
              <w:rPr>
                <w:rFonts w:ascii="Calibri" w:hAnsi="Calibri"/>
                <w:b w:val="0"/>
                <w:sz w:val="18"/>
              </w:rPr>
              <w:t>AWS SES (boto3)</w:t>
            </w:r>
          </w:p>
        </w:tc>
        <w:tc>
          <w:tcPr>
            <w:tcW w:type="dxa" w:w="1152"/>
            <w:shd w:val="clear" w:color="auto" w:fill="F2F2F2"/>
          </w:tcPr>
          <w:p>
            <w:pPr>
              <w:spacing w:after="0" w:before="0"/>
              <w:jc w:val="left"/>
            </w:pPr>
            <w:r/>
            <w:r>
              <w:rPr>
                <w:rFonts w:ascii="Calibri" w:hAnsi="Calibri"/>
                <w:b w:val="0"/>
                <w:sz w:val="18"/>
              </w:rPr>
              <w:t>-</w:t>
            </w:r>
          </w:p>
        </w:tc>
        <w:tc>
          <w:tcPr>
            <w:tcW w:type="dxa" w:w="4896"/>
            <w:shd w:val="clear" w:color="auto" w:fill="F2F2F2"/>
          </w:tcPr>
          <w:p>
            <w:pPr>
              <w:spacing w:after="0" w:before="0"/>
              <w:jc w:val="left"/>
            </w:pPr>
            <w:r/>
            <w:r>
              <w:rPr>
                <w:rFonts w:ascii="Calibri" w:hAnsi="Calibri"/>
                <w:b w:val="0"/>
                <w:sz w:val="18"/>
              </w:rPr>
              <w:t>Production transactional email</w:t>
            </w:r>
          </w:p>
        </w:tc>
      </w:tr>
      <w:tr>
        <w:tc>
          <w:tcPr>
            <w:tcW w:type="dxa" w:w="2592"/>
            <w:shd w:val="clear" w:color="auto" w:fill="FFFFFF"/>
          </w:tcPr>
          <w:p>
            <w:pPr>
              <w:spacing w:after="0" w:before="0"/>
              <w:jc w:val="left"/>
            </w:pPr>
            <w:r/>
            <w:r>
              <w:rPr>
                <w:rFonts w:ascii="Calibri" w:hAnsi="Calibri"/>
                <w:b w:val="0"/>
                <w:sz w:val="18"/>
              </w:rPr>
              <w:t>Resend</w:t>
            </w:r>
          </w:p>
        </w:tc>
        <w:tc>
          <w:tcPr>
            <w:tcW w:type="dxa" w:w="1152"/>
            <w:shd w:val="clear" w:color="auto" w:fill="FFFFFF"/>
          </w:tcPr>
          <w:p>
            <w:pPr>
              <w:spacing w:after="0" w:before="0"/>
              <w:jc w:val="left"/>
            </w:pPr>
            <w:r/>
            <w:r>
              <w:rPr>
                <w:rFonts w:ascii="Calibri" w:hAnsi="Calibri"/>
                <w:b w:val="0"/>
                <w:sz w:val="18"/>
              </w:rPr>
              <w:t>latest</w:t>
            </w:r>
          </w:p>
        </w:tc>
        <w:tc>
          <w:tcPr>
            <w:tcW w:type="dxa" w:w="4896"/>
            <w:shd w:val="clear" w:color="auto" w:fill="FFFFFF"/>
          </w:tcPr>
          <w:p>
            <w:pPr>
              <w:spacing w:after="0" w:before="0"/>
              <w:jc w:val="left"/>
            </w:pPr>
            <w:r/>
            <w:r>
              <w:rPr>
                <w:rFonts w:ascii="Calibri" w:hAnsi="Calibri"/>
                <w:b w:val="0"/>
                <w:sz w:val="18"/>
              </w:rPr>
              <w:t>Dev/staging transactional email</w:t>
            </w:r>
          </w:p>
        </w:tc>
      </w:tr>
      <w:tr>
        <w:tc>
          <w:tcPr>
            <w:tcW w:type="dxa" w:w="2592"/>
            <w:shd w:val="clear" w:color="auto" w:fill="F2F2F2"/>
          </w:tcPr>
          <w:p>
            <w:pPr>
              <w:spacing w:after="0" w:before="0"/>
              <w:jc w:val="left"/>
            </w:pPr>
            <w:r/>
            <w:r>
              <w:rPr>
                <w:rFonts w:ascii="Calibri" w:hAnsi="Calibri"/>
                <w:b w:val="0"/>
                <w:sz w:val="18"/>
              </w:rPr>
              <w:t>Jinja2</w:t>
            </w:r>
          </w:p>
        </w:tc>
        <w:tc>
          <w:tcPr>
            <w:tcW w:type="dxa" w:w="1152"/>
            <w:shd w:val="clear" w:color="auto" w:fill="F2F2F2"/>
          </w:tcPr>
          <w:p>
            <w:pPr>
              <w:spacing w:after="0" w:before="0"/>
              <w:jc w:val="left"/>
            </w:pPr>
            <w:r/>
            <w:r>
              <w:rPr>
                <w:rFonts w:ascii="Calibri" w:hAnsi="Calibri"/>
                <w:b w:val="0"/>
                <w:sz w:val="18"/>
              </w:rPr>
              <w:t>3.x</w:t>
            </w:r>
          </w:p>
        </w:tc>
        <w:tc>
          <w:tcPr>
            <w:tcW w:type="dxa" w:w="4896"/>
            <w:shd w:val="clear" w:color="auto" w:fill="F2F2F2"/>
          </w:tcPr>
          <w:p>
            <w:pPr>
              <w:spacing w:after="0" w:before="0"/>
              <w:jc w:val="left"/>
            </w:pPr>
            <w:r/>
            <w:r>
              <w:rPr>
                <w:rFonts w:ascii="Calibri" w:hAnsi="Calibri"/>
                <w:b w:val="0"/>
                <w:sz w:val="18"/>
              </w:rPr>
              <w:t>Email template rendering</w:t>
            </w:r>
          </w:p>
        </w:tc>
      </w:tr>
    </w:tbl>
    <w:p/>
    <w:sectPr w:rsidR="00D67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FB"/>
    <w:rsid w:val="00415AFB"/>
    <w:rsid w:val="00927D0D"/>
    <w:rsid w:val="00B515E5"/>
    <w:rsid w:val="00D67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9D3B"/>
  <w15:chartTrackingRefBased/>
  <w15:docId w15:val="{F772594F-66A4-405A-8DD3-5FD49468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AFB"/>
    <w:rPr>
      <w:rFonts w:eastAsiaTheme="majorEastAsia" w:cstheme="majorBidi"/>
      <w:color w:val="272727" w:themeColor="text1" w:themeTint="D8"/>
    </w:rPr>
  </w:style>
  <w:style w:type="paragraph" w:styleId="Title">
    <w:name w:val="Title"/>
    <w:basedOn w:val="Normal"/>
    <w:next w:val="Normal"/>
    <w:link w:val="TitleChar"/>
    <w:uiPriority w:val="10"/>
    <w:qFormat/>
    <w:rsid w:val="0041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AFB"/>
    <w:pPr>
      <w:spacing w:before="160"/>
      <w:jc w:val="center"/>
    </w:pPr>
    <w:rPr>
      <w:i/>
      <w:iCs/>
      <w:color w:val="404040" w:themeColor="text1" w:themeTint="BF"/>
    </w:rPr>
  </w:style>
  <w:style w:type="character" w:customStyle="1" w:styleId="QuoteChar">
    <w:name w:val="Quote Char"/>
    <w:basedOn w:val="DefaultParagraphFont"/>
    <w:link w:val="Quote"/>
    <w:uiPriority w:val="29"/>
    <w:rsid w:val="00415AFB"/>
    <w:rPr>
      <w:i/>
      <w:iCs/>
      <w:color w:val="404040" w:themeColor="text1" w:themeTint="BF"/>
    </w:rPr>
  </w:style>
  <w:style w:type="paragraph" w:styleId="ListParagraph">
    <w:name w:val="List Paragraph"/>
    <w:basedOn w:val="Normal"/>
    <w:uiPriority w:val="34"/>
    <w:qFormat/>
    <w:rsid w:val="00415AFB"/>
    <w:pPr>
      <w:ind w:left="720"/>
      <w:contextualSpacing/>
    </w:pPr>
  </w:style>
  <w:style w:type="character" w:styleId="IntenseEmphasis">
    <w:name w:val="Intense Emphasis"/>
    <w:basedOn w:val="DefaultParagraphFont"/>
    <w:uiPriority w:val="21"/>
    <w:qFormat/>
    <w:rsid w:val="00415AFB"/>
    <w:rPr>
      <w:i/>
      <w:iCs/>
      <w:color w:val="0F4761" w:themeColor="accent1" w:themeShade="BF"/>
    </w:rPr>
  </w:style>
  <w:style w:type="paragraph" w:styleId="IntenseQuote">
    <w:name w:val="Intense Quote"/>
    <w:basedOn w:val="Normal"/>
    <w:next w:val="Normal"/>
    <w:link w:val="IntenseQuoteChar"/>
    <w:uiPriority w:val="30"/>
    <w:qFormat/>
    <w:rsid w:val="00415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AFB"/>
    <w:rPr>
      <w:i/>
      <w:iCs/>
      <w:color w:val="0F4761" w:themeColor="accent1" w:themeShade="BF"/>
    </w:rPr>
  </w:style>
  <w:style w:type="character" w:styleId="IntenseReference">
    <w:name w:val="Intense Reference"/>
    <w:basedOn w:val="DefaultParagraphFont"/>
    <w:uiPriority w:val="32"/>
    <w:qFormat/>
    <w:rsid w:val="00415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Words>
  <Characters>283</Characters>
  <Application>Microsoft Office Word</Application>
  <DocSecurity>0</DocSecurity>
  <Lines>2</Lines>
  <Paragraphs>1</Paragraphs>
  <ScaleCrop>false</ScaleCrop>
  <Company/>
  <LinksUpToDate>false</LinksUpToDate>
  <CharactersWithSpaces>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Muhsin</dc:creator>
  <cp:keywords/>
  <dc:description/>
  <cp:lastModifiedBy>Muhammed Muhsin</cp:lastModifiedBy>
  <cp:revision>1</cp:revision>
  <dcterms:created xsi:type="dcterms:W3CDTF">2026-06-02T04:55:00Z</dcterms:created>
  <dcterms:modified xsi:type="dcterms:W3CDTF">2026-06-02T04:56:00Z</dcterms:modified>
</cp:coreProperties>
</file>