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Zorora Academy: Monthly Business Review</w:t>
      </w:r>
    </w:p>
    <w:p>
      <w:r>
        <w:rPr>
          <w:color w:val="595959"/>
        </w:rPr>
        <w:t>November 2025  |  Figures as of 30 November 2025</w:t>
      </w:r>
    </w:p>
    <w:p>
      <w:pPr>
        <w:pStyle w:val="Heading2"/>
      </w:pPr>
      <w:r>
        <w:t>Key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>
              <w:t>Figure</w:t>
            </w:r>
          </w:p>
        </w:tc>
        <w:tc>
          <w:tcPr>
            <w:tcW w:type="dxa" w:w="2460"/>
          </w:tcPr>
          <w:p>
            <w:r>
              <w:t>This month</w:t>
            </w:r>
          </w:p>
        </w:tc>
        <w:tc>
          <w:tcPr>
            <w:tcW w:type="dxa" w:w="2460"/>
          </w:tcPr>
          <w:p>
            <w:r>
              <w:t>Same month last year</w:t>
            </w:r>
          </w:p>
        </w:tc>
        <w:tc>
          <w:tcPr>
            <w:tcW w:type="dxa" w:w="2460"/>
          </w:tcPr>
          <w:p>
            <w:r>
              <w:t>Last month</w:t>
            </w:r>
          </w:p>
        </w:tc>
      </w:tr>
      <w:tr>
        <w:tc>
          <w:tcPr>
            <w:tcW w:type="dxa" w:w="2460"/>
          </w:tcPr>
          <w:p>
            <w:r>
              <w:t>New leads</w:t>
            </w:r>
          </w:p>
        </w:tc>
        <w:tc>
          <w:tcPr>
            <w:tcW w:type="dxa" w:w="2460"/>
          </w:tcPr>
          <w:p>
            <w:r>
              <w:t>88</w:t>
            </w:r>
          </w:p>
        </w:tc>
        <w:tc>
          <w:tcPr>
            <w:tcW w:type="dxa" w:w="2460"/>
          </w:tcPr>
          <w:p>
            <w:r>
              <w:t>82</w:t>
            </w:r>
          </w:p>
        </w:tc>
        <w:tc>
          <w:tcPr>
            <w:tcW w:type="dxa" w:w="2460"/>
          </w:tcPr>
          <w:p>
            <w:r>
              <w:t>82</w:t>
            </w:r>
          </w:p>
        </w:tc>
      </w:tr>
      <w:tr>
        <w:tc>
          <w:tcPr>
            <w:tcW w:type="dxa" w:w="2460"/>
          </w:tcPr>
          <w:p>
            <w:r>
              <w:t>MQLs (passed triage)</w:t>
            </w:r>
          </w:p>
        </w:tc>
        <w:tc>
          <w:tcPr>
            <w:tcW w:type="dxa" w:w="2460"/>
          </w:tcPr>
          <w:p>
            <w:r>
              <w:t>30</w:t>
            </w:r>
          </w:p>
        </w:tc>
        <w:tc>
          <w:tcPr>
            <w:tcW w:type="dxa" w:w="2460"/>
          </w:tcPr>
          <w:p>
            <w:r>
              <w:t>21</w:t>
            </w:r>
          </w:p>
        </w:tc>
        <w:tc>
          <w:tcPr>
            <w:tcW w:type="dxa" w:w="2460"/>
          </w:tcPr>
          <w:p>
            <w:r>
              <w:t>25</w:t>
            </w:r>
          </w:p>
        </w:tc>
      </w:tr>
      <w:tr>
        <w:tc>
          <w:tcPr>
            <w:tcW w:type="dxa" w:w="2460"/>
          </w:tcPr>
          <w:p>
            <w:r>
              <w:t>Diagnostic calls</w:t>
            </w:r>
          </w:p>
        </w:tc>
        <w:tc>
          <w:tcPr>
            <w:tcW w:type="dxa" w:w="2460"/>
          </w:tcPr>
          <w:p>
            <w:r>
              <w:t>8</w:t>
            </w:r>
          </w:p>
        </w:tc>
        <w:tc>
          <w:tcPr>
            <w:tcW w:type="dxa" w:w="2460"/>
          </w:tcPr>
          <w:p>
            <w:r>
              <w:t>8</w:t>
            </w:r>
          </w:p>
        </w:tc>
        <w:tc>
          <w:tcPr>
            <w:tcW w:type="dxa" w:w="2460"/>
          </w:tcPr>
          <w:p>
            <w:r>
              <w:t>9</w:t>
            </w:r>
          </w:p>
        </w:tc>
      </w:tr>
      <w:tr>
        <w:tc>
          <w:tcPr>
            <w:tcW w:type="dxa" w:w="2460"/>
          </w:tcPr>
          <w:p>
            <w:r>
              <w:t>Paid clients</w:t>
            </w:r>
          </w:p>
        </w:tc>
        <w:tc>
          <w:tcPr>
            <w:tcW w:type="dxa" w:w="2460"/>
          </w:tcPr>
          <w:p>
            <w:r>
              <w:t>6</w:t>
            </w:r>
          </w:p>
        </w:tc>
        <w:tc>
          <w:tcPr>
            <w:tcW w:type="dxa" w:w="2460"/>
          </w:tcPr>
          <w:p>
            <w:r>
              <w:t>4</w:t>
            </w:r>
          </w:p>
        </w:tc>
        <w:tc>
          <w:tcPr>
            <w:tcW w:type="dxa" w:w="2460"/>
          </w:tcPr>
          <w:p>
            <w:r>
              <w:t>8</w:t>
            </w:r>
          </w:p>
        </w:tc>
      </w:tr>
      <w:tr>
        <w:tc>
          <w:tcPr>
            <w:tcW w:type="dxa" w:w="2460"/>
          </w:tcPr>
          <w:p>
            <w:r>
              <w:t>Revenue</w:t>
            </w:r>
          </w:p>
        </w:tc>
        <w:tc>
          <w:tcPr>
            <w:tcW w:type="dxa" w:w="2460"/>
          </w:tcPr>
          <w:p>
            <w:r>
              <w:t>BDT 270,000 (CAD 3,140)</w:t>
            </w:r>
          </w:p>
        </w:tc>
        <w:tc>
          <w:tcPr>
            <w:tcW w:type="dxa" w:w="2460"/>
          </w:tcPr>
          <w:p>
            <w:r>
              <w:t>BDT 93,000 (CAD 1,081)</w:t>
            </w:r>
          </w:p>
        </w:tc>
        <w:tc>
          <w:tcPr>
            <w:tcW w:type="dxa" w:w="2460"/>
          </w:tcPr>
          <w:p>
            <w:r>
              <w:t>BDT 450,000 (CAD 5,233)</w:t>
            </w:r>
          </w:p>
        </w:tc>
      </w:tr>
      <w:tr>
        <w:tc>
          <w:tcPr>
            <w:tcW w:type="dxa" w:w="2460"/>
          </w:tcPr>
          <w:p>
            <w:r>
              <w:t>Revenue per paid client (Sep-Nov 2025)</w:t>
            </w:r>
          </w:p>
        </w:tc>
        <w:tc>
          <w:tcPr>
            <w:tcW w:type="dxa" w:w="2460"/>
          </w:tcPr>
          <w:p>
            <w:r>
              <w:t>BDT 56,905 (CAD 662)</w:t>
            </w:r>
          </w:p>
        </w:tc>
        <w:tc>
          <w:tcPr>
            <w:tcW w:type="dxa" w:w="2460"/>
          </w:tcPr>
          <w:p>
            <w:r>
              <w:t>too few to call</w:t>
            </w:r>
          </w:p>
        </w:tc>
        <w:tc>
          <w:tcPr>
            <w:tcW w:type="dxa" w:w="2460"/>
          </w:tcPr>
          <w:p>
            <w:r>
              <w:t>BDT 61,875 (CAD 719)</w:t>
            </w:r>
          </w:p>
        </w:tc>
      </w:tr>
      <w:tr>
        <w:tc>
          <w:tcPr>
            <w:tcW w:type="dxa" w:w="2460"/>
          </w:tcPr>
          <w:p>
            <w:r>
              <w:t>MQL rate (Sep-Nov 2025)</w:t>
            </w:r>
          </w:p>
        </w:tc>
        <w:tc>
          <w:tcPr>
            <w:tcW w:type="dxa" w:w="2460"/>
          </w:tcPr>
          <w:p>
            <w:r>
              <w:t>29.8%</w:t>
            </w:r>
          </w:p>
        </w:tc>
        <w:tc>
          <w:tcPr>
            <w:tcW w:type="dxa" w:w="2460"/>
          </w:tcPr>
          <w:p>
            <w:r>
              <w:t>24.2%</w:t>
            </w:r>
          </w:p>
        </w:tc>
        <w:tc>
          <w:tcPr>
            <w:tcW w:type="dxa" w:w="2460"/>
          </w:tcPr>
          <w:p>
            <w:r>
              <w:t>30.2%</w:t>
            </w:r>
          </w:p>
        </w:tc>
      </w:tr>
      <w:tr>
        <w:tc>
          <w:tcPr>
            <w:tcW w:type="dxa" w:w="2460"/>
          </w:tcPr>
          <w:p>
            <w:r>
              <w:t>Close rate (Aug-Oct 2025)</w:t>
            </w:r>
          </w:p>
        </w:tc>
        <w:tc>
          <w:tcPr>
            <w:tcW w:type="dxa" w:w="2460"/>
          </w:tcPr>
          <w:p>
            <w:r>
              <w:t>9.8%</w:t>
            </w:r>
          </w:p>
        </w:tc>
        <w:tc>
          <w:tcPr>
            <w:tcW w:type="dxa" w:w="2460"/>
          </w:tcPr>
          <w:p>
            <w:r>
              <w:t>5.6%</w:t>
            </w:r>
          </w:p>
        </w:tc>
        <w:tc>
          <w:tcPr>
            <w:tcW w:type="dxa" w:w="2460"/>
          </w:tcPr>
          <w:p>
            <w:r>
              <w:t>10.3%</w:t>
            </w:r>
          </w:p>
        </w:tc>
      </w:tr>
      <w:tr>
        <w:tc>
          <w:tcPr>
            <w:tcW w:type="dxa" w:w="2460"/>
          </w:tcPr>
          <w:p>
            <w:r>
              <w:t>Diagnostic call to paid (Aug-Oct 2025)</w:t>
            </w:r>
          </w:p>
        </w:tc>
        <w:tc>
          <w:tcPr>
            <w:tcW w:type="dxa" w:w="2460"/>
          </w:tcPr>
          <w:p>
            <w:r>
              <w:t>83.3%</w:t>
            </w:r>
          </w:p>
        </w:tc>
        <w:tc>
          <w:tcPr>
            <w:tcW w:type="dxa" w:w="2460"/>
          </w:tcPr>
          <w:p>
            <w:r>
              <w:t>62.5%</w:t>
            </w:r>
          </w:p>
        </w:tc>
        <w:tc>
          <w:tcPr>
            <w:tcW w:type="dxa" w:w="2460"/>
          </w:tcPr>
          <w:p>
            <w:r>
              <w:t>77.3%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Revenue in Nov 2025 was BDT 270,000, against BDT 93,000 in Nov 2024. Last month it was BDT 450,000 in Oct 2025.</w:t>
      </w:r>
    </w:p>
    <w:p>
      <w:pPr>
        <w:pStyle w:val="ListBullet"/>
      </w:pPr>
      <w:r>
        <w:t>Paid clients in Nov 2025 were 6, against 4 in Nov 2024. Last month there were 8.</w:t>
      </w:r>
    </w:p>
    <w:p>
      <w:pPr>
        <w:pStyle w:val="ListBullet"/>
      </w:pPr>
      <w:r>
        <w:t>Full Mentorship revenue in Nov 2025 was BDT 170,000, against BDT 0 in Nov 2024. This coincides with the first Full Mentorship Managed sale at BDT 85k (from Jul 2025).</w:t>
      </w:r>
    </w:p>
    <w:p>
      <w:pPr>
        <w:pStyle w:val="ListBullet"/>
      </w:pPr>
      <w:r>
        <w:t>MQLs in Nov 2025 were 30, against 21 in Nov 2024. This coincides with a rise in the Educator Referral share of leads, from 0.0% (Sep-Nov 2024) to 14.7% (Sep-Nov 2025).</w:t>
      </w:r>
    </w:p>
    <w:p>
      <w:pPr>
        <w:pStyle w:val="ListBullet"/>
      </w:pPr>
      <w:r>
        <w:t>The close rate for Aug-Oct 2025 was 9.8%, against 5.6% in Aug-Oct 2024. This coincides with gate v2 going live, which requires documents before the diagnostic call (from Jun 2025).</w:t>
      </w:r>
    </w:p>
    <w:p>
      <w:pPr>
        <w:pStyle w:val="ListBullet"/>
      </w:pPr>
      <w:r>
        <w:t>Watch the close rate, now 9.8% for Aug-Oct 2025, and revenue per client, now BDT 56,905 for Sep-Nov 2025.</w:t>
      </w:r>
    </w:p>
    <w:p>
      <w:r>
        <w:rPr>
          <w:i/>
        </w:rPr>
        <w:t>Approved by Asef Chaklader on 2026-10-28.</w:t>
      </w:r>
    </w:p>
    <w:p>
      <w:pPr>
        <w:jc w:val="left"/>
      </w:pPr>
      <w:r>
        <w:rPr>
          <w:color w:val="595959"/>
          <w:sz w:val="16"/>
        </w:rPr>
        <w:t>Data: reconstructed operating dataset calibrated to Zorora's real patterns, not a CRM export. CAD shown for scale at 1 CAD = BDT 86 (Wise, 13 Oct 2026). Rates use rolling 3-month windows by the month leads arrived; close rate uses leads at least 30 days old; a rate with fewer than 10 behind it is not shown. Comparison columns show what each earlier report showed for the same window. 2024 is the first comparison year.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