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DF414" w14:textId="77777777" w:rsidR="008F427A" w:rsidRDefault="008F427A" w:rsidP="008F427A"/>
    <w:p w14:paraId="2389AE85" w14:textId="77777777" w:rsidR="008F427A" w:rsidRPr="008F427A" w:rsidRDefault="008F427A" w:rsidP="008F427A">
      <w:r w:rsidRPr="008F427A">
        <w:t> </w:t>
      </w:r>
      <w:r w:rsidRPr="008F427A">
        <w:rPr>
          <w:b/>
          <w:bCs/>
        </w:rPr>
        <w:t xml:space="preserve">7.62mm Type 56 SMG and 7.62mm Chinese Rifle [For </w:t>
      </w:r>
      <w:proofErr w:type="spellStart"/>
      <w:r w:rsidRPr="008F427A">
        <w:rPr>
          <w:b/>
          <w:bCs/>
        </w:rPr>
        <w:t>infograph</w:t>
      </w:r>
      <w:proofErr w:type="spellEnd"/>
      <w:r w:rsidRPr="008F427A">
        <w:rPr>
          <w:b/>
          <w:bCs/>
        </w:rPr>
        <w:t>]</w:t>
      </w:r>
    </w:p>
    <w:p w14:paraId="73F8F5E9" w14:textId="77777777" w:rsidR="008F427A" w:rsidRPr="008F427A" w:rsidRDefault="008F427A" w:rsidP="008F427A"/>
    <w:p w14:paraId="30FEE46E" w14:textId="77777777" w:rsidR="008F427A" w:rsidRPr="008F427A" w:rsidRDefault="008F427A" w:rsidP="008F427A">
      <w:r w:rsidRPr="008F427A">
        <w:t>The Type 56 is a Chinese-manufactured assault rifle based on the design of the Soviet AK-47. It is the standard-issue service rifle of the Border Guard Bangladesh and is widely used in military contexts across the world. The weapon fires 7.62x39mm cartridges, which are high-velocity military rounds. The effective combat range of the Type 56 is between 300 and 400 meters.</w:t>
      </w:r>
    </w:p>
    <w:p w14:paraId="3D8E224F" w14:textId="77777777" w:rsidR="008F427A" w:rsidRPr="008F427A" w:rsidRDefault="008F427A" w:rsidP="008F427A"/>
    <w:p w14:paraId="10C6FC15" w14:textId="77777777" w:rsidR="008F427A" w:rsidRPr="008F427A" w:rsidRDefault="008F427A" w:rsidP="008F427A">
      <w:r w:rsidRPr="008F427A">
        <w:t>This makes it highly dangerous in densely populated areas. The Type 56 is not intended for crowd control. It is a battlefield weapon designed to incapacitate or kill enemy combatants, three weapon experts said. Any use of this firearm in a civilian setting introduces the risk of fatal or life-altering injury and is not consistent with protocols for managing public protests.</w:t>
      </w:r>
    </w:p>
    <w:p w14:paraId="3CC15AC4" w14:textId="77777777" w:rsidR="008F427A" w:rsidRPr="008F427A" w:rsidRDefault="008F427A" w:rsidP="008F427A"/>
    <w:p w14:paraId="60C3E053" w14:textId="77777777" w:rsidR="008F427A" w:rsidRPr="008F427A" w:rsidRDefault="008F427A" w:rsidP="008F427A">
      <w:r w:rsidRPr="008F427A">
        <w:rPr>
          <w:b/>
          <w:bCs/>
        </w:rPr>
        <w:t>Summary Table: Weapon Distribution by Force</w:t>
      </w:r>
    </w:p>
    <w:p w14:paraId="5581C929" w14:textId="77777777" w:rsidR="008F427A" w:rsidRPr="008F427A" w:rsidRDefault="008F427A" w:rsidP="008F427A">
      <w:r w:rsidRPr="008F427A">
        <w:rPr>
          <w:b/>
          <w:bCs/>
        </w:rPr>
        <w:t>In Rampura on July 19, 2024</w:t>
      </w:r>
    </w:p>
    <w:tbl>
      <w:tblPr>
        <w:tblW w:w="0" w:type="auto"/>
        <w:tblCellMar>
          <w:top w:w="15" w:type="dxa"/>
          <w:left w:w="15" w:type="dxa"/>
          <w:bottom w:w="15" w:type="dxa"/>
          <w:right w:w="15" w:type="dxa"/>
        </w:tblCellMar>
        <w:tblLook w:val="04A0" w:firstRow="1" w:lastRow="0" w:firstColumn="1" w:lastColumn="0" w:noHBand="0" w:noVBand="1"/>
      </w:tblPr>
      <w:tblGrid>
        <w:gridCol w:w="4980"/>
        <w:gridCol w:w="782"/>
        <w:gridCol w:w="953"/>
      </w:tblGrid>
      <w:tr w:rsidR="008F427A" w:rsidRPr="008F427A" w14:paraId="6EB6226F" w14:textId="77777777" w:rsidTr="008F427A">
        <w:trPr>
          <w:trHeight w:val="780"/>
        </w:trPr>
        <w:tc>
          <w:tcPr>
            <w:tcW w:w="0" w:type="auto"/>
            <w:tcMar>
              <w:top w:w="100" w:type="dxa"/>
              <w:left w:w="180" w:type="dxa"/>
              <w:bottom w:w="100" w:type="dxa"/>
              <w:right w:w="180" w:type="dxa"/>
            </w:tcMar>
            <w:hideMark/>
          </w:tcPr>
          <w:p w14:paraId="6F0F1125" w14:textId="77777777" w:rsidR="008F427A" w:rsidRPr="008F427A" w:rsidRDefault="008F427A" w:rsidP="008F427A">
            <w:r w:rsidRPr="008F427A">
              <w:rPr>
                <w:b/>
                <w:bCs/>
              </w:rPr>
              <w:t>Weapon Category</w:t>
            </w:r>
          </w:p>
        </w:tc>
        <w:tc>
          <w:tcPr>
            <w:tcW w:w="0" w:type="auto"/>
            <w:tcMar>
              <w:top w:w="100" w:type="dxa"/>
              <w:left w:w="180" w:type="dxa"/>
              <w:bottom w:w="100" w:type="dxa"/>
              <w:right w:w="180" w:type="dxa"/>
            </w:tcMar>
            <w:hideMark/>
          </w:tcPr>
          <w:p w14:paraId="30119DD2" w14:textId="77777777" w:rsidR="008F427A" w:rsidRPr="008F427A" w:rsidRDefault="008F427A" w:rsidP="008F427A">
            <w:r w:rsidRPr="008F427A">
              <w:rPr>
                <w:b/>
                <w:bCs/>
              </w:rPr>
              <w:t>BGB</w:t>
            </w:r>
          </w:p>
        </w:tc>
        <w:tc>
          <w:tcPr>
            <w:tcW w:w="0" w:type="auto"/>
            <w:tcMar>
              <w:top w:w="100" w:type="dxa"/>
              <w:left w:w="180" w:type="dxa"/>
              <w:bottom w:w="100" w:type="dxa"/>
              <w:right w:w="180" w:type="dxa"/>
            </w:tcMar>
            <w:hideMark/>
          </w:tcPr>
          <w:p w14:paraId="2EE051FD" w14:textId="77777777" w:rsidR="008F427A" w:rsidRPr="008F427A" w:rsidRDefault="008F427A" w:rsidP="008F427A">
            <w:r w:rsidRPr="008F427A">
              <w:rPr>
                <w:b/>
                <w:bCs/>
              </w:rPr>
              <w:t>Police</w:t>
            </w:r>
          </w:p>
        </w:tc>
      </w:tr>
      <w:tr w:rsidR="008F427A" w:rsidRPr="008F427A" w14:paraId="44F515DC" w14:textId="77777777" w:rsidTr="008F427A">
        <w:trPr>
          <w:trHeight w:val="480"/>
        </w:trPr>
        <w:tc>
          <w:tcPr>
            <w:tcW w:w="0" w:type="auto"/>
            <w:tcMar>
              <w:top w:w="100" w:type="dxa"/>
              <w:left w:w="180" w:type="dxa"/>
              <w:bottom w:w="100" w:type="dxa"/>
              <w:right w:w="180" w:type="dxa"/>
            </w:tcMar>
            <w:hideMark/>
          </w:tcPr>
          <w:p w14:paraId="5C54001F" w14:textId="77777777" w:rsidR="008F427A" w:rsidRPr="008F427A" w:rsidRDefault="008F427A" w:rsidP="008F427A">
            <w:r w:rsidRPr="008F427A">
              <w:rPr>
                <w:b/>
                <w:bCs/>
              </w:rPr>
              <w:t>Lethal (Primary</w:t>
            </w:r>
            <w:proofErr w:type="gramStart"/>
            <w:r w:rsidRPr="008F427A">
              <w:rPr>
                <w:b/>
                <w:bCs/>
              </w:rPr>
              <w:t>)</w:t>
            </w:r>
            <w:r w:rsidRPr="008F427A">
              <w:rPr>
                <w:i/>
                <w:iCs/>
              </w:rPr>
              <w:t>(</w:t>
            </w:r>
            <w:proofErr w:type="gramEnd"/>
            <w:r w:rsidRPr="008F427A">
              <w:rPr>
                <w:i/>
                <w:iCs/>
              </w:rPr>
              <w:t>Type 56 Assault Rifles)</w:t>
            </w:r>
          </w:p>
        </w:tc>
        <w:tc>
          <w:tcPr>
            <w:tcW w:w="0" w:type="auto"/>
            <w:tcMar>
              <w:top w:w="100" w:type="dxa"/>
              <w:left w:w="180" w:type="dxa"/>
              <w:bottom w:w="100" w:type="dxa"/>
              <w:right w:w="180" w:type="dxa"/>
            </w:tcMar>
            <w:hideMark/>
          </w:tcPr>
          <w:p w14:paraId="1D959296" w14:textId="77777777" w:rsidR="008F427A" w:rsidRPr="008F427A" w:rsidRDefault="008F427A" w:rsidP="008F427A">
            <w:r w:rsidRPr="008F427A">
              <w:rPr>
                <w:b/>
                <w:bCs/>
              </w:rPr>
              <w:t>91</w:t>
            </w:r>
          </w:p>
        </w:tc>
        <w:tc>
          <w:tcPr>
            <w:tcW w:w="0" w:type="auto"/>
            <w:tcMar>
              <w:top w:w="100" w:type="dxa"/>
              <w:left w:w="180" w:type="dxa"/>
              <w:bottom w:w="100" w:type="dxa"/>
              <w:right w:w="180" w:type="dxa"/>
            </w:tcMar>
            <w:hideMark/>
          </w:tcPr>
          <w:p w14:paraId="0E25387F" w14:textId="77777777" w:rsidR="008F427A" w:rsidRPr="008F427A" w:rsidRDefault="008F427A" w:rsidP="008F427A">
            <w:r w:rsidRPr="008F427A">
              <w:rPr>
                <w:b/>
                <w:bCs/>
              </w:rPr>
              <w:t>5</w:t>
            </w:r>
          </w:p>
        </w:tc>
      </w:tr>
      <w:tr w:rsidR="008F427A" w:rsidRPr="008F427A" w14:paraId="4846B9F1" w14:textId="77777777" w:rsidTr="008F427A">
        <w:trPr>
          <w:trHeight w:val="480"/>
        </w:trPr>
        <w:tc>
          <w:tcPr>
            <w:tcW w:w="0" w:type="auto"/>
            <w:tcMar>
              <w:top w:w="100" w:type="dxa"/>
              <w:left w:w="180" w:type="dxa"/>
              <w:bottom w:w="100" w:type="dxa"/>
              <w:right w:w="180" w:type="dxa"/>
            </w:tcMar>
            <w:hideMark/>
          </w:tcPr>
          <w:p w14:paraId="09547BD5" w14:textId="77777777" w:rsidR="008F427A" w:rsidRPr="008F427A" w:rsidRDefault="008F427A" w:rsidP="008F427A">
            <w:r w:rsidRPr="008F427A">
              <w:rPr>
                <w:b/>
                <w:bCs/>
              </w:rPr>
              <w:t>Lethal (Sidearm)</w:t>
            </w:r>
            <w:r w:rsidRPr="008F427A">
              <w:rPr>
                <w:i/>
                <w:iCs/>
              </w:rPr>
              <w:t>(Pistols)</w:t>
            </w:r>
          </w:p>
        </w:tc>
        <w:tc>
          <w:tcPr>
            <w:tcW w:w="0" w:type="auto"/>
            <w:tcMar>
              <w:top w:w="100" w:type="dxa"/>
              <w:left w:w="180" w:type="dxa"/>
              <w:bottom w:w="100" w:type="dxa"/>
              <w:right w:w="180" w:type="dxa"/>
            </w:tcMar>
            <w:hideMark/>
          </w:tcPr>
          <w:p w14:paraId="091F44DE" w14:textId="77777777" w:rsidR="008F427A" w:rsidRPr="008F427A" w:rsidRDefault="008F427A" w:rsidP="008F427A">
            <w:r w:rsidRPr="008F427A">
              <w:t>0</w:t>
            </w:r>
          </w:p>
        </w:tc>
        <w:tc>
          <w:tcPr>
            <w:tcW w:w="0" w:type="auto"/>
            <w:tcMar>
              <w:top w:w="100" w:type="dxa"/>
              <w:left w:w="180" w:type="dxa"/>
              <w:bottom w:w="100" w:type="dxa"/>
              <w:right w:w="180" w:type="dxa"/>
            </w:tcMar>
            <w:hideMark/>
          </w:tcPr>
          <w:p w14:paraId="0FA1ABC1" w14:textId="77777777" w:rsidR="008F427A" w:rsidRPr="008F427A" w:rsidRDefault="008F427A" w:rsidP="008F427A">
            <w:r w:rsidRPr="008F427A">
              <w:rPr>
                <w:b/>
                <w:bCs/>
              </w:rPr>
              <w:t>3</w:t>
            </w:r>
          </w:p>
        </w:tc>
      </w:tr>
      <w:tr w:rsidR="008F427A" w:rsidRPr="008F427A" w14:paraId="44308019" w14:textId="77777777" w:rsidTr="008F427A">
        <w:trPr>
          <w:trHeight w:val="780"/>
        </w:trPr>
        <w:tc>
          <w:tcPr>
            <w:tcW w:w="0" w:type="auto"/>
            <w:tcMar>
              <w:top w:w="100" w:type="dxa"/>
              <w:left w:w="180" w:type="dxa"/>
              <w:bottom w:w="100" w:type="dxa"/>
              <w:right w:w="180" w:type="dxa"/>
            </w:tcMar>
            <w:hideMark/>
          </w:tcPr>
          <w:p w14:paraId="5C58408B" w14:textId="77777777" w:rsidR="008F427A" w:rsidRPr="008F427A" w:rsidRDefault="008F427A" w:rsidP="008F427A">
            <w:r w:rsidRPr="008F427A">
              <w:rPr>
                <w:b/>
                <w:bCs/>
              </w:rPr>
              <w:t>Less-Lethal (Impact</w:t>
            </w:r>
            <w:proofErr w:type="gramStart"/>
            <w:r w:rsidRPr="008F427A">
              <w:rPr>
                <w:b/>
                <w:bCs/>
              </w:rPr>
              <w:t>)</w:t>
            </w:r>
            <w:r w:rsidRPr="008F427A">
              <w:rPr>
                <w:i/>
                <w:iCs/>
              </w:rPr>
              <w:t>(</w:t>
            </w:r>
            <w:proofErr w:type="gramEnd"/>
            <w:r w:rsidRPr="008F427A">
              <w:rPr>
                <w:i/>
                <w:iCs/>
              </w:rPr>
              <w:t>Shotguns, Tear-shell Guns)</w:t>
            </w:r>
          </w:p>
        </w:tc>
        <w:tc>
          <w:tcPr>
            <w:tcW w:w="0" w:type="auto"/>
            <w:tcMar>
              <w:top w:w="100" w:type="dxa"/>
              <w:left w:w="180" w:type="dxa"/>
              <w:bottom w:w="100" w:type="dxa"/>
              <w:right w:w="180" w:type="dxa"/>
            </w:tcMar>
            <w:hideMark/>
          </w:tcPr>
          <w:p w14:paraId="40B10736" w14:textId="77777777" w:rsidR="008F427A" w:rsidRPr="008F427A" w:rsidRDefault="008F427A" w:rsidP="008F427A">
            <w:r w:rsidRPr="008F427A">
              <w:t>0</w:t>
            </w:r>
          </w:p>
        </w:tc>
        <w:tc>
          <w:tcPr>
            <w:tcW w:w="0" w:type="auto"/>
            <w:tcMar>
              <w:top w:w="100" w:type="dxa"/>
              <w:left w:w="180" w:type="dxa"/>
              <w:bottom w:w="100" w:type="dxa"/>
              <w:right w:w="180" w:type="dxa"/>
            </w:tcMar>
            <w:hideMark/>
          </w:tcPr>
          <w:p w14:paraId="626E7FFA" w14:textId="77777777" w:rsidR="008F427A" w:rsidRPr="008F427A" w:rsidRDefault="008F427A" w:rsidP="008F427A">
            <w:r w:rsidRPr="008F427A">
              <w:rPr>
                <w:b/>
                <w:bCs/>
              </w:rPr>
              <w:t>35</w:t>
            </w:r>
          </w:p>
        </w:tc>
      </w:tr>
      <w:tr w:rsidR="008F427A" w:rsidRPr="008F427A" w14:paraId="385761ED" w14:textId="77777777" w:rsidTr="008F427A">
        <w:trPr>
          <w:trHeight w:val="780"/>
        </w:trPr>
        <w:tc>
          <w:tcPr>
            <w:tcW w:w="0" w:type="auto"/>
            <w:tcMar>
              <w:top w:w="100" w:type="dxa"/>
              <w:left w:w="180" w:type="dxa"/>
              <w:bottom w:w="100" w:type="dxa"/>
              <w:right w:w="180" w:type="dxa"/>
            </w:tcMar>
            <w:hideMark/>
          </w:tcPr>
          <w:p w14:paraId="13AF169A" w14:textId="77777777" w:rsidR="008F427A" w:rsidRPr="008F427A" w:rsidRDefault="008F427A" w:rsidP="008F427A">
            <w:r w:rsidRPr="008F427A">
              <w:rPr>
                <w:b/>
                <w:bCs/>
              </w:rPr>
              <w:t>Less-Lethal (Defensive</w:t>
            </w:r>
            <w:proofErr w:type="gramStart"/>
            <w:r w:rsidRPr="008F427A">
              <w:rPr>
                <w:b/>
                <w:bCs/>
              </w:rPr>
              <w:t>)</w:t>
            </w:r>
            <w:r w:rsidRPr="008F427A">
              <w:rPr>
                <w:i/>
                <w:iCs/>
              </w:rPr>
              <w:t>(</w:t>
            </w:r>
            <w:proofErr w:type="gramEnd"/>
            <w:r w:rsidRPr="008F427A">
              <w:rPr>
                <w:i/>
                <w:iCs/>
              </w:rPr>
              <w:t>Shields &amp; Sticks)</w:t>
            </w:r>
          </w:p>
        </w:tc>
        <w:tc>
          <w:tcPr>
            <w:tcW w:w="0" w:type="auto"/>
            <w:tcMar>
              <w:top w:w="100" w:type="dxa"/>
              <w:left w:w="180" w:type="dxa"/>
              <w:bottom w:w="100" w:type="dxa"/>
              <w:right w:w="180" w:type="dxa"/>
            </w:tcMar>
            <w:hideMark/>
          </w:tcPr>
          <w:p w14:paraId="3F02CB6A" w14:textId="77777777" w:rsidR="008F427A" w:rsidRPr="008F427A" w:rsidRDefault="008F427A" w:rsidP="008F427A">
            <w:r w:rsidRPr="008F427A">
              <w:rPr>
                <w:b/>
                <w:bCs/>
              </w:rPr>
              <w:t>15</w:t>
            </w:r>
          </w:p>
        </w:tc>
        <w:tc>
          <w:tcPr>
            <w:tcW w:w="0" w:type="auto"/>
            <w:tcMar>
              <w:top w:w="100" w:type="dxa"/>
              <w:left w:w="180" w:type="dxa"/>
              <w:bottom w:w="100" w:type="dxa"/>
              <w:right w:w="180" w:type="dxa"/>
            </w:tcMar>
            <w:hideMark/>
          </w:tcPr>
          <w:p w14:paraId="6942878F" w14:textId="77777777" w:rsidR="008F427A" w:rsidRPr="008F427A" w:rsidRDefault="008F427A" w:rsidP="008F427A">
            <w:r w:rsidRPr="008F427A">
              <w:rPr>
                <w:b/>
                <w:bCs/>
              </w:rPr>
              <w:t>105</w:t>
            </w:r>
          </w:p>
        </w:tc>
      </w:tr>
    </w:tbl>
    <w:p w14:paraId="0B5486EF" w14:textId="77777777" w:rsidR="008F427A" w:rsidRPr="008F427A" w:rsidRDefault="008F427A" w:rsidP="008F427A"/>
    <w:p w14:paraId="2444AD9F" w14:textId="61C613DD" w:rsidR="008F427A" w:rsidRPr="008F427A" w:rsidRDefault="008F427A" w:rsidP="008F427A">
      <w:r w:rsidRPr="008F427A">
        <w:t xml:space="preserve">Note: Counts are based on documented instances in the provided visual evidence and represent the number of times personnel were visibly identified with specific equipment, not a total census of all officers </w:t>
      </w:r>
      <w:proofErr w:type="spellStart"/>
      <w:r w:rsidRPr="008F427A">
        <w:t>presentRamzan</w:t>
      </w:r>
      <w:proofErr w:type="spellEnd"/>
      <w:r w:rsidRPr="008F427A">
        <w:t>, 24</w:t>
      </w:r>
    </w:p>
    <w:p w14:paraId="28680387" w14:textId="77777777" w:rsidR="008F427A" w:rsidRPr="008F427A" w:rsidRDefault="008F427A" w:rsidP="008F427A">
      <w:r w:rsidRPr="008F427A">
        <w:t xml:space="preserve">Date &amp; Time: July </w:t>
      </w:r>
      <w:proofErr w:type="gramStart"/>
      <w:r w:rsidRPr="008F427A">
        <w:t>19,  9</w:t>
      </w:r>
      <w:proofErr w:type="gramEnd"/>
      <w:r w:rsidRPr="008F427A">
        <w:t>:46 pm</w:t>
      </w:r>
    </w:p>
    <w:p w14:paraId="1B77838A" w14:textId="77777777" w:rsidR="008F427A" w:rsidRPr="008F427A" w:rsidRDefault="008F427A" w:rsidP="008F427A">
      <w:r w:rsidRPr="008F427A">
        <w:lastRenderedPageBreak/>
        <w:t>Location: DIT Road, Rampura</w:t>
      </w:r>
    </w:p>
    <w:p w14:paraId="78E8D448" w14:textId="77777777" w:rsidR="008F427A" w:rsidRPr="008F427A" w:rsidRDefault="008F427A" w:rsidP="008F427A">
      <w:r w:rsidRPr="008F427A">
        <w:t>Injury: Fatal gunshot to the neck</w:t>
      </w:r>
    </w:p>
    <w:p w14:paraId="7A8BEB7A" w14:textId="77777777" w:rsidR="008F427A" w:rsidRPr="008F427A" w:rsidRDefault="008F427A" w:rsidP="008F427A">
      <w:r w:rsidRPr="008F427A">
        <w:t xml:space="preserve">Family Quote: “Ramzan used to live in his uncle’s house at Omor Ali Lane in </w:t>
      </w:r>
      <w:proofErr w:type="spellStart"/>
      <w:r w:rsidRPr="008F427A">
        <w:t>Rampua</w:t>
      </w:r>
      <w:proofErr w:type="spellEnd"/>
      <w:r w:rsidRPr="008F427A">
        <w:t>. Around 10:00am on July 19, our relatives called us and said Ramzan had been shot. I asked, “Will he survive?" They replied, ‘He is already dead.’ A bullet struck his neck. Later, witnesses told me he was shot by the BGB.”</w:t>
      </w:r>
    </w:p>
    <w:p w14:paraId="64D5922B" w14:textId="77777777" w:rsidR="008F427A" w:rsidRPr="008F427A" w:rsidRDefault="008F427A" w:rsidP="008F427A">
      <w:r w:rsidRPr="008F427A">
        <w:t>-</w:t>
      </w:r>
      <w:proofErr w:type="spellStart"/>
      <w:r w:rsidRPr="008F427A">
        <w:t>Liton</w:t>
      </w:r>
      <w:proofErr w:type="spellEnd"/>
      <w:r w:rsidRPr="008F427A">
        <w:t xml:space="preserve"> Mia, Ramzan’s father.  </w:t>
      </w:r>
    </w:p>
    <w:p w14:paraId="12948FB7" w14:textId="77777777" w:rsidR="008F427A" w:rsidRDefault="008F427A" w:rsidP="008F427A"/>
    <w:p w14:paraId="14DEDFFD" w14:textId="4E3948E0" w:rsidR="008F427A" w:rsidRPr="008F427A" w:rsidRDefault="008F427A" w:rsidP="008F427A">
      <w:proofErr w:type="spellStart"/>
      <w:r w:rsidRPr="008F427A">
        <w:t>Ashiqul</w:t>
      </w:r>
      <w:proofErr w:type="spellEnd"/>
      <w:r w:rsidRPr="008F427A">
        <w:t xml:space="preserve"> Islam, 14</w:t>
      </w:r>
    </w:p>
    <w:p w14:paraId="4543BB5C" w14:textId="77777777" w:rsidR="008F427A" w:rsidRPr="008F427A" w:rsidRDefault="008F427A" w:rsidP="008F427A">
      <w:r w:rsidRPr="008F427A">
        <w:t>Date &amp; Time: July 19, 6:14 PM</w:t>
      </w:r>
    </w:p>
    <w:p w14:paraId="52779914" w14:textId="77777777" w:rsidR="008F427A" w:rsidRPr="008F427A" w:rsidRDefault="008F427A" w:rsidP="008F427A">
      <w:r w:rsidRPr="008F427A">
        <w:t>[Icon: Map Pin] Location: Banasree, G Block, Road 1 </w:t>
      </w:r>
    </w:p>
    <w:p w14:paraId="51387A3E" w14:textId="77777777" w:rsidR="008F427A" w:rsidRPr="008F427A" w:rsidRDefault="008F427A" w:rsidP="008F427A">
      <w:r w:rsidRPr="008F427A">
        <w:t>[Icon: Bullet Wound] Injury: Fatal gunshot to the head. The bullet entered from the side, below his left ear</w:t>
      </w:r>
    </w:p>
    <w:p w14:paraId="7EB67E87" w14:textId="77777777" w:rsidR="008F427A" w:rsidRPr="008F427A" w:rsidRDefault="008F427A" w:rsidP="008F427A">
      <w:r w:rsidRPr="008F427A">
        <w:t>[Icon: Quote Bubble]</w:t>
      </w:r>
      <w:proofErr w:type="gramStart"/>
      <w:r w:rsidRPr="008F427A">
        <w:t>:  “</w:t>
      </w:r>
      <w:proofErr w:type="gramEnd"/>
      <w:r w:rsidRPr="008F427A">
        <w:t>I raised him with tears, sweat, and blood as a single mother. My world revolved around him. Seeing his body I fainted. Will we ever get justice?”</w:t>
      </w:r>
    </w:p>
    <w:p w14:paraId="3A20F15C" w14:textId="77777777" w:rsidR="008F427A" w:rsidRPr="008F427A" w:rsidRDefault="008F427A" w:rsidP="008F427A">
      <w:r w:rsidRPr="008F427A">
        <w:t>-Alisha Afroze, mother.</w:t>
      </w:r>
    </w:p>
    <w:p w14:paraId="1CD83B0E" w14:textId="77777777" w:rsidR="008F427A" w:rsidRPr="008F427A" w:rsidRDefault="008F427A" w:rsidP="008F427A">
      <w:r w:rsidRPr="008F427A">
        <w:t>  </w:t>
      </w:r>
    </w:p>
    <w:p w14:paraId="2E5E3964" w14:textId="77777777" w:rsidR="008F427A" w:rsidRPr="008F427A" w:rsidRDefault="008F427A" w:rsidP="008F427A">
      <w:proofErr w:type="spellStart"/>
      <w:r w:rsidRPr="008F427A">
        <w:t>Mostofa</w:t>
      </w:r>
      <w:proofErr w:type="spellEnd"/>
      <w:r w:rsidRPr="008F427A">
        <w:t xml:space="preserve"> Zaman Samudra, 17</w:t>
      </w:r>
    </w:p>
    <w:p w14:paraId="6FCC78BB" w14:textId="77777777" w:rsidR="008F427A" w:rsidRPr="008F427A" w:rsidRDefault="008F427A" w:rsidP="008F427A">
      <w:r w:rsidRPr="008F427A">
        <w:t>[Icon: Calendar] Date &amp; Time: July 19, approximately 3:30 PM</w:t>
      </w:r>
    </w:p>
    <w:p w14:paraId="1240A21C" w14:textId="77777777" w:rsidR="008F427A" w:rsidRPr="008F427A" w:rsidRDefault="008F427A" w:rsidP="008F427A">
      <w:r w:rsidRPr="008F427A">
        <w:t>[Icon: Map Pin] Location: Near Rampura TV Centre</w:t>
      </w:r>
    </w:p>
    <w:p w14:paraId="5497CF88" w14:textId="77777777" w:rsidR="008F427A" w:rsidRPr="008F427A" w:rsidRDefault="008F427A" w:rsidP="008F427A">
      <w:r w:rsidRPr="008F427A">
        <w:t>[Icon: Bullet Wound] Injury: Fatal gunshot to the torso. The bullet pierced his arm and penetrated his chest, damaging his left lung.</w:t>
      </w:r>
    </w:p>
    <w:p w14:paraId="5F01798F" w14:textId="77777777" w:rsidR="008F427A" w:rsidRPr="008F427A" w:rsidRDefault="008F427A" w:rsidP="008F427A"/>
    <w:p w14:paraId="56A14507" w14:textId="77777777" w:rsidR="008F427A" w:rsidRPr="008F427A" w:rsidRDefault="008F427A" w:rsidP="008F427A">
      <w:r w:rsidRPr="008F427A">
        <w:t xml:space="preserve">[Icon: Quote Bubble] Family </w:t>
      </w:r>
      <w:proofErr w:type="gramStart"/>
      <w:r w:rsidRPr="008F427A">
        <w:t>Statement:.</w:t>
      </w:r>
      <w:proofErr w:type="gramEnd"/>
      <w:r w:rsidRPr="008F427A">
        <w:t xml:space="preserve"> “He took money from me to buy Kulfi, just like every Friday. When he did not return home, I called him around 2:30pm and </w:t>
      </w:r>
      <w:proofErr w:type="gramStart"/>
      <w:r w:rsidRPr="008F427A">
        <w:t>said,  ‘</w:t>
      </w:r>
      <w:proofErr w:type="gramEnd"/>
      <w:r w:rsidRPr="008F427A">
        <w:t xml:space="preserve">Baba please come home. I have cooked your </w:t>
      </w:r>
      <w:proofErr w:type="spellStart"/>
      <w:r w:rsidRPr="008F427A">
        <w:t>favourite</w:t>
      </w:r>
      <w:proofErr w:type="spellEnd"/>
      <w:r w:rsidRPr="008F427A">
        <w:t xml:space="preserve"> dish [polao and meat] for you. He replied, ‘Ma, don’t worry, I’ll be back in two minutes.’ That was the last time I heard his voice</w:t>
      </w:r>
      <w:proofErr w:type="gramStart"/>
      <w:r w:rsidRPr="008F427A">
        <w:t>. ”</w:t>
      </w:r>
      <w:proofErr w:type="gramEnd"/>
      <w:r w:rsidRPr="008F427A">
        <w:t> </w:t>
      </w:r>
    </w:p>
    <w:p w14:paraId="03E214D5" w14:textId="77777777" w:rsidR="008F427A" w:rsidRPr="008F427A" w:rsidRDefault="008F427A" w:rsidP="008F427A">
      <w:r w:rsidRPr="008F427A">
        <w:t>-Masuda Zaman, mother.</w:t>
      </w:r>
    </w:p>
    <w:p w14:paraId="1345E974" w14:textId="77777777" w:rsidR="008F427A" w:rsidRPr="008F427A" w:rsidRDefault="008F427A" w:rsidP="008F427A"/>
    <w:p w14:paraId="7C19B1D9" w14:textId="77777777" w:rsidR="008F427A" w:rsidRPr="008F427A" w:rsidRDefault="008F427A" w:rsidP="008F427A">
      <w:r w:rsidRPr="008F427A">
        <w:lastRenderedPageBreak/>
        <w:t>Ismail, 46 (Rickshaw Puller)</w:t>
      </w:r>
    </w:p>
    <w:p w14:paraId="00C8C035" w14:textId="77777777" w:rsidR="008F427A" w:rsidRPr="008F427A" w:rsidRDefault="008F427A" w:rsidP="008F427A">
      <w:r w:rsidRPr="008F427A">
        <w:t>[Icon: Calendar] Date &amp; Time: July 19</w:t>
      </w:r>
    </w:p>
    <w:p w14:paraId="308253CC" w14:textId="77777777" w:rsidR="008F427A" w:rsidRPr="008F427A" w:rsidRDefault="008F427A" w:rsidP="008F427A">
      <w:r w:rsidRPr="008F427A">
        <w:t>[Icon: Map Pin] Location: In front of Delta Hospital, Rampura</w:t>
      </w:r>
    </w:p>
    <w:p w14:paraId="12D588D6" w14:textId="77777777" w:rsidR="008F427A" w:rsidRPr="008F427A" w:rsidRDefault="008F427A" w:rsidP="008F427A">
      <w:r w:rsidRPr="008F427A">
        <w:t>[Icon: Bullet Wound] Injury: Fatal gunshot to the head.</w:t>
      </w:r>
    </w:p>
    <w:p w14:paraId="24EF42E9" w14:textId="77777777" w:rsidR="008F427A" w:rsidRPr="008F427A" w:rsidRDefault="008F427A" w:rsidP="008F427A"/>
    <w:p w14:paraId="09E6B994" w14:textId="77777777" w:rsidR="008F427A" w:rsidRPr="008F427A" w:rsidRDefault="008F427A" w:rsidP="008F427A">
      <w:r w:rsidRPr="008F427A">
        <w:t xml:space="preserve">[Icon: Quote Bubble] Family Statement: "The ambulance carrying his body was intercepted by BGB personnel twice. Once in </w:t>
      </w:r>
      <w:proofErr w:type="spellStart"/>
      <w:r w:rsidRPr="008F427A">
        <w:t>Meradia</w:t>
      </w:r>
      <w:proofErr w:type="spellEnd"/>
      <w:r w:rsidRPr="008F427A">
        <w:t xml:space="preserve"> and later after crossing </w:t>
      </w:r>
      <w:proofErr w:type="spellStart"/>
      <w:r w:rsidRPr="008F427A">
        <w:t>Trimohoni</w:t>
      </w:r>
      <w:proofErr w:type="spellEnd"/>
      <w:r w:rsidRPr="008F427A">
        <w:t xml:space="preserve"> bridge. They asked how he died. They let us go after we told them he died in a rickshaw accident."</w:t>
      </w:r>
    </w:p>
    <w:p w14:paraId="736A2530" w14:textId="77777777" w:rsidR="008F427A" w:rsidRPr="008F427A" w:rsidRDefault="008F427A" w:rsidP="008F427A">
      <w:r w:rsidRPr="008F427A">
        <w:t> - Lucky Begum, wife.</w:t>
      </w:r>
    </w:p>
    <w:p w14:paraId="4A219065" w14:textId="77777777" w:rsidR="008F427A" w:rsidRPr="008F427A" w:rsidRDefault="008F427A" w:rsidP="008F427A">
      <w:r w:rsidRPr="008F427A">
        <w:br/>
      </w:r>
      <w:r w:rsidRPr="008F427A">
        <w:br/>
      </w:r>
    </w:p>
    <w:p w14:paraId="0E9BB055" w14:textId="77777777" w:rsidR="008F427A" w:rsidRPr="008F427A" w:rsidRDefault="008F427A" w:rsidP="008F427A"/>
    <w:p w14:paraId="05C873D7" w14:textId="77777777" w:rsidR="008F427A" w:rsidRPr="008F427A" w:rsidRDefault="008F427A" w:rsidP="008F427A">
      <w:r w:rsidRPr="008F427A">
        <w:t>Kamrul, 21 (Injured)</w:t>
      </w:r>
    </w:p>
    <w:p w14:paraId="7610B31A" w14:textId="77777777" w:rsidR="008F427A" w:rsidRPr="008F427A" w:rsidRDefault="008F427A" w:rsidP="008F427A">
      <w:r w:rsidRPr="008F427A">
        <w:t>[Icon: Calendar] Date &amp; Time: July 19, ~3:30-4:00 PM</w:t>
      </w:r>
    </w:p>
    <w:p w14:paraId="79B3EEE4" w14:textId="77777777" w:rsidR="008F427A" w:rsidRPr="008F427A" w:rsidRDefault="008F427A" w:rsidP="008F427A">
      <w:r w:rsidRPr="008F427A">
        <w:t>[Icon: Map Pin] Location: Banasree end of Rampura canal</w:t>
      </w:r>
    </w:p>
    <w:p w14:paraId="06E0AA2D" w14:textId="77777777" w:rsidR="008F427A" w:rsidRPr="008F427A" w:rsidRDefault="008F427A" w:rsidP="008F427A">
      <w:r w:rsidRPr="008F427A">
        <w:t>[Icon: Bullet Wound] Injury: A bullet pierced his left leg, which later required amputation.</w:t>
      </w:r>
    </w:p>
    <w:p w14:paraId="73ED31DF" w14:textId="77777777" w:rsidR="008F427A" w:rsidRDefault="008F427A" w:rsidP="008F427A">
      <w:r w:rsidRPr="008F427A">
        <w:t xml:space="preserve">[Icon: Quote Bubble] "Police stopped the ambulance that was carrying me... they wanted to arrest me... I had to return home. By the time I reached the hospital, 48 hours had already passed. Following two operations, my </w:t>
      </w:r>
      <w:proofErr w:type="gramStart"/>
      <w:r w:rsidRPr="008F427A">
        <w:t>leg  had</w:t>
      </w:r>
      <w:proofErr w:type="gramEnd"/>
      <w:r w:rsidRPr="008F427A">
        <w:t xml:space="preserve"> to be amputated."</w:t>
      </w:r>
    </w:p>
    <w:p w14:paraId="7BC1990D" w14:textId="77777777" w:rsidR="008F427A" w:rsidRDefault="008F427A" w:rsidP="008F427A"/>
    <w:p w14:paraId="675822A7" w14:textId="77777777" w:rsidR="008F427A" w:rsidRDefault="008F427A" w:rsidP="008F427A"/>
    <w:p w14:paraId="2E4F1248" w14:textId="77777777" w:rsidR="008F427A" w:rsidRDefault="008F427A" w:rsidP="008F427A"/>
    <w:p w14:paraId="4E1F6A98" w14:textId="77777777" w:rsidR="003D2D11" w:rsidRPr="003D2D11" w:rsidRDefault="003D2D11" w:rsidP="003D2D11">
      <w:r w:rsidRPr="003D2D11">
        <w:rPr>
          <w:b/>
          <w:bCs/>
        </w:rPr>
        <w:t>A Catalogue of Violations of International Law.,</w:t>
      </w:r>
    </w:p>
    <w:p w14:paraId="26493664" w14:textId="77777777" w:rsidR="003D2D11" w:rsidRPr="003D2D11" w:rsidRDefault="003D2D11" w:rsidP="003D2D11"/>
    <w:p w14:paraId="61B866C1" w14:textId="77777777" w:rsidR="003D2D11" w:rsidRPr="003D2D11" w:rsidRDefault="003D2D11" w:rsidP="003D2D11">
      <w:r w:rsidRPr="003D2D11">
        <w:t>Bangladesh is bound by a number of international treaties that set clear limits on the use of force by state authorities. </w:t>
      </w:r>
    </w:p>
    <w:p w14:paraId="7A4ADE70" w14:textId="77777777" w:rsidR="003D2D11" w:rsidRPr="003D2D11" w:rsidRDefault="003D2D11" w:rsidP="003D2D11"/>
    <w:p w14:paraId="25447735" w14:textId="77777777" w:rsidR="003D2D11" w:rsidRPr="003D2D11" w:rsidRDefault="003D2D11" w:rsidP="003D2D11">
      <w:r w:rsidRPr="003D2D11">
        <w:lastRenderedPageBreak/>
        <w:t>4 boxes with 4 Laws name, details will pop up after clicking on the boxes with hyperlinks to the main law </w:t>
      </w:r>
    </w:p>
    <w:p w14:paraId="4E9E044B" w14:textId="77777777" w:rsidR="003D2D11" w:rsidRPr="003D2D11" w:rsidRDefault="003D2D11" w:rsidP="003D2D11">
      <w:r w:rsidRPr="003D2D11">
        <w:rPr>
          <w:b/>
          <w:bCs/>
        </w:rPr>
        <w:t>Box 1</w:t>
      </w:r>
    </w:p>
    <w:p w14:paraId="1F179B7F" w14:textId="77777777" w:rsidR="003D2D11" w:rsidRPr="003D2D11" w:rsidRDefault="003D2D11" w:rsidP="003D2D11">
      <w:r w:rsidRPr="003D2D11">
        <w:t xml:space="preserve">According to the </w:t>
      </w:r>
      <w:hyperlink r:id="rId5" w:history="1">
        <w:r w:rsidRPr="003D2D11">
          <w:rPr>
            <w:rStyle w:val="Hyperlink"/>
          </w:rPr>
          <w:t>Code of Conduct for Law Enforcement Officials (1979)</w:t>
        </w:r>
      </w:hyperlink>
      <w:r w:rsidRPr="003D2D11">
        <w:t xml:space="preserve">, lethal force may only be used when strictly necessary to protect human life and to the extent necessary to fulfill their duty. The </w:t>
      </w:r>
      <w:hyperlink r:id="rId6" w:history="1">
        <w:r w:rsidRPr="003D2D11">
          <w:rPr>
            <w:rStyle w:val="Hyperlink"/>
          </w:rPr>
          <w:t>United Nations Basic Principles on the Use of Force and Firearms by Law Enforcement Officials (1990)</w:t>
        </w:r>
      </w:hyperlink>
      <w:r w:rsidRPr="003D2D11">
        <w:t xml:space="preserve"> further states that firearms must not be used to disperse assemblies unless safer options are not available and individuals are posing an imminent threat of death or serious injury. The cases of victims such as Ramzan, as documented in visual records, do not reflect such threats at the time they were shot.</w:t>
      </w:r>
    </w:p>
    <w:p w14:paraId="67B52057" w14:textId="77777777" w:rsidR="003D2D11" w:rsidRPr="003D2D11" w:rsidRDefault="003D2D11" w:rsidP="003D2D11">
      <w:r w:rsidRPr="003D2D11">
        <w:rPr>
          <w:b/>
          <w:bCs/>
        </w:rPr>
        <w:t>Box 2</w:t>
      </w:r>
    </w:p>
    <w:p w14:paraId="2AA69534" w14:textId="77777777" w:rsidR="003D2D11" w:rsidRPr="003D2D11" w:rsidRDefault="003D2D11" w:rsidP="003D2D11">
      <w:r w:rsidRPr="003D2D11">
        <w:t xml:space="preserve">The </w:t>
      </w:r>
      <w:hyperlink r:id="rId7" w:history="1">
        <w:r w:rsidRPr="003D2D11">
          <w:rPr>
            <w:rStyle w:val="Hyperlink"/>
          </w:rPr>
          <w:t>International Covenant on Civil and Political Rights (1966)</w:t>
        </w:r>
      </w:hyperlink>
      <w:r w:rsidRPr="003D2D11">
        <w:t>, ratified by Bangladesh in 2000, guarantees every individual's right to life (Article 6(1)) and the right to peaceful assembly (Article 21). The actions captured in Rampura raise serious doubts about whether these protections were upheld during the operation.</w:t>
      </w:r>
    </w:p>
    <w:p w14:paraId="53B6BF6F" w14:textId="77777777" w:rsidR="003D2D11" w:rsidRPr="003D2D11" w:rsidRDefault="003D2D11" w:rsidP="003D2D11">
      <w:r w:rsidRPr="003D2D11">
        <w:rPr>
          <w:b/>
          <w:bCs/>
        </w:rPr>
        <w:t>Box 3</w:t>
      </w:r>
      <w:r w:rsidRPr="003D2D11">
        <w:t> </w:t>
      </w:r>
    </w:p>
    <w:p w14:paraId="24DAF379" w14:textId="77777777" w:rsidR="003D2D11" w:rsidRPr="003D2D11" w:rsidRDefault="003D2D11" w:rsidP="003D2D11">
      <w:r w:rsidRPr="003D2D11">
        <w:t xml:space="preserve">Since 1990, Bangladesh is bound by the </w:t>
      </w:r>
      <w:hyperlink r:id="rId8" w:history="1">
        <w:r w:rsidRPr="003D2D11">
          <w:rPr>
            <w:rStyle w:val="Hyperlink"/>
          </w:rPr>
          <w:t>Convention on the Rights of the Child (1979)</w:t>
        </w:r>
      </w:hyperlink>
      <w:r w:rsidRPr="003D2D11">
        <w:t xml:space="preserve"> , which </w:t>
      </w:r>
      <w:proofErr w:type="spellStart"/>
      <w:r w:rsidRPr="003D2D11">
        <w:t>recognises</w:t>
      </w:r>
      <w:proofErr w:type="spellEnd"/>
      <w:r w:rsidRPr="003D2D11">
        <w:t xml:space="preserve"> each child’s inherent right to life and mandates actions to ensure their survival and development(Article 6). </w:t>
      </w:r>
    </w:p>
    <w:p w14:paraId="7EBB1CE1" w14:textId="77777777" w:rsidR="003D2D11" w:rsidRPr="003D2D11" w:rsidRDefault="003D2D11" w:rsidP="003D2D11"/>
    <w:p w14:paraId="6B4FDF38" w14:textId="77777777" w:rsidR="003D2D11" w:rsidRPr="003D2D11" w:rsidRDefault="003D2D11" w:rsidP="003D2D11">
      <w:r w:rsidRPr="003D2D11">
        <w:t xml:space="preserve">The deaths of </w:t>
      </w:r>
      <w:proofErr w:type="spellStart"/>
      <w:r w:rsidRPr="003D2D11">
        <w:t>Ashiqul</w:t>
      </w:r>
      <w:proofErr w:type="spellEnd"/>
      <w:r w:rsidRPr="003D2D11">
        <w:t xml:space="preserve"> and 17-year-old </w:t>
      </w:r>
      <w:proofErr w:type="spellStart"/>
      <w:r w:rsidRPr="003D2D11">
        <w:t>Somudra</w:t>
      </w:r>
      <w:proofErr w:type="spellEnd"/>
      <w:r w:rsidRPr="003D2D11">
        <w:t>, both students and both unarmed, raise serious questions about compliance with these protections.</w:t>
      </w:r>
    </w:p>
    <w:p w14:paraId="72334E5E" w14:textId="77777777" w:rsidR="003D2D11" w:rsidRPr="003D2D11" w:rsidRDefault="003D2D11" w:rsidP="003D2D11"/>
    <w:p w14:paraId="35526310" w14:textId="77777777" w:rsidR="003D2D11" w:rsidRPr="003D2D11" w:rsidRDefault="003D2D11" w:rsidP="003D2D11">
      <w:r w:rsidRPr="003D2D11">
        <w:rPr>
          <w:b/>
          <w:bCs/>
        </w:rPr>
        <w:t>Box 4</w:t>
      </w:r>
    </w:p>
    <w:p w14:paraId="34AF1A7B" w14:textId="77777777" w:rsidR="003D2D11" w:rsidRPr="003D2D11" w:rsidRDefault="003D2D11" w:rsidP="003D2D11">
      <w:r w:rsidRPr="003D2D11">
        <w:t xml:space="preserve">The most serious implications may arise under the </w:t>
      </w:r>
      <w:hyperlink r:id="rId9" w:history="1">
        <w:r w:rsidRPr="003D2D11">
          <w:rPr>
            <w:rStyle w:val="Hyperlink"/>
          </w:rPr>
          <w:t>Rome Statute of the International Criminal Court (1998)</w:t>
        </w:r>
      </w:hyperlink>
      <w:r w:rsidRPr="003D2D11">
        <w:t xml:space="preserve">, which </w:t>
      </w:r>
      <w:hyperlink r:id="rId10" w:anchor=":~:text=(Apr.,the%20International%20Criminal%20Court%20Ratified" w:history="1">
        <w:r w:rsidRPr="003D2D11">
          <w:rPr>
            <w:rStyle w:val="Hyperlink"/>
          </w:rPr>
          <w:t>Bangladesh ratified in 2010</w:t>
        </w:r>
      </w:hyperlink>
      <w:r w:rsidRPr="003D2D11">
        <w:t>. Article 7 of the Rome Statute defines crimes against humanity as acts committed as part of a widespread or systematic attack against a civilian population. Relevant provisions include murder, persecution on political grounds, and other inhumane acts that cause serious injury or suffering. </w:t>
      </w:r>
    </w:p>
    <w:p w14:paraId="3C97A6F8" w14:textId="77777777" w:rsidR="003D2D11" w:rsidRPr="003D2D11" w:rsidRDefault="003D2D11" w:rsidP="003D2D11"/>
    <w:p w14:paraId="20ED3A1C" w14:textId="77777777" w:rsidR="003D2D11" w:rsidRPr="003D2D11" w:rsidRDefault="003D2D11" w:rsidP="003D2D11">
      <w:r w:rsidRPr="003D2D11">
        <w:t> </w:t>
      </w:r>
    </w:p>
    <w:p w14:paraId="1EF00619" w14:textId="47DAF89F" w:rsidR="008F427A" w:rsidRPr="008F427A" w:rsidRDefault="003D2D11" w:rsidP="003D2D11">
      <w:r w:rsidRPr="003D2D11">
        <w:lastRenderedPageBreak/>
        <w:t>The UN report echoes this conclusion, stating that the use of force by Border Guard Bangladesh (BGB) "systematically failed to adhere to legal principles" and that "a large percentage of killings and injuries... violated international human rights law." It calls for an "independent and fair vetting process" of all BGB officers and recommends that until an effective human rights screening mechanism is established, the government should refrain from nominating for UN peacekeeping missions any personnel from the BGB Battalions deployed to the 2024 protests.</w:t>
      </w:r>
    </w:p>
    <w:p w14:paraId="63C48927" w14:textId="77777777" w:rsidR="008F427A" w:rsidRPr="008F427A" w:rsidRDefault="008F427A" w:rsidP="008F427A"/>
    <w:p w14:paraId="0DAB81A2" w14:textId="20D9A05F" w:rsidR="008F427A" w:rsidRDefault="003D2D11" w:rsidP="008F427A">
      <w:r>
        <w:t>Highlight quotes</w:t>
      </w:r>
    </w:p>
    <w:p w14:paraId="4BBE9433" w14:textId="77777777" w:rsidR="003D2D11" w:rsidRDefault="003D2D11" w:rsidP="008F427A"/>
    <w:p w14:paraId="14941CE9" w14:textId="4FB2CB23" w:rsidR="003D2D11" w:rsidRDefault="003D2D11" w:rsidP="008F427A">
      <w:r w:rsidRPr="003D2D11">
        <w:t xml:space="preserve">“The home minister instructed the BGB, armed with military-grade 7.62mm rifles…. to use more lethal force to suppress the </w:t>
      </w:r>
      <w:proofErr w:type="gramStart"/>
      <w:r w:rsidRPr="003D2D11">
        <w:t>protests</w:t>
      </w:r>
      <w:r>
        <w:t>[</w:t>
      </w:r>
      <w:proofErr w:type="gramEnd"/>
      <w:r>
        <w:t>on July 18]</w:t>
      </w:r>
      <w:r w:rsidRPr="003D2D11">
        <w:t>."</w:t>
      </w:r>
    </w:p>
    <w:p w14:paraId="58785FC5" w14:textId="120EA971" w:rsidR="003D2D11" w:rsidRDefault="003D2D11" w:rsidP="008F427A">
      <w:r>
        <w:t>-UN Report</w:t>
      </w:r>
    </w:p>
    <w:p w14:paraId="7EA2E678" w14:textId="77777777" w:rsidR="003D2D11" w:rsidRDefault="003D2D11" w:rsidP="008F427A"/>
    <w:p w14:paraId="594C5579" w14:textId="32F1FFE6" w:rsidR="003D2D11" w:rsidRDefault="003D2D11" w:rsidP="003D2D11">
      <w:r>
        <w:t>"We identified one officer, a lieutenant colonel who is also a battalion commander, who opened fire directly at protesters</w:t>
      </w:r>
      <w:r>
        <w:t>.</w:t>
      </w:r>
      <w:r>
        <w:t xml:space="preserve"> We immediately removed him from his post the next day. After an inquiry, he was returned to the army, his parent force, and we have recommended the highest possible punishment for him.</w:t>
      </w:r>
      <w:r>
        <w:t>”</w:t>
      </w:r>
    </w:p>
    <w:p w14:paraId="56BFE5A1" w14:textId="06201433" w:rsidR="003D2D11" w:rsidRDefault="003D2D11" w:rsidP="003D2D11">
      <w:pPr>
        <w:pStyle w:val="ListParagraph"/>
        <w:numPr>
          <w:ilvl w:val="0"/>
          <w:numId w:val="2"/>
        </w:numPr>
      </w:pPr>
      <w:r w:rsidRPr="003D2D11">
        <w:t xml:space="preserve">Major General Mohammad </w:t>
      </w:r>
      <w:proofErr w:type="spellStart"/>
      <w:r w:rsidRPr="003D2D11">
        <w:t>Ashrafuzzaman</w:t>
      </w:r>
      <w:proofErr w:type="spellEnd"/>
      <w:r w:rsidRPr="003D2D11">
        <w:t xml:space="preserve"> Siddiqui</w:t>
      </w:r>
      <w:r>
        <w:t xml:space="preserve"> on October 3, 2024</w:t>
      </w:r>
    </w:p>
    <w:p w14:paraId="1483743B" w14:textId="77777777" w:rsidR="003D2D11" w:rsidRDefault="003D2D11" w:rsidP="003D2D11">
      <w:pPr>
        <w:pStyle w:val="ListParagraph"/>
      </w:pPr>
    </w:p>
    <w:p w14:paraId="24B8A170" w14:textId="2BB988F1" w:rsidR="003D2D11" w:rsidRDefault="003D2D11" w:rsidP="003D2D11">
      <w:pPr>
        <w:pStyle w:val="ListParagraph"/>
      </w:pPr>
    </w:p>
    <w:p w14:paraId="04394CCF" w14:textId="77777777" w:rsidR="00894AFF" w:rsidRDefault="00894AFF" w:rsidP="003D2D11">
      <w:pPr>
        <w:pStyle w:val="ListParagraph"/>
      </w:pPr>
    </w:p>
    <w:p w14:paraId="49ECDCF5" w14:textId="77777777" w:rsidR="00894AFF" w:rsidRDefault="00894AFF" w:rsidP="003D2D11">
      <w:pPr>
        <w:pStyle w:val="ListParagraph"/>
      </w:pPr>
    </w:p>
    <w:p w14:paraId="671283B2" w14:textId="77777777" w:rsidR="00894AFF" w:rsidRDefault="00894AFF" w:rsidP="003D2D11">
      <w:pPr>
        <w:pStyle w:val="ListParagraph"/>
      </w:pPr>
    </w:p>
    <w:p w14:paraId="2F90A225" w14:textId="73AB9AF9" w:rsidR="00894AFF" w:rsidRDefault="00894AFF" w:rsidP="003D2D11">
      <w:pPr>
        <w:pStyle w:val="ListParagraph"/>
      </w:pPr>
      <w:r>
        <w:t>Text for map</w:t>
      </w:r>
    </w:p>
    <w:p w14:paraId="5AB89637" w14:textId="77777777" w:rsidR="00894AFF" w:rsidRDefault="00894AFF" w:rsidP="003D2D11">
      <w:pPr>
        <w:pStyle w:val="ListParagraph"/>
      </w:pPr>
    </w:p>
    <w:sectPr w:rsidR="00894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B79C7"/>
    <w:multiLevelType w:val="hybridMultilevel"/>
    <w:tmpl w:val="65B42CBA"/>
    <w:lvl w:ilvl="0" w:tplc="6492CB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123781"/>
    <w:multiLevelType w:val="hybridMultilevel"/>
    <w:tmpl w:val="4752691A"/>
    <w:lvl w:ilvl="0" w:tplc="2B4694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9161235">
    <w:abstractNumId w:val="0"/>
  </w:num>
  <w:num w:numId="2" w16cid:durableId="207844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521"/>
    <w:rsid w:val="003D2D11"/>
    <w:rsid w:val="00894AFF"/>
    <w:rsid w:val="008F427A"/>
    <w:rsid w:val="009C0B88"/>
    <w:rsid w:val="00E0552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1ADF4"/>
  <w15:chartTrackingRefBased/>
  <w15:docId w15:val="{009A9272-83B8-4E46-A6A8-4E340E208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521"/>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E05521"/>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E05521"/>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E055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55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55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55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55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55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521"/>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E05521"/>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E05521"/>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E055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55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55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5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5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521"/>
    <w:rPr>
      <w:rFonts w:eastAsiaTheme="majorEastAsia" w:cstheme="majorBidi"/>
      <w:color w:val="272727" w:themeColor="text1" w:themeTint="D8"/>
    </w:rPr>
  </w:style>
  <w:style w:type="paragraph" w:styleId="Title">
    <w:name w:val="Title"/>
    <w:basedOn w:val="Normal"/>
    <w:next w:val="Normal"/>
    <w:link w:val="TitleChar"/>
    <w:uiPriority w:val="10"/>
    <w:qFormat/>
    <w:rsid w:val="00E0552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0552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0552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0552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05521"/>
    <w:pPr>
      <w:spacing w:before="160"/>
      <w:jc w:val="center"/>
    </w:pPr>
    <w:rPr>
      <w:i/>
      <w:iCs/>
      <w:color w:val="404040" w:themeColor="text1" w:themeTint="BF"/>
    </w:rPr>
  </w:style>
  <w:style w:type="character" w:customStyle="1" w:styleId="QuoteChar">
    <w:name w:val="Quote Char"/>
    <w:basedOn w:val="DefaultParagraphFont"/>
    <w:link w:val="Quote"/>
    <w:uiPriority w:val="29"/>
    <w:rsid w:val="00E05521"/>
    <w:rPr>
      <w:i/>
      <w:iCs/>
      <w:color w:val="404040" w:themeColor="text1" w:themeTint="BF"/>
    </w:rPr>
  </w:style>
  <w:style w:type="paragraph" w:styleId="ListParagraph">
    <w:name w:val="List Paragraph"/>
    <w:basedOn w:val="Normal"/>
    <w:uiPriority w:val="34"/>
    <w:qFormat/>
    <w:rsid w:val="00E05521"/>
    <w:pPr>
      <w:ind w:left="720"/>
      <w:contextualSpacing/>
    </w:pPr>
  </w:style>
  <w:style w:type="character" w:styleId="IntenseEmphasis">
    <w:name w:val="Intense Emphasis"/>
    <w:basedOn w:val="DefaultParagraphFont"/>
    <w:uiPriority w:val="21"/>
    <w:qFormat/>
    <w:rsid w:val="00E05521"/>
    <w:rPr>
      <w:i/>
      <w:iCs/>
      <w:color w:val="2F5496" w:themeColor="accent1" w:themeShade="BF"/>
    </w:rPr>
  </w:style>
  <w:style w:type="paragraph" w:styleId="IntenseQuote">
    <w:name w:val="Intense Quote"/>
    <w:basedOn w:val="Normal"/>
    <w:next w:val="Normal"/>
    <w:link w:val="IntenseQuoteChar"/>
    <w:uiPriority w:val="30"/>
    <w:qFormat/>
    <w:rsid w:val="00E055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5521"/>
    <w:rPr>
      <w:i/>
      <w:iCs/>
      <w:color w:val="2F5496" w:themeColor="accent1" w:themeShade="BF"/>
    </w:rPr>
  </w:style>
  <w:style w:type="character" w:styleId="IntenseReference">
    <w:name w:val="Intense Reference"/>
    <w:basedOn w:val="DefaultParagraphFont"/>
    <w:uiPriority w:val="32"/>
    <w:qFormat/>
    <w:rsid w:val="00E05521"/>
    <w:rPr>
      <w:b/>
      <w:bCs/>
      <w:smallCaps/>
      <w:color w:val="2F5496" w:themeColor="accent1" w:themeShade="BF"/>
      <w:spacing w:val="5"/>
    </w:rPr>
  </w:style>
  <w:style w:type="character" w:styleId="Hyperlink">
    <w:name w:val="Hyperlink"/>
    <w:basedOn w:val="DefaultParagraphFont"/>
    <w:uiPriority w:val="99"/>
    <w:unhideWhenUsed/>
    <w:rsid w:val="003D2D11"/>
    <w:rPr>
      <w:color w:val="0563C1" w:themeColor="hyperlink"/>
      <w:u w:val="single"/>
    </w:rPr>
  </w:style>
  <w:style w:type="character" w:styleId="UnresolvedMention">
    <w:name w:val="Unresolved Mention"/>
    <w:basedOn w:val="DefaultParagraphFont"/>
    <w:uiPriority w:val="99"/>
    <w:semiHidden/>
    <w:unhideWhenUsed/>
    <w:rsid w:val="003D2D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394633">
      <w:bodyDiv w:val="1"/>
      <w:marLeft w:val="0"/>
      <w:marRight w:val="0"/>
      <w:marTop w:val="0"/>
      <w:marBottom w:val="0"/>
      <w:divBdr>
        <w:top w:val="none" w:sz="0" w:space="0" w:color="auto"/>
        <w:left w:val="none" w:sz="0" w:space="0" w:color="auto"/>
        <w:bottom w:val="none" w:sz="0" w:space="0" w:color="auto"/>
        <w:right w:val="none" w:sz="0" w:space="0" w:color="auto"/>
      </w:divBdr>
    </w:div>
    <w:div w:id="250117198">
      <w:bodyDiv w:val="1"/>
      <w:marLeft w:val="0"/>
      <w:marRight w:val="0"/>
      <w:marTop w:val="0"/>
      <w:marBottom w:val="0"/>
      <w:divBdr>
        <w:top w:val="none" w:sz="0" w:space="0" w:color="auto"/>
        <w:left w:val="none" w:sz="0" w:space="0" w:color="auto"/>
        <w:bottom w:val="none" w:sz="0" w:space="0" w:color="auto"/>
        <w:right w:val="none" w:sz="0" w:space="0" w:color="auto"/>
      </w:divBdr>
    </w:div>
    <w:div w:id="276453686">
      <w:bodyDiv w:val="1"/>
      <w:marLeft w:val="0"/>
      <w:marRight w:val="0"/>
      <w:marTop w:val="0"/>
      <w:marBottom w:val="0"/>
      <w:divBdr>
        <w:top w:val="none" w:sz="0" w:space="0" w:color="auto"/>
        <w:left w:val="none" w:sz="0" w:space="0" w:color="auto"/>
        <w:bottom w:val="none" w:sz="0" w:space="0" w:color="auto"/>
        <w:right w:val="none" w:sz="0" w:space="0" w:color="auto"/>
      </w:divBdr>
    </w:div>
    <w:div w:id="309869653">
      <w:bodyDiv w:val="1"/>
      <w:marLeft w:val="0"/>
      <w:marRight w:val="0"/>
      <w:marTop w:val="0"/>
      <w:marBottom w:val="0"/>
      <w:divBdr>
        <w:top w:val="none" w:sz="0" w:space="0" w:color="auto"/>
        <w:left w:val="none" w:sz="0" w:space="0" w:color="auto"/>
        <w:bottom w:val="none" w:sz="0" w:space="0" w:color="auto"/>
        <w:right w:val="none" w:sz="0" w:space="0" w:color="auto"/>
      </w:divBdr>
    </w:div>
    <w:div w:id="391078418">
      <w:bodyDiv w:val="1"/>
      <w:marLeft w:val="0"/>
      <w:marRight w:val="0"/>
      <w:marTop w:val="0"/>
      <w:marBottom w:val="0"/>
      <w:divBdr>
        <w:top w:val="none" w:sz="0" w:space="0" w:color="auto"/>
        <w:left w:val="none" w:sz="0" w:space="0" w:color="auto"/>
        <w:bottom w:val="none" w:sz="0" w:space="0" w:color="auto"/>
        <w:right w:val="none" w:sz="0" w:space="0" w:color="auto"/>
      </w:divBdr>
    </w:div>
    <w:div w:id="603342096">
      <w:bodyDiv w:val="1"/>
      <w:marLeft w:val="0"/>
      <w:marRight w:val="0"/>
      <w:marTop w:val="0"/>
      <w:marBottom w:val="0"/>
      <w:divBdr>
        <w:top w:val="none" w:sz="0" w:space="0" w:color="auto"/>
        <w:left w:val="none" w:sz="0" w:space="0" w:color="auto"/>
        <w:bottom w:val="none" w:sz="0" w:space="0" w:color="auto"/>
        <w:right w:val="none" w:sz="0" w:space="0" w:color="auto"/>
      </w:divBdr>
    </w:div>
    <w:div w:id="884295915">
      <w:bodyDiv w:val="1"/>
      <w:marLeft w:val="0"/>
      <w:marRight w:val="0"/>
      <w:marTop w:val="0"/>
      <w:marBottom w:val="0"/>
      <w:divBdr>
        <w:top w:val="none" w:sz="0" w:space="0" w:color="auto"/>
        <w:left w:val="none" w:sz="0" w:space="0" w:color="auto"/>
        <w:bottom w:val="none" w:sz="0" w:space="0" w:color="auto"/>
        <w:right w:val="none" w:sz="0" w:space="0" w:color="auto"/>
      </w:divBdr>
    </w:div>
    <w:div w:id="1070425030">
      <w:bodyDiv w:val="1"/>
      <w:marLeft w:val="0"/>
      <w:marRight w:val="0"/>
      <w:marTop w:val="0"/>
      <w:marBottom w:val="0"/>
      <w:divBdr>
        <w:top w:val="none" w:sz="0" w:space="0" w:color="auto"/>
        <w:left w:val="none" w:sz="0" w:space="0" w:color="auto"/>
        <w:bottom w:val="none" w:sz="0" w:space="0" w:color="auto"/>
        <w:right w:val="none" w:sz="0" w:space="0" w:color="auto"/>
      </w:divBdr>
    </w:div>
    <w:div w:id="1071807142">
      <w:bodyDiv w:val="1"/>
      <w:marLeft w:val="0"/>
      <w:marRight w:val="0"/>
      <w:marTop w:val="0"/>
      <w:marBottom w:val="0"/>
      <w:divBdr>
        <w:top w:val="none" w:sz="0" w:space="0" w:color="auto"/>
        <w:left w:val="none" w:sz="0" w:space="0" w:color="auto"/>
        <w:bottom w:val="none" w:sz="0" w:space="0" w:color="auto"/>
        <w:right w:val="none" w:sz="0" w:space="0" w:color="auto"/>
      </w:divBdr>
    </w:div>
    <w:div w:id="1096898886">
      <w:bodyDiv w:val="1"/>
      <w:marLeft w:val="0"/>
      <w:marRight w:val="0"/>
      <w:marTop w:val="0"/>
      <w:marBottom w:val="0"/>
      <w:divBdr>
        <w:top w:val="none" w:sz="0" w:space="0" w:color="auto"/>
        <w:left w:val="none" w:sz="0" w:space="0" w:color="auto"/>
        <w:bottom w:val="none" w:sz="0" w:space="0" w:color="auto"/>
        <w:right w:val="none" w:sz="0" w:space="0" w:color="auto"/>
      </w:divBdr>
    </w:div>
    <w:div w:id="1344551291">
      <w:bodyDiv w:val="1"/>
      <w:marLeft w:val="0"/>
      <w:marRight w:val="0"/>
      <w:marTop w:val="0"/>
      <w:marBottom w:val="0"/>
      <w:divBdr>
        <w:top w:val="none" w:sz="0" w:space="0" w:color="auto"/>
        <w:left w:val="none" w:sz="0" w:space="0" w:color="auto"/>
        <w:bottom w:val="none" w:sz="0" w:space="0" w:color="auto"/>
        <w:right w:val="none" w:sz="0" w:space="0" w:color="auto"/>
      </w:divBdr>
    </w:div>
    <w:div w:id="1472289975">
      <w:bodyDiv w:val="1"/>
      <w:marLeft w:val="0"/>
      <w:marRight w:val="0"/>
      <w:marTop w:val="0"/>
      <w:marBottom w:val="0"/>
      <w:divBdr>
        <w:top w:val="none" w:sz="0" w:space="0" w:color="auto"/>
        <w:left w:val="none" w:sz="0" w:space="0" w:color="auto"/>
        <w:bottom w:val="none" w:sz="0" w:space="0" w:color="auto"/>
        <w:right w:val="none" w:sz="0" w:space="0" w:color="auto"/>
      </w:divBdr>
    </w:div>
    <w:div w:id="1605572401">
      <w:bodyDiv w:val="1"/>
      <w:marLeft w:val="0"/>
      <w:marRight w:val="0"/>
      <w:marTop w:val="0"/>
      <w:marBottom w:val="0"/>
      <w:divBdr>
        <w:top w:val="none" w:sz="0" w:space="0" w:color="auto"/>
        <w:left w:val="none" w:sz="0" w:space="0" w:color="auto"/>
        <w:bottom w:val="none" w:sz="0" w:space="0" w:color="auto"/>
        <w:right w:val="none" w:sz="0" w:space="0" w:color="auto"/>
      </w:divBdr>
    </w:div>
    <w:div w:id="1823541436">
      <w:bodyDiv w:val="1"/>
      <w:marLeft w:val="0"/>
      <w:marRight w:val="0"/>
      <w:marTop w:val="0"/>
      <w:marBottom w:val="0"/>
      <w:divBdr>
        <w:top w:val="none" w:sz="0" w:space="0" w:color="auto"/>
        <w:left w:val="none" w:sz="0" w:space="0" w:color="auto"/>
        <w:bottom w:val="none" w:sz="0" w:space="0" w:color="auto"/>
        <w:right w:val="none" w:sz="0" w:space="0" w:color="auto"/>
      </w:divBdr>
    </w:div>
    <w:div w:id="2023971178">
      <w:bodyDiv w:val="1"/>
      <w:marLeft w:val="0"/>
      <w:marRight w:val="0"/>
      <w:marTop w:val="0"/>
      <w:marBottom w:val="0"/>
      <w:divBdr>
        <w:top w:val="none" w:sz="0" w:space="0" w:color="auto"/>
        <w:left w:val="none" w:sz="0" w:space="0" w:color="auto"/>
        <w:bottom w:val="none" w:sz="0" w:space="0" w:color="auto"/>
        <w:right w:val="none" w:sz="0" w:space="0" w:color="auto"/>
      </w:divBdr>
    </w:div>
    <w:div w:id="208714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hchr.org/en/instruments-mechanisms/instruments/convention-rights-child" TargetMode="External"/><Relationship Id="rId3" Type="http://schemas.openxmlformats.org/officeDocument/2006/relationships/settings" Target="settings.xml"/><Relationship Id="rId7" Type="http://schemas.openxmlformats.org/officeDocument/2006/relationships/hyperlink" Target="https://www.ohchr.org/en/instruments-mechanisms/instruments/international-covenant-civil-and-political-righ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hchr.org/en/instruments-mechanisms/instruments/basic-principles-use-force-and-firearms-law-enforcement" TargetMode="External"/><Relationship Id="rId11" Type="http://schemas.openxmlformats.org/officeDocument/2006/relationships/fontTable" Target="fontTable.xml"/><Relationship Id="rId5" Type="http://schemas.openxmlformats.org/officeDocument/2006/relationships/hyperlink" Target="https://www.ohchr.org/en/instruments-mechanisms/instruments/code-conduct-law-enforcement-officials" TargetMode="External"/><Relationship Id="rId10" Type="http://schemas.openxmlformats.org/officeDocument/2006/relationships/hyperlink" Target="https://www.loc.gov/item/global-legal-monitor/2010-04-16/bangladesh-rome-statute-for-the-international-criminal-court-ratified/" TargetMode="External"/><Relationship Id="rId4" Type="http://schemas.openxmlformats.org/officeDocument/2006/relationships/webSettings" Target="webSettings.xml"/><Relationship Id="rId9" Type="http://schemas.openxmlformats.org/officeDocument/2006/relationships/hyperlink" Target="https://www.icc-cpi.int/sites/default/files/2024-05/Rome-Statute-e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5</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Naimur Rahman</dc:creator>
  <cp:keywords/>
  <dc:description/>
  <cp:lastModifiedBy>Naimur Rahman</cp:lastModifiedBy>
  <cp:revision>2</cp:revision>
  <dcterms:created xsi:type="dcterms:W3CDTF">2025-08-05T08:39:00Z</dcterms:created>
  <dcterms:modified xsi:type="dcterms:W3CDTF">2025-08-05T12:04:00Z</dcterms:modified>
</cp:coreProperties>
</file>