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E26" w:rsidRDefault="00A07AD2">
      <w:r>
        <w:t>January 24, 2020</w:t>
      </w:r>
    </w:p>
    <w:p w:rsidR="00A07AD2" w:rsidRDefault="00A07AD2">
      <w:r>
        <w:t>Tomoaki Miura</w:t>
      </w:r>
    </w:p>
    <w:p w:rsidR="00A07AD2" w:rsidRDefault="00A07AD2"/>
    <w:p w:rsidR="00A07AD2" w:rsidRPr="00A07AD2" w:rsidRDefault="00A07AD2">
      <w:pPr>
        <w:rPr>
          <w:b/>
        </w:rPr>
      </w:pPr>
      <w:r w:rsidRPr="00A07AD2">
        <w:rPr>
          <w:b/>
        </w:rPr>
        <w:t>Updating Himawari-8 AHI Albedo Conversion LUTs to Reflect New Calibration Coefficients</w:t>
      </w:r>
    </w:p>
    <w:p w:rsidR="00A07AD2" w:rsidRDefault="00A07AD2"/>
    <w:p w:rsidR="00A07AD2" w:rsidRDefault="00A07AD2">
      <w:r>
        <w:t xml:space="preserve">The current LUTs posted at </w:t>
      </w:r>
      <w:proofErr w:type="spellStart"/>
      <w:r>
        <w:t>CEReS</w:t>
      </w:r>
      <w:proofErr w:type="spellEnd"/>
      <w:r>
        <w:t xml:space="preserve">, Chiba University (count2tbb_v101.tgz, </w:t>
      </w:r>
      <w:hyperlink r:id="rId4" w:history="1">
        <w:r w:rsidRPr="000D4874">
          <w:rPr>
            <w:rStyle w:val="Hyperlink"/>
          </w:rPr>
          <w:t>ftp://hmwr829gr.cr.chiba-u.ac.jp/gridded/FD/support/</w:t>
        </w:r>
      </w:hyperlink>
      <w:r>
        <w:t xml:space="preserve">) are based on the original calibration coefficients. Due to degradation, JMA’s Meteorological Satellite Center updates AHI calibration coefficients annually. New LUTs were created to reflect these new calibration coefficients. Described below are the procedures used to obtain </w:t>
      </w:r>
      <w:r w:rsidR="00862373">
        <w:t xml:space="preserve">the new LUTs. </w:t>
      </w:r>
    </w:p>
    <w:p w:rsidR="00862373" w:rsidRDefault="00862373"/>
    <w:p w:rsidR="00862373" w:rsidRDefault="00862373">
      <w:proofErr w:type="spellStart"/>
      <w:r>
        <w:t>CEReS</w:t>
      </w:r>
      <w:proofErr w:type="spellEnd"/>
      <w:r>
        <w:t xml:space="preserve"> LUTs convert DN to albedo, </w:t>
      </w:r>
      <w:r w:rsidR="00AF624F">
        <w:rPr>
          <w:i/>
        </w:rPr>
        <w:sym w:font="Symbol" w:char="F061"/>
      </w:r>
      <w:r w:rsidRPr="00862373">
        <w:t>,</w:t>
      </w:r>
      <w:r>
        <w:t xml:space="preserve"> or </w:t>
      </w:r>
      <m:oMath>
        <m:f>
          <m:fPr>
            <m:ctrlPr>
              <w:rPr>
                <w:rFonts w:ascii="Cambria Math" w:hAnsi="Cambria Math"/>
                <w:i/>
              </w:rPr>
            </m:ctrlPr>
          </m:fPr>
          <m:num>
            <m:r>
              <w:rPr>
                <w:rFonts w:ascii="Cambria Math" w:hAnsi="Cambria Math"/>
              </w:rPr>
              <m:t>πL</m:t>
            </m:r>
          </m:num>
          <m:den>
            <m:sSub>
              <m:sSubPr>
                <m:ctrlPr>
                  <w:rPr>
                    <w:rFonts w:ascii="Cambria Math" w:hAnsi="Cambria Math"/>
                    <w:i/>
                  </w:rPr>
                </m:ctrlPr>
              </m:sSubPr>
              <m:e>
                <m:r>
                  <w:rPr>
                    <w:rFonts w:ascii="Cambria Math" w:hAnsi="Cambria Math"/>
                  </w:rPr>
                  <m:t>E</m:t>
                </m:r>
              </m:e>
              <m:sub>
                <m:r>
                  <w:rPr>
                    <w:rFonts w:ascii="Cambria Math" w:hAnsi="Cambria Math"/>
                  </w:rPr>
                  <m:t>0</m:t>
                </m:r>
              </m:sub>
            </m:sSub>
          </m:den>
        </m:f>
      </m:oMath>
      <w:r>
        <w:t xml:space="preserve"> , where </w:t>
      </w:r>
      <w:r>
        <w:rPr>
          <w:i/>
        </w:rPr>
        <w:t>L</w:t>
      </w:r>
      <w:r>
        <w:t xml:space="preserve"> is the at-sensor radiance and </w:t>
      </w:r>
      <w:r>
        <w:rPr>
          <w:i/>
        </w:rPr>
        <w:t>E</w:t>
      </w:r>
      <w:r>
        <w:rPr>
          <w:vertAlign w:val="subscript"/>
        </w:rPr>
        <w:t>0</w:t>
      </w:r>
      <w:r>
        <w:t xml:space="preserve"> is the </w:t>
      </w:r>
      <w:proofErr w:type="spellStart"/>
      <w:r>
        <w:t>exo</w:t>
      </w:r>
      <w:proofErr w:type="spellEnd"/>
      <w:r>
        <w:t>-atmospheric solar irradiance. The conversion equation is of the form</w:t>
      </w:r>
    </w:p>
    <w:p w:rsidR="00862373" w:rsidRDefault="00862373"/>
    <w:p w:rsidR="00AF624F" w:rsidRPr="00F66AFE" w:rsidRDefault="00AF624F">
      <m:oMathPara>
        <m:oMath>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πL</m:t>
              </m:r>
            </m:num>
            <m:den>
              <m:sSub>
                <m:sSubPr>
                  <m:ctrlPr>
                    <w:rPr>
                      <w:rFonts w:ascii="Cambria Math" w:hAnsi="Cambria Math"/>
                      <w:i/>
                    </w:rPr>
                  </m:ctrlPr>
                </m:sSubPr>
                <m:e>
                  <m:r>
                    <w:rPr>
                      <w:rFonts w:ascii="Cambria Math" w:hAnsi="Cambria Math"/>
                    </w:rPr>
                    <m:t>E</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E</m:t>
                  </m:r>
                </m:e>
                <m:sub>
                  <m:r>
                    <w:rPr>
                      <w:rFonts w:ascii="Cambria Math" w:hAnsi="Cambria Math"/>
                    </w:rPr>
                    <m:t>0</m:t>
                  </m:r>
                </m:sub>
              </m:sSub>
            </m:den>
          </m:f>
          <m:d>
            <m:dPr>
              <m:ctrlPr>
                <w:rPr>
                  <w:rFonts w:ascii="Cambria Math" w:hAnsi="Cambria Math"/>
                  <w:i/>
                </w:rPr>
              </m:ctrlPr>
            </m:dPr>
            <m:e>
              <m:r>
                <w:rPr>
                  <w:rFonts w:ascii="Cambria Math" w:hAnsi="Cambria Math"/>
                </w:rPr>
                <m:t>DN∙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rsidR="00F66AFE" w:rsidRPr="00F66AFE" w:rsidRDefault="00F66AFE" w:rsidP="00F66AFE">
      <w:pPr>
        <w:jc w:val="right"/>
      </w:pPr>
      <w:r>
        <w:t>[1]</w:t>
      </w:r>
    </w:p>
    <w:p w:rsidR="00F66AFE" w:rsidRPr="00AF624F" w:rsidRDefault="00F66AFE"/>
    <w:p w:rsidR="00AF624F" w:rsidRPr="00AF624F" w:rsidRDefault="00AF624F">
      <m:oMathPara>
        <m:oMath>
          <m:r>
            <w:rPr>
              <w:rFonts w:ascii="Cambria Math" w:hAnsi="Cambria Math"/>
            </w:rPr>
            <m:t>α</m:t>
          </m:r>
          <m:r>
            <w:rPr>
              <w:rFonts w:ascii="Cambria Math" w:hAnsi="Cambria Math"/>
            </w:rPr>
            <m:t>=DN∙</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0</m:t>
                  </m:r>
                </m:sub>
              </m:sSub>
            </m:den>
          </m:f>
        </m:oMath>
      </m:oMathPara>
    </w:p>
    <w:p w:rsidR="00862373" w:rsidRPr="00862373" w:rsidRDefault="00AF624F">
      <m:oMathPara>
        <m:oMath>
          <m:r>
            <w:rPr>
              <w:rFonts w:ascii="Cambria Math" w:hAnsi="Cambria Math"/>
            </w:rPr>
            <m:t>=</m:t>
          </m:r>
          <m:r>
            <w:rPr>
              <w:rFonts w:ascii="Cambria Math" w:hAnsi="Cambria Math"/>
            </w:rPr>
            <m:t xml:space="preserve"> </m:t>
          </m:r>
          <m:r>
            <w:rPr>
              <w:rFonts w:ascii="Cambria Math" w:hAnsi="Cambria Math"/>
            </w:rPr>
            <m:t>DN∙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62373" w:rsidRDefault="00F66AFE" w:rsidP="00F66AFE">
      <w:pPr>
        <w:jc w:val="right"/>
      </w:pPr>
      <w:r>
        <w:t>[2]</w:t>
      </w:r>
    </w:p>
    <w:p w:rsidR="00F66AFE" w:rsidRDefault="00F66AFE"/>
    <w:p w:rsidR="00862373" w:rsidRDefault="00862373">
      <w:r>
        <w:t xml:space="preserve">where </w:t>
      </w:r>
      <w:proofErr w:type="spellStart"/>
      <w:r>
        <w:rPr>
          <w:i/>
        </w:rPr>
        <w:t>a</w:t>
      </w:r>
      <w:r w:rsidRPr="00862373">
        <w:rPr>
          <w:i/>
          <w:vertAlign w:val="subscript"/>
        </w:rPr>
        <w:t>i</w:t>
      </w:r>
      <w:proofErr w:type="spellEnd"/>
      <w:r>
        <w:rPr>
          <w:i/>
        </w:rPr>
        <w:t xml:space="preserve"> </w:t>
      </w:r>
      <w:r>
        <w:t xml:space="preserve">and </w:t>
      </w:r>
      <w:r>
        <w:rPr>
          <w:i/>
        </w:rPr>
        <w:t>b</w:t>
      </w:r>
      <w:r w:rsidRPr="00862373">
        <w:rPr>
          <w:i/>
          <w:vertAlign w:val="subscript"/>
        </w:rPr>
        <w:t>i</w:t>
      </w:r>
      <w:r>
        <w:t xml:space="preserve"> are the calibration coefficients for the year </w:t>
      </w:r>
      <w:proofErr w:type="spellStart"/>
      <w:r>
        <w:rPr>
          <w:i/>
        </w:rPr>
        <w:t>i</w:t>
      </w:r>
      <w:proofErr w:type="spellEnd"/>
      <w:r>
        <w:t xml:space="preserve">. </w:t>
      </w:r>
      <w:r w:rsidR="00AF624F">
        <w:t xml:space="preserve">Since </w:t>
      </w:r>
      <w:r w:rsidR="00AF624F">
        <w:rPr>
          <w:i/>
        </w:rPr>
        <w:t>E</w:t>
      </w:r>
      <w:r w:rsidR="00AF624F">
        <w:rPr>
          <w:vertAlign w:val="subscript"/>
        </w:rPr>
        <w:t>0</w:t>
      </w:r>
      <w:r w:rsidR="00AF624F">
        <w:t xml:space="preserve"> values were not provided, they were obtained by first computing the slope for the year 2015 (</w:t>
      </w:r>
      <w:r w:rsidR="00AF624F">
        <w:rPr>
          <w:i/>
        </w:rPr>
        <w:t>A</w:t>
      </w:r>
      <w:r w:rsidR="00AF624F">
        <w:rPr>
          <w:vertAlign w:val="subscript"/>
        </w:rPr>
        <w:t>2015</w:t>
      </w:r>
      <w:r w:rsidR="00AF624F">
        <w:t xml:space="preserve">) and then solving it for </w:t>
      </w:r>
      <w:r w:rsidR="00AF624F" w:rsidRPr="00AF624F">
        <w:rPr>
          <w:i/>
        </w:rPr>
        <w:t>E</w:t>
      </w:r>
      <w:r w:rsidR="00AF624F" w:rsidRPr="00AF624F">
        <w:rPr>
          <w:vertAlign w:val="subscript"/>
        </w:rPr>
        <w:t>0</w:t>
      </w:r>
    </w:p>
    <w:p w:rsidR="00AF624F" w:rsidRDefault="00AF624F">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2015</m:t>
                  </m:r>
                </m:sub>
              </m:sSub>
            </m:num>
            <m:den>
              <m:sSub>
                <m:sSubPr>
                  <m:ctrlPr>
                    <w:rPr>
                      <w:rFonts w:ascii="Cambria Math" w:hAnsi="Cambria Math"/>
                      <w:i/>
                    </w:rPr>
                  </m:ctrlPr>
                </m:sSubPr>
                <m:e>
                  <m:r>
                    <w:rPr>
                      <w:rFonts w:ascii="Cambria Math" w:hAnsi="Cambria Math"/>
                    </w:rPr>
                    <m:t>A</m:t>
                  </m:r>
                </m:e>
                <m:sub>
                  <m:r>
                    <w:rPr>
                      <w:rFonts w:ascii="Cambria Math" w:hAnsi="Cambria Math"/>
                    </w:rPr>
                    <m:t>2015</m:t>
                  </m:r>
                </m:sub>
              </m:sSub>
            </m:den>
          </m:f>
        </m:oMath>
      </m:oMathPara>
    </w:p>
    <w:p w:rsidR="00F66AFE" w:rsidRDefault="00F66AFE"/>
    <w:p w:rsidR="00F66AFE" w:rsidRDefault="00F66AFE">
      <w:r>
        <w:t xml:space="preserve">Using these </w:t>
      </w:r>
      <w:r>
        <w:rPr>
          <w:i/>
        </w:rPr>
        <w:t>E</w:t>
      </w:r>
      <w:r w:rsidRPr="00F66AFE">
        <w:rPr>
          <w:vertAlign w:val="subscript"/>
        </w:rPr>
        <w:t>0</w:t>
      </w:r>
      <w:r>
        <w:t xml:space="preserve"> and equation 1, new LUTs were generated for every band </w:t>
      </w:r>
      <w:r w:rsidR="00BC3BED">
        <w:t>for</w:t>
      </w:r>
      <w:r>
        <w:t xml:space="preserve"> </w:t>
      </w:r>
      <w:r w:rsidR="00BC3BED">
        <w:t>every</w:t>
      </w:r>
      <w:r>
        <w:t xml:space="preserve"> year. </w:t>
      </w:r>
    </w:p>
    <w:p w:rsidR="00F66AFE" w:rsidRPr="00F66AFE" w:rsidRDefault="00F66AFE"/>
    <w:p w:rsidR="00AF624F" w:rsidRPr="00AF624F" w:rsidRDefault="00AF624F">
      <w:bookmarkStart w:id="0" w:name="_GoBack"/>
      <w:bookmarkEnd w:id="0"/>
    </w:p>
    <w:sectPr w:rsidR="00AF624F" w:rsidRPr="00AF624F" w:rsidSect="00CC1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D2"/>
    <w:rsid w:val="00037D17"/>
    <w:rsid w:val="0008620A"/>
    <w:rsid w:val="00092927"/>
    <w:rsid w:val="000C347D"/>
    <w:rsid w:val="000C5B1A"/>
    <w:rsid w:val="00116530"/>
    <w:rsid w:val="00133D23"/>
    <w:rsid w:val="00136476"/>
    <w:rsid w:val="00146910"/>
    <w:rsid w:val="001F2B7C"/>
    <w:rsid w:val="00217EF7"/>
    <w:rsid w:val="002256CE"/>
    <w:rsid w:val="00242729"/>
    <w:rsid w:val="002C52ED"/>
    <w:rsid w:val="002C5B6E"/>
    <w:rsid w:val="003800C4"/>
    <w:rsid w:val="003B5AFB"/>
    <w:rsid w:val="003C273E"/>
    <w:rsid w:val="00422F41"/>
    <w:rsid w:val="005533B3"/>
    <w:rsid w:val="00561B54"/>
    <w:rsid w:val="005C25B1"/>
    <w:rsid w:val="005C328C"/>
    <w:rsid w:val="006230CF"/>
    <w:rsid w:val="00695ACA"/>
    <w:rsid w:val="006C03B9"/>
    <w:rsid w:val="006D373F"/>
    <w:rsid w:val="006E4484"/>
    <w:rsid w:val="007001C9"/>
    <w:rsid w:val="007468AE"/>
    <w:rsid w:val="0076793C"/>
    <w:rsid w:val="007776F4"/>
    <w:rsid w:val="008504BE"/>
    <w:rsid w:val="00862373"/>
    <w:rsid w:val="00870AF5"/>
    <w:rsid w:val="00873312"/>
    <w:rsid w:val="00893238"/>
    <w:rsid w:val="008A4336"/>
    <w:rsid w:val="008A72C2"/>
    <w:rsid w:val="00925C44"/>
    <w:rsid w:val="00945E26"/>
    <w:rsid w:val="00971150"/>
    <w:rsid w:val="0098147D"/>
    <w:rsid w:val="00982898"/>
    <w:rsid w:val="009848B7"/>
    <w:rsid w:val="009A23CE"/>
    <w:rsid w:val="009E21AC"/>
    <w:rsid w:val="00A0204E"/>
    <w:rsid w:val="00A07AD2"/>
    <w:rsid w:val="00A40896"/>
    <w:rsid w:val="00A526EF"/>
    <w:rsid w:val="00AF624F"/>
    <w:rsid w:val="00AF7F14"/>
    <w:rsid w:val="00B120E8"/>
    <w:rsid w:val="00B75EE2"/>
    <w:rsid w:val="00BC3BED"/>
    <w:rsid w:val="00BD7321"/>
    <w:rsid w:val="00BF3076"/>
    <w:rsid w:val="00C05760"/>
    <w:rsid w:val="00C20128"/>
    <w:rsid w:val="00C63999"/>
    <w:rsid w:val="00C66ED7"/>
    <w:rsid w:val="00C75B63"/>
    <w:rsid w:val="00CC12E1"/>
    <w:rsid w:val="00CC3DDE"/>
    <w:rsid w:val="00CF6A0D"/>
    <w:rsid w:val="00D513C5"/>
    <w:rsid w:val="00D75CDB"/>
    <w:rsid w:val="00DA2C6F"/>
    <w:rsid w:val="00E818CF"/>
    <w:rsid w:val="00E93323"/>
    <w:rsid w:val="00EB7713"/>
    <w:rsid w:val="00F00A25"/>
    <w:rsid w:val="00F270F3"/>
    <w:rsid w:val="00F3573F"/>
    <w:rsid w:val="00F66AFE"/>
    <w:rsid w:val="00FC5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E9724F"/>
  <w15:chartTrackingRefBased/>
  <w15:docId w15:val="{13BD7AA4-214B-6D45-B5F9-B1A21D98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07AD2"/>
  </w:style>
  <w:style w:type="character" w:customStyle="1" w:styleId="DateChar">
    <w:name w:val="Date Char"/>
    <w:basedOn w:val="DefaultParagraphFont"/>
    <w:link w:val="Date"/>
    <w:uiPriority w:val="99"/>
    <w:semiHidden/>
    <w:rsid w:val="00A07AD2"/>
  </w:style>
  <w:style w:type="character" w:styleId="Hyperlink">
    <w:name w:val="Hyperlink"/>
    <w:basedOn w:val="DefaultParagraphFont"/>
    <w:uiPriority w:val="99"/>
    <w:unhideWhenUsed/>
    <w:rsid w:val="00A07AD2"/>
    <w:rPr>
      <w:color w:val="0563C1" w:themeColor="hyperlink"/>
      <w:u w:val="single"/>
    </w:rPr>
  </w:style>
  <w:style w:type="character" w:styleId="UnresolvedMention">
    <w:name w:val="Unresolved Mention"/>
    <w:basedOn w:val="DefaultParagraphFont"/>
    <w:uiPriority w:val="99"/>
    <w:rsid w:val="00A07AD2"/>
    <w:rPr>
      <w:color w:val="605E5C"/>
      <w:shd w:val="clear" w:color="auto" w:fill="E1DFDD"/>
    </w:rPr>
  </w:style>
  <w:style w:type="character" w:styleId="PlaceholderText">
    <w:name w:val="Placeholder Text"/>
    <w:basedOn w:val="DefaultParagraphFont"/>
    <w:uiPriority w:val="99"/>
    <w:semiHidden/>
    <w:rsid w:val="00862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tp://hmwr829gr.cr.chiba-u.ac.jp/gridded/FD/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Miura</dc:creator>
  <cp:keywords/>
  <dc:description/>
  <cp:lastModifiedBy>Tomoaki Miura</cp:lastModifiedBy>
  <cp:revision>2</cp:revision>
  <dcterms:created xsi:type="dcterms:W3CDTF">2020-01-24T21:58:00Z</dcterms:created>
  <dcterms:modified xsi:type="dcterms:W3CDTF">2020-01-24T22:33:00Z</dcterms:modified>
</cp:coreProperties>
</file>