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ReadSpace Sample Report</w:t>
      </w:r>
    </w:p>
    <w:p>
      <w:r>
        <w:rPr>
          <w:i/>
        </w:rPr>
        <w:t xml:space="preserve">A Word document rendered by mammoth.js — version 1.0, October 2026</w:t>
      </w:r>
    </w:p>
    <w:p/>
    <w:p>
      <w:pPr>
        <w:pStyle w:val="Heading1"/>
      </w:pPr>
      <w:r>
        <w:t xml:space="preserve">1. Purpose</w:t>
      </w:r>
    </w:p>
    <w:p>
      <w:r>
        <w:t xml:space="preserve">This .docx file exists so you can check the Word viewer inside ReadSpace. Mammoth converts the document to clean semantic HTML: headings, bold and italic runs, lists and tables all map to standard elements, then the result is sanitised and displayed with the reader typography you configured.</w:t>
      </w:r>
    </w:p>
    <w:p/>
    <w:p>
      <w:pPr>
        <w:pStyle w:val="Heading1"/>
      </w:pPr>
      <w:r>
        <w:t xml:space="preserve">2. Formatting checklist</w:t>
      </w:r>
    </w:p>
    <w:p>
      <w:r>
        <w:rPr>
          <w:b/>
        </w:rPr>
        <w:t xml:space="preserve">Bold text renders as &lt;strong&gt;.</w:t>
      </w:r>
    </w:p>
    <w:p>
      <w:r>
        <w:rPr>
          <w:i/>
        </w:rPr>
        <w:t xml:space="preserve">Italic text renders as &lt;em&gt;.</w:t>
      </w:r>
    </w:p>
    <w:p>
      <w:r>
        <w:rPr>
          <w:b/>
          <w:i/>
        </w:rPr>
        <w:t xml:space="preserve">Bold and italic together work too.</w:t>
      </w:r>
    </w:p>
    <w:p>
      <w:pPr>
        <w:numPr>
          <w:ilvl w:val="0"/>
          <w:numId w:val="1"/>
        </w:numPr>
      </w:pPr>
      <w:r>
        <w:t xml:space="preserve">First bullet item — mapped to an HTML list</w:t>
      </w:r>
    </w:p>
    <w:p>
      <w:pPr>
        <w:numPr>
          <w:ilvl w:val="0"/>
          <w:numId w:val="1"/>
        </w:numPr>
      </w:pPr>
      <w:r>
        <w:t xml:space="preserve">Second bullet item</w:t>
      </w:r>
    </w:p>
    <w:p>
      <w:pPr>
        <w:numPr>
          <w:ilvl w:val="0"/>
          <w:numId w:val="1"/>
        </w:numPr>
      </w:pPr>
      <w:r>
        <w:t xml:space="preserve">Third bullet item</w:t>
      </w:r>
    </w:p>
    <w:p/>
    <w:p>
      <w:pPr>
        <w:pStyle w:val="Heading1"/>
      </w:pPr>
      <w:r>
        <w:t xml:space="preserve">3. Semester schedule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Milestone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Owner</w:t>
            </w:r>
          </w:p>
        </w:tc>
      </w:tr>
      <w:tr>
        <w:tc>
          <w:tcPr>
            <w:tcW w:w="2800" w:type="dxa"/>
          </w:tcPr>
          <w:p>
            <w:r>
              <w:t xml:space="preserve">1</w:t>
            </w:r>
          </w:p>
        </w:tc>
        <w:tc>
          <w:tcPr>
            <w:tcW w:w="2800" w:type="dxa"/>
          </w:tcPr>
          <w:p>
            <w:r>
              <w:t xml:space="preserve">Requirements + wireframe</w:t>
            </w:r>
          </w:p>
        </w:tc>
        <w:tc>
          <w:tcPr>
            <w:tcW w:w="2800" w:type="dxa"/>
          </w:tcPr>
          <w:p>
            <w:r>
              <w:t xml:space="preserve">Mujju</w:t>
            </w:r>
          </w:p>
        </w:tc>
      </w:tr>
      <w:tr>
        <w:tc>
          <w:tcPr>
            <w:tcW w:w="2800" w:type="dxa"/>
          </w:tcPr>
          <w:p>
            <w:r>
              <w:t xml:space="preserve">2-3</w:t>
            </w:r>
          </w:p>
        </w:tc>
        <w:tc>
          <w:tcPr>
            <w:tcW w:w="2800" w:type="dxa"/>
          </w:tcPr>
          <w:p>
            <w:r>
              <w:t xml:space="preserve">Core viewers (MD, PDF, DOCX)</w:t>
            </w:r>
          </w:p>
        </w:tc>
        <w:tc>
          <w:tcPr>
            <w:tcW w:w="2800" w:type="dxa"/>
          </w:tcPr>
          <w:p>
            <w:r>
              <w:t xml:space="preserve">Mujju</w:t>
            </w:r>
          </w:p>
        </w:tc>
      </w:tr>
      <w:tr>
        <w:tc>
          <w:tcPr>
            <w:tcW w:w="2800" w:type="dxa"/>
          </w:tcPr>
          <w:p>
            <w:r>
              <w:t xml:space="preserve">4</w:t>
            </w:r>
          </w:p>
        </w:tc>
        <w:tc>
          <w:tcPr>
            <w:tcW w:w="2800" w:type="dxa"/>
          </w:tcPr>
          <w:p>
            <w:r>
              <w:t xml:space="preserve">Layout, themes, session restore</w:t>
            </w:r>
          </w:p>
        </w:tc>
        <w:tc>
          <w:tcPr>
            <w:tcW w:w="2800" w:type="dxa"/>
          </w:tcPr>
          <w:p>
            <w:r>
              <w:t xml:space="preserve">Mujju</w:t>
            </w:r>
          </w:p>
        </w:tc>
      </w:tr>
      <w:tr>
        <w:tc>
          <w:tcPr>
            <w:tcW w:w="2800" w:type="dxa"/>
          </w:tcPr>
          <w:p>
            <w:r>
              <w:t xml:space="preserve">5</w:t>
            </w:r>
          </w:p>
        </w:tc>
        <w:tc>
          <w:tcPr>
            <w:tcW w:w="2800" w:type="dxa"/>
          </w:tcPr>
          <w:p>
            <w:r>
              <w:t xml:space="preserve">Testing, report writing, demo</w:t>
            </w:r>
          </w:p>
        </w:tc>
        <w:tc>
          <w:tcPr>
            <w:tcW w:w="2800" w:type="dxa"/>
          </w:tcPr>
          <w:p>
            <w:r>
              <w:t xml:space="preserve">Team</w:t>
            </w:r>
          </w:p>
        </w:tc>
      </w:tr>
    </w:tbl>
    <w:p/>
    <w:p>
      <w:pPr>
        <w:pStyle w:val="Heading2"/>
      </w:pPr>
      <w:r>
        <w:t xml:space="preserve">4. Limitations to mention in the viva</w:t>
      </w:r>
    </w:p>
    <w:p>
      <w:r>
        <w:t xml:space="preserve">Complex Word features (text boxes, columns, SmartArt) are intentionally out of scope for v1 — the goal is comfortable reading of semantic content, not pixel-perfect Word reproduction.</w:t>
      </w:r>
    </w:p>
    <w:p/>
    <w:p>
      <w:r>
        <w:rPr>
          <w:i/>
        </w:rPr>
        <w:t xml:space="preserve">If you can read this comfortably, the DOCX viewer works. ✔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52"/>
      <w:color w:val="1F3864"/>
    </w:rPr>
  </w:style>
  <w:style w:type="paragraph" w:styleId="Heading1">
    <w:name w:val="heading 1"/>
    <w:basedOn w:val="Normal"/>
    <w:pPr>
      <w:spacing w:before="240" w:after="120"/>
    </w:pPr>
    <w:rPr>
      <w:b/>
      <w:sz w:val="32"/>
      <w:color w:val="2E5496"/>
    </w:rPr>
  </w:style>
  <w:style w:type="paragraph" w:styleId="Heading2">
    <w:name w:val="heading 2"/>
    <w:basedOn w:val="Normal"/>
    <w:pPr>
      <w:spacing w:before="200" w:after="100"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