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4A03BC" w:rsidRDefault="004A03BC" w:rsidP="004A03BC">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bookmarkStart w:id="0" w:name="_GoBack"/>
      <w:bookmarkEnd w:id="0"/>
    </w:p>
    <w:tbl>
      <w:tblPr>
        <w:tblW w:w="4951"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8"/>
        <w:gridCol w:w="1504"/>
        <w:gridCol w:w="1577"/>
        <w:gridCol w:w="1485"/>
        <w:gridCol w:w="18"/>
      </w:tblGrid>
      <w:tr w:rsidR="00BD52D9" w:rsidTr="00BD52D9">
        <w:tc>
          <w:tcPr>
            <w:tcW w:w="5000" w:type="pct"/>
            <w:gridSpan w:val="5"/>
            <w:shd w:val="clear" w:color="auto" w:fill="BFBFBF"/>
          </w:tcPr>
          <w:p w:rsidR="00BD52D9" w:rsidRPr="00C14932" w:rsidRDefault="00BD52D9" w:rsidP="00383655">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GENERAL SERVICES </w:t>
            </w:r>
          </w:p>
        </w:tc>
      </w:tr>
      <w:tr w:rsidR="00BD52D9" w:rsidRPr="00863D74" w:rsidTr="00BD52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BD52D9" w:rsidRDefault="00BD52D9"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BD52D9" w:rsidRPr="00FB7AFF" w:rsidRDefault="00BD52D9"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Pr>
                <w:rFonts w:ascii="Times New Roman" w:eastAsia="Times New Roman" w:hAnsi="Times New Roman"/>
                <w:b/>
                <w:i/>
                <w:color w:val="000000"/>
                <w:spacing w:val="-1"/>
                <w:sz w:val="24"/>
                <w:szCs w:val="24"/>
              </w:rPr>
              <w:t>_____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RPr="004D2AD2" w:rsidTr="00BD52D9">
        <w:trPr>
          <w:gridAfter w:val="1"/>
          <w:wAfter w:w="11" w:type="pct"/>
        </w:trPr>
        <w:tc>
          <w:tcPr>
            <w:tcW w:w="4989" w:type="pct"/>
            <w:gridSpan w:val="4"/>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b/>
                <w:sz w:val="24"/>
                <w:szCs w:val="24"/>
              </w:rPr>
              <w:t xml:space="preserve">HEALTH FACILITY STORE </w:t>
            </w:r>
            <w:r w:rsidRPr="00C14932">
              <w:rPr>
                <w:rFonts w:ascii="Times New Roman" w:eastAsia="Times New Roman" w:hAnsi="Times New Roman"/>
                <w:b/>
                <w:i/>
              </w:rPr>
              <w:t>(Physically check/direct observation and tick the relevant column)</w:t>
            </w:r>
          </w:p>
        </w:tc>
      </w:tr>
      <w:tr w:rsidR="00BF2DDB" w:rsidRPr="004D2AD2" w:rsidTr="00BD52D9">
        <w:trPr>
          <w:gridAfter w:val="1"/>
          <w:wAfter w:w="11" w:type="pct"/>
        </w:trPr>
        <w:tc>
          <w:tcPr>
            <w:tcW w:w="24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General condition (Sanitary condition)</w:t>
            </w:r>
          </w:p>
        </w:tc>
        <w:tc>
          <w:tcPr>
            <w:tcW w:w="84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Good</w:t>
            </w:r>
          </w:p>
        </w:tc>
        <w:tc>
          <w:tcPr>
            <w:tcW w:w="88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Average</w:t>
            </w:r>
          </w:p>
        </w:tc>
        <w:tc>
          <w:tcPr>
            <w:tcW w:w="83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Poor</w:t>
            </w:r>
          </w:p>
        </w:tc>
      </w:tr>
      <w:tr w:rsidR="00BF2DDB" w:rsidRPr="004D2AD2" w:rsidTr="00BD52D9">
        <w:trPr>
          <w:gridAfter w:val="1"/>
          <w:wAfter w:w="11" w:type="pct"/>
        </w:trPr>
        <w:tc>
          <w:tcPr>
            <w:tcW w:w="24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Light</w:t>
            </w:r>
          </w:p>
        </w:tc>
        <w:tc>
          <w:tcPr>
            <w:tcW w:w="84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Good</w:t>
            </w:r>
          </w:p>
        </w:tc>
        <w:tc>
          <w:tcPr>
            <w:tcW w:w="88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Average</w:t>
            </w:r>
          </w:p>
        </w:tc>
        <w:tc>
          <w:tcPr>
            <w:tcW w:w="83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Poor</w:t>
            </w:r>
          </w:p>
        </w:tc>
      </w:tr>
      <w:tr w:rsidR="00BF2DDB" w:rsidRPr="004D2AD2" w:rsidTr="00BD52D9">
        <w:trPr>
          <w:gridAfter w:val="1"/>
          <w:wAfter w:w="11" w:type="pct"/>
        </w:trPr>
        <w:tc>
          <w:tcPr>
            <w:tcW w:w="24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 xml:space="preserve">Temperature chart maintained in the store  </w:t>
            </w:r>
          </w:p>
        </w:tc>
        <w:tc>
          <w:tcPr>
            <w:tcW w:w="84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88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833" w:type="pct"/>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BD52D9">
        <w:trPr>
          <w:gridAfter w:val="1"/>
          <w:wAfter w:w="11" w:type="pct"/>
        </w:trPr>
        <w:tc>
          <w:tcPr>
            <w:tcW w:w="24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b/>
                <w:i/>
                <w:sz w:val="24"/>
                <w:szCs w:val="24"/>
              </w:rPr>
            </w:pPr>
            <w:r w:rsidRPr="00C14932">
              <w:rPr>
                <w:rFonts w:ascii="Times New Roman" w:eastAsia="Times New Roman" w:hAnsi="Times New Roman"/>
                <w:b/>
                <w:i/>
                <w:color w:val="000000"/>
                <w:spacing w:val="-1"/>
                <w:sz w:val="24"/>
                <w:szCs w:val="24"/>
              </w:rPr>
              <w:t xml:space="preserve">Bin cards used by the store keeper? </w:t>
            </w:r>
            <w:r w:rsidRPr="00C14932">
              <w:rPr>
                <w:rFonts w:ascii="Times New Roman" w:eastAsia="Times New Roman" w:hAnsi="Times New Roman"/>
                <w:i/>
                <w:color w:val="000000"/>
                <w:spacing w:val="-1"/>
                <w:sz w:val="24"/>
                <w:szCs w:val="24"/>
              </w:rPr>
              <w:t>(Also check entries are proper)</w:t>
            </w:r>
          </w:p>
        </w:tc>
        <w:tc>
          <w:tcPr>
            <w:tcW w:w="84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88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833" w:type="pct"/>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BD52D9">
        <w:trPr>
          <w:gridAfter w:val="1"/>
          <w:wAfter w:w="11" w:type="pct"/>
        </w:trPr>
        <w:tc>
          <w:tcPr>
            <w:tcW w:w="24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Stock Register maintained till date as per prescribed procedure</w:t>
            </w:r>
          </w:p>
        </w:tc>
        <w:tc>
          <w:tcPr>
            <w:tcW w:w="84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88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833" w:type="pct"/>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BD52D9">
        <w:trPr>
          <w:gridAfter w:val="1"/>
          <w:wAfter w:w="11" w:type="pct"/>
        </w:trPr>
        <w:tc>
          <w:tcPr>
            <w:tcW w:w="24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b/>
                <w:i/>
                <w:sz w:val="24"/>
                <w:szCs w:val="24"/>
              </w:rPr>
            </w:pPr>
            <w:r w:rsidRPr="00C14932">
              <w:rPr>
                <w:rFonts w:ascii="Times New Roman" w:eastAsia="Times New Roman" w:hAnsi="Times New Roman"/>
                <w:b/>
                <w:i/>
                <w:color w:val="000000"/>
                <w:spacing w:val="-1"/>
                <w:sz w:val="24"/>
                <w:szCs w:val="24"/>
              </w:rPr>
              <w:t>Does the facility report LMIS?</w:t>
            </w:r>
          </w:p>
        </w:tc>
        <w:tc>
          <w:tcPr>
            <w:tcW w:w="84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88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833" w:type="pct"/>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B030F9" w:rsidTr="00BD52D9">
        <w:trPr>
          <w:gridAfter w:val="1"/>
          <w:wAfter w:w="11" w:type="pct"/>
        </w:trPr>
        <w:tc>
          <w:tcPr>
            <w:tcW w:w="4989" w:type="pct"/>
            <w:gridSpan w:val="4"/>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BD52D9">
        <w:trPr>
          <w:gridAfter w:val="1"/>
          <w:wAfter w:w="11" w:type="pct"/>
        </w:trPr>
        <w:tc>
          <w:tcPr>
            <w:tcW w:w="4989" w:type="pct"/>
            <w:gridSpan w:val="4"/>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BD52D9">
        <w:trPr>
          <w:gridAfter w:val="1"/>
          <w:wAfter w:w="11" w:type="pct"/>
        </w:trPr>
        <w:tc>
          <w:tcPr>
            <w:tcW w:w="4989" w:type="pct"/>
            <w:gridSpan w:val="4"/>
            <w:shd w:val="clear" w:color="auto" w:fill="auto"/>
          </w:tcPr>
          <w:p w:rsidR="00BF2DDB" w:rsidRPr="00BD52D9" w:rsidRDefault="00BF2DDB" w:rsidP="00BD52D9">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tc>
      </w:tr>
      <w:tr w:rsidR="00BF2DDB" w:rsidTr="00BD52D9">
        <w:trPr>
          <w:gridAfter w:val="1"/>
          <w:wAfter w:w="11" w:type="pct"/>
        </w:trPr>
        <w:tc>
          <w:tcPr>
            <w:tcW w:w="4989" w:type="pct"/>
            <w:gridSpan w:val="4"/>
            <w:shd w:val="clear" w:color="auto" w:fill="auto"/>
          </w:tcPr>
          <w:p w:rsidR="00BF2DDB" w:rsidRPr="00BD52D9" w:rsidRDefault="00BF2DDB" w:rsidP="00BD52D9">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tc>
      </w:tr>
      <w:tr w:rsidR="00BF2DDB" w:rsidTr="00BD52D9">
        <w:trPr>
          <w:gridAfter w:val="1"/>
          <w:wAfter w:w="11" w:type="pct"/>
        </w:trPr>
        <w:tc>
          <w:tcPr>
            <w:tcW w:w="4989" w:type="pct"/>
            <w:gridSpan w:val="4"/>
            <w:shd w:val="clear" w:color="auto" w:fill="auto"/>
          </w:tcPr>
          <w:p w:rsidR="00BF2DDB" w:rsidRPr="00BD52D9" w:rsidRDefault="00BF2DDB" w:rsidP="00BD52D9">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tc>
      </w:tr>
    </w:tbl>
    <w:p w:rsidR="00BF2DDB" w:rsidRDefault="00BF2DDB" w:rsidP="00BF2DDB"/>
    <w:p w:rsidR="00BD52D9" w:rsidRPr="008966D0" w:rsidRDefault="00BD52D9" w:rsidP="00AA13F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b/>
          <w:sz w:val="28"/>
          <w:szCs w:val="24"/>
        </w:rPr>
      </w:pPr>
      <w:r w:rsidRPr="008966D0">
        <w:rPr>
          <w:rFonts w:ascii="Times New Roman" w:hAnsi="Times New Roman"/>
          <w:b/>
          <w:sz w:val="28"/>
          <w:szCs w:val="24"/>
        </w:rPr>
        <w:t xml:space="preserve">USER GUIDE </w:t>
      </w:r>
      <w:r w:rsidR="00BF1FD7">
        <w:rPr>
          <w:rFonts w:ascii="Times New Roman" w:hAnsi="Times New Roman"/>
          <w:b/>
          <w:sz w:val="28"/>
          <w:szCs w:val="24"/>
        </w:rPr>
        <w:t xml:space="preserve">- </w:t>
      </w:r>
      <w:r w:rsidR="00BF1FD7" w:rsidRPr="00C14932">
        <w:rPr>
          <w:rFonts w:ascii="Times New Roman" w:eastAsia="Times New Roman" w:hAnsi="Times New Roman"/>
          <w:b/>
          <w:sz w:val="24"/>
          <w:szCs w:val="24"/>
        </w:rPr>
        <w:t>G</w:t>
      </w:r>
      <w:r w:rsidR="00AA13F9">
        <w:rPr>
          <w:rFonts w:ascii="Times New Roman" w:eastAsia="Times New Roman" w:hAnsi="Times New Roman"/>
          <w:b/>
          <w:sz w:val="24"/>
          <w:szCs w:val="24"/>
        </w:rPr>
        <w:t>eneral</w:t>
      </w:r>
      <w:r w:rsidR="00BF1FD7" w:rsidRPr="00C14932">
        <w:rPr>
          <w:rFonts w:ascii="Times New Roman" w:eastAsia="Times New Roman" w:hAnsi="Times New Roman"/>
          <w:b/>
          <w:sz w:val="24"/>
          <w:szCs w:val="24"/>
        </w:rPr>
        <w:t xml:space="preserve"> S</w:t>
      </w:r>
      <w:r w:rsidR="00AA13F9">
        <w:rPr>
          <w:rFonts w:ascii="Times New Roman" w:eastAsia="Times New Roman" w:hAnsi="Times New Roman"/>
          <w:b/>
          <w:sz w:val="24"/>
          <w:szCs w:val="24"/>
        </w:rPr>
        <w:t>ervices</w:t>
      </w:r>
      <w:r w:rsidR="00BF1FD7">
        <w:rPr>
          <w:rFonts w:ascii="Times New Roman" w:eastAsia="Times New Roman" w:hAnsi="Times New Roman"/>
          <w:b/>
          <w:sz w:val="24"/>
          <w:szCs w:val="24"/>
        </w:rPr>
        <w:t xml:space="preserve"> </w:t>
      </w:r>
      <w:r w:rsidR="00AA13F9">
        <w:rPr>
          <w:rFonts w:ascii="Times New Roman" w:eastAsia="Times New Roman" w:hAnsi="Times New Roman"/>
          <w:b/>
          <w:sz w:val="24"/>
          <w:szCs w:val="24"/>
        </w:rPr>
        <w:t>–</w:t>
      </w:r>
      <w:r w:rsidR="00BF1FD7">
        <w:rPr>
          <w:rFonts w:ascii="Times New Roman" w:eastAsia="Times New Roman" w:hAnsi="Times New Roman"/>
          <w:b/>
          <w:sz w:val="24"/>
          <w:szCs w:val="24"/>
        </w:rPr>
        <w:t xml:space="preserve"> </w:t>
      </w:r>
      <w:r w:rsidR="00BF1FD7" w:rsidRPr="00C14932">
        <w:rPr>
          <w:rFonts w:ascii="Times New Roman" w:eastAsia="Times New Roman" w:hAnsi="Times New Roman"/>
          <w:b/>
          <w:sz w:val="24"/>
          <w:szCs w:val="24"/>
        </w:rPr>
        <w:t>H</w:t>
      </w:r>
      <w:r w:rsidR="00AA13F9">
        <w:rPr>
          <w:rFonts w:ascii="Times New Roman" w:eastAsia="Times New Roman" w:hAnsi="Times New Roman"/>
          <w:b/>
          <w:sz w:val="24"/>
          <w:szCs w:val="24"/>
        </w:rPr>
        <w:t>ealth Facility Store</w:t>
      </w:r>
    </w:p>
    <w:p w:rsidR="00BD52D9" w:rsidRPr="00863D74" w:rsidRDefault="00BD52D9" w:rsidP="00BD52D9">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Facility Description</w:t>
      </w:r>
    </w:p>
    <w:p w:rsidR="00BD52D9" w:rsidRPr="00863D74" w:rsidRDefault="00BD52D9" w:rsidP="00BD52D9">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BD52D9" w:rsidRPr="00863D74" w:rsidRDefault="00BD52D9" w:rsidP="00BD52D9">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 xml:space="preserve">General Services </w:t>
      </w:r>
    </w:p>
    <w:p w:rsidR="00BD52D9" w:rsidRPr="00863D74" w:rsidRDefault="00BD52D9" w:rsidP="00BD52D9">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b/>
        </w:rPr>
        <w:t>Health Facility Store</w:t>
      </w:r>
    </w:p>
    <w:p w:rsidR="00BD52D9" w:rsidRPr="00863D74" w:rsidRDefault="00BD52D9" w:rsidP="00BD52D9">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rPr>
      </w:pPr>
      <w:r w:rsidRPr="00863D74">
        <w:rPr>
          <w:rFonts w:ascii="Times New Roman" w:hAnsi="Times New Roman"/>
        </w:rPr>
        <w:t xml:space="preserve">Tick the appropriate column for the required items and write down the information by observation; checking relevant record and asking relevant staff.  </w:t>
      </w:r>
    </w:p>
    <w:p w:rsidR="00BD52D9" w:rsidRPr="00863D74" w:rsidRDefault="00BD52D9" w:rsidP="00BD52D9">
      <w:pPr>
        <w:pBdr>
          <w:top w:val="single" w:sz="4" w:space="1" w:color="auto"/>
          <w:left w:val="single" w:sz="4" w:space="4" w:color="auto"/>
          <w:bottom w:val="single" w:sz="4" w:space="1" w:color="auto"/>
          <w:right w:val="single" w:sz="4" w:space="4" w:color="auto"/>
        </w:pBd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BD52D9" w:rsidRPr="00863D74" w:rsidRDefault="00BD52D9" w:rsidP="00BD52D9">
      <w:pPr>
        <w:pBdr>
          <w:top w:val="single" w:sz="4" w:space="1" w:color="auto"/>
          <w:left w:val="single" w:sz="4" w:space="4" w:color="auto"/>
          <w:bottom w:val="single" w:sz="4" w:space="1" w:color="auto"/>
          <w:right w:val="single" w:sz="4" w:space="4" w:color="auto"/>
        </w:pBd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BD52D9" w:rsidRPr="00863D74" w:rsidRDefault="00BD52D9" w:rsidP="00BD52D9">
      <w:pPr>
        <w:pBdr>
          <w:top w:val="single" w:sz="4" w:space="1" w:color="auto"/>
          <w:left w:val="single" w:sz="4" w:space="4" w:color="auto"/>
          <w:bottom w:val="single" w:sz="4" w:space="1" w:color="auto"/>
          <w:right w:val="single" w:sz="4" w:space="4" w:color="auto"/>
        </w:pBdr>
        <w:spacing w:before="240" w:line="276" w:lineRule="auto"/>
      </w:pPr>
      <w:r w:rsidRPr="00863D74">
        <w:rPr>
          <w:rFonts w:ascii="Times New Roman" w:hAnsi="Times New Roman"/>
        </w:rPr>
        <w:t>After filling the checklist the monitor will write his name, designation and date of the visit.</w:t>
      </w:r>
    </w:p>
    <w:p w:rsidR="00BD52D9" w:rsidRDefault="00BD52D9" w:rsidP="00BD52D9">
      <w:pPr>
        <w:pBdr>
          <w:top w:val="single" w:sz="4" w:space="1" w:color="auto"/>
          <w:left w:val="single" w:sz="4" w:space="4" w:color="auto"/>
          <w:bottom w:val="single" w:sz="4" w:space="1" w:color="auto"/>
          <w:right w:val="single" w:sz="4" w:space="4" w:color="auto"/>
        </w:pBdr>
      </w:pPr>
    </w:p>
    <w:p w:rsidR="00BF2DDB" w:rsidRPr="008B36FA" w:rsidRDefault="00BF2DDB" w:rsidP="00BF2DDB">
      <w:pPr>
        <w:spacing w:line="276" w:lineRule="auto"/>
        <w:jc w:val="both"/>
        <w:rPr>
          <w:rFonts w:ascii="Arial" w:hAnsi="Arial" w:cs="Arial"/>
        </w:rPr>
      </w:pPr>
    </w:p>
    <w:p w:rsidR="00816E76" w:rsidRDefault="00816E76"/>
    <w:sectPr w:rsidR="00816E76"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2F3" w:rsidRDefault="002342F3">
      <w:r>
        <w:separator/>
      </w:r>
    </w:p>
  </w:endnote>
  <w:endnote w:type="continuationSeparator" w:id="0">
    <w:p w:rsidR="002342F3" w:rsidRDefault="0023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4A03BC" w:rsidRPr="004A03BC">
      <w:rPr>
        <w:b/>
        <w:bCs/>
        <w:noProof/>
      </w:rPr>
      <w:t>2</w:t>
    </w:r>
    <w:r>
      <w:rPr>
        <w:b/>
        <w:bCs/>
        <w:noProof/>
      </w:rPr>
      <w:fldChar w:fldCharType="end"/>
    </w:r>
    <w:r>
      <w:rPr>
        <w:b/>
        <w:bCs/>
      </w:rPr>
      <w:t xml:space="preserve"> | </w:t>
    </w:r>
    <w:r w:rsidRPr="00EB73E9">
      <w:rPr>
        <w:color w:val="808080"/>
        <w:spacing w:val="60"/>
      </w:rPr>
      <w:t>Page</w:t>
    </w:r>
  </w:p>
  <w:p w:rsidR="00CF3215" w:rsidRDefault="002342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2F3" w:rsidRDefault="002342F3">
      <w:r>
        <w:separator/>
      </w:r>
    </w:p>
  </w:footnote>
  <w:footnote w:type="continuationSeparator" w:id="0">
    <w:p w:rsidR="002342F3" w:rsidRDefault="002342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86726"/>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2F3"/>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3BC"/>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5EBA"/>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3F9"/>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355C"/>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67450"/>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2D9"/>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1FD7"/>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637"/>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9FB"/>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6</cp:revision>
  <dcterms:created xsi:type="dcterms:W3CDTF">2016-04-07T09:57:00Z</dcterms:created>
  <dcterms:modified xsi:type="dcterms:W3CDTF">2016-04-11T15:45:00Z</dcterms:modified>
</cp:coreProperties>
</file>