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AEP #2 — Final Synchronization Record v1.0</w:t>
      </w:r>
    </w:p>
    <w:p>
      <w:r>
        <w:t>RumahAgen | Learning Economy | Final AEP Synchronization Gate</w:t>
      </w:r>
    </w:p>
    <w:p>
      <w:pPr>
        <w:pStyle w:val="Heading1"/>
      </w:pPr>
      <w:r>
        <w:t>1. Final Gate Purpose</w:t>
      </w:r>
    </w:p>
    <w:p>
      <w:r>
        <w:t>Record the final synchronization status of AEP #2 after Governance/ADR reconciliation, decision formalization, domain architecture, ERD, schema, Payment↔Learning integration, API, RBAC, User Flow, PRD, Engineering and Test/Traceability impacts have been completed and cross-reconciled.</w:t>
      </w:r>
    </w:p>
    <w:p>
      <w:pPr>
        <w:pStyle w:val="Heading1"/>
      </w:pPr>
      <w:r>
        <w:t>2. AEP #2 Scope</w:t>
      </w:r>
    </w:p>
    <w:p>
      <w:pPr>
        <w:pStyle w:val="ListBullet"/>
      </w:pPr>
      <w:r>
        <w:t>Primary scope: Internal Learning Economy.</w:t>
      </w:r>
    </w:p>
    <w:p>
      <w:pPr>
        <w:pStyle w:val="ListBullet"/>
      </w:pPr>
      <w:r>
        <w:t>Internal Learning principle: Learn for free. Grind to earn. Pay to accelerate. Prove to certify.</w:t>
      </w:r>
    </w:p>
    <w:p>
      <w:pPr>
        <w:pStyle w:val="ListBullet"/>
      </w:pPr>
      <w:r>
        <w:t>Partnership Learning remains a separate partner model and is not forced into the Internal Learning Economy.</w:t>
      </w:r>
    </w:p>
    <w:p>
      <w:pPr>
        <w:pStyle w:val="ListBullet"/>
      </w:pPr>
      <w:r>
        <w:t>Learning Session/live-learning integration is outside AEP #2 core scope and remains deferred to AEP #4.</w:t>
      </w:r>
    </w:p>
    <w:p>
      <w:pPr>
        <w:pStyle w:val="Heading1"/>
      </w:pPr>
      <w:r>
        <w:t>3. Canonical Decision State</w:t>
      </w:r>
    </w:p>
    <w:p>
      <w:pPr>
        <w:pStyle w:val="ListBullet"/>
      </w:pPr>
      <w:r>
        <w:t>ADR-LE-001 — LOCKED BY USER DECISION.</w:t>
      </w:r>
    </w:p>
    <w:p>
      <w:pPr>
        <w:pStyle w:val="ListBullet"/>
      </w:pPr>
      <w:r>
        <w:t>ADR-LE-002 — LOCKED BY USER DECISION.</w:t>
      </w:r>
    </w:p>
    <w:p>
      <w:pPr>
        <w:pStyle w:val="ListBullet"/>
      </w:pPr>
      <w:r>
        <w:t>ADR-LE-003 — LOCKED BY USER DECISION.</w:t>
      </w:r>
    </w:p>
    <w:p>
      <w:pPr>
        <w:pStyle w:val="ListBullet"/>
      </w:pPr>
      <w:r>
        <w:t>ADR-LE-004 — LOCKED BY USER DECISION.</w:t>
      </w:r>
    </w:p>
    <w:p>
      <w:pPr>
        <w:pStyle w:val="ListBullet"/>
      </w:pPr>
      <w:r>
        <w:t>ADR-LE-005 — DERIVED / GOVERNED BY MADCR-011; NOT INDEPENDENTLY LOCKED.</w:t>
      </w:r>
    </w:p>
    <w:p>
      <w:pPr>
        <w:pStyle w:val="ListBullet"/>
      </w:pPr>
      <w:r>
        <w:t>ADR-LE-006 — LOCKED BY USER DECISION.</w:t>
      </w:r>
    </w:p>
    <w:p>
      <w:pPr>
        <w:pStyle w:val="ListBullet"/>
      </w:pPr>
      <w:r>
        <w:t>ADR-LE-007 — LOCKED BY USER DECISION.</w:t>
      </w:r>
    </w:p>
    <w:p>
      <w:pPr>
        <w:pStyle w:val="ListBullet"/>
      </w:pPr>
      <w:r>
        <w:t>ADR-LE-008 — LOCKED BY USER DECISION.</w:t>
      </w:r>
    </w:p>
    <w:p>
      <w:pPr>
        <w:pStyle w:val="Heading1"/>
      </w:pPr>
      <w:r>
        <w:t>4. Governance Dependencies</w:t>
      </w:r>
    </w:p>
    <w:p>
      <w:pPr>
        <w:pStyle w:val="ListBullet"/>
      </w:pPr>
      <w:r>
        <w:t>MADCR-011 Payment ownership remains approved/governing.</w:t>
      </w:r>
    </w:p>
    <w:p>
      <w:pPr>
        <w:pStyle w:val="ListBullet"/>
      </w:pPr>
      <w:r>
        <w:t>MADCR-002 Provider-independent Payment Core / Provider Adapter boundary remains governing.</w:t>
      </w:r>
    </w:p>
    <w:p>
      <w:pPr>
        <w:pStyle w:val="ListBullet"/>
      </w:pPr>
      <w:r>
        <w:t>MADCR-003 Verified Payment Confirmation / Idempotent Fulfillment remains governing.</w:t>
      </w:r>
    </w:p>
    <w:p>
      <w:pPr>
        <w:pStyle w:val="ListBullet"/>
      </w:pPr>
      <w:r>
        <w:t>MADCR-036/037/041/046 remain the governing Awarding/Title/Credential dependencies.</w:t>
      </w:r>
    </w:p>
    <w:p>
      <w:pPr>
        <w:pStyle w:val="ListBullet"/>
      </w:pPr>
      <w:r>
        <w:t>MADCR-049 remains OPEN / RE-EVALUATION and is explicitly not closed by AEP #2.</w:t>
      </w:r>
    </w:p>
    <w:p>
      <w:pPr>
        <w:pStyle w:val="Heading1"/>
      </w:pPr>
      <w:r>
        <w:t>5. Completed Downstream Synchronization</w:t>
      </w:r>
    </w:p>
    <w:p>
      <w:pPr>
        <w:pStyle w:val="ListBullet"/>
      </w:pPr>
      <w:r>
        <w:t>Domain Architecture Impact — COMPLETE.</w:t>
      </w:r>
    </w:p>
    <w:p>
      <w:pPr>
        <w:pStyle w:val="ListBullet"/>
      </w:pPr>
      <w:r>
        <w:t>ERD Entity/Relationship Impact — COMPLETE.</w:t>
      </w:r>
    </w:p>
    <w:p>
      <w:pPr>
        <w:pStyle w:val="ListBullet"/>
      </w:pPr>
      <w:r>
        <w:t>Schema/Database Impact Specification — COMPLETE at controlled requirement level; exact physical table delta remains evidence-limited.</w:t>
      </w:r>
    </w:p>
    <w:p>
      <w:pPr>
        <w:pStyle w:val="ListBullet"/>
      </w:pPr>
      <w:r>
        <w:t>Payment↔Learning Integration Contract — COMPLETE.</w:t>
      </w:r>
    </w:p>
    <w:p>
      <w:pPr>
        <w:pStyle w:val="ListBullet"/>
      </w:pPr>
      <w:r>
        <w:t>API Impact — COMPLETE at capability level; exact current endpoint reconciliation remains evidence-limited.</w:t>
      </w:r>
    </w:p>
    <w:p>
      <w:pPr>
        <w:pStyle w:val="ListBullet"/>
      </w:pPr>
      <w:r>
        <w:t>RBAC/Permission Impact — COMPLETE at capability level; exact current permission-ID reconciliation remains evidence-limited.</w:t>
      </w:r>
    </w:p>
    <w:p>
      <w:pPr>
        <w:pStyle w:val="ListBullet"/>
      </w:pPr>
      <w:r>
        <w:t>User Flow Impact — COMPLETE at journey/state level; exact screen-level reconciliation remains evidence-limited.</w:t>
      </w:r>
    </w:p>
    <w:p>
      <w:pPr>
        <w:pStyle w:val="ListBullet"/>
      </w:pPr>
      <w:r>
        <w:t>PRD Impact — COMPLETE at product requirement/acceptance direction level.</w:t>
      </w:r>
    </w:p>
    <w:p>
      <w:pPr>
        <w:pStyle w:val="ListBullet"/>
      </w:pPr>
      <w:r>
        <w:t>Engineering Guidebook/Development Playbook Impact — COMPLETE at guardrail level.</w:t>
      </w:r>
    </w:p>
    <w:p>
      <w:pPr>
        <w:pStyle w:val="ListBullet"/>
      </w:pPr>
      <w:r>
        <w:t>Test/Business Rule Traceability — COMPLETE as coverage obligation; actual automated test pass evidence remains unverified.</w:t>
      </w:r>
    </w:p>
    <w:p>
      <w:pPr>
        <w:pStyle w:val="Heading1"/>
      </w:pPr>
      <w:r>
        <w:t>6. Canonical Architecture Invariants</w:t>
      </w:r>
    </w:p>
    <w:p>
      <w:pPr>
        <w:pStyle w:val="ListBullet"/>
      </w:pPr>
      <w:r>
        <w:t>Learning Points are transaction/ledger-based, not balance-only.</w:t>
      </w:r>
    </w:p>
    <w:p>
      <w:pPr>
        <w:pStyle w:val="ListBullet"/>
      </w:pPr>
      <w:r>
        <w:t>Earned and Purchased Learning Points retain distinct provenance.</w:t>
      </w:r>
    </w:p>
    <w:p>
      <w:pPr>
        <w:pStyle w:val="ListBullet"/>
      </w:pPr>
      <w:r>
        <w:t>Pay-to-Accelerate never becomes Pay-to-Pass.</w:t>
      </w:r>
    </w:p>
    <w:p>
      <w:pPr>
        <w:pStyle w:val="ListBullet"/>
      </w:pPr>
      <w:r>
        <w:t>Completion does not automatically equal competency/Skill/Credential unless the governing rule explicitly defines it.</w:t>
      </w:r>
    </w:p>
    <w:p>
      <w:pPr>
        <w:pStyle w:val="ListBullet"/>
      </w:pPr>
      <w:r>
        <w:t>Payment remains Commercial-owned; Learning consumes trusted confirmed-payment outcome.</w:t>
      </w:r>
    </w:p>
    <w:p>
      <w:pPr>
        <w:pStyle w:val="ListBullet"/>
      </w:pPr>
      <w:r>
        <w:t>One confirmed commercial payment cannot create duplicate confirmed Purchased LP grants.</w:t>
      </w:r>
    </w:p>
    <w:p>
      <w:pPr>
        <w:pStyle w:val="ListBullet"/>
      </w:pPr>
      <w:r>
        <w:t>Configuration changes do not rewrite historical transactions/outcomes.</w:t>
      </w:r>
    </w:p>
    <w:p>
      <w:pPr>
        <w:pStyle w:val="ListBullet"/>
      </w:pPr>
      <w:r>
        <w:t>Partnership Learning retains partner provenance and remains economically distinct from Internal Learning.</w:t>
      </w:r>
    </w:p>
    <w:p>
      <w:pPr>
        <w:pStyle w:val="ListBullet"/>
      </w:pPr>
      <w:r>
        <w:t>RBAC is authorization authority; Learning Points are not permissions.</w:t>
      </w:r>
    </w:p>
    <w:p>
      <w:pPr>
        <w:pStyle w:val="ListBullet"/>
      </w:pPr>
      <w:r>
        <w:t>Title/Awarding remains governed by Awarding Path/Rule and Award Instance boundaries.</w:t>
      </w:r>
    </w:p>
    <w:p>
      <w:pPr>
        <w:pStyle w:val="Heading1"/>
      </w:pPr>
      <w:r>
        <w:t>7. Cross-Document Reconciliation Result</w:t>
      </w:r>
    </w:p>
    <w:p>
      <w:r>
        <w:t>PASS AFTER CANONICALIZATION.</w:t>
        <w:br/>
        <w:br/>
        <w:t>The only material cross-document status drift found during audit was ADR-LE-005. It has been resolved through canonicalization as DERIVED / GOVERNED BY MADCR-011 rather than independently locked. No architecture redesign was required.</w:t>
      </w:r>
    </w:p>
    <w:p>
      <w:pPr>
        <w:pStyle w:val="Heading1"/>
      </w:pPr>
      <w:r>
        <w:t>8. Evidence Gaps / Controlled Residuals</w:t>
      </w:r>
    </w:p>
    <w:p>
      <w:pPr>
        <w:pStyle w:val="ListBullet"/>
      </w:pPr>
      <w:r>
        <w:t>Exact current ERD/schema content was not sufficiently retrieved for an exact table-by-table migration delta.</w:t>
      </w:r>
    </w:p>
    <w:p>
      <w:pPr>
        <w:pStyle w:val="ListBullet"/>
      </w:pPr>
      <w:r>
        <w:t>Exact current API endpoint content was not sufficiently retrieved for endpoint-by-endpoint replacement/conflict claims.</w:t>
      </w:r>
    </w:p>
    <w:p>
      <w:pPr>
        <w:pStyle w:val="ListBullet"/>
      </w:pPr>
      <w:r>
        <w:t>Exact current RBAC permission IDs were not sufficiently retrieved for permission-ID adoption.</w:t>
      </w:r>
    </w:p>
    <w:p>
      <w:pPr>
        <w:pStyle w:val="ListBullet"/>
      </w:pPr>
      <w:r>
        <w:t>Exact current User Flow screen content was not sufficiently retrieved for screen-level replacement claims.</w:t>
      </w:r>
    </w:p>
    <w:p>
      <w:pPr>
        <w:pStyle w:val="ListBullet"/>
      </w:pPr>
      <w:r>
        <w:t>Actual automated test implementation/pass evidence remains unverified.</w:t>
      </w:r>
    </w:p>
    <w:p>
      <w:pPr>
        <w:pStyle w:val="ListBullet"/>
      </w:pPr>
      <w:r>
        <w:t>These are evidence gaps, not claims of contradiction.</w:t>
      </w:r>
    </w:p>
    <w:p>
      <w:pPr>
        <w:pStyle w:val="Heading1"/>
      </w:pPr>
      <w:r>
        <w:t>9. MADCR-049 Residual</w:t>
      </w:r>
    </w:p>
    <w:p>
      <w:r>
        <w:t>MADCR-049 remains OPEN / RE-EVALUATION. AEP #2 is synchronized subject to this explicit governance residual. No downstream artifact may represent the AEP #2 work itself as closure evidence for MADCR-049.</w:t>
      </w:r>
    </w:p>
    <w:p>
      <w:pPr>
        <w:pStyle w:val="Heading1"/>
      </w:pPr>
      <w:r>
        <w:t>10. Implementation Boundary</w:t>
      </w:r>
    </w:p>
    <w:p>
      <w:pPr>
        <w:pStyle w:val="ListBullet"/>
      </w:pPr>
      <w:r>
        <w:t>AEP #2 finalization does not authorize global physical implementation by itself.</w:t>
      </w:r>
    </w:p>
    <w:p>
      <w:pPr>
        <w:pStyle w:val="ListBullet"/>
      </w:pPr>
      <w:r>
        <w:t>Physical schema migration remains subject to the project-wide synchronization and implementation authorization process.</w:t>
      </w:r>
    </w:p>
    <w:p>
      <w:pPr>
        <w:pStyle w:val="ListBullet"/>
      </w:pPr>
      <w:r>
        <w:t>Exact API/RBAC/UX implementation remains subject to current-baseline reconciliation.</w:t>
      </w:r>
    </w:p>
    <w:p>
      <w:pPr>
        <w:pStyle w:val="ListBullet"/>
      </w:pPr>
      <w:r>
        <w:t>Global technical documents are not rewritten at this point.</w:t>
      </w:r>
    </w:p>
    <w:p>
      <w:pPr>
        <w:pStyle w:val="Heading1"/>
      </w:pPr>
      <w:r>
        <w:t>11. Global Synchronization Deferral</w:t>
      </w:r>
    </w:p>
    <w:p>
      <w:r>
        <w:t>Per the locked AEP synchronization workflow, the full project-wide synchronization of Project Constitution, System Architecture, Technical Decisions, Dependency Manifest, Project Manifest, Current Project State, Changelog and other baseline documents is deferred until AEP #1–#4 have been finalized and reconciled.</w:t>
      </w:r>
    </w:p>
    <w:p>
      <w:pPr>
        <w:pStyle w:val="Heading1"/>
      </w:pPr>
      <w:r>
        <w:t>12. Final Gate Decision</w:t>
      </w:r>
    </w:p>
    <w:p>
      <w:r>
        <w:t>AEP #2 FINAL SYNCHRONIZATION = PASS WITH CONTROLLED RESIDUALS.</w:t>
        <w:br/>
        <w:br/>
        <w:t>AEP #2 is considered finalized at the AEP/domain synchronization level.</w:t>
        <w:br/>
        <w:br/>
        <w:t>Remaining residuals are explicitly tracked:</w:t>
        <w:br/>
        <w:t>1. MADCR-049 OPEN / RE-EVALUATION.</w:t>
        <w:br/>
        <w:t>2. Current downstream physical/API/RBAC/User Flow/test evidence gaps.</w:t>
        <w:br/>
        <w:t>3. Global technical-document synchronization deferred until AEP #1–#4 completion.</w:t>
        <w:br/>
        <w:br/>
        <w:t>No unresolved AEP #2 Open Decision remains from ADR-LE-005.</w:t>
      </w:r>
    </w:p>
    <w:p>
      <w:pPr>
        <w:pStyle w:val="Heading1"/>
      </w:pPr>
      <w:r>
        <w:t>13. Next AEP</w:t>
      </w:r>
    </w:p>
    <w:p>
      <w:r>
        <w:t>Proceed to the next AEP in the locked execution order. AEP #2 artifacts and this final record become the governing input for downstream cross-AEP synchronization, while the project-wide technical baseline remains unchanged until the four-AEP finalization gate.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