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RUMAHAGEN MASTER BUSINESS RULES v1.2</w:t>
      </w:r>
    </w:p>
    <w:p>
      <w:pPr>
        <w:pStyle w:val="Heading1"/>
      </w:pPr>
      <w:r>
        <w:t>FINAL CONSOLIDATION CANDIDATE — TRACEABILITY GATE</w:t>
      </w:r>
    </w:p>
    <w:p>
      <w:r>
        <w:t xml:space="preserve">**Status:** FINAL CONSOLIDATION CANDIDATE — GOVERNANCE GATE  </w:t>
      </w:r>
    </w:p>
    <w:p>
      <w:r>
        <w:t xml:space="preserve">**Authority:** BR-001–BR-151 remain LOCKED; Title 001–100 remains authoritative; Learning Economy remains authoritative.  </w:t>
      </w:r>
    </w:p>
    <w:p>
      <w:r>
        <w:t xml:space="preserve">**New domain amendments:** PROPOSED pending final Master BR Traceability Gate.  </w:t>
      </w:r>
    </w:p>
    <w:p>
      <w:r>
        <w:t>**Implementation:** NOT AUTHORIZED.</w:t>
      </w:r>
    </w:p>
    <w:p>
      <w:r>
        <w:t>---</w:t>
      </w:r>
    </w:p>
    <w:p>
      <w:pPr>
        <w:pStyle w:val="Title"/>
      </w:pPr>
      <w:r>
        <w:t>1. Executive Decision</w:t>
      </w:r>
    </w:p>
    <w:p>
      <w:r>
        <w:t>The existing Master Business Rules v1.1 already locks BR-001–BR-151 and incorporates Learning Session rules through explicit rules, derived coverage, ADR/technical classification, and pending status. It also requires that no source rule disappear without an explicit disposition.</w:t>
      </w:r>
    </w:p>
    <w:p>
      <w:r>
        <w:t>This v1.2 candidate performs the next consolidation step by adding the reconciled Title material gaps and Commercial material gaps without rewriting the locked BR-001–BR-151.</w:t>
      </w:r>
    </w:p>
    <w:p>
      <w:r>
        <w:t>Decision: PASS TO FINAL MASTER BR TRACEABILITY GATE.</w:t>
      </w:r>
    </w:p>
    <w:p>
      <w:r>
        <w:t>This document is not yet the final locked Master BR because Gate-1 dependencies remain unresolved.</w:t>
      </w:r>
    </w:p>
    <w:p>
      <w:r>
        <w:t>---</w:t>
      </w:r>
    </w:p>
    <w:p>
      <w:pPr>
        <w:pStyle w:val="Title"/>
      </w:pPr>
      <w:r>
        <w:t>2. Source-of-Truth Hierarchy</w:t>
      </w:r>
    </w:p>
    <w:p>
      <w:r>
        <w:t>1. BR-001–BR-151 — LOCKED legacy/master business baseline.</w:t>
      </w:r>
    </w:p>
    <w:p>
      <w:r>
        <w:t>2. Title Business Rules 001–100 — consolidated, conflict-resolved, user-locked Title source of truth.</w:t>
      </w:r>
    </w:p>
    <w:p>
      <w:r>
        <w:t>3. Learning Economy rules — authoritative Learning Economy semantics.</w:t>
      </w:r>
    </w:p>
    <w:p>
      <w:r>
        <w:t>4. Learning Session LS-001–LS-080 — source of truth for Learning Session semantics, represented through Master BR/derived/ADR/technical/pending classification.</w:t>
      </w:r>
    </w:p>
    <w:p>
      <w:r>
        <w:t>5. Commercial AEP + Commercial Traceability Audit + Commercial BR Reconciliation — source for the proposed Commercial amendments until Commercial rules are formally locked.</w:t>
      </w:r>
    </w:p>
    <w:p>
      <w:r>
        <w:t>6. Master AEP — architectural translation and cross-domain boundary.</w:t>
      </w:r>
    </w:p>
    <w:p>
      <w:r>
        <w:t>7. ADR — architectural decisions; must not be replaced by business-rule wording.</w:t>
      </w:r>
    </w:p>
    <w:p>
      <w:r>
        <w:t>8. ERD/API/RBAC/PRD/technical artifacts — downstream.</w:t>
      </w:r>
    </w:p>
    <w:p>
      <w:r>
        <w:t>No lower-level artifact may silently redefine a higher-level normative rule.</w:t>
      </w:r>
    </w:p>
    <w:p>
      <w:r>
        <w:t>---</w:t>
      </w:r>
    </w:p>
    <w:p>
      <w:pPr>
        <w:pStyle w:val="Title"/>
      </w:pPr>
      <w:r>
        <w:t>3. Existing Locked Baseline</w:t>
      </w:r>
    </w:p>
    <w:p>
      <w:r>
        <w:t>BR-001–BR-151 remain LOCKED and are not silently rewritten.</w:t>
      </w:r>
    </w:p>
    <w:p>
      <w:r>
        <w:t>The existing Master v1.1 already incorporates Learning Session MBR-LS-001–015 and cross-domain traceability. The Learning Session rules include role-controlled instructor/host authority, explicit completion policy, early-leave evaluation, recording/completion separation, Workspace authorization boundary, session visibility, client-authority protection, provider failure visibility, controlled provider switching, notifications, paid-session/free-path protection, and immutable historical attendance by default.</w:t>
      </w:r>
    </w:p>
    <w:p>
      <w:r>
        <w:t>---</w:t>
      </w:r>
    </w:p>
    <w:p>
      <w:pPr>
        <w:pStyle w:val="Title"/>
      </w:pPr>
      <w:r>
        <w:t>4. Title Consolidation</w:t>
      </w:r>
    </w:p>
    <w:p>
      <w:pPr>
        <w:pStyle w:val="Heading1"/>
      </w:pPr>
      <w:r>
        <w:t>4.1 Title source authority</w:t>
      </w:r>
    </w:p>
    <w:p>
      <w:r>
        <w:t>Title Rules 001–100 remain the authoritative source and are not renumbered or rewritten.</w:t>
      </w:r>
    </w:p>
    <w:p>
      <w:r>
        <w:t>The Title reconciliation established that complete traceability does not require every source rule to become a new Master BR. The correct target is 100/100 source rules accounted for with minimum duplication and explicit ownership.</w:t>
      </w:r>
    </w:p>
    <w:p>
      <w:pPr>
        <w:pStyle w:val="Heading1"/>
      </w:pPr>
      <w:r>
        <w:t>4.2 Title material amendments</w:t>
      </w:r>
    </w:p>
    <w:p>
      <w:r>
        <w:t>The following grouped rules are admitted into the Master BR as proposed amendments:</w:t>
      </w:r>
    </w:p>
    <w:p>
      <w:pPr>
        <w:pStyle w:val="Heading2"/>
      </w:pPr>
      <w:r>
        <w:t>MBR-TITLE-PRES-001 — Presentation Validity / Fallback Integrity</w:t>
      </w:r>
    </w:p>
    <w:p>
      <w:r>
        <w:t>When a Primary or Featured Title loses validity through expiry or revocation, presentation eligibility must be re-evaluated and follow the configured fallback policy. Presentation state must not create or mutate the underlying achievement state.</w:t>
      </w:r>
    </w:p>
    <w:p>
      <w:r>
        <w:t>**Source:** Title 005; Title Traceability Reconciliation v1.1.</w:t>
      </w:r>
    </w:p>
    <w:p>
      <w:pPr>
        <w:pStyle w:val="Heading2"/>
      </w:pPr>
      <w:r>
        <w:t>MBR-TITLE-EVID-001 — Evidence Privacy / Access Boundary</w:t>
      </w:r>
    </w:p>
    <w:p>
      <w:r>
        <w:t>Title evidence is not universally public. Evidence access must follow the configured visibility and RBAC policy; owner, issuer and authorized RumahAgen administrators may access evidence according to policy.</w:t>
      </w:r>
    </w:p>
    <w:p>
      <w:r>
        <w:t>**Source:** Title 017–018.</w:t>
      </w:r>
    </w:p>
    <w:p>
      <w:pPr>
        <w:pStyle w:val="Heading2"/>
      </w:pPr>
      <w:r>
        <w:t>MBR-TITLE-AWARD-001 — Awarding Authority Guards</w:t>
      </w:r>
    </w:p>
    <w:p>
      <w:r>
        <w:t>Auto-awarded Titles cannot be rejected by the recipient. Manual awards without evidence are permitted only when the applicable Awarding/Evidence Policy explicitly allows them.</w:t>
      </w:r>
    </w:p>
    <w:p>
      <w:r>
        <w:t>**Source:** Title 019–020.</w:t>
      </w:r>
    </w:p>
    <w:p>
      <w:pPr>
        <w:pStyle w:val="Heading2"/>
      </w:pPr>
      <w:r>
        <w:t>MBR-TITLE-RESTORE-001 — Reinstatement / Presentation Integrity</w:t>
      </w:r>
    </w:p>
    <w:p>
      <w:r>
        <w:t>Restoration of a Title/Award Instance must preserve historical award provenance and must not silently create an invalid presentation state.</w:t>
      </w:r>
    </w:p>
    <w:p>
      <w:r>
        <w:t>**Source:** Title 027–028.</w:t>
      </w:r>
    </w:p>
    <w:p>
      <w:pPr>
        <w:pStyle w:val="Heading2"/>
      </w:pPr>
      <w:r>
        <w:t>MBR-TITLE-SCOPE-001 — Scope / Context Lifecycle</w:t>
      </w:r>
    </w:p>
    <w:p>
      <w:r>
        <w:t>Title scope/context behavior must respect the authoritative Agency/Organization and membership model. Cross-context and re-entry semantics remain PROPOSED / GATE-1 DEPENDENT until Agency vs Organization identity is resolved.</w:t>
      </w:r>
    </w:p>
    <w:p>
      <w:r>
        <w:t>**Source:** Title 072–074.</w:t>
      </w:r>
    </w:p>
    <w:p>
      <w:pPr>
        <w:pStyle w:val="Heading2"/>
      </w:pPr>
      <w:r>
        <w:t>MBR-TITLE-HIST-001 — Historical Award Instance Deletion Governance</w:t>
      </w:r>
    </w:p>
    <w:p>
      <w:r>
        <w:t>Historical Award Instances may not be deleted through ordinary operational deletion merely to remove current presentation or membership effects. Historical provenance must remain explainable.</w:t>
      </w:r>
    </w:p>
    <w:p>
      <w:r>
        <w:t>**Source:** Title 076.</w:t>
      </w:r>
    </w:p>
    <w:p>
      <w:pPr>
        <w:pStyle w:val="Heading2"/>
      </w:pPr>
      <w:r>
        <w:t>MBR-TITLE-NOTIFY-001 — Revocation Notification</w:t>
      </w:r>
    </w:p>
    <w:p>
      <w:r>
        <w:t>Title revocation must trigger notification according to the configured Notification Policy.</w:t>
      </w:r>
    </w:p>
    <w:p>
      <w:r>
        <w:t>**Source:** Title 080.</w:t>
      </w:r>
    </w:p>
    <w:p>
      <w:pPr>
        <w:pStyle w:val="Heading2"/>
      </w:pPr>
      <w:r>
        <w:t>MBR-TITLE-APPEAL-001 — Appeal Issuer / Escalation</w:t>
      </w:r>
    </w:p>
    <w:p>
      <w:r>
        <w:t>Title appeal review is performed by the issuer, with an optional escalation path to RumahAgen according to policy and authorization.</w:t>
      </w:r>
    </w:p>
    <w:p>
      <w:r>
        <w:t>**Source:** Title 082.</w:t>
      </w:r>
    </w:p>
    <w:p>
      <w:pPr>
        <w:pStyle w:val="Heading2"/>
      </w:pPr>
      <w:r>
        <w:t>MBR-TITLE-APPEAL-002 — Mandatory Appeal Window</w:t>
      </w:r>
    </w:p>
    <w:p>
      <w:r>
        <w:t>Every Title Appeal mechanism must define and enforce an appeal time window. Exact default duration remains a policy/configuration decision where not finalized by the Title source.</w:t>
      </w:r>
    </w:p>
    <w:p>
      <w:r>
        <w:t>**Source:** Title 086.</w:t>
      </w:r>
    </w:p>
    <w:p>
      <w:pPr>
        <w:pStyle w:val="Heading2"/>
      </w:pPr>
      <w:r>
        <w:t>MBR-TITLE-VIS-001 — Public Collection vs Current Validity</w:t>
      </w:r>
    </w:p>
    <w:p>
      <w:r>
        <w:t>Public Collection visibility does not mean the Title is currently valid. Only Active/Valid Titles are considered current/public-valid.</w:t>
      </w:r>
    </w:p>
    <w:p>
      <w:r>
        <w:t>**Source:** Title 007.</w:t>
      </w:r>
    </w:p>
    <w:p>
      <w:pPr>
        <w:pStyle w:val="Heading1"/>
      </w:pPr>
      <w:r>
        <w:t>4.3 Title items intentionally not promoted</w:t>
      </w:r>
    </w:p>
    <w:p>
      <w:r>
        <w:t>Architecture extensibility, progression-path architecture, visual theme/icon architecture, language-validation implementation, UI fallback mechanics, and unresolved policy items remain traceability/ADR/technical/pending items as classified by the Title reconciliation.</w:t>
      </w:r>
    </w:p>
    <w:p>
      <w:r>
        <w:t>---</w:t>
      </w:r>
    </w:p>
    <w:p>
      <w:pPr>
        <w:pStyle w:val="Title"/>
      </w:pPr>
      <w:r>
        <w:t>5. Commercial Consolidation</w:t>
      </w:r>
    </w:p>
    <w:p>
      <w:pPr>
        <w:pStyle w:val="Heading1"/>
      </w:pPr>
      <w:r>
        <w:t>5.1 Existing Commercial coverage</w:t>
      </w:r>
    </w:p>
    <w:p>
      <w:r>
        <w:t>Existing MBR-COM-001–013 remain canonical where already sufficient:</w:t>
      </w:r>
    </w:p>
    <w:p>
      <w:pPr>
        <w:pStyle w:val="ListBullet"/>
      </w:pPr>
      <w:r>
        <w:t>Subscription ≠ Entitlement.</w:t>
      </w:r>
    </w:p>
    <w:p>
      <w:pPr>
        <w:pStyle w:val="ListBullet"/>
      </w:pPr>
      <w:r>
        <w:t>Entitlement ≠ RBAC.</w:t>
      </w:r>
    </w:p>
    <w:p>
      <w:pPr>
        <w:pStyle w:val="ListBullet"/>
      </w:pPr>
      <w:r>
        <w:t>Subscription changes do not directly mutate RBAC.</w:t>
      </w:r>
    </w:p>
    <w:p>
      <w:pPr>
        <w:pStyle w:val="ListBullet"/>
      </w:pPr>
      <w:r>
        <w:t>Free bonus eligibility uses grant history.</w:t>
      </w:r>
    </w:p>
    <w:p>
      <w:pPr>
        <w:pStyle w:val="ListBullet"/>
      </w:pPr>
      <w:r>
        <w:t>Non-promotional add-ons are permanent.</w:t>
      </w:r>
    </w:p>
    <w:p>
      <w:pPr>
        <w:pStyle w:val="ListBullet"/>
      </w:pPr>
      <w:r>
        <w:t>Promotional add-ons have promotion-defined validity.</w:t>
      </w:r>
    </w:p>
    <w:p>
      <w:pPr>
        <w:pStyle w:val="ListBullet"/>
      </w:pPr>
      <w:r>
        <w:t>Purchase price/promotion terms are snapshotted.</w:t>
      </w:r>
    </w:p>
    <w:p>
      <w:pPr>
        <w:pStyle w:val="ListBullet"/>
      </w:pPr>
      <w:r>
        <w:t>Payment success requires verification.</w:t>
      </w:r>
    </w:p>
    <w:p>
      <w:pPr>
        <w:pStyle w:val="ListBullet"/>
      </w:pPr>
      <w:r>
        <w:t>Payment fulfillment is idempotent.</w:t>
      </w:r>
    </w:p>
    <w:p>
      <w:pPr>
        <w:pStyle w:val="ListBullet"/>
      </w:pPr>
      <w:r>
        <w:t>Payment/order/subscription/entitlement are reconcilable.</w:t>
      </w:r>
    </w:p>
    <w:p>
      <w:pPr>
        <w:pStyle w:val="ListBullet"/>
      </w:pPr>
      <w:r>
        <w:t>Refund/chargeback preserve historical payment records.</w:t>
      </w:r>
    </w:p>
    <w:p>
      <w:pPr>
        <w:pStyle w:val="ListBullet"/>
      </w:pPr>
      <w:r>
        <w:t>Payment can be ready but inactive during free beta.</w:t>
      </w:r>
    </w:p>
    <w:p>
      <w:pPr>
        <w:pStyle w:val="ListBullet"/>
      </w:pPr>
      <w:r>
        <w:t>Payment providers are behind adapters.</w:t>
      </w:r>
    </w:p>
    <w:p>
      <w:r>
        <w:t>These rules are not duplicated.</w:t>
      </w:r>
    </w:p>
    <w:p>
      <w:pPr>
        <w:pStyle w:val="Heading1"/>
      </w:pPr>
      <w:r>
        <w:t>5.2 Commercial material amendments</w:t>
      </w:r>
    </w:p>
    <w:p>
      <w:pPr>
        <w:pStyle w:val="Heading2"/>
      </w:pPr>
      <w:r>
        <w:t>MBR-COM-X01 — Free Bonus Grant Integrity</w:t>
      </w:r>
    </w:p>
    <w:p>
      <w:r>
        <w:t>Free Bonus eligibility is determined from grant history. Returning from Pro to Free must not create a second initial Free Bonus when the original grant has already been recorded/consumed.</w:t>
      </w:r>
    </w:p>
    <w:p>
      <w:r>
        <w:t>**Status:** PROPOSED.</w:t>
      </w:r>
    </w:p>
    <w:p>
      <w:pPr>
        <w:pStyle w:val="Heading2"/>
      </w:pPr>
      <w:r>
        <w:t>MBR-COM-X02 — Agency Subscription / Member Allocation</w:t>
      </w:r>
    </w:p>
    <w:p>
      <w:r>
        <w:t>Agency commercial capacity and member allocation are distinct concepts. Member allocation must remain traceable to Agency-level commercial capacity.</w:t>
      </w:r>
    </w:p>
    <w:p>
      <w:r>
        <w:t>**Status:** PROPOSED / GATE-1 DEPENDENT.</w:t>
      </w:r>
    </w:p>
    <w:p>
      <w:pPr>
        <w:pStyle w:val="Heading2"/>
      </w:pPr>
      <w:r>
        <w:t>MBR-COM-X03 — Quota Allocation vs Actual Usage</w:t>
      </w:r>
    </w:p>
    <w:p>
      <w:r>
        <w:t>Quota allocation is distinct from actual usage. Reducing allocation below existing usage does not delete existing listings solely because of the reduction. New creation may be blocked when available allocation is insufficient, and returned allocation follows the approved Agency pool policy.</w:t>
      </w:r>
    </w:p>
    <w:p>
      <w:r>
        <w:t>**Status:** CRITICAL / PROPOSED / GATE-1 DEPENDENT.</w:t>
      </w:r>
    </w:p>
    <w:p>
      <w:pPr>
        <w:pStyle w:val="Heading2"/>
      </w:pPr>
      <w:r>
        <w:t>MBR-COM-X04 — Promotion as Policy + Purchase Snapshot</w:t>
      </w:r>
    </w:p>
    <w:p>
      <w:r>
        <w:t>Promotion is a policy layer applied to a product/plan. Effective price and promotion terms are snapshotted at purchase and later configuration changes do not rewrite historical purchase terms.</w:t>
      </w:r>
    </w:p>
    <w:p>
      <w:r>
        <w:t>**Status:** PROPOSED.</w:t>
      </w:r>
    </w:p>
    <w:p>
      <w:pPr>
        <w:pStyle w:val="Heading2"/>
      </w:pPr>
      <w:r>
        <w:t>MBR-COM-X05 — Subscription Transition Integrity</w:t>
      </w:r>
    </w:p>
    <w:p>
      <w:r>
        <w:t>Subscription transitions are explicit and must not silently recreate or reset historical grants.</w:t>
      </w:r>
    </w:p>
    <w:p>
      <w:r>
        <w:t>**Status:** PROPOSED.</w:t>
      </w:r>
    </w:p>
    <w:p>
      <w:pPr>
        <w:pStyle w:val="Heading2"/>
      </w:pPr>
      <w:r>
        <w:t>MBR-COM-X06 — Order / Payment / Fulfillment Boundary</w:t>
      </w:r>
    </w:p>
    <w:p>
      <w:r>
        <w:t>Confirmed payment is a governed input/result for commercial fulfillment, but payment confirmation alone is not authorization and does not directly mutate RBAC.</w:t>
      </w:r>
    </w:p>
    <w:p>
      <w:r>
        <w:t>**Status:** PROPOSED / CROSS-DOMAIN.</w:t>
      </w:r>
    </w:p>
    <w:p>
      <w:pPr>
        <w:pStyle w:val="Heading2"/>
      </w:pPr>
      <w:r>
        <w:t>MBR-COM-X07 — Refund / Chargeback State Effects</w:t>
      </w:r>
    </w:p>
    <w:p>
      <w:r>
        <w:t>Refund and chargeback preserve historical payment records. Their effects on subscription, entitlement and add-on validity must follow explicit commercial policy and remain auditable/reconcilable.</w:t>
      </w:r>
    </w:p>
    <w:p>
      <w:r>
        <w:t>**Status:** PROPOSED.</w:t>
      </w:r>
    </w:p>
    <w:p>
      <w:pPr>
        <w:pStyle w:val="Heading2"/>
      </w:pPr>
      <w:r>
        <w:t>MBR-COM-X08 — Commercial Provenance Minimum</w:t>
      </w:r>
    </w:p>
    <w:p>
      <w:r>
        <w:t>Commercial history must preserve, at minimum, product/plan, price, promotion, promotion validity, transaction/reference, provider, payment status, fulfillment result, entitlement source and subscription transition.</w:t>
      </w:r>
    </w:p>
    <w:p>
      <w:r>
        <w:t>**Status:** PROPOSED.</w:t>
      </w:r>
    </w:p>
    <w:p>
      <w:pPr>
        <w:pStyle w:val="Heading2"/>
      </w:pPr>
      <w:r>
        <w:t>MBR-COM-X09 — Commercial Configuration Governance</w:t>
      </w:r>
    </w:p>
    <w:p>
      <w:r>
        <w:t>Commercial configuration changes must not rewrite historical purchases. Ordinary commercial policy changes should be representable through governed configuration rather than rewriting core historical business logic.</w:t>
      </w:r>
    </w:p>
    <w:p>
      <w:r>
        <w:t>**Status:** PROPOSED.</w:t>
      </w:r>
    </w:p>
    <w:p>
      <w:r>
        <w:t>The exact final IDs may be normalized during the lock gate; these proposed IDs must not be treated as downstream API/database identifiers.</w:t>
      </w:r>
    </w:p>
    <w:p>
      <w:r>
        <w:t>---</w:t>
      </w:r>
    </w:p>
    <w:p>
      <w:pPr>
        <w:pStyle w:val="Title"/>
      </w:pPr>
      <w:r>
        <w:t>6. Cross-Domain Conflict Check</w:t>
      </w:r>
    </w:p>
    <w:p>
      <w:pPr>
        <w:pStyle w:val="Heading1"/>
      </w:pPr>
      <w:r>
        <w:t>6.1 Learning Economy — PASS</w:t>
      </w:r>
    </w:p>
    <w:p>
      <w:r>
        <w:t>Commercial owns payment outcome. Learning consumes governed confirmed purchase results.</w:t>
      </w:r>
    </w:p>
    <w:p>
      <w:r>
        <w:t>Purchased Learning Points require confirmed payment; point grants are controlled and idempotent; failed payment cannot grant purchased points.</w:t>
      </w:r>
    </w:p>
    <w:p>
      <w:r>
        <w:t>Payment cannot replace required assessment or the genuine free-learning path.</w:t>
      </w:r>
    </w:p>
    <w:p>
      <w:r>
        <w:t>**Disposition:** No conflict.</w:t>
      </w:r>
    </w:p>
    <w:p>
      <w:pPr>
        <w:pStyle w:val="Heading1"/>
      </w:pPr>
      <w:r>
        <w:t>6.2 Learning Session — PASS</w:t>
      </w:r>
    </w:p>
    <w:p>
      <w:r>
        <w:t>Learning Session does not own Payment Gateway logic. Paid live sessions cannot silently replace a required free Learning Path.</w:t>
      </w:r>
    </w:p>
    <w:p>
      <w:r>
        <w:t>**Disposition:** No conflict.</w:t>
      </w:r>
    </w:p>
    <w:p>
      <w:pPr>
        <w:pStyle w:val="Heading1"/>
      </w:pPr>
      <w:r>
        <w:t>6.3 Title — PASS</w:t>
      </w:r>
    </w:p>
    <w:p>
      <w:r>
        <w:t>Commercial entitlement/purchase does not directly create or mutate a Title Award. Title qualification and Awarding Path remain the Title authority.</w:t>
      </w:r>
    </w:p>
    <w:p>
      <w:r>
        <w:t>**Disposition:** No conflict.</w:t>
      </w:r>
    </w:p>
    <w:p>
      <w:pPr>
        <w:pStyle w:val="Heading1"/>
      </w:pPr>
      <w:r>
        <w:t>6.4 RBAC — PASS</w:t>
      </w:r>
    </w:p>
    <w:p>
      <w:r>
        <w:t>Commercial entitlement is not authorization. Commercial administration permissions remain subject to the authorization/RBAC governance and Gate-2.</w:t>
      </w:r>
    </w:p>
    <w:p>
      <w:r>
        <w:t>**Disposition:** No conflict.</w:t>
      </w:r>
    </w:p>
    <w:p>
      <w:pPr>
        <w:pStyle w:val="Heading1"/>
      </w:pPr>
      <w:r>
        <w:t>6.5 Agency / Organization — CONDITIONAL</w:t>
      </w:r>
    </w:p>
    <w:p>
      <w:r>
        <w:t>Commercial quota allocation and Title scope/context intersect with the unresolved Agency vs Organization identity and Commercial Entitlement vs Organization quota questions.</w:t>
      </w:r>
    </w:p>
    <w:p>
      <w:r>
        <w:t>CAIA defines these as Gate-1 decisions that must be resolved before ERD.</w:t>
      </w:r>
    </w:p>
    <w:p>
      <w:r>
        <w:t>**Disposition:** Keep affected rules PROPOSED / GATE-1 DEPENDENT. Do not invent schema or API semantics.</w:t>
      </w:r>
    </w:p>
    <w:p>
      <w:r>
        <w:t>---</w:t>
      </w:r>
    </w:p>
    <w:p>
      <w:pPr>
        <w:pStyle w:val="Title"/>
      </w:pPr>
      <w:r>
        <w:t>7. Global Invariants Confirmed</w:t>
      </w:r>
    </w:p>
    <w:p>
      <w:r>
        <w:t>The following remain binding across domains:</w:t>
      </w:r>
    </w:p>
    <w:p>
      <w:r>
        <w:t>1. Every authoritative business state has an owning domain.</w:t>
      </w:r>
    </w:p>
    <w:p>
      <w:r>
        <w:t>2. Ownership, membership, current context and authorization remain separate.</w:t>
      </w:r>
    </w:p>
    <w:p>
      <w:r>
        <w:t>3. Subscription, Entitlement and RBAC remain separate.</w:t>
      </w:r>
    </w:p>
    <w:p>
      <w:r>
        <w:t>4. External providers are infrastructure, not business authority.</w:t>
      </w:r>
    </w:p>
    <w:p>
      <w:r>
        <w:t>5. Cross-domain direct mutation is prohibited; controlled contracts/workflows/events are required.</w:t>
      </w:r>
    </w:p>
    <w:p>
      <w:r>
        <w:t>6. Historical business outcomes remain explainable and auditable.</w:t>
      </w:r>
    </w:p>
    <w:p>
      <w:r>
        <w:t>7. Configuration changes do not rewrite history.</w:t>
      </w:r>
    </w:p>
    <w:p>
      <w:r>
        <w:t>8. Retriable business operations are idempotent.</w:t>
      </w:r>
    </w:p>
    <w:p>
      <w:r>
        <w:t>9. Security is server-enforced.</w:t>
      </w:r>
    </w:p>
    <w:p>
      <w:r>
        <w:t>10. Provider-specific implementation stays behind adapters.</w:t>
      </w:r>
    </w:p>
    <w:p>
      <w:r>
        <w:t>11. Qualification, lifecycle, ownership and presentation remain separate concerns.</w:t>
      </w:r>
    </w:p>
    <w:p>
      <w:r>
        <w:t>These are consistent with the Master AEP.</w:t>
      </w:r>
    </w:p>
    <w:p>
      <w:r>
        <w:t>---</w:t>
      </w:r>
    </w:p>
    <w:p>
      <w:pPr>
        <w:pStyle w:val="Title"/>
      </w:pPr>
      <w:r>
        <w:t>8. No-Silent-Loss Traceability Gate</w:t>
      </w:r>
    </w:p>
    <w:p>
      <w:pPr>
        <w:pStyle w:val="Heading1"/>
      </w:pPr>
      <w:r>
        <w:t>Legacy Master</w:t>
      </w:r>
    </w:p>
    <w:p>
      <w:r>
        <w:t>BR-001–BR-151 → LOCKED / preserved.</w:t>
      </w:r>
    </w:p>
    <w:p>
      <w:pPr>
        <w:pStyle w:val="Heading1"/>
      </w:pPr>
      <w:r>
        <w:t>Learning Session</w:t>
      </w:r>
    </w:p>
    <w:p>
      <w:r>
        <w:t>LS-001–LS-080 → explicit Master BR, derived cross-domain rule, ADR/technical, or pending classification.</w:t>
      </w:r>
    </w:p>
    <w:p>
      <w:pPr>
        <w:pStyle w:val="Heading1"/>
      </w:pPr>
      <w:r>
        <w:t>Title</w:t>
      </w:r>
    </w:p>
    <w:p>
      <w:r>
        <w:t>Title 001–100 → authoritative source retained; every rule has explicit/derived/ADR/technical/pending disposition; material gaps grouped into 10 proposed Master BR amendments.</w:t>
      </w:r>
    </w:p>
    <w:p>
      <w:pPr>
        <w:pStyle w:val="Heading1"/>
      </w:pPr>
      <w:r>
        <w:t>Commercial</w:t>
      </w:r>
    </w:p>
    <w:p>
      <w:r>
        <w:t>Commercial AEP → existing MBR-COM-001–013 + 9 material amendments + ADR-MON-001–009 + Gate-1/Gate-2 dependencies.</w:t>
      </w:r>
    </w:p>
    <w:p>
      <w:pPr>
        <w:pStyle w:val="Heading1"/>
      </w:pPr>
      <w:r>
        <w:t>Learning Economy</w:t>
      </w:r>
    </w:p>
    <w:p>
      <w:r>
        <w:t>Learning Economy rules remain authoritative and are not duplicated by Commercial or Learning Session.</w:t>
      </w:r>
    </w:p>
    <w:p>
      <w:pPr>
        <w:pStyle w:val="Heading1"/>
      </w:pPr>
      <w:r>
        <w:t>Cross-domain</w:t>
      </w:r>
    </w:p>
    <w:p>
      <w:r>
        <w:t>Cross-domain invariants are retained rather than duplicated into every domain.</w:t>
      </w:r>
    </w:p>
    <w:p>
      <w:r>
        <w:t>Result: PASS — no known normative source rule is silently dropped.</w:t>
      </w:r>
    </w:p>
    <w:p>
      <w:r>
        <w:t>---</w:t>
      </w:r>
    </w:p>
    <w:p>
      <w:pPr>
        <w:pStyle w:val="Title"/>
      </w:pPr>
      <w:r>
        <w:t>9. ADR Boundary</w:t>
      </w:r>
    </w:p>
    <w:p>
      <w:r>
        <w:t>This consolidation does not decide the following architecture questions:</w:t>
      </w:r>
    </w:p>
    <w:p>
      <w:pPr>
        <w:pStyle w:val="ListBullet"/>
      </w:pPr>
      <w:r>
        <w:t>Agency vs Organization canonical identity.</w:t>
      </w:r>
    </w:p>
    <w:p>
      <w:pPr>
        <w:pStyle w:val="ListBullet"/>
      </w:pPr>
      <w:r>
        <w:t>Learning Activity vs Course.</w:t>
      </w:r>
    </w:p>
    <w:p>
      <w:pPr>
        <w:pStyle w:val="ListBullet"/>
      </w:pPr>
      <w:r>
        <w:t>Certificate/Credential vs Title boundary.</w:t>
      </w:r>
    </w:p>
    <w:p>
      <w:pPr>
        <w:pStyle w:val="ListBullet"/>
      </w:pPr>
      <w:r>
        <w:t>Calendar Event vs Learning Session.</w:t>
      </w:r>
    </w:p>
    <w:p>
      <w:pPr>
        <w:pStyle w:val="ListBullet"/>
      </w:pPr>
      <w:r>
        <w:t>Commercial Entitlement vs Organization quota.</w:t>
      </w:r>
    </w:p>
    <w:p>
      <w:pPr>
        <w:pStyle w:val="ListBullet"/>
      </w:pPr>
      <w:r>
        <w:t>Payment as Commercial subdomain vs separate logical module.</w:t>
      </w:r>
    </w:p>
    <w:p>
      <w:pPr>
        <w:pStyle w:val="ListBullet"/>
      </w:pPr>
      <w:r>
        <w:t>Subscription vs Entitlement vs RBAC architecture.</w:t>
      </w:r>
    </w:p>
    <w:p>
      <w:pPr>
        <w:pStyle w:val="ListBullet"/>
      </w:pPr>
      <w:r>
        <w:t>Provider adapter architecture.</w:t>
      </w:r>
    </w:p>
    <w:p>
      <w:pPr>
        <w:pStyle w:val="ListBullet"/>
      </w:pPr>
      <w:r>
        <w:t>Payment verification/idempotent fulfillment architecture.</w:t>
      </w:r>
    </w:p>
    <w:p>
      <w:pPr>
        <w:pStyle w:val="ListBullet"/>
      </w:pPr>
      <w:r>
        <w:t>Reconciliation architecture.</w:t>
      </w:r>
    </w:p>
    <w:p>
      <w:pPr>
        <w:pStyle w:val="ListBullet"/>
      </w:pPr>
      <w:r>
        <w:t>Historical provenance/configuration snapshot strategy.</w:t>
      </w:r>
    </w:p>
    <w:p>
      <w:pPr>
        <w:pStyle w:val="ListBullet"/>
      </w:pPr>
      <w:r>
        <w:t>Cross-domain event contract strategy.</w:t>
      </w:r>
    </w:p>
    <w:p>
      <w:r>
        <w:t>These remain ADR/Gate decisions.</w:t>
      </w:r>
    </w:p>
    <w:p>
      <w:r>
        <w:t>---</w:t>
      </w:r>
    </w:p>
    <w:p>
      <w:pPr>
        <w:pStyle w:val="Title"/>
      </w:pPr>
      <w:r>
        <w:t>10. Master BR Traceability Gate Decision</w:t>
      </w:r>
    </w:p>
    <w:p>
      <w:r>
        <w:t>STATUS: PASS WITH CONDITIONS — READY FOR FINAL LOCK REVIEW</w:t>
      </w:r>
    </w:p>
    <w:p>
      <w:r>
        <w:t>Conditions before the document can become LOCKED:</w:t>
      </w:r>
    </w:p>
    <w:p>
      <w:r>
        <w:t>1. Resolve Gate-1 Agency vs Organization identity.</w:t>
      </w:r>
    </w:p>
    <w:p>
      <w:r>
        <w:t>2. Resolve Commercial Entitlement vs Organization quota boundary.</w:t>
      </w:r>
    </w:p>
    <w:p>
      <w:r>
        <w:t>3. Confirm whether Payment is a Commercial subdomain or separate logical module.</w:t>
      </w:r>
    </w:p>
    <w:p>
      <w:r>
        <w:t>4. Freeze the final numbering of the proposed Title and Commercial amendments.</w:t>
      </w:r>
    </w:p>
    <w:p>
      <w:r>
        <w:t>5. Perform a final duplicate/conflict scan after Gate-1 decisions.</w:t>
      </w:r>
    </w:p>
    <w:p>
      <w:r>
        <w:t>6. Update the Master AEP and affected domain AEPs/ADRs after the decisions.</w:t>
      </w:r>
    </w:p>
    <w:p>
      <w:r>
        <w:t>7. Only then change this document from GOVERNANCE GATE to LOCKED.</w:t>
      </w:r>
    </w:p>
    <w:p>
      <w:r>
        <w:t>No ERD/API/RBAC/PRD implementation should use unresolved Gate-1 semantics as if they were final.</w:t>
      </w:r>
    </w:p>
    <w:p>
      <w:r>
        <w:t>---</w:t>
      </w:r>
    </w:p>
    <w:p>
      <w:pPr>
        <w:pStyle w:val="Title"/>
      </w:pPr>
      <w:r>
        <w:t>11. Final Leadership Decision</w:t>
      </w:r>
    </w:p>
    <w:p>
      <w:r>
        <w:t>The Master Business Rules architecture is now **substantially consolidated**.</w:t>
      </w:r>
    </w:p>
    <w:p>
      <w:r>
        <w:t>The project has reached the correct pre-ADR position:</w:t>
      </w:r>
    </w:p>
    <w:p>
      <w:r>
        <w:t>Business Rules are sufficiently reconciled to enter the final lock gate, but the Master BR should NOT yet be declared fully LOCKED because Gate-1 remains unresolved.</w:t>
      </w:r>
    </w:p>
    <w:p>
      <w:r>
        <w:t>The next governance artifact is therefore:</w:t>
      </w:r>
    </w:p>
    <w:p>
      <w:r>
        <w:t>MASTER BR FINAL TRACEABILITY GATE / LOCK REVIEW</w:t>
      </w:r>
    </w:p>
    <w:p>
      <w:r>
        <w:t>After that:</w:t>
      </w:r>
    </w:p>
    <w:p>
      <w:r>
        <w:t>MASTER ADR REGISTER → Gate-1 ADR prioritization → System Architecture → Domain Model → ERD → API/RBAC → PRD → downstream specifications.</w:t>
      </w:r>
    </w:p>
    <w:p>
      <w:r>
        <w:t>Implementation remains unauthorized until the required gates are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