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RUMAHAGEN</w:t>
        <w:br/>
        <w:t>MADCR-053 FORMAL DECISION &amp; CLOSURE</w:t>
      </w:r>
    </w:p>
    <w:p>
      <w:pPr>
        <w:jc w:val="center"/>
      </w:pPr>
      <w:r>
        <w:rPr>
          <w:b/>
        </w:rPr>
        <w:t>Version 1.0 | 16 August 2026 | User Approved</w:t>
      </w:r>
    </w:p>
    <w:p>
      <w:pPr>
        <w:pStyle w:val="Heading1"/>
      </w:pPr>
      <w:r>
        <w:t>1. Governing Decision</w:t>
      </w:r>
    </w:p>
    <w:p>
      <w:r>
        <w:rPr>
          <w:b/>
        </w:rPr>
        <w:t>MADCR-053 = APPROVED / GOVERNING</w:t>
      </w:r>
    </w:p>
    <w:p>
      <w:r>
        <w:t>User approved the proposed semantic foundation: Capability + Permission + Scope, with Role as actor grouping; Commercial Entitlement and Qualification/Awarding Authority remain separate.</w:t>
      </w:r>
    </w:p>
    <w:p>
      <w:pPr>
        <w:pStyle w:val="Heading1"/>
      </w:pPr>
      <w:r>
        <w:t>2. Canonical Semantic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Concept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Canonical 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Boundary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Capability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Operation that an actor may perform.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 an entitlement or qualification.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Permission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Authorization grant for a capability.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 a commercial entitlement.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Resource/data boundary where permission applies.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 a role.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Actor grouping that can carry permissions/capabilities.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Does not automatically grant every domain capability.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Commercial Entitlement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Commercial access right.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Independent of RBAC.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Qualification / Awarding Authority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Qualification/award authority or outcome.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Independent of RBAC.</w:t>
            </w:r>
          </w:p>
        </w:tc>
      </w:tr>
    </w:tbl>
    <w:p>
      <w:pPr>
        <w:pStyle w:val="Heading1"/>
      </w:pPr>
      <w:r>
        <w:t>3. Governing Authorization Boundary</w:t>
      </w:r>
    </w:p>
    <w:p>
      <w:pPr>
        <w:pStyle w:val="ListBullet"/>
      </w:pPr>
      <w:r>
        <w:t>RBAC is the authorization layer; RLS remains a separate data/scope layer.</w:t>
      </w:r>
    </w:p>
    <w:p>
      <w:pPr>
        <w:pStyle w:val="ListBullet"/>
      </w:pPr>
      <w:r>
        <w:t>Authentication → eligibility/context → authorization → provider access.</w:t>
      </w:r>
    </w:p>
    <w:p>
      <w:pPr>
        <w:pStyle w:val="ListBullet"/>
      </w:pPr>
      <w:r>
        <w:t>Instructor does not automatically imply Host authority.</w:t>
      </w:r>
    </w:p>
    <w:p>
      <w:pPr>
        <w:pStyle w:val="ListBullet"/>
      </w:pPr>
      <w:r>
        <w:t>Permission IDs remain downstream implementation details and are not created by MADCR-053.</w:t>
      </w:r>
    </w:p>
    <w:p>
      <w:pPr>
        <w:pStyle w:val="ListBullet"/>
      </w:pPr>
      <w:r>
        <w:t>Existing M01–M13 permission IDs are not renamed or repurposed by this decision.</w:t>
      </w:r>
    </w:p>
    <w:p>
      <w:pPr>
        <w:pStyle w:val="Heading1"/>
      </w:pPr>
      <w:r>
        <w:t>4. Semantic Scope Vocabulary</w:t>
      </w:r>
    </w:p>
    <w:p>
      <w:pPr>
        <w:pStyle w:val="ListBullet"/>
      </w:pPr>
      <w:r>
        <w:t>Own/resource scope.</w:t>
      </w:r>
    </w:p>
    <w:p>
      <w:pPr>
        <w:pStyle w:val="ListBullet"/>
      </w:pPr>
      <w:r>
        <w:t>Organization/tenant scope.</w:t>
      </w:r>
    </w:p>
    <w:p>
      <w:pPr>
        <w:pStyle w:val="ListBullet"/>
      </w:pPr>
      <w:r>
        <w:t>Specific-resource scope.</w:t>
      </w:r>
    </w:p>
    <w:p>
      <w:pPr>
        <w:pStyle w:val="ListBullet"/>
      </w:pPr>
      <w:r>
        <w:t>Privileged/system scope.</w:t>
      </w:r>
    </w:p>
    <w:p>
      <w:pPr>
        <w:pStyle w:val="ListBullet"/>
      </w:pPr>
      <w:r>
        <w:t>Explicit cross-domain scope where governed.</w:t>
      </w:r>
    </w:p>
    <w:p>
      <w:r>
        <w:t>These are semantic scope dimensions. Physical cardinality and RLS SQL remain downstream decisions.</w:t>
      </w:r>
    </w:p>
    <w:p>
      <w:pPr>
        <w:pStyle w:val="Heading1"/>
      </w:pPr>
      <w:r>
        <w:t>5. Effect on MADCR-054</w:t>
      </w:r>
    </w:p>
    <w:p>
      <w:r>
        <w:t>MADCR-053 now provides the canonical foundation required by MADCR-054. MADCR-054 may now be analyzed and decided without reopening MADCR-053. Host and Instructor remain distinct capabilities until an explicit MADCR-054 decision.</w:t>
      </w:r>
    </w:p>
    <w:p>
      <w:pPr>
        <w:pStyle w:val="Heading1"/>
      </w:pPr>
      <w:r>
        <w:t>6. Non-Decisions</w:t>
      </w:r>
    </w:p>
    <w:p>
      <w:pPr>
        <w:pStyle w:val="ListBullet"/>
      </w:pPr>
      <w:r>
        <w:t>Exact permission IDs.</w:t>
      </w:r>
    </w:p>
    <w:p>
      <w:pPr>
        <w:pStyle w:val="ListBullet"/>
      </w:pPr>
      <w:r>
        <w:t>RBAC table/cardinality.</w:t>
      </w:r>
    </w:p>
    <w:p>
      <w:pPr>
        <w:pStyle w:val="ListBullet"/>
      </w:pPr>
      <w:r>
        <w:t>RLS SQL/policy implementation.</w:t>
      </w:r>
    </w:p>
    <w:p>
      <w:pPr>
        <w:pStyle w:val="ListBullet"/>
      </w:pPr>
      <w:r>
        <w:t>Final Host/Instructor role mapping.</w:t>
      </w:r>
    </w:p>
    <w:p>
      <w:pPr>
        <w:pStyle w:val="ListBullet"/>
      </w:pPr>
      <w:r>
        <w:t>Provider credential ownership.</w:t>
      </w:r>
    </w:p>
    <w:p>
      <w:pPr>
        <w:pStyle w:val="ListBullet"/>
      </w:pPr>
      <w:r>
        <w:t>Provider failover behavior.</w:t>
      </w:r>
    </w:p>
    <w:p>
      <w:pPr>
        <w:pStyle w:val="Heading1"/>
      </w:pPr>
      <w:r>
        <w:t>7. Status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Before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After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MADCR-053 OPEN / DECISION-READY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APPROVED / GOVERNING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 as canonical cross-domain authorization foundation.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MADCR-054 BLOCKED BY 053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READY FOR 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Proceed to Host/Instructor decision.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Final permission IDs OPEN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Resolve only at downstream technical design.</w:t>
            </w:r>
          </w:p>
        </w:tc>
      </w:tr>
    </w:tbl>
    <w:p>
      <w:pPr>
        <w:pStyle w:val="Heading1"/>
      </w:pPr>
      <w:r>
        <w:t>8. Gate</w:t>
      </w:r>
    </w:p>
    <w:p>
      <w:r>
        <w:rPr>
          <w:b/>
        </w:rPr>
        <w:t>MADCR-053 CLOSURE = PASS.</w:t>
      </w:r>
    </w:p>
    <w:p>
      <w:r>
        <w:t>The semantic governance decision is closed by explicit user approval. It does not authorize physical RBAC migration or production implementation.</w:t>
      </w:r>
    </w:p>
    <w:p>
      <w:pPr>
        <w:pStyle w:val="Heading1"/>
      </w:pPr>
      <w:r>
        <w:t>9. Next Step</w:t>
      </w:r>
    </w:p>
    <w:p>
      <w:r>
        <w:t>Proceed immediately to MADCR-054 — Learning Session Host / Instructor Authorization. The decision scope will be limited to the authority relationship between Host and Instructor, provider/session operations, organization/resource scope, and auditability. No permission IDs will be invented.</w:t>
      </w:r>
    </w:p>
    <w:p>
      <w:pPr>
        <w:pStyle w:val="Heading1"/>
      </w:pPr>
      <w:r>
        <w:t>10. Continuity</w:t>
      </w:r>
    </w:p>
    <w:p>
      <w:r>
        <w:t>All downstream artifacts must use MADCR-053 as governing semantic taxonomy unless explicitly superseded by a later governing decision.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