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RUMAHAGEN</w:t>
        <w:br/>
        <w:t>MADCR-054 FORMAL DECISION &amp; CLOSURE</w:t>
      </w:r>
    </w:p>
    <w:p>
      <w:pPr>
        <w:jc w:val="center"/>
      </w:pPr>
      <w:r>
        <w:rPr>
          <w:b/>
        </w:rPr>
        <w:t>Version 1.0 | 16 August 2026 | User Approved</w:t>
      </w:r>
    </w:p>
    <w:p>
      <w:pPr>
        <w:pStyle w:val="Heading1"/>
      </w:pPr>
      <w:r>
        <w:t>1. Governing Decision</w:t>
      </w:r>
    </w:p>
    <w:p>
      <w:r>
        <w:rPr>
          <w:b/>
        </w:rPr>
        <w:t>MADCR-054 = APPROVED / GOVERNING</w:t>
      </w:r>
    </w:p>
    <w:p>
      <w:r>
        <w:t>User approved Option A: Host and Instructor are separate authorization capabilities. Instructor does not automatically receive Host authority. One actor may possess both capabilities only through explicit authorization.</w:t>
      </w:r>
    </w:p>
    <w:p>
      <w:pPr>
        <w:pStyle w:val="Heading1"/>
      </w:pPr>
      <w:r>
        <w:t>2. Canonical Authority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Canonical Authority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Boundary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Teaching/instructor function for an authorized Session/resource scope.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Does not imply Host/provider-operation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Host/live-session and explicitly governed provider/session operations within authorized scope.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Does not automatically imply Instructor capability.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 binding/switch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Privileged capability, explicitly authorized.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 inherited merely from Instructor.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Explicit session lifecycle/manage capability under MADCR-053 taxonomy.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Scope/organization rules still apply.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Attendance/recording/visibility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Explicit capabilities where granted.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automatic inheritance from Instructor.</w:t>
            </w:r>
          </w:p>
        </w:tc>
      </w:tr>
    </w:tbl>
    <w:p>
      <w:pPr>
        <w:pStyle w:val="Heading1"/>
      </w:pPr>
      <w:r>
        <w:t>3. Governing Boundaries</w:t>
      </w:r>
    </w:p>
    <w:p>
      <w:pPr>
        <w:pStyle w:val="ListBullet"/>
      </w:pPr>
      <w:r>
        <w:t>Host ≠ Instructor.</w:t>
      </w:r>
    </w:p>
    <w:p>
      <w:pPr>
        <w:pStyle w:val="ListBullet"/>
      </w:pPr>
      <w:r>
        <w:t>Instructor ≠ Host.</w:t>
      </w:r>
    </w:p>
    <w:p>
      <w:pPr>
        <w:pStyle w:val="ListBullet"/>
      </w:pPr>
      <w:r>
        <w:t>An actor may hold both, but only through explicit authorization.</w:t>
      </w:r>
    </w:p>
    <w:p>
      <w:pPr>
        <w:pStyle w:val="ListBullet"/>
      </w:pPr>
      <w:r>
        <w:t>RBAC remains the authorization layer; scope/RLS remains separate.</w:t>
      </w:r>
    </w:p>
    <w:p>
      <w:pPr>
        <w:pStyle w:val="ListBullet"/>
      </w:pPr>
      <w:r>
        <w:t>Authentication → eligibility/context → authorization → provider access.</w:t>
      </w:r>
    </w:p>
    <w:p>
      <w:pPr>
        <w:pStyle w:val="ListBullet"/>
      </w:pPr>
      <w:r>
        <w:t>Provider credentials/tokens remain infrastructure/adapter controlled.</w:t>
      </w:r>
    </w:p>
    <w:p>
      <w:pPr>
        <w:pStyle w:val="ListBullet"/>
      </w:pPr>
      <w:r>
        <w:t>Provider Session ID is not the semantic Learning Session identity.</w:t>
      </w:r>
    </w:p>
    <w:p>
      <w:pPr>
        <w:pStyle w:val="ListBullet"/>
      </w:pPr>
      <w:r>
        <w:t>Provider binding/switching is privileged and auditable.</w:t>
      </w:r>
    </w:p>
    <w:p>
      <w:pPr>
        <w:pStyle w:val="ListBullet"/>
      </w:pPr>
      <w:r>
        <w:t>Historical attendance/evidence remains immutable by default; corrections require governed/audited paths.</w:t>
      </w:r>
    </w:p>
    <w:p>
      <w:pPr>
        <w:pStyle w:val="ListBullet"/>
      </w:pPr>
      <w:r>
        <w:t>Completion authority does not imply Awarding authority.</w:t>
      </w:r>
    </w:p>
    <w:p>
      <w:pPr>
        <w:pStyle w:val="Heading1"/>
      </w:pPr>
      <w:r>
        <w:t>4. Scope / Organization</w:t>
      </w:r>
    </w:p>
    <w:p>
      <w:pPr>
        <w:pStyle w:val="ListBullet"/>
      </w:pPr>
      <w:r>
        <w:t>Authorization is evaluated with the applicable own/resource, organization/tenant, specific-resource, privileged/system, or explicit cross-domain scope.</w:t>
      </w:r>
    </w:p>
    <w:p>
      <w:pPr>
        <w:pStyle w:val="ListBullet"/>
      </w:pPr>
      <w:r>
        <w:t>Client-supplied organization/resource scope is not authorization proof.</w:t>
      </w:r>
    </w:p>
    <w:p>
      <w:pPr>
        <w:pStyle w:val="ListBullet"/>
      </w:pPr>
      <w:r>
        <w:t>Host authority does not automatically become organization-wide authority.</w:t>
      </w:r>
    </w:p>
    <w:p>
      <w:pPr>
        <w:pStyle w:val="ListBullet"/>
      </w:pPr>
      <w:r>
        <w:t>Instructor authority is bounded to the Session/resource scope explicitly granted.</w:t>
      </w:r>
    </w:p>
    <w:p>
      <w:pPr>
        <w:pStyle w:val="ListBullet"/>
      </w:pPr>
      <w:r>
        <w:t>RLS remains a second enforcement layer.</w:t>
      </w:r>
    </w:p>
    <w:p>
      <w:pPr>
        <w:pStyle w:val="Heading1"/>
      </w:pPr>
      <w:r>
        <w:t>5. Provider Boundary</w:t>
      </w:r>
    </w:p>
    <w:p>
      <w:pPr>
        <w:pStyle w:val="ListBullet"/>
      </w:pPr>
      <w:r>
        <w:t>Provider access occurs only after authorization.</w:t>
      </w:r>
    </w:p>
    <w:p>
      <w:pPr>
        <w:pStyle w:val="ListBullet"/>
      </w:pPr>
      <w:r>
        <w:t>Provider-specific logic remains behind the Provider Adapter boundary.</w:t>
      </w:r>
    </w:p>
    <w:p>
      <w:pPr>
        <w:pStyle w:val="ListBullet"/>
      </w:pPr>
      <w:r>
        <w:t>Provider credentials are not exposed through ordinary user authorization.</w:t>
      </w:r>
    </w:p>
    <w:p>
      <w:pPr>
        <w:pStyle w:val="ListBullet"/>
      </w:pPr>
      <w:r>
        <w:t>Provider events remain external evidence and require validation, normalization, correlation and idempotency before affecting domain state.</w:t>
      </w:r>
    </w:p>
    <w:p>
      <w:pPr>
        <w:pStyle w:val="ListBullet"/>
      </w:pPr>
      <w:r>
        <w:t>Automatic provider failover remains independent and deferred under AEP4-OD-08.</w:t>
      </w:r>
    </w:p>
    <w:p>
      <w:pPr>
        <w:pStyle w:val="Heading1"/>
      </w:pPr>
      <w:r>
        <w:t>6. Non-Decisions</w:t>
      </w:r>
    </w:p>
    <w:p>
      <w:pPr>
        <w:pStyle w:val="ListBullet"/>
      </w:pPr>
      <w:r>
        <w:t>Exact permission IDs.</w:t>
      </w:r>
    </w:p>
    <w:p>
      <w:pPr>
        <w:pStyle w:val="ListBullet"/>
      </w:pPr>
      <w:r>
        <w:t>Physical RBAC schema/cardinality.</w:t>
      </w:r>
    </w:p>
    <w:p>
      <w:pPr>
        <w:pStyle w:val="ListBullet"/>
      </w:pPr>
      <w:r>
        <w:t>RLS SQL.</w:t>
      </w:r>
    </w:p>
    <w:p>
      <w:pPr>
        <w:pStyle w:val="ListBullet"/>
      </w:pPr>
      <w:r>
        <w:t>Provider-specific OAuth scopes.</w:t>
      </w:r>
    </w:p>
    <w:p>
      <w:pPr>
        <w:pStyle w:val="ListBullet"/>
      </w:pPr>
      <w:r>
        <w:t>Provider selection/capability verification.</w:t>
      </w:r>
    </w:p>
    <w:p>
      <w:pPr>
        <w:pStyle w:val="ListBullet"/>
      </w:pPr>
      <w:r>
        <w:t>Automatic provider failover.</w:t>
      </w:r>
    </w:p>
    <w:p>
      <w:pPr>
        <w:pStyle w:val="ListBullet"/>
      </w:pPr>
      <w:r>
        <w:t>Detailed attendance override rules.</w:t>
      </w:r>
    </w:p>
    <w:p>
      <w:pPr>
        <w:pStyle w:val="ListBullet"/>
      </w:pPr>
      <w:r>
        <w:t>Detailed completion finalization policy.</w:t>
      </w:r>
    </w:p>
    <w:p>
      <w:pPr>
        <w:pStyle w:val="Heading1"/>
      </w:pPr>
      <w:r>
        <w:t>7. Residual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Treatment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MADCR-054 OPEN / BLOCKED BY 053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APPROVED / GOVERNING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 as canonical Host/Instructor authority boundary.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Instructor → Host inheritance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 allowed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Explicit authorization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Host/Instructor permission IDs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Resolve at downstream technical RBAC reconciliation.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 failover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OPEN / DEFERRED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Remains governed by AEP4-OD-08.</w:t>
            </w:r>
          </w:p>
        </w:tc>
      </w:tr>
    </w:tbl>
    <w:p>
      <w:pPr>
        <w:pStyle w:val="Heading1"/>
      </w:pPr>
      <w:r>
        <w:t>8. Gate</w:t>
      </w:r>
    </w:p>
    <w:p>
      <w:r>
        <w:rPr>
          <w:b/>
        </w:rPr>
        <w:t>MADCR-054 CLOSURE = PASS.</w:t>
      </w:r>
    </w:p>
    <w:p>
      <w:r>
        <w:t>The Host/Instructor semantic governance question is closed by explicit user approval. This does not authorize physical RBAC migration or production provider activation.</w:t>
      </w:r>
    </w:p>
    <w:p>
      <w:pPr>
        <w:pStyle w:val="Heading1"/>
      </w:pPr>
      <w:r>
        <w:t>9. Next Residual Closure</w:t>
      </w:r>
    </w:p>
    <w:p>
      <w:r>
        <w:t>Dengan MADCR-053 dan MADCR-054 sekarang governing, saya akan melanjutkan ke residual yang independen dari keduanya. Prioritas berikutnya adalah provider capability verification (MADCR-026/027/028) karena berpengaruh langsung terhadap production readiness untuk Learning Session, kemudian AEP3 OD-02…05 physical-readiness assessment.</w:t>
      </w:r>
    </w:p>
    <w:p>
      <w:pPr>
        <w:pStyle w:val="Heading1"/>
      </w:pPr>
      <w:r>
        <w:t>10. Continuity Statement</w:t>
      </w:r>
    </w:p>
    <w:p>
      <w:r>
        <w:t>Downstream artifacts wajib menggunakan MADCR-054 sebagai governing Host/Instructor boundary. Tidak boleh ada desain atau implementation yang mengasumsikan Instructor otomatis Host tanpa explicit authorization.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