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PROJECT KNOWLEDGE REFRESH</w:t>
      </w:r>
    </w:p>
    <w:p>
      <w:pPr>
        <w:jc w:val="center"/>
      </w:pPr>
      <w:r>
        <w:rPr>
          <w:i/>
        </w:rPr>
        <w:t>Current State Reconciliation v1.0</w:t>
      </w:r>
    </w:p>
    <w:p>
      <w:r>
        <w:t>Review date: 16 August 2026 | Scope: current conversation + uploaded project corpus, including nested ZIP content.</w:t>
      </w:r>
    </w:p>
    <w:p>
      <w:pPr>
        <w:pStyle w:val="Heading1"/>
      </w:pPr>
      <w:r>
        <w:t>1. Refresh Result</w:t>
      </w:r>
    </w:p>
    <w:p>
      <w:r>
        <w:t>The project corpus was re-inspected at archive/file-content level. The available refresh corpus contains 361 extracted text representations across the uploaded project packages, with the existing file-by-file inventory and nested package extraction used as the baseline. The review also rechecked the current technical artifacts TECH-01 through TECH-19 and the governing decision artifacts surfaced in File Search.</w:t>
      </w:r>
    </w:p>
    <w:p>
      <w:r>
        <w:t>The central rule for subsequent work is: newer formal/user-approved decisions and later downstream decision artifacts govern their explicit boundaries; older AEP snapshots remain historical evidence and must not be used to reopen or re-block already resolved decisions.</w:t>
      </w:r>
    </w:p>
    <w:p>
      <w:pPr>
        <w:pStyle w:val="Heading1"/>
      </w:pPr>
      <w:r>
        <w:t>2. Authority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Layer</w:t>
            </w:r>
          </w:p>
        </w:tc>
        <w:tc>
          <w:tcPr>
            <w:tcW w:type="dxa" w:w="5040"/>
            <w:shd w:fill="D9EAF7"/>
          </w:tcPr>
          <w:p>
            <w:r>
              <w:t>Authority / treatment</w:t>
            </w:r>
          </w:p>
        </w:tc>
      </w:tr>
      <w:tr>
        <w:tc>
          <w:tcPr>
            <w:tcW w:type="dxa" w:w="5040"/>
          </w:tcPr>
          <w:p>
            <w:r>
              <w:t>Business Rules</w:t>
            </w:r>
          </w:p>
        </w:tc>
        <w:tc>
          <w:tcPr>
            <w:tcW w:type="dxa" w:w="5040"/>
          </w:tcPr>
          <w:p>
            <w:r>
              <w:t>Normative business logic; technical artifacts may not contradict locked rules.</w:t>
            </w:r>
          </w:p>
        </w:tc>
      </w:tr>
      <w:tr>
        <w:tc>
          <w:tcPr>
            <w:tcW w:type="dxa" w:w="5040"/>
          </w:tcPr>
          <w:p>
            <w:r>
              <w:t>Formal MADCR / ADR approval</w:t>
            </w:r>
          </w:p>
        </w:tc>
        <w:tc>
          <w:tcPr>
            <w:tcW w:type="dxa" w:w="5040"/>
          </w:tcPr>
          <w:p>
            <w:r>
              <w:t>Governing architecture decision for its explicit boundary.</w:t>
            </w:r>
          </w:p>
        </w:tc>
      </w:tr>
      <w:tr>
        <w:tc>
          <w:tcPr>
            <w:tcW w:type="dxa" w:w="5040"/>
          </w:tcPr>
          <w:p>
            <w:r>
              <w:t>User-approved decision recorded in formal closure</w:t>
            </w:r>
          </w:p>
        </w:tc>
        <w:tc>
          <w:tcPr>
            <w:tcW w:type="dxa" w:w="5040"/>
          </w:tcPr>
          <w:p>
            <w:r>
              <w:t>Governing when formally captured; do not fall back to older OPEN wording.</w:t>
            </w:r>
          </w:p>
        </w:tc>
      </w:tr>
      <w:tr>
        <w:tc>
          <w:tcPr>
            <w:tcW w:type="dxa" w:w="5040"/>
          </w:tcPr>
          <w:p>
            <w:r>
              <w:t>MAEDR / ARB reconciliation</w:t>
            </w:r>
          </w:p>
        </w:tc>
        <w:tc>
          <w:tcPr>
            <w:tcW w:type="dxa" w:w="5040"/>
          </w:tcPr>
          <w:p>
            <w:r>
              <w:t>Approval/reconciliation state; does not silently change approved decisions.</w:t>
            </w:r>
          </w:p>
        </w:tc>
      </w:tr>
      <w:tr>
        <w:tc>
          <w:tcPr>
            <w:tcW w:type="dxa" w:w="5040"/>
          </w:tcPr>
          <w:p>
            <w:r>
              <w:t>AEP final / Cross-AEP packages</w:t>
            </w:r>
          </w:p>
        </w:tc>
        <w:tc>
          <w:tcPr>
            <w:tcW w:type="dxa" w:w="5040"/>
          </w:tcPr>
          <w:p>
            <w:r>
              <w:t>Semantic synchronization and impact authority within scope; historical snapshots remain audit evidence.</w:t>
            </w:r>
          </w:p>
        </w:tc>
      </w:tr>
      <w:tr>
        <w:tc>
          <w:tcPr>
            <w:tcW w:type="dxa" w:w="5040"/>
          </w:tcPr>
          <w:p>
            <w:r>
              <w:t>ERD/API/RBAC/Schema/TECH artifacts</w:t>
            </w:r>
          </w:p>
        </w:tc>
        <w:tc>
          <w:tcPr>
            <w:tcW w:type="dxa" w:w="5040"/>
          </w:tcPr>
          <w:p>
            <w:r>
              <w:t>Downstream technical realization; later physical decisions may close specific implementation questions.</w:t>
            </w:r>
          </w:p>
        </w:tc>
      </w:tr>
      <w:tr>
        <w:tc>
          <w:tcPr>
            <w:tcW w:type="dxa" w:w="5040"/>
          </w:tcPr>
          <w:p>
            <w:r>
              <w:t>Historical snapshots / stale drafts</w:t>
            </w:r>
          </w:p>
        </w:tc>
        <w:tc>
          <w:tcPr>
            <w:tcW w:type="dxa" w:w="5040"/>
          </w:tcPr>
          <w:p>
            <w:r>
              <w:t>Audit evidence only; never override later governing records.</w:t>
            </w:r>
          </w:p>
        </w:tc>
      </w:tr>
    </w:tbl>
    <w:p>
      <w:pPr>
        <w:pStyle w:val="Heading1"/>
      </w:pPr>
      <w:r>
        <w:t>3. Locked AEP Order and Synchronization Rule</w:t>
      </w:r>
    </w:p>
    <w:p>
      <w:r>
        <w:t>AEP execution order remains locked:</w:t>
      </w:r>
    </w:p>
    <w:p>
      <w:pPr>
        <w:pStyle w:val="ListNumber"/>
      </w:pPr>
      <w:r>
        <w:t>AEP #1 — Monetization / Commercial + Payment</w:t>
      </w:r>
    </w:p>
    <w:p>
      <w:pPr>
        <w:pStyle w:val="ListNumber"/>
      </w:pPr>
      <w:r>
        <w:t>AEP #2 — Learning Economy</w:t>
      </w:r>
    </w:p>
    <w:p>
      <w:pPr>
        <w:pStyle w:val="ListNumber"/>
      </w:pPr>
      <w:r>
        <w:t>AEP #3 — Title / Awarding Business Rules</w:t>
      </w:r>
    </w:p>
    <w:p>
      <w:pPr>
        <w:pStyle w:val="ListNumber"/>
      </w:pPr>
      <w:r>
        <w:t>AEP #4 — Learning Session</w:t>
      </w:r>
    </w:p>
    <w:p>
      <w:r>
        <w:t>Global project-wide technical/governance synchronization is a separate layer after AEP completion. Do not full-rewrite global baseline files per AEP. Contain active contradictions only when needed to prevent incorrect implementation.</w:t>
      </w:r>
    </w:p>
    <w:p>
      <w:pPr>
        <w:pStyle w:val="Heading1"/>
      </w:pPr>
      <w:r>
        <w:t>4. Current Governing Learning Session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Decision</w:t>
            </w:r>
          </w:p>
        </w:tc>
        <w:tc>
          <w:tcPr>
            <w:tcW w:type="dxa" w:w="5040"/>
            <w:shd w:fill="D9EAF7"/>
          </w:tcPr>
          <w:p>
            <w:r>
              <w:t>Current state</w:t>
            </w:r>
          </w:p>
        </w:tc>
      </w:tr>
      <w:tr>
        <w:tc>
          <w:tcPr>
            <w:tcW w:type="dxa" w:w="5040"/>
          </w:tcPr>
          <w:p>
            <w:r>
              <w:t>AEP4-OD-01</w:t>
            </w:r>
          </w:p>
        </w:tc>
        <w:tc>
          <w:tcPr>
            <w:tcW w:type="dxa" w:w="5040"/>
          </w:tcPr>
          <w:p>
            <w:r>
              <w:t>APPROVED — BROADCAST / INTERACTIVE / ON_DEMAND</w:t>
            </w:r>
          </w:p>
        </w:tc>
      </w:tr>
      <w:tr>
        <w:tc>
          <w:tcPr>
            <w:tcW w:type="dxa" w:w="5040"/>
          </w:tcPr>
          <w:p>
            <w:r>
              <w:t>AEP4-OD-02</w:t>
            </w:r>
          </w:p>
        </w:tc>
        <w:tc>
          <w:tcPr>
            <w:tcW w:type="dxa" w:w="5040"/>
          </w:tcPr>
          <w:p>
            <w:r>
              <w:t>APPROVED — Session lifecycle DRAFT → SCHEDULED → LIVE → ENDED; CANCELLED/FAILED exception/terminal states</w:t>
            </w:r>
          </w:p>
        </w:tc>
      </w:tr>
      <w:tr>
        <w:tc>
          <w:tcPr>
            <w:tcW w:type="dxa" w:w="5040"/>
          </w:tcPr>
          <w:p>
            <w:r>
              <w:t>AEP4-OD-03</w:t>
            </w:r>
          </w:p>
        </w:tc>
        <w:tc>
          <w:tcPr>
            <w:tcW w:type="dxa" w:w="5040"/>
          </w:tcPr>
          <w:p>
            <w:r>
              <w:t>APPROVED — provider participation is evidence; RUMAHAGEN owns attendance state</w:t>
            </w:r>
          </w:p>
        </w:tc>
      </w:tr>
      <w:tr>
        <w:tc>
          <w:tcPr>
            <w:tcW w:type="dxa" w:w="5040"/>
          </w:tcPr>
          <w:p>
            <w:r>
              <w:t>AEP4-OD-04</w:t>
            </w:r>
          </w:p>
        </w:tc>
        <w:tc>
          <w:tcPr>
            <w:tcW w:type="dxa" w:w="5040"/>
          </w:tcPr>
          <w:p>
            <w:r>
              <w:t>APPROVED — governed completion policy; provider events cannot directly establish completion</w:t>
            </w:r>
          </w:p>
        </w:tc>
      </w:tr>
      <w:tr>
        <w:tc>
          <w:tcPr>
            <w:tcW w:type="dxa" w:w="5040"/>
          </w:tcPr>
          <w:p>
            <w:r>
              <w:t>AEP4-OD-05</w:t>
            </w:r>
          </w:p>
        </w:tc>
        <w:tc>
          <w:tcPr>
            <w:tcW w:type="dxa" w:w="5040"/>
          </w:tcPr>
          <w:p>
            <w:r>
              <w:t>APPROVED — attendance parameters configurable; exact values downstream</w:t>
            </w:r>
          </w:p>
        </w:tc>
      </w:tr>
      <w:tr>
        <w:tc>
          <w:tcPr>
            <w:tcW w:type="dxa" w:w="5040"/>
          </w:tcPr>
          <w:p>
            <w:r>
              <w:t>AEP4-OD-06</w:t>
            </w:r>
          </w:p>
        </w:tc>
        <w:tc>
          <w:tcPr>
            <w:tcW w:type="dxa" w:w="5040"/>
          </w:tcPr>
          <w:p>
            <w:r>
              <w:t>APPROVED — qualifying session completion feeds Learning Activity; Learning Economy owns LP</w:t>
            </w:r>
          </w:p>
        </w:tc>
      </w:tr>
      <w:tr>
        <w:tc>
          <w:tcPr>
            <w:tcW w:type="dxa" w:w="5040"/>
          </w:tcPr>
          <w:p>
            <w:r>
              <w:t>AEP4-OD-07</w:t>
            </w:r>
          </w:p>
        </w:tc>
        <w:tc>
          <w:tcPr>
            <w:tcW w:type="dxa" w:w="5040"/>
          </w:tcPr>
          <w:p>
            <w:r>
              <w:t>APPROVED — provider switching preserves semantic Session identity/history</w:t>
            </w:r>
          </w:p>
        </w:tc>
      </w:tr>
      <w:tr>
        <w:tc>
          <w:tcPr>
            <w:tcW w:type="dxa" w:w="5040"/>
          </w:tcPr>
          <w:p>
            <w:r>
              <w:t>AEP4-OD-08</w:t>
            </w:r>
          </w:p>
        </w:tc>
        <w:tc>
          <w:tcPr>
            <w:tcW w:type="dxa" w:w="5040"/>
          </w:tcPr>
          <w:p>
            <w:r>
              <w:t>OPEN / DEFERRED — automatic cross-provider failover</w:t>
            </w:r>
          </w:p>
        </w:tc>
      </w:tr>
      <w:tr>
        <w:tc>
          <w:tcPr>
            <w:tcW w:type="dxa" w:w="5040"/>
          </w:tcPr>
          <w:p>
            <w:r>
              <w:t>AEP4-OD-09</w:t>
            </w:r>
          </w:p>
        </w:tc>
        <w:tc>
          <w:tcPr>
            <w:tcW w:type="dxa" w:w="5040"/>
          </w:tcPr>
          <w:p>
            <w:r>
              <w:t>APPROVED — recording optional artifact/reference, not attendance/completion authority</w:t>
            </w:r>
          </w:p>
        </w:tc>
      </w:tr>
      <w:tr>
        <w:tc>
          <w:tcPr>
            <w:tcW w:type="dxa" w:w="5040"/>
          </w:tcPr>
          <w:p>
            <w:r>
              <w:t>AEP4-OD-10</w:t>
            </w:r>
          </w:p>
        </w:tc>
        <w:tc>
          <w:tcPr>
            <w:tcW w:type="dxa" w:w="5040"/>
          </w:tcPr>
          <w:p>
            <w:r>
              <w:t>APPROVED — provider-agnostic architecture; provider set subject to capability/integration verification</w:t>
            </w:r>
          </w:p>
        </w:tc>
      </w:tr>
      <w:tr>
        <w:tc>
          <w:tcPr>
            <w:tcW w:type="dxa" w:w="5040"/>
          </w:tcPr>
          <w:p>
            <w:r>
              <w:t>AEP4-OD-11</w:t>
            </w:r>
          </w:p>
        </w:tc>
        <w:tc>
          <w:tcPr>
            <w:tcW w:type="dxa" w:w="5040"/>
          </w:tcPr>
          <w:p>
            <w:r>
              <w:t>APPROVED — no universal provider priority/ranking</w:t>
            </w:r>
          </w:p>
        </w:tc>
      </w:tr>
      <w:tr>
        <w:tc>
          <w:tcPr>
            <w:tcW w:type="dxa" w:w="5040"/>
          </w:tcPr>
          <w:p>
            <w:r>
              <w:t>AEP4-OD-12</w:t>
            </w:r>
          </w:p>
        </w:tc>
        <w:tc>
          <w:tcPr>
            <w:tcW w:type="dxa" w:w="5040"/>
          </w:tcPr>
          <w:p>
            <w:r>
              <w:t>APPROVED — AI assistive only, never authoritative learning/award outcome</w:t>
            </w:r>
          </w:p>
        </w:tc>
      </w:tr>
      <w:tr>
        <w:tc>
          <w:tcPr>
            <w:tcW w:type="dxa" w:w="5040"/>
          </w:tcPr>
          <w:p>
            <w:r>
              <w:t>AEP4-OD-13</w:t>
            </w:r>
          </w:p>
        </w:tc>
        <w:tc>
          <w:tcPr>
            <w:tcW w:type="dxa" w:w="5040"/>
          </w:tcPr>
          <w:p>
            <w:r>
              <w:t>APPROVED — paid access consumes Commercial/Payment outcome; no payment authority in Session</w:t>
            </w:r>
          </w:p>
        </w:tc>
      </w:tr>
      <w:tr>
        <w:tc>
          <w:tcPr>
            <w:tcW w:type="dxa" w:w="5040"/>
          </w:tcPr>
          <w:p>
            <w:r>
              <w:t>AEP4-OD-14</w:t>
            </w:r>
          </w:p>
        </w:tc>
        <w:tc>
          <w:tcPr>
            <w:tcW w:type="dxa" w:w="5040"/>
          </w:tcPr>
          <w:p>
            <w:r>
              <w:t>APPROVED — Workspace/Organization context when applicable; authority/cardinality downstream</w:t>
            </w:r>
          </w:p>
        </w:tc>
      </w:tr>
      <w:tr>
        <w:tc>
          <w:tcPr>
            <w:tcW w:type="dxa" w:w="5040"/>
          </w:tcPr>
          <w:p>
            <w:r>
              <w:t>AEP4-OD-15</w:t>
            </w:r>
          </w:p>
        </w:tc>
        <w:tc>
          <w:tcPr>
            <w:tcW w:type="dxa" w:w="5040"/>
          </w:tcPr>
          <w:p>
            <w:r>
              <w:t>APPROVED — semantic visibility/access scope; authorization mechanics downstream</w:t>
            </w:r>
          </w:p>
        </w:tc>
      </w:tr>
      <w:tr>
        <w:tc>
          <w:tcPr>
            <w:tcW w:type="dxa" w:w="5040"/>
          </w:tcPr>
          <w:p>
            <w:r>
              <w:t>AEP4-OD-16</w:t>
            </w:r>
          </w:p>
        </w:tc>
        <w:tc>
          <w:tcPr>
            <w:tcW w:type="dxa" w:w="5040"/>
          </w:tcPr>
          <w:p>
            <w:r>
              <w:t>APPROVED — enrollment/access has a semantic lifecycle separating request from active access</w:t>
            </w:r>
          </w:p>
        </w:tc>
      </w:tr>
      <w:tr>
        <w:tc>
          <w:tcPr>
            <w:tcW w:type="dxa" w:w="5040"/>
          </w:tcPr>
          <w:p>
            <w:r>
              <w:t>AEP4-OD-17</w:t>
            </w:r>
          </w:p>
        </w:tc>
        <w:tc>
          <w:tcPr>
            <w:tcW w:type="dxa" w:w="5040"/>
          </w:tcPr>
          <w:p>
            <w:r>
              <w:t>APPROVED — PENDING → ACTIVE → COMPLETED; exact implementation remains downstream</w:t>
            </w:r>
          </w:p>
        </w:tc>
      </w:tr>
    </w:tbl>
    <w:p>
      <w:pPr>
        <w:pStyle w:val="Heading1"/>
      </w:pPr>
      <w:r>
        <w:t>5. Current Cross-Domain Governing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Decision</w:t>
            </w:r>
          </w:p>
        </w:tc>
        <w:tc>
          <w:tcPr>
            <w:tcW w:type="dxa" w:w="5040"/>
            <w:shd w:fill="D9EAF7"/>
          </w:tcPr>
          <w:p>
            <w:r>
              <w:t>Current state / invariant</w:t>
            </w:r>
          </w:p>
        </w:tc>
      </w:tr>
      <w:tr>
        <w:tc>
          <w:tcPr>
            <w:tcW w:type="dxa" w:w="5040"/>
          </w:tcPr>
          <w:p>
            <w:r>
              <w:t>MADCR-049</w:t>
            </w:r>
          </w:p>
        </w:tc>
        <w:tc>
          <w:tcPr>
            <w:tcW w:type="dxa" w:w="5040"/>
          </w:tcPr>
          <w:p>
            <w:r>
              <w:t>APPROVED / GOVERNING — Course/Module completion is a Learning Activity instance/type; Activity is canonical completion/reward boundary; Course remains content/product structure.</w:t>
            </w:r>
          </w:p>
        </w:tc>
      </w:tr>
      <w:tr>
        <w:tc>
          <w:tcPr>
            <w:tcW w:type="dxa" w:w="5040"/>
          </w:tcPr>
          <w:p>
            <w:r>
              <w:t>MADCR-053</w:t>
            </w:r>
          </w:p>
        </w:tc>
        <w:tc>
          <w:tcPr>
            <w:tcW w:type="dxa" w:w="5040"/>
          </w:tcPr>
          <w:p>
            <w:r>
              <w:t>APPROVED / GOVERNING — Capability + Permission + Scope; Role is actor grouping; exact physical IDs downstream.</w:t>
            </w:r>
          </w:p>
        </w:tc>
      </w:tr>
      <w:tr>
        <w:tc>
          <w:tcPr>
            <w:tcW w:type="dxa" w:w="5040"/>
          </w:tcPr>
          <w:p>
            <w:r>
              <w:t>MADCR-054</w:t>
            </w:r>
          </w:p>
        </w:tc>
        <w:tc>
          <w:tcPr>
            <w:tcW w:type="dxa" w:w="5040"/>
          </w:tcPr>
          <w:p>
            <w:r>
              <w:t>APPROVED / GOVERNING — Host and Instructor are separate capabilities; dual capability requires explicit authorization.</w:t>
            </w:r>
          </w:p>
        </w:tc>
      </w:tr>
      <w:tr>
        <w:tc>
          <w:tcPr>
            <w:tcW w:type="dxa" w:w="5040"/>
          </w:tcPr>
          <w:p>
            <w:r>
              <w:t>MADCR-010</w:t>
            </w:r>
          </w:p>
        </w:tc>
        <w:tc>
          <w:tcPr>
            <w:tcW w:type="dxa" w:w="5040"/>
          </w:tcPr>
          <w:p>
            <w:r>
              <w:t>APPROVED / GOVERNING — Commercial Entitlement is authoritative for Organization/Agency quota capacity; Entitlement ≠ Subscription ≠ RBAC.</w:t>
            </w:r>
          </w:p>
        </w:tc>
      </w:tr>
      <w:tr>
        <w:tc>
          <w:tcPr>
            <w:tcW w:type="dxa" w:w="5040"/>
          </w:tcPr>
          <w:p>
            <w:r>
              <w:t>MADCR-011</w:t>
            </w:r>
          </w:p>
        </w:tc>
        <w:tc>
          <w:tcPr>
            <w:tcW w:type="dxa" w:w="5040"/>
          </w:tcPr>
          <w:p>
            <w:r>
              <w:t>APPROVED / GOVERNING — Payment is Commercial subdomain M14; provider-specific logic remains behind adapter boundary.</w:t>
            </w:r>
          </w:p>
        </w:tc>
      </w:tr>
      <w:tr>
        <w:tc>
          <w:tcPr>
            <w:tcW w:type="dxa" w:w="5040"/>
          </w:tcPr>
          <w:p>
            <w:r>
              <w:t>AEP3 awarding boundary</w:t>
            </w:r>
          </w:p>
        </w:tc>
        <w:tc>
          <w:tcPr>
            <w:tcW w:type="dxa" w:w="5040"/>
          </w:tcPr>
          <w:p>
            <w:r>
              <w:t>Approved Title/Awarding decisions remain separate from Learning Session completion and M04 Certificate/Credential.</w:t>
            </w:r>
          </w:p>
        </w:tc>
      </w:tr>
    </w:tbl>
    <w:p>
      <w:pPr>
        <w:pStyle w:val="Heading1"/>
      </w:pPr>
      <w:r>
        <w:t>6. Current Visibility / Authorization State</w:t>
      </w:r>
    </w:p>
    <w:p>
      <w:r>
        <w:t>User-approved semantic visibility classes are PUBLIC / ORGANIZATION / PARTNER / PRIVATE. Visibility is not RBAC, does not itself grant mutation authority, and does not bypass Commercial Entitlement for paid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Visibility</w:t>
            </w:r>
          </w:p>
        </w:tc>
        <w:tc>
          <w:tcPr>
            <w:tcW w:type="dxa" w:w="3360"/>
            <w:shd w:fill="D9EAF7"/>
          </w:tcPr>
          <w:p>
            <w:r>
              <w:t>Current semantic treatment</w:t>
            </w:r>
          </w:p>
        </w:tc>
        <w:tc>
          <w:tcPr>
            <w:tcW w:type="dxa" w:w="3360"/>
            <w:shd w:fill="D9EAF7"/>
          </w:tcPr>
          <w:p>
            <w:r>
              <w:t>Physical status</w:t>
            </w:r>
          </w:p>
        </w:tc>
      </w:tr>
      <w:tr>
        <w:tc>
          <w:tcPr>
            <w:tcW w:type="dxa" w:w="3360"/>
          </w:tcPr>
          <w:p>
            <w:r>
              <w:t>PUBLIC</w:t>
            </w:r>
          </w:p>
        </w:tc>
        <w:tc>
          <w:tcPr>
            <w:tcW w:type="dxa" w:w="3360"/>
          </w:tcPr>
          <w:p>
            <w:r>
              <w:t>General intended audience/discovery subject to eligibility/authorization</w:t>
            </w:r>
          </w:p>
        </w:tc>
        <w:tc>
          <w:tcPr>
            <w:tcW w:type="dxa" w:w="3360"/>
          </w:tcPr>
          <w:p>
            <w:r>
              <w:t>Semantic closed</w:t>
            </w:r>
          </w:p>
        </w:tc>
      </w:tr>
      <w:tr>
        <w:tc>
          <w:tcPr>
            <w:tcW w:type="dxa" w:w="3360"/>
          </w:tcPr>
          <w:p>
            <w:r>
              <w:t>ORGANIZATION</w:t>
            </w:r>
          </w:p>
        </w:tc>
        <w:tc>
          <w:tcPr>
            <w:tcW w:type="dxa" w:w="3360"/>
          </w:tcPr>
          <w:p>
            <w:r>
              <w:t>Existing Workspace/Organization context</w:t>
            </w:r>
          </w:p>
        </w:tc>
        <w:tc>
          <w:tcPr>
            <w:tcW w:type="dxa" w:w="3360"/>
          </w:tcPr>
          <w:p>
            <w:r>
              <w:t>Physical relationship closed by later TECH-09/TECH-10 candidate</w:t>
            </w:r>
          </w:p>
        </w:tc>
      </w:tr>
      <w:tr>
        <w:tc>
          <w:tcPr>
            <w:tcW w:type="dxa" w:w="3360"/>
          </w:tcPr>
          <w:p>
            <w:r>
              <w:t>PARTNER</w:t>
            </w:r>
          </w:p>
        </w:tc>
        <w:tc>
          <w:tcPr>
            <w:tcW w:type="dxa" w:w="3360"/>
          </w:tcPr>
          <w:p>
            <w:r>
              <w:t>Partner-scoped audience/context</w:t>
            </w:r>
          </w:p>
        </w:tc>
        <w:tc>
          <w:tcPr>
            <w:tcW w:type="dxa" w:w="3360"/>
          </w:tcPr>
          <w:p>
            <w:r>
              <w:t>No physical Partner relation in Session MVP</w:t>
            </w:r>
          </w:p>
        </w:tc>
      </w:tr>
      <w:tr>
        <w:tc>
          <w:tcPr>
            <w:tcW w:type="dxa" w:w="3360"/>
          </w:tcPr>
          <w:p>
            <w:r>
              <w:t>PRIVATE</w:t>
            </w:r>
          </w:p>
        </w:tc>
        <w:tc>
          <w:tcPr>
            <w:tcW w:type="dxa" w:w="3360"/>
          </w:tcPr>
          <w:p>
            <w:r>
              <w:t>Explicitly restricted audience/resource context</w:t>
            </w:r>
          </w:p>
        </w:tc>
        <w:tc>
          <w:tcPr>
            <w:tcW w:type="dxa" w:w="3360"/>
          </w:tcPr>
          <w:p>
            <w:r>
              <w:t>No dedicated audience table in Session MVP</w:t>
            </w:r>
          </w:p>
        </w:tc>
      </w:tr>
    </w:tbl>
    <w:p>
      <w:r>
        <w:t>Platform granted_scope remains own/all/none. Organization/Partner authority is a second-layer domain scope check. Client-supplied organization/resource identifiers are never authorization proof.</w:t>
      </w:r>
    </w:p>
    <w:p>
      <w:pPr>
        <w:pStyle w:val="Heading1"/>
      </w:pPr>
      <w:r>
        <w:t>7. Current Physical Session Relationship State — Important Correction</w:t>
      </w:r>
    </w:p>
    <w:p>
      <w:r>
        <w:t>Earlier TECH-06/TECH-08 artifacts correctly treated Organization/Event cardinality as open at that earlier gate. Later TECH-09 and TECH-10 physical decision artifacts subsequently closed the recommended physical relationships. Therefore the later physical artifacts govern the current physical candidate.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Relationship</w:t>
            </w:r>
          </w:p>
        </w:tc>
        <w:tc>
          <w:tcPr>
            <w:tcW w:type="dxa" w:w="5040"/>
            <w:shd w:fill="D9EAF7"/>
          </w:tcPr>
          <w:p>
            <w:r>
              <w:t>Current physical decision</w:t>
            </w:r>
          </w:p>
        </w:tc>
      </w:tr>
      <w:tr>
        <w:tc>
          <w:tcPr>
            <w:tcW w:type="dxa" w:w="5040"/>
          </w:tcPr>
          <w:p>
            <w:r>
              <w:t>Session ↔ Organization</w:t>
            </w:r>
          </w:p>
        </w:tc>
        <w:tc>
          <w:tcPr>
            <w:tcW w:type="dxa" w:w="5040"/>
          </w:tcPr>
          <w:p>
            <w:r>
              <w:t>0..1 nullable organization_id → organizations.id</w:t>
            </w:r>
          </w:p>
        </w:tc>
      </w:tr>
      <w:tr>
        <w:tc>
          <w:tcPr>
            <w:tcW w:type="dxa" w:w="5040"/>
          </w:tcPr>
          <w:p>
            <w:r>
              <w:t>Session ↔ Partner</w:t>
            </w:r>
          </w:p>
        </w:tc>
        <w:tc>
          <w:tcPr>
            <w:tcW w:type="dxa" w:w="5040"/>
          </w:tcPr>
          <w:p>
            <w:r>
              <w:t>No physical Partner relation in Session MVP</w:t>
            </w:r>
          </w:p>
        </w:tc>
      </w:tr>
      <w:tr>
        <w:tc>
          <w:tcPr>
            <w:tcW w:type="dxa" w:w="5040"/>
          </w:tcPr>
          <w:p>
            <w:r>
              <w:t>Session ↔ PRIVATE audience</w:t>
            </w:r>
          </w:p>
        </w:tc>
        <w:tc>
          <w:tcPr>
            <w:tcW w:type="dxa" w:w="5040"/>
          </w:tcPr>
          <w:p>
            <w:r>
              <w:t>No dedicated audience table in Session MVP; existing authorization/enrollment context</w:t>
            </w:r>
          </w:p>
        </w:tc>
      </w:tr>
      <w:tr>
        <w:tc>
          <w:tcPr>
            <w:tcW w:type="dxa" w:w="5040"/>
          </w:tcPr>
          <w:p>
            <w:r>
              <w:t>Session ↔ Event</w:t>
            </w:r>
          </w:p>
        </w:tc>
        <w:tc>
          <w:tcPr>
            <w:tcW w:type="dxa" w:w="5040"/>
          </w:tcPr>
          <w:p>
            <w:r>
              <w:t>0..1 canonical Event via nullable event_id → events.id</w:t>
            </w:r>
          </w:p>
        </w:tc>
      </w:tr>
    </w:tbl>
    <w:p>
      <w:r>
        <w:t>This means TECH-19's statement that Organization cardinality remains controlled open is now stale and must be corrected before the next execution step. TECH-17's 0..1 Event statement is supported by the later TECH-09/TECH-10 physical decision chain, not by the older AEP4 Step-06 snapshot.</w:t>
      </w:r>
    </w:p>
    <w:p>
      <w:pPr>
        <w:pStyle w:val="Heading1"/>
      </w:pPr>
      <w:r>
        <w:t>8. Current Session Enrollment State</w:t>
      </w:r>
    </w:p>
    <w:p>
      <w:pPr>
        <w:pStyle w:val="ListBullet"/>
      </w:pPr>
      <w:r>
        <w:t>Session Enrollment is distinct from M04 Course Enrollment and M05 Event Registration.</w:t>
      </w:r>
    </w:p>
    <w:p>
      <w:pPr>
        <w:pStyle w:val="ListBullet"/>
      </w:pPr>
      <w:r>
        <w:t>Canonical lifecycle is PENDING → ACTIVE → COMPLETED.</w:t>
      </w:r>
    </w:p>
    <w:p>
      <w:pPr>
        <w:pStyle w:val="ListBullet"/>
      </w:pPr>
      <w:r>
        <w:t>Payment success is not itself the definition of ACTIVE.</w:t>
      </w:r>
    </w:p>
    <w:p>
      <w:pPr>
        <w:pStyle w:val="ListBullet"/>
      </w:pPr>
      <w:r>
        <w:t>Activation follows applicable Commercial/Payment entitlement, free entitlement, or other governed authorization condition.</w:t>
      </w:r>
    </w:p>
    <w:p>
      <w:pPr>
        <w:pStyle w:val="ListBullet"/>
      </w:pPr>
      <w:r>
        <w:t>Provider participation does not activate enrollment.</w:t>
      </w:r>
    </w:p>
    <w:p>
      <w:pPr>
        <w:pStyle w:val="ListBullet"/>
      </w:pPr>
      <w:r>
        <w:t>Provider events do not directly establish COMPLETED.</w:t>
      </w:r>
    </w:p>
    <w:p>
      <w:pPr>
        <w:pStyle w:val="ListBullet"/>
      </w:pPr>
      <w:r>
        <w:t>COMPLETED does not directly issue LP, competency, credential or Title/Award.</w:t>
      </w:r>
    </w:p>
    <w:p>
      <w:pPr>
        <w:pStyle w:val="Heading1"/>
      </w:pPr>
      <w:r>
        <w:t>9. Current Technical Migration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Artifact</w:t>
            </w:r>
          </w:p>
        </w:tc>
        <w:tc>
          <w:tcPr>
            <w:tcW w:type="dxa" w:w="5040"/>
            <w:shd w:fill="D9EAF7"/>
          </w:tcPr>
          <w:p>
            <w:r>
              <w:t>Current state</w:t>
            </w:r>
          </w:p>
        </w:tc>
      </w:tr>
      <w:tr>
        <w:tc>
          <w:tcPr>
            <w:tcW w:type="dxa" w:w="5040"/>
          </w:tcPr>
          <w:p>
            <w:r>
              <w:t>TECH-13 SQL</w:t>
            </w:r>
          </w:p>
        </w:tc>
        <w:tc>
          <w:tcPr>
            <w:tcW w:type="dxa" w:w="5040"/>
          </w:tcPr>
          <w:p>
            <w:r>
              <w:t>Frozen candidate; static verification PASS; not executed.</w:t>
            </w:r>
          </w:p>
        </w:tc>
      </w:tr>
      <w:tr>
        <w:tc>
          <w:tcPr>
            <w:tcW w:type="dxa" w:w="5040"/>
          </w:tcPr>
          <w:p>
            <w:r>
              <w:t>TECH-14</w:t>
            </w:r>
          </w:p>
        </w:tc>
        <w:tc>
          <w:tcPr>
            <w:tcW w:type="dxa" w:w="5040"/>
          </w:tcPr>
          <w:p>
            <w:r>
              <w:t>Static pre-flight PASS; runtime blocked by environment.</w:t>
            </w:r>
          </w:p>
        </w:tc>
      </w:tr>
      <w:tr>
        <w:tc>
          <w:tcPr>
            <w:tcW w:type="dxa" w:w="5040"/>
          </w:tcPr>
          <w:p>
            <w:r>
              <w:t>TECH-15-R1</w:t>
            </w:r>
          </w:p>
        </w:tc>
        <w:tc>
          <w:tcPr>
            <w:tcW w:type="dxa" w:w="5040"/>
          </w:tcPr>
          <w:p>
            <w:r>
              <w:t>PASS; semantic authorization reconciled; exact physical IDs controlled open.</w:t>
            </w:r>
          </w:p>
        </w:tc>
      </w:tr>
      <w:tr>
        <w:tc>
          <w:tcPr>
            <w:tcW w:type="dxa" w:w="5040"/>
          </w:tcPr>
          <w:p>
            <w:r>
              <w:t>TECH-16-R1</w:t>
            </w:r>
          </w:p>
        </w:tc>
        <w:tc>
          <w:tcPr>
            <w:tcW w:type="dxa" w:w="5040"/>
          </w:tcPr>
          <w:p>
            <w:r>
              <w:t>PASS; provider-neutral adapter architecture validated.</w:t>
            </w:r>
          </w:p>
        </w:tc>
      </w:tr>
      <w:tr>
        <w:tc>
          <w:tcPr>
            <w:tcW w:type="dxa" w:w="5040"/>
          </w:tcPr>
          <w:p>
            <w:r>
              <w:t>TECH-17</w:t>
            </w:r>
          </w:p>
        </w:tc>
        <w:tc>
          <w:tcPr>
            <w:tcW w:type="dxa" w:w="5040"/>
          </w:tcPr>
          <w:p>
            <w:r>
              <w:t>PASS with controlled residuals.</w:t>
            </w:r>
          </w:p>
        </w:tc>
      </w:tr>
      <w:tr>
        <w:tc>
          <w:tcPr>
            <w:tcW w:type="dxa" w:w="5040"/>
          </w:tcPr>
          <w:p>
            <w:r>
              <w:t>TECH-18</w:t>
            </w:r>
          </w:p>
        </w:tc>
        <w:tc>
          <w:tcPr>
            <w:tcW w:type="dxa" w:w="5040"/>
          </w:tcPr>
          <w:p>
            <w:r>
              <w:t>Execution readiness consolidated; production not authorized.</w:t>
            </w:r>
          </w:p>
        </w:tc>
      </w:tr>
      <w:tr>
        <w:tc>
          <w:tcPr>
            <w:tcW w:type="dxa" w:w="5040"/>
          </w:tcPr>
          <w:p>
            <w:r>
              <w:t>TECH-19</w:t>
            </w:r>
          </w:p>
        </w:tc>
        <w:tc>
          <w:tcPr>
            <w:tcW w:type="dxa" w:w="5040"/>
          </w:tcPr>
          <w:p>
            <w:r>
              <w:t>PASS with evidence gap; physical authorization/RLS design boundary ready, but Organization cardinality wording must be corrected.</w:t>
            </w:r>
          </w:p>
        </w:tc>
      </w:tr>
    </w:tbl>
    <w:p>
      <w:r>
        <w:t>Production migration remains NOT AUTHORIZED. Exact permission IDs/role_permissions, runtime RLS verification, provider production contracts, attendance/capacity/media policies and Learning Activity physical contract remain downstream gates.</w:t>
      </w:r>
    </w:p>
    <w:p>
      <w:pPr>
        <w:pStyle w:val="Heading1"/>
      </w:pPr>
      <w:r>
        <w:t>10. Current Provider State</w:t>
      </w:r>
    </w:p>
    <w:p>
      <w:pPr>
        <w:pStyle w:val="ListBullet"/>
      </w:pPr>
      <w:r>
        <w:t>Provider architecture is provider-agnostic.</w:t>
      </w:r>
    </w:p>
    <w:p>
      <w:pPr>
        <w:pStyle w:val="ListBullet"/>
      </w:pPr>
      <w:r>
        <w:t>Daily, LiveKit, Zoom and Google Meet are viable interactive-provider candidates based on capability verification.</w:t>
      </w:r>
    </w:p>
    <w:p>
      <w:pPr>
        <w:pStyle w:val="ListBullet"/>
      </w:pPr>
      <w:r>
        <w:t>YouTube Live is primarily BROADCAST/ON_DEMAND oriented and must not be forced into participant-centric interactive semantics.</w:t>
      </w:r>
    </w:p>
    <w:p>
      <w:pPr>
        <w:pStyle w:val="ListBullet"/>
      </w:pPr>
      <w:r>
        <w:t>No vendor is selected as the universal/default provider.</w:t>
      </w:r>
    </w:p>
    <w:p>
      <w:pPr>
        <w:pStyle w:val="ListBullet"/>
      </w:pPr>
      <w:r>
        <w:t>Provider switching preserves semantic Session identity/history.</w:t>
      </w:r>
    </w:p>
    <w:p>
      <w:pPr>
        <w:pStyle w:val="ListBullet"/>
      </w:pPr>
      <w:r>
        <w:t>Automatic provider failover remains OPEN/DEFERRED.</w:t>
      </w:r>
    </w:p>
    <w:p>
      <w:pPr>
        <w:pStyle w:val="ListBullet"/>
      </w:pPr>
      <w:r>
        <w:t>Provider credentials/tokens remain infrastructure/adapter controlled.</w:t>
      </w:r>
    </w:p>
    <w:p>
      <w:pPr>
        <w:pStyle w:val="Heading1"/>
      </w:pPr>
      <w:r>
        <w:t>11. Non-Negotiable Cross-Domain Invariants</w:t>
      </w:r>
    </w:p>
    <w:p>
      <w:pPr>
        <w:pStyle w:val="ListBullet"/>
      </w:pPr>
      <w:r>
        <w:t>Course Enrollment ≠ Session Enrollment ≠ Event Registration.</w:t>
      </w:r>
    </w:p>
    <w:p>
      <w:pPr>
        <w:pStyle w:val="ListBullet"/>
      </w:pPr>
      <w:r>
        <w:t>Provider Session ID ≠ Learning Session ID.</w:t>
      </w:r>
    </w:p>
    <w:p>
      <w:pPr>
        <w:pStyle w:val="ListBullet"/>
      </w:pPr>
      <w:r>
        <w:t>Participation Evidence ≠ Attendance Outcome ≠ Completion Outcome.</w:t>
      </w:r>
    </w:p>
    <w:p>
      <w:pPr>
        <w:pStyle w:val="ListBullet"/>
      </w:pPr>
      <w:r>
        <w:t>Completion ≠ Learning Points transaction.</w:t>
      </w:r>
    </w:p>
    <w:p>
      <w:pPr>
        <w:pStyle w:val="ListBullet"/>
      </w:pPr>
      <w:r>
        <w:t>Completion ≠ Competency/Credential/Title-Award.</w:t>
      </w:r>
    </w:p>
    <w:p>
      <w:pPr>
        <w:pStyle w:val="ListBullet"/>
      </w:pPr>
      <w:r>
        <w:t>Commercial Entitlement ≠ RBAC.</w:t>
      </w:r>
    </w:p>
    <w:p>
      <w:pPr>
        <w:pStyle w:val="ListBullet"/>
      </w:pPr>
      <w:r>
        <w:t>Qualification/Awarding Authority ≠ operational Session permission.</w:t>
      </w:r>
    </w:p>
    <w:p>
      <w:pPr>
        <w:pStyle w:val="ListBullet"/>
      </w:pPr>
      <w:r>
        <w:t>Host ≠ Instructor.</w:t>
      </w:r>
    </w:p>
    <w:p>
      <w:pPr>
        <w:pStyle w:val="ListBullet"/>
      </w:pPr>
      <w:r>
        <w:t>Visibility ≠ Authorization.</w:t>
      </w:r>
    </w:p>
    <w:p>
      <w:pPr>
        <w:pStyle w:val="ListBullet"/>
      </w:pPr>
      <w:r>
        <w:t>Payment success ≠ RBAC permission.</w:t>
      </w:r>
    </w:p>
    <w:p>
      <w:pPr>
        <w:pStyle w:val="ListBullet"/>
      </w:pPr>
      <w:r>
        <w:t>Session completion must route through Learning Activity and must not directly issue official LP.</w:t>
      </w:r>
    </w:p>
    <w:p>
      <w:pPr>
        <w:pStyle w:val="ListBullet"/>
      </w:pPr>
      <w:r>
        <w:t>AI output is assistive and cannot become authoritative without governed rules.</w:t>
      </w:r>
    </w:p>
    <w:p>
      <w:pPr>
        <w:pStyle w:val="ListBullet"/>
      </w:pPr>
      <w:r>
        <w:t>Existing M04/M05 semantics must not be repurposed.</w:t>
      </w:r>
    </w:p>
    <w:p>
      <w:pPr>
        <w:pStyle w:val="Heading1"/>
      </w:pPr>
      <w:r>
        <w:t>12. Stale / Historical Artifacts That Must Not Drive Future Decisions</w:t>
      </w:r>
    </w:p>
    <w:p>
      <w:pPr>
        <w:pStyle w:val="ListBullet"/>
      </w:pPr>
      <w:r>
        <w:t>Earlier AEP4 Step-16 residual wording that still lists MADCR-049/053/054 as OPEN/BLOCKED is historical relative to the later formal closures.</w:t>
      </w:r>
    </w:p>
    <w:p>
      <w:pPr>
        <w:pStyle w:val="ListBullet"/>
      </w:pPr>
      <w:r>
        <w:t>R2 MADCR-053/054 readiness artifact is historical readiness evidence; it is not current approval authority after the formal closures.</w:t>
      </w:r>
    </w:p>
    <w:p>
      <w:pPr>
        <w:pStyle w:val="ListBullet"/>
      </w:pPr>
      <w:r>
        <w:t>TECH-15 v1.0 is superseded by TECH-15-R1 because it used the stale governance state.</w:t>
      </w:r>
    </w:p>
    <w:p>
      <w:pPr>
        <w:pStyle w:val="ListBullet"/>
      </w:pPr>
      <w:r>
        <w:t>TECH-06/TECH-08 relationship-open statements are historical gate states for Organization/Event; later TECH-09/TECH-10 physical decisions govern the current physical candidate.</w:t>
      </w:r>
    </w:p>
    <w:p>
      <w:pPr>
        <w:pStyle w:val="ListBullet"/>
      </w:pPr>
      <w:r>
        <w:t>Old baseline documents that predate later MADCR/AEP technical overlays remain valid for the architecture state they document, but are not sufficient to represent the current evolved state.</w:t>
      </w:r>
    </w:p>
    <w:p>
      <w:pPr>
        <w:pStyle w:val="Heading1"/>
      </w:pPr>
      <w:r>
        <w:t>13. Current Residuals That Must Remain 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Residual</w:t>
            </w:r>
          </w:p>
        </w:tc>
        <w:tc>
          <w:tcPr>
            <w:tcW w:type="dxa" w:w="5040"/>
            <w:shd w:fill="D9EAF7"/>
          </w:tcPr>
          <w:p>
            <w:r>
              <w:t>Current status</w:t>
            </w:r>
          </w:p>
        </w:tc>
      </w:tr>
      <w:tr>
        <w:tc>
          <w:tcPr>
            <w:tcW w:type="dxa" w:w="5040"/>
          </w:tcPr>
          <w:p>
            <w:r>
              <w:t>Exact Session permission IDs / role_permissions</w:t>
            </w:r>
          </w:p>
        </w:tc>
        <w:tc>
          <w:tcPr>
            <w:tcW w:type="dxa" w:w="5040"/>
          </w:tcPr>
          <w:p>
            <w:r>
              <w:t>CONTROLLED OPEN — direct catalogue evidence required</w:t>
            </w:r>
          </w:p>
        </w:tc>
      </w:tr>
      <w:tr>
        <w:tc>
          <w:tcPr>
            <w:tcW w:type="dxa" w:w="5040"/>
          </w:tcPr>
          <w:p>
            <w:r>
              <w:t>Final RLS runtime verification</w:t>
            </w:r>
          </w:p>
        </w:tc>
        <w:tc>
          <w:tcPr>
            <w:tcW w:type="dxa" w:w="5040"/>
          </w:tcPr>
          <w:p>
            <w:r>
              <w:t>OPEN — staging PostgreSQL required</w:t>
            </w:r>
          </w:p>
        </w:tc>
      </w:tr>
      <w:tr>
        <w:tc>
          <w:tcPr>
            <w:tcW w:type="dxa" w:w="5040"/>
          </w:tcPr>
          <w:p>
            <w:r>
              <w:t>Attendance numeric thresholds/exceptions</w:t>
            </w:r>
          </w:p>
        </w:tc>
        <w:tc>
          <w:tcPr>
            <w:tcW w:type="dxa" w:w="5040"/>
          </w:tcPr>
          <w:p>
            <w:r>
              <w:t>OPEN — configurable BR/configuration</w:t>
            </w:r>
          </w:p>
        </w:tc>
      </w:tr>
      <w:tr>
        <w:tc>
          <w:tcPr>
            <w:tcW w:type="dxa" w:w="5040"/>
          </w:tcPr>
          <w:p>
            <w:r>
              <w:t>Session capacity exact physical enforcement</w:t>
            </w:r>
          </w:p>
        </w:tc>
        <w:tc>
          <w:tcPr>
            <w:tcW w:type="dxa" w:w="5040"/>
          </w:tcPr>
          <w:p>
            <w:r>
              <w:t>OPEN — do not reuse M05 events.quota</w:t>
            </w:r>
          </w:p>
        </w:tc>
      </w:tr>
      <w:tr>
        <w:tc>
          <w:tcPr>
            <w:tcW w:type="dxa" w:w="5040"/>
          </w:tcPr>
          <w:p>
            <w:r>
              <w:t>Recording retention/privacy/replay/transcript/DRM</w:t>
            </w:r>
          </w:p>
        </w:tc>
        <w:tc>
          <w:tcPr>
            <w:tcW w:type="dxa" w:w="5040"/>
          </w:tcPr>
          <w:p>
            <w:r>
              <w:t>OPEN</w:t>
            </w:r>
          </w:p>
        </w:tc>
      </w:tr>
      <w:tr>
        <w:tc>
          <w:tcPr>
            <w:tcW w:type="dxa" w:w="5040"/>
          </w:tcPr>
          <w:p>
            <w:r>
              <w:t>Provider OAuth/scopes/webhook exact contracts/quotas/plans</w:t>
            </w:r>
          </w:p>
        </w:tc>
        <w:tc>
          <w:tcPr>
            <w:tcW w:type="dxa" w:w="5040"/>
          </w:tcPr>
          <w:p>
            <w:r>
              <w:t>OPEN</w:t>
            </w:r>
          </w:p>
        </w:tc>
      </w:tr>
      <w:tr>
        <w:tc>
          <w:tcPr>
            <w:tcW w:type="dxa" w:w="5040"/>
          </w:tcPr>
          <w:p>
            <w:r>
              <w:t>Automatic provider failover</w:t>
            </w:r>
          </w:p>
        </w:tc>
        <w:tc>
          <w:tcPr>
            <w:tcW w:type="dxa" w:w="5040"/>
          </w:tcPr>
          <w:p>
            <w:r>
              <w:t>OPEN / DEFERRED</w:t>
            </w:r>
          </w:p>
        </w:tc>
      </w:tr>
      <w:tr>
        <w:tc>
          <w:tcPr>
            <w:tcW w:type="dxa" w:w="5040"/>
          </w:tcPr>
          <w:p>
            <w:r>
              <w:t>Learning Activity physical Activity/API contract</w:t>
            </w:r>
          </w:p>
        </w:tc>
        <w:tc>
          <w:tcPr>
            <w:tcW w:type="dxa" w:w="5040"/>
          </w:tcPr>
          <w:p>
            <w:r>
              <w:t>DOWNSTREAM after MADCR-049 semantic closure</w:t>
            </w:r>
          </w:p>
        </w:tc>
      </w:tr>
      <w:tr>
        <w:tc>
          <w:tcPr>
            <w:tcW w:type="dxa" w:w="5040"/>
          </w:tcPr>
          <w:p>
            <w:r>
              <w:t>AEP3 physical residuals OD-02…05</w:t>
            </w:r>
          </w:p>
        </w:tc>
        <w:tc>
          <w:tcPr>
            <w:tcW w:type="dxa" w:w="5040"/>
          </w:tcPr>
          <w:p>
            <w:r>
              <w:t>SEPARATE downstream gate; not to be silently closed by AEP4</w:t>
            </w:r>
          </w:p>
        </w:tc>
      </w:tr>
      <w:tr>
        <w:tc>
          <w:tcPr>
            <w:tcW w:type="dxa" w:w="5040"/>
          </w:tcPr>
          <w:p>
            <w:r>
              <w:t>OPEN-C01 / MBR-COM-001–013</w:t>
            </w:r>
          </w:p>
        </w:tc>
        <w:tc>
          <w:tcPr>
            <w:tcW w:type="dxa" w:w="5040"/>
          </w:tcPr>
          <w:p>
            <w:r>
              <w:t>Controlled Commercial evidence/provenance residuals</w:t>
            </w:r>
          </w:p>
        </w:tc>
      </w:tr>
    </w:tbl>
    <w:p>
      <w:pPr>
        <w:pStyle w:val="Heading1"/>
      </w:pPr>
      <w:r>
        <w:t>14. Process Rule for Next Step</w:t>
      </w:r>
    </w:p>
    <w:p>
      <w:r>
        <w:t>Before producing any new TECH artifact, compare its assumptions against this current-state register and the latest authoritative source artifact. If an older TECH/AEP artifact conflicts with a later formal decision, mark it historical/stale and use the later governing record. If a physical choice is closed by a later TECH artifact, do not reopen it merely because an earlier AEP snapshot says OPEN. Conversely, do not treat a recommendation as approved unless a later authoritative artifact actually closes it.</w:t>
      </w:r>
    </w:p>
    <w:p>
      <w:pPr>
        <w:pStyle w:val="Heading1"/>
      </w:pPr>
      <w:r>
        <w:t>15. Next-Step Readiness</w:t>
      </w:r>
    </w:p>
    <w:p>
      <w:r>
        <w:t>The next technical step should start from the corrected TECH-19 state, not from stale TECH-06/TECH-08 or TECH-15 v1.0 states. The immediate focus is exact permission catalogue evidence and physical authorization/RLS closure, while preserving the now-closed physical Session relationships.</w:t>
      </w:r>
    </w:p>
    <w:p>
      <w:pPr>
        <w:pStyle w:val="Heading1"/>
      </w:pPr>
      <w:r>
        <w:t>16. Source Traceability</w:t>
      </w:r>
    </w:p>
    <w:p>
      <w:pPr>
        <w:pStyle w:val="ListBullet"/>
      </w:pPr>
      <w:r>
        <w:t>RUMAHAGEN-PROJECT-KNOWLEDGE-REFRESH-FINAL-RECONCILIATION-v1.0.pdf.</w:t>
      </w:r>
    </w:p>
    <w:p>
      <w:pPr>
        <w:pStyle w:val="ListBullet"/>
      </w:pPr>
      <w:r>
        <w:t>RUMAHAGEN-PROJECT-FILE-BY-FILE-KNOWLEDGE-INVENTORY-v1.0.xlsx.</w:t>
      </w:r>
    </w:p>
    <w:p>
      <w:pPr>
        <w:pStyle w:val="ListBullet"/>
      </w:pPr>
      <w:r>
        <w:t>RUMAHAGEN_AEP_SYNCHRONIZATION_EXECUTION_LOCK_v1.0.docx.</w:t>
      </w:r>
    </w:p>
    <w:p>
      <w:pPr>
        <w:pStyle w:val="ListBullet"/>
      </w:pPr>
      <w:r>
        <w:t>MADCR-049 Formal Decision &amp; Closure.</w:t>
      </w:r>
    </w:p>
    <w:p>
      <w:pPr>
        <w:pStyle w:val="ListBullet"/>
      </w:pPr>
      <w:r>
        <w:t>MADCR-053 Formal Decision &amp; Closure.</w:t>
      </w:r>
    </w:p>
    <w:p>
      <w:pPr>
        <w:pStyle w:val="ListBullet"/>
      </w:pPr>
      <w:r>
        <w:t>MADCR-054 Formal Decision &amp; Closure.</w:t>
      </w:r>
    </w:p>
    <w:p>
      <w:pPr>
        <w:pStyle w:val="ListBullet"/>
      </w:pPr>
      <w:r>
        <w:t>AEP4 STEP-02 Decision Logs OD01–OD17.</w:t>
      </w:r>
    </w:p>
    <w:p>
      <w:pPr>
        <w:pStyle w:val="ListBullet"/>
      </w:pPr>
      <w:r>
        <w:t>AEP4 STEP-06 / STEP-07 / STEP-08 / STEP-10 / STEP-16.</w:t>
      </w:r>
    </w:p>
    <w:p>
      <w:pPr>
        <w:pStyle w:val="ListBullet"/>
      </w:pPr>
      <w:r>
        <w:t>TECH-01 through TECH-19 current artifacts.</w:t>
      </w:r>
    </w:p>
    <w:p>
      <w:pPr>
        <w:pStyle w:val="ListBullet"/>
      </w:pPr>
      <w:r>
        <w:t>TECH-09 Physical ERD/Schema Delta Specification.</w:t>
      </w:r>
    </w:p>
    <w:p>
      <w:pPr>
        <w:pStyle w:val="ListBullet"/>
      </w:pPr>
      <w:r>
        <w:t>TECH-10 Physical Database/Migration Readiness.</w:t>
      </w:r>
    </w:p>
    <w:p>
      <w:pPr>
        <w:pStyle w:val="ListBullet"/>
      </w:pPr>
      <w:r>
        <w:t>Current project core baseline: Constitution, Manifest, Architecture, ERD, API, Authorization, Migration and module SQL.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