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TECH-03</w:t>
      </w:r>
    </w:p>
    <w:p>
      <w:pPr>
        <w:jc w:val="center"/>
      </w:pPr>
      <w:r>
        <w:rPr>
          <w:i/>
          <w:sz w:val="22"/>
        </w:rPr>
        <w:t>Authorization / RBAC Reconciliation Readiness</w:t>
      </w:r>
    </w:p>
    <w:p>
      <w:r>
        <w:rPr>
          <w:b/>
        </w:rPr>
        <w:t xml:space="preserve">Status: </w:t>
      </w:r>
      <w:r>
        <w:t>DECISION-READY / PHYSICAL RBAC NOT AUTHORIZED</w:t>
      </w:r>
    </w:p>
    <w:p>
      <w:pPr>
        <w:pStyle w:val="Heading1"/>
      </w:pPr>
      <w:r>
        <w:t>1. Purpose</w:t>
      </w:r>
    </w:p>
    <w:p>
      <w:r>
        <w:t>TECH-03 menerjemahkan keputusan Visibility yang sudah disetujui dan batas Host/Instructor yang sudah governing menjadi readiness package untuk authorization/RBAC reconciliation. Artifact ini tidak membuat permission ID, tidak mengubah role catalogue, dan tidak mengotorisasi physical RBAC/RLS implementation.</w:t>
      </w:r>
    </w:p>
    <w:p>
      <w:pPr>
        <w:pStyle w:val="Heading1"/>
      </w:pPr>
      <w:r>
        <w:t>2. Source Position and Critical Correction</w:t>
      </w:r>
    </w:p>
    <w:p>
      <w:r>
        <w:t>Source terbaru yang ditemukan menunjukkan MADCR-053 sebelumnya masih tercatat OPEN / DECISION-READY pada Decision Brief dan R2 readiness artifact. Master Batch Matrix juga mencatat MADCR-053 sebagai planned/not yet verified. Karena itu TECH-03 tidak boleh menyatakan MADCR-053 approved hanya berdasarkan AEP4 conceptual permission impact.</w:t>
      </w:r>
    </w:p>
    <w:p>
      <w:r>
        <w:t>Sebaliknya, MADCR-054 memiliki artifact formal closure yang menyatakan APPROVED / GOVERNING dan menetapkan Host dan Instructor sebagai capability terpisah. TECH-03 menggunakan MADCR-054 sebagai current governing boundary, tetapi tetap tidak menganggap exact permission IDs atau physical RBAC sudah approved.</w:t>
      </w:r>
    </w:p>
    <w:p>
      <w:pPr>
        <w:pStyle w:val="Heading1"/>
      </w:pPr>
      <w:r>
        <w:t>3. Confirmed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Input</w:t>
            </w:r>
          </w:p>
        </w:tc>
        <w:tc>
          <w:tcPr>
            <w:tcW w:type="dxa" w:w="2160"/>
            <w:shd w:fill="D9EAF7"/>
          </w:tcPr>
          <w:p>
            <w:r>
              <w:t>Status</w:t>
            </w:r>
          </w:p>
        </w:tc>
        <w:tc>
          <w:tcPr>
            <w:tcW w:type="dxa" w:w="2160"/>
            <w:shd w:fill="D9EAF7"/>
          </w:tcPr>
          <w:p>
            <w:r>
              <w:t>Canonical Meaning</w:t>
            </w:r>
          </w:p>
        </w:tc>
        <w:tc>
          <w:tcPr>
            <w:tcW w:type="dxa" w:w="2160"/>
            <w:shd w:fill="D9EAF7"/>
          </w:tcPr>
          <w:p>
            <w:r>
              <w:t>TECH-03 Treatment</w:t>
            </w:r>
          </w:p>
        </w:tc>
      </w:tr>
      <w:tr>
        <w:tc>
          <w:tcPr>
            <w:tcW w:type="dxa" w:w="2160"/>
          </w:tcPr>
          <w:p>
            <w:r>
              <w:t>Visibility</w:t>
            </w:r>
          </w:p>
        </w:tc>
        <w:tc>
          <w:tcPr>
            <w:tcW w:type="dxa" w:w="2160"/>
          </w:tcPr>
          <w:p>
            <w:r>
              <w:t>APPROVED by user</w:t>
            </w:r>
          </w:p>
        </w:tc>
        <w:tc>
          <w:tcPr>
            <w:tcW w:type="dxa" w:w="2160"/>
          </w:tcPr>
          <w:p>
            <w:r>
              <w:t>PUBLIC / ORGANIZATION / PARTNER / PRIVATE</w:t>
            </w:r>
          </w:p>
        </w:tc>
        <w:tc>
          <w:tcPr>
            <w:tcW w:type="dxa" w:w="2160"/>
          </w:tcPr>
          <w:p>
            <w:r>
              <w:t>Use as semantic scope vocabulary</w:t>
            </w:r>
          </w:p>
        </w:tc>
      </w:tr>
      <w:tr>
        <w:tc>
          <w:tcPr>
            <w:tcW w:type="dxa" w:w="2160"/>
          </w:tcPr>
          <w:p>
            <w:r>
              <w:t>MADCR-054</w:t>
            </w:r>
          </w:p>
        </w:tc>
        <w:tc>
          <w:tcPr>
            <w:tcW w:type="dxa" w:w="2160"/>
          </w:tcPr>
          <w:p>
            <w:r>
              <w:t>APPROVED / GOVERNING</w:t>
            </w:r>
          </w:p>
        </w:tc>
        <w:tc>
          <w:tcPr>
            <w:tcW w:type="dxa" w:w="2160"/>
          </w:tcPr>
          <w:p>
            <w:r>
              <w:t>Host ≠ Instructor; explicit authorization for dual capability</w:t>
            </w:r>
          </w:p>
        </w:tc>
        <w:tc>
          <w:tcPr>
            <w:tcW w:type="dxa" w:w="2160"/>
          </w:tcPr>
          <w:p>
            <w:r>
              <w:t>Use as Session authorization boundary</w:t>
            </w:r>
          </w:p>
        </w:tc>
      </w:tr>
      <w:tr>
        <w:tc>
          <w:tcPr>
            <w:tcW w:type="dxa" w:w="2160"/>
          </w:tcPr>
          <w:p>
            <w:r>
              <w:t>MADCR-053</w:t>
            </w:r>
          </w:p>
        </w:tc>
        <w:tc>
          <w:tcPr>
            <w:tcW w:type="dxa" w:w="2160"/>
          </w:tcPr>
          <w:p>
            <w:r>
              <w:t>OPEN / DECISION-READY in latest surfaced source</w:t>
            </w:r>
          </w:p>
        </w:tc>
        <w:tc>
          <w:tcPr>
            <w:tcW w:type="dxa" w:w="2160"/>
          </w:tcPr>
          <w:p>
            <w:r>
              <w:t>Capability + Permission + Scope; Role grouping; Entitlement/Awarding separate</w:t>
            </w:r>
          </w:p>
        </w:tc>
        <w:tc>
          <w:tcPr>
            <w:tcW w:type="dxa" w:w="2160"/>
          </w:tcPr>
          <w:p>
            <w:r>
              <w:t>Must not be silently declared approved</w:t>
            </w:r>
          </w:p>
        </w:tc>
      </w:tr>
      <w:tr>
        <w:tc>
          <w:tcPr>
            <w:tcW w:type="dxa" w:w="2160"/>
          </w:tcPr>
          <w:p>
            <w:r>
              <w:t>RBAC</w:t>
            </w:r>
          </w:p>
        </w:tc>
        <w:tc>
          <w:tcPr>
            <w:tcW w:type="dxa" w:w="2160"/>
          </w:tcPr>
          <w:p>
            <w:r>
              <w:t>Existing baseline</w:t>
            </w:r>
          </w:p>
        </w:tc>
        <w:tc>
          <w:tcPr>
            <w:tcW w:type="dxa" w:w="2160"/>
          </w:tcPr>
          <w:p>
            <w:r>
              <w:t>RBAC first authorization layer; RLS second layer</w:t>
            </w:r>
          </w:p>
        </w:tc>
        <w:tc>
          <w:tcPr>
            <w:tcW w:type="dxa" w:w="2160"/>
          </w:tcPr>
          <w:p>
            <w:r>
              <w:t>Reconcile only after governance taxonomy is confirmed</w:t>
            </w:r>
          </w:p>
        </w:tc>
      </w:tr>
    </w:tbl>
    <w:p>
      <w:pPr>
        <w:pStyle w:val="Heading1"/>
      </w:pPr>
      <w:r>
        <w:t>4. Canonical Authorization Separation</w:t>
      </w:r>
    </w:p>
    <w:p>
      <w:pPr>
        <w:pStyle w:val="ListBullet"/>
      </w:pPr>
      <w:r>
        <w:t>Visibility = intended audience / discoverability scope.</w:t>
      </w:r>
    </w:p>
    <w:p>
      <w:pPr>
        <w:pStyle w:val="ListBullet"/>
      </w:pPr>
      <w:r>
        <w:t>Authorization = capability/permission to perform an operation on a resource.</w:t>
      </w:r>
    </w:p>
    <w:p>
      <w:pPr>
        <w:pStyle w:val="ListBullet"/>
      </w:pPr>
      <w:r>
        <w:t>RLS / data scope = second enforcement layer for data access.</w:t>
      </w:r>
    </w:p>
    <w:p>
      <w:pPr>
        <w:pStyle w:val="ListBullet"/>
      </w:pPr>
      <w:r>
        <w:t>Commercial Entitlement = commercial access right; not an RBAC permission.</w:t>
      </w:r>
    </w:p>
    <w:p>
      <w:pPr>
        <w:pStyle w:val="ListBullet"/>
      </w:pPr>
      <w:r>
        <w:t>Qualification / Awarding Authority = learning outcome authority; not an operational permission.</w:t>
      </w:r>
    </w:p>
    <w:p>
      <w:pPr>
        <w:pStyle w:val="ListBullet"/>
      </w:pPr>
      <w:r>
        <w:t>Provider credentials = infrastructure/adapter controlled; never ordinary user authorization.</w:t>
      </w:r>
    </w:p>
    <w:p>
      <w:pPr>
        <w:pStyle w:val="Heading1"/>
      </w:pPr>
      <w:r>
        <w:t>5. Session Capability Families — Semantic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Capability family</w:t>
            </w:r>
          </w:p>
        </w:tc>
        <w:tc>
          <w:tcPr>
            <w:tcW w:type="dxa" w:w="2160"/>
            <w:shd w:fill="D9EAF7"/>
          </w:tcPr>
          <w:p>
            <w:r>
              <w:t>Purpose</w:t>
            </w:r>
          </w:p>
        </w:tc>
        <w:tc>
          <w:tcPr>
            <w:tcW w:type="dxa" w:w="2160"/>
            <w:shd w:fill="D9EAF7"/>
          </w:tcPr>
          <w:p>
            <w:r>
              <w:t>Scope principle</w:t>
            </w:r>
          </w:p>
        </w:tc>
        <w:tc>
          <w:tcPr>
            <w:tcW w:type="dxa" w:w="2160"/>
            <w:shd w:fill="D9EAF7"/>
          </w:tcPr>
          <w:p>
            <w:r>
              <w:t>Physical ID</w:t>
            </w:r>
          </w:p>
        </w:tc>
      </w:tr>
      <w:tr>
        <w:tc>
          <w:tcPr>
            <w:tcW w:type="dxa" w:w="2160"/>
          </w:tcPr>
          <w:p>
            <w:r>
              <w:t>Session read</w:t>
            </w:r>
          </w:p>
        </w:tc>
        <w:tc>
          <w:tcPr>
            <w:tcW w:type="dxa" w:w="2160"/>
          </w:tcPr>
          <w:p>
            <w:r>
              <w:t>Read permitted Session catalog/detail</w:t>
            </w:r>
          </w:p>
        </w:tc>
        <w:tc>
          <w:tcPr>
            <w:tcW w:type="dxa" w:w="2160"/>
          </w:tcPr>
          <w:p>
            <w:r>
              <w:t>Visibility + authorized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Session manage</w:t>
            </w:r>
          </w:p>
        </w:tc>
        <w:tc>
          <w:tcPr>
            <w:tcW w:type="dxa" w:w="2160"/>
          </w:tcPr>
          <w:p>
            <w:r>
              <w:t>Create/update/manage Session</w:t>
            </w:r>
          </w:p>
        </w:tc>
        <w:tc>
          <w:tcPr>
            <w:tcW w:type="dxa" w:w="2160"/>
          </w:tcPr>
          <w:p>
            <w:r>
              <w:t>Own/resource or organization scope as granted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Session lifecycle</w:t>
            </w:r>
          </w:p>
        </w:tc>
        <w:tc>
          <w:tcPr>
            <w:tcW w:type="dxa" w:w="2160"/>
          </w:tcPr>
          <w:p>
            <w:r>
              <w:t>Execute governed lifecycle operations</w:t>
            </w:r>
          </w:p>
        </w:tc>
        <w:tc>
          <w:tcPr>
            <w:tcW w:type="dxa" w:w="2160"/>
          </w:tcPr>
          <w:p>
            <w:r>
              <w:t>Specific Session/resource or privileged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Session enroll</w:t>
            </w:r>
          </w:p>
        </w:tc>
        <w:tc>
          <w:tcPr>
            <w:tcW w:type="dxa" w:w="2160"/>
          </w:tcPr>
          <w:p>
            <w:r>
              <w:t>Create own Session Enrollment</w:t>
            </w:r>
          </w:p>
        </w:tc>
        <w:tc>
          <w:tcPr>
            <w:tcW w:type="dxa" w:w="2160"/>
          </w:tcPr>
          <w:p>
            <w:r>
              <w:t>Own actor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Session access</w:t>
            </w:r>
          </w:p>
        </w:tc>
        <w:tc>
          <w:tcPr>
            <w:tcW w:type="dxa" w:w="2160"/>
          </w:tcPr>
          <w:p>
            <w:r>
              <w:t>Resolve/access Session</w:t>
            </w:r>
          </w:p>
        </w:tc>
        <w:tc>
          <w:tcPr>
            <w:tcW w:type="dxa" w:w="2160"/>
          </w:tcPr>
          <w:p>
            <w:r>
              <w:t>Enrollment/eligibility + visibility + entitlement where applicable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Host operation</w:t>
            </w:r>
          </w:p>
        </w:tc>
        <w:tc>
          <w:tcPr>
            <w:tcW w:type="dxa" w:w="2160"/>
          </w:tcPr>
          <w:p>
            <w:r>
              <w:t>Host/live-session/provider operations</w:t>
            </w:r>
          </w:p>
        </w:tc>
        <w:tc>
          <w:tcPr>
            <w:tcW w:type="dxa" w:w="2160"/>
          </w:tcPr>
          <w:p>
            <w:r>
              <w:t>Explicit Host capability + resource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Instructor operation</w:t>
            </w:r>
          </w:p>
        </w:tc>
        <w:tc>
          <w:tcPr>
            <w:tcW w:type="dxa" w:w="2160"/>
          </w:tcPr>
          <w:p>
            <w:r>
              <w:t>Teaching/instructor function</w:t>
            </w:r>
          </w:p>
        </w:tc>
        <w:tc>
          <w:tcPr>
            <w:tcW w:type="dxa" w:w="2160"/>
          </w:tcPr>
          <w:p>
            <w:r>
              <w:t>Explicit Instructor capability + assigned Session/resource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Provider binding</w:t>
            </w:r>
          </w:p>
        </w:tc>
        <w:tc>
          <w:tcPr>
            <w:tcW w:type="dxa" w:w="2160"/>
          </w:tcPr>
          <w:p>
            <w:r>
              <w:t>Bind/switch provider</w:t>
            </w:r>
          </w:p>
        </w:tc>
        <w:tc>
          <w:tcPr>
            <w:tcW w:type="dxa" w:w="2160"/>
          </w:tcPr>
          <w:p>
            <w:r>
              <w:t>Privileged explicit authorization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Attendance review</w:t>
            </w:r>
          </w:p>
        </w:tc>
        <w:tc>
          <w:tcPr>
            <w:tcW w:type="dxa" w:w="2160"/>
          </w:tcPr>
          <w:p>
            <w:r>
              <w:t>Evaluate/review attendance</w:t>
            </w:r>
          </w:p>
        </w:tc>
        <w:tc>
          <w:tcPr>
            <w:tcW w:type="dxa" w:w="2160"/>
          </w:tcPr>
          <w:p>
            <w:r>
              <w:t>Explicit Learning capability + governed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Recording manage</w:t>
            </w:r>
          </w:p>
        </w:tc>
        <w:tc>
          <w:tcPr>
            <w:tcW w:type="dxa" w:w="2160"/>
          </w:tcPr>
          <w:p>
            <w:r>
              <w:t>Manage recording artifact/reference</w:t>
            </w:r>
          </w:p>
        </w:tc>
        <w:tc>
          <w:tcPr>
            <w:tcW w:type="dxa" w:w="2160"/>
          </w:tcPr>
          <w:p>
            <w:r>
              <w:t>Explicit capability + Session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Visibility manage</w:t>
            </w:r>
          </w:p>
        </w:tc>
        <w:tc>
          <w:tcPr>
            <w:tcW w:type="dxa" w:w="2160"/>
          </w:tcPr>
          <w:p>
            <w:r>
              <w:t>Change Session visibility</w:t>
            </w:r>
          </w:p>
        </w:tc>
        <w:tc>
          <w:tcPr>
            <w:tcW w:type="dxa" w:w="2160"/>
          </w:tcPr>
          <w:p>
            <w:r>
              <w:t>Explicit capability + Session scope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  <w:tr>
        <w:tc>
          <w:tcPr>
            <w:tcW w:type="dxa" w:w="2160"/>
          </w:tcPr>
          <w:p>
            <w:r>
              <w:t>Completion evaluate</w:t>
            </w:r>
          </w:p>
        </w:tc>
        <w:tc>
          <w:tcPr>
            <w:tcW w:type="dxa" w:w="2160"/>
          </w:tcPr>
          <w:p>
            <w:r>
              <w:t>Evaluate/finalize governed completion</w:t>
            </w:r>
          </w:p>
        </w:tc>
        <w:tc>
          <w:tcPr>
            <w:tcW w:type="dxa" w:w="2160"/>
          </w:tcPr>
          <w:p>
            <w:r>
              <w:t>Explicit Learning capability/system governance</w:t>
            </w:r>
          </w:p>
        </w:tc>
        <w:tc>
          <w:tcPr>
            <w:tcW w:type="dxa" w:w="2160"/>
          </w:tcPr>
          <w:p>
            <w:r>
              <w:t>NOT DEFINED</w:t>
            </w:r>
          </w:p>
        </w:tc>
      </w:tr>
    </w:tbl>
    <w:p>
      <w:pPr>
        <w:pStyle w:val="Heading1"/>
      </w:pPr>
      <w:r>
        <w:t>6. Role Compatibility Rules</w:t>
      </w:r>
    </w:p>
    <w:p>
      <w:pPr>
        <w:pStyle w:val="ListBullet"/>
      </w:pPr>
      <w:r>
        <w:t>Do not create a new RBAC role named Host or Instructor solely for Learning Session.</w:t>
      </w:r>
    </w:p>
    <w:p>
      <w:pPr>
        <w:pStyle w:val="ListBullet"/>
      </w:pPr>
      <w:r>
        <w:t>Existing roles remain the actor-grouping authority; capabilities/permissions express operations.</w:t>
      </w:r>
    </w:p>
    <w:p>
      <w:pPr>
        <w:pStyle w:val="ListBullet"/>
      </w:pPr>
      <w:r>
        <w:t>Instructor does not automatically inherit Host authority.</w:t>
      </w:r>
    </w:p>
    <w:p>
      <w:pPr>
        <w:pStyle w:val="ListBullet"/>
      </w:pPr>
      <w:r>
        <w:t>Host does not automatically inherit Instructor authority.</w:t>
      </w:r>
    </w:p>
    <w:p>
      <w:pPr>
        <w:pStyle w:val="ListBullet"/>
      </w:pPr>
      <w:r>
        <w:t>One actor may hold both only through explicit authorization.</w:t>
      </w:r>
    </w:p>
    <w:p>
      <w:pPr>
        <w:pStyle w:val="ListBullet"/>
      </w:pPr>
      <w:r>
        <w:t>Organization membership does not automatically grant Session management/provider operations.</w:t>
      </w:r>
    </w:p>
    <w:p>
      <w:pPr>
        <w:pStyle w:val="ListBullet"/>
      </w:pPr>
      <w:r>
        <w:t>Agent ownership boundaries remain intact; scope values cannot bypass ownership.</w:t>
      </w:r>
    </w:p>
    <w:p>
      <w:pPr>
        <w:pStyle w:val="ListBullet"/>
      </w:pPr>
      <w:r>
        <w:t>Provider Adapter/System is a technical actor, not a human RBAC role.</w:t>
      </w:r>
    </w:p>
    <w:p>
      <w:pPr>
        <w:pStyle w:val="Heading1"/>
      </w:pPr>
      <w:r>
        <w:t>7. Visibility-to-Authorization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Visibility</w:t>
            </w:r>
          </w:p>
        </w:tc>
        <w:tc>
          <w:tcPr>
            <w:tcW w:type="dxa" w:w="1728"/>
            <w:shd w:fill="D9EAF7"/>
          </w:tcPr>
          <w:p>
            <w:r>
              <w:t>Discovery</w:t>
            </w:r>
          </w:p>
        </w:tc>
        <w:tc>
          <w:tcPr>
            <w:tcW w:type="dxa" w:w="1728"/>
            <w:shd w:fill="D9EAF7"/>
          </w:tcPr>
          <w:p>
            <w:r>
              <w:t>Access</w:t>
            </w:r>
          </w:p>
        </w:tc>
        <w:tc>
          <w:tcPr>
            <w:tcW w:type="dxa" w:w="1728"/>
            <w:shd w:fill="D9EAF7"/>
          </w:tcPr>
          <w:p>
            <w:r>
              <w:t>Action</w:t>
            </w:r>
          </w:p>
        </w:tc>
        <w:tc>
          <w:tcPr>
            <w:tcW w:type="dxa" w:w="1728"/>
            <w:shd w:fill="D9EAF7"/>
          </w:tcPr>
          <w:p>
            <w:r>
              <w:t>Critical Rule</w:t>
            </w:r>
          </w:p>
        </w:tc>
      </w:tr>
      <w:tr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General audience</w:t>
            </w:r>
          </w:p>
        </w:tc>
        <w:tc>
          <w:tcPr>
            <w:tcW w:type="dxa" w:w="1728"/>
          </w:tcPr>
          <w:p>
            <w:r>
              <w:t>Still subject to eligibility/enrollment/entitlement</w:t>
            </w:r>
          </w:p>
        </w:tc>
        <w:tc>
          <w:tcPr>
            <w:tcW w:type="dxa" w:w="1728"/>
          </w:tcPr>
          <w:p>
            <w:r>
              <w:t>Never implied</w:t>
            </w:r>
          </w:p>
        </w:tc>
        <w:tc>
          <w:tcPr>
            <w:tcW w:type="dxa" w:w="1728"/>
          </w:tcPr>
          <w:p>
            <w:r>
              <w:t>Public visibility does not grant mutation</w:t>
            </w:r>
          </w:p>
        </w:tc>
      </w:tr>
      <w:tr>
        <w:tc>
          <w:tcPr>
            <w:tcW w:type="dxa" w:w="1728"/>
          </w:tcPr>
          <w:p>
            <w:r>
              <w:t>ORGANIZATION</w:t>
            </w:r>
          </w:p>
        </w:tc>
        <w:tc>
          <w:tcPr>
            <w:tcW w:type="dxa" w:w="1728"/>
          </w:tcPr>
          <w:p>
            <w:r>
              <w:t>Organization-scoped</w:t>
            </w:r>
          </w:p>
        </w:tc>
        <w:tc>
          <w:tcPr>
            <w:tcW w:type="dxa" w:w="1728"/>
          </w:tcPr>
          <w:p>
            <w:r>
              <w:t>Applicable organization eligibility + access rules</w:t>
            </w:r>
          </w:p>
        </w:tc>
        <w:tc>
          <w:tcPr>
            <w:tcW w:type="dxa" w:w="1728"/>
          </w:tcPr>
          <w:p>
            <w:r>
              <w:t>Explicit permission + organization/resource scope</w:t>
            </w:r>
          </w:p>
        </w:tc>
        <w:tc>
          <w:tcPr>
            <w:tcW w:type="dxa" w:w="1728"/>
          </w:tcPr>
          <w:p>
            <w:r>
              <w:t>Membership ≠ management authority</w:t>
            </w:r>
          </w:p>
        </w:tc>
      </w:tr>
      <w:tr>
        <w:tc>
          <w:tcPr>
            <w:tcW w:type="dxa" w:w="1728"/>
          </w:tcPr>
          <w:p>
            <w:r>
              <w:t>PARTNER</w:t>
            </w:r>
          </w:p>
        </w:tc>
        <w:tc>
          <w:tcPr>
            <w:tcW w:type="dxa" w:w="1728"/>
          </w:tcPr>
          <w:p>
            <w:r>
              <w:t>Partner-scoped</w:t>
            </w:r>
          </w:p>
        </w:tc>
        <w:tc>
          <w:tcPr>
            <w:tcW w:type="dxa" w:w="1728"/>
          </w:tcPr>
          <w:p>
            <w:r>
              <w:t>Partner eligibility + access rules</w:t>
            </w:r>
          </w:p>
        </w:tc>
        <w:tc>
          <w:tcPr>
            <w:tcW w:type="dxa" w:w="1728"/>
          </w:tcPr>
          <w:p>
            <w:r>
              <w:t>Explicit permission + partner/resource scope</w:t>
            </w:r>
          </w:p>
        </w:tc>
        <w:tc>
          <w:tcPr>
            <w:tcW w:type="dxa" w:w="1728"/>
          </w:tcPr>
          <w:p>
            <w:r>
              <w:t>Partner context must not be inferred</w:t>
            </w:r>
          </w:p>
        </w:tc>
      </w:tr>
      <w:tr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Restricted</w:t>
            </w:r>
          </w:p>
        </w:tc>
        <w:tc>
          <w:tcPr>
            <w:tcW w:type="dxa" w:w="1728"/>
          </w:tcPr>
          <w:p>
            <w:r>
              <w:t>Explicitly governed audience</w:t>
            </w:r>
          </w:p>
        </w:tc>
        <w:tc>
          <w:tcPr>
            <w:tcW w:type="dxa" w:w="1728"/>
          </w:tcPr>
          <w:p>
            <w:r>
              <w:t>Explicit permission + resource scope</w:t>
            </w:r>
          </w:p>
        </w:tc>
        <w:tc>
          <w:tcPr>
            <w:tcW w:type="dxa" w:w="1728"/>
          </w:tcPr>
          <w:p>
            <w:r>
              <w:t>Exact private-audience persistence remains downstream</w:t>
            </w:r>
          </w:p>
        </w:tc>
      </w:tr>
    </w:tbl>
    <w:p>
      <w:pPr>
        <w:pStyle w:val="Heading1"/>
      </w:pPr>
      <w:r>
        <w:t>8. Authorization Evaluation Flow</w:t>
      </w:r>
    </w:p>
    <w:p>
      <w:r>
        <w:t>Authenticate actor.</w:t>
      </w:r>
    </w:p>
    <w:p>
      <w:r>
        <w:t>Resolve eligibility and applicable context.</w:t>
      </w:r>
    </w:p>
    <w:p>
      <w:r>
        <w:t>Resolve role/capability/permission according to the governing authorization taxonomy.</w:t>
      </w:r>
    </w:p>
    <w:p>
      <w:r>
        <w:t>Evaluate scope against the target Session/resource.</w:t>
      </w:r>
    </w:p>
    <w:p>
      <w:r>
        <w:t>Evaluate separate Commercial Entitlement or qualification requirement where applicable.</w:t>
      </w:r>
    </w:p>
    <w:p>
      <w:r>
        <w:t>Authorize the operation.</w:t>
      </w:r>
    </w:p>
    <w:p>
      <w:r>
        <w:t>Apply RLS/data-scope enforcement as the second layer.</w:t>
      </w:r>
    </w:p>
    <w:p>
      <w:r>
        <w:t>Only then permit provider/infrastructure operations.</w:t>
      </w:r>
    </w:p>
    <w:p>
      <w:pPr>
        <w:pStyle w:val="Heading1"/>
      </w:pPr>
      <w:r>
        <w:t>9. Open / Decision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Item</w:t>
            </w:r>
          </w:p>
        </w:tc>
        <w:tc>
          <w:tcPr>
            <w:tcW w:type="dxa" w:w="2160"/>
            <w:shd w:fill="D9EAF7"/>
          </w:tcPr>
          <w:p>
            <w:r>
              <w:t>Current source status</w:t>
            </w:r>
          </w:p>
        </w:tc>
        <w:tc>
          <w:tcPr>
            <w:tcW w:type="dxa" w:w="2160"/>
            <w:shd w:fill="D9EAF7"/>
          </w:tcPr>
          <w:p>
            <w:r>
              <w:t>Can TECH-03 close it?</w:t>
            </w:r>
          </w:p>
        </w:tc>
        <w:tc>
          <w:tcPr>
            <w:tcW w:type="dxa" w:w="2160"/>
            <w:shd w:fill="D9EAF7"/>
          </w:tcPr>
          <w:p>
            <w:r>
              <w:t>Next action</w:t>
            </w:r>
          </w:p>
        </w:tc>
      </w:tr>
      <w:tr>
        <w:tc>
          <w:tcPr>
            <w:tcW w:type="dxa" w:w="2160"/>
          </w:tcPr>
          <w:p>
            <w:r>
              <w:t>MADCR-053 semantic taxonomy</w:t>
            </w:r>
          </w:p>
        </w:tc>
        <w:tc>
          <w:tcPr>
            <w:tcW w:type="dxa" w:w="2160"/>
          </w:tcPr>
          <w:p>
            <w:r>
              <w:t>OPEN / DECISION-READY in latest surfaced source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Formal user approval / governance closure</w:t>
            </w:r>
          </w:p>
        </w:tc>
      </w:tr>
      <w:tr>
        <w:tc>
          <w:tcPr>
            <w:tcW w:type="dxa" w:w="2160"/>
          </w:tcPr>
          <w:p>
            <w:r>
              <w:t>Exact permission IDs</w:t>
            </w:r>
          </w:p>
        </w:tc>
        <w:tc>
          <w:tcPr>
            <w:tcW w:type="dxa" w:w="2160"/>
          </w:tcPr>
          <w:p>
            <w:r>
              <w:t>Not decided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Reconcile with actual current permission catalogue after 053</w:t>
            </w:r>
          </w:p>
        </w:tc>
      </w:tr>
      <w:tr>
        <w:tc>
          <w:tcPr>
            <w:tcW w:type="dxa" w:w="2160"/>
          </w:tcPr>
          <w:p>
            <w:r>
              <w:t>Physical RBAC schema/cardinality</w:t>
            </w:r>
          </w:p>
        </w:tc>
        <w:tc>
          <w:tcPr>
            <w:tcW w:type="dxa" w:w="2160"/>
          </w:tcPr>
          <w:p>
            <w:r>
              <w:t>Not decided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Downstream technical design</w:t>
            </w:r>
          </w:p>
        </w:tc>
      </w:tr>
      <w:tr>
        <w:tc>
          <w:tcPr>
            <w:tcW w:type="dxa" w:w="2160"/>
          </w:tcPr>
          <w:p>
            <w:r>
              <w:t>RLS SQL/policies</w:t>
            </w:r>
          </w:p>
        </w:tc>
        <w:tc>
          <w:tcPr>
            <w:tcW w:type="dxa" w:w="2160"/>
          </w:tcPr>
          <w:p>
            <w:r>
              <w:t>Not decided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Downstream implementation gate</w:t>
            </w:r>
          </w:p>
        </w:tc>
      </w:tr>
      <w:tr>
        <w:tc>
          <w:tcPr>
            <w:tcW w:type="dxa" w:w="2160"/>
          </w:tcPr>
          <w:p>
            <w:r>
              <w:t>Organization/Partner cardinality</w:t>
            </w:r>
          </w:p>
        </w:tc>
        <w:tc>
          <w:tcPr>
            <w:tcW w:type="dxa" w:w="2160"/>
          </w:tcPr>
          <w:p>
            <w:r>
              <w:t>Not decided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Physical scope design</w:t>
            </w:r>
          </w:p>
        </w:tc>
      </w:tr>
      <w:tr>
        <w:tc>
          <w:tcPr>
            <w:tcW w:type="dxa" w:w="2160"/>
          </w:tcPr>
          <w:p>
            <w:r>
              <w:t>Provider OAuth scopes</w:t>
            </w:r>
          </w:p>
        </w:tc>
        <w:tc>
          <w:tcPr>
            <w:tcW w:type="dxa" w:w="2160"/>
          </w:tcPr>
          <w:p>
            <w:r>
              <w:t>Not decided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Provider capability/technical research</w:t>
            </w:r>
          </w:p>
        </w:tc>
      </w:tr>
      <w:tr>
        <w:tc>
          <w:tcPr>
            <w:tcW w:type="dxa" w:w="2160"/>
          </w:tcPr>
          <w:p>
            <w:r>
              <w:t>Automatic failover</w:t>
            </w:r>
          </w:p>
        </w:tc>
        <w:tc>
          <w:tcPr>
            <w:tcW w:type="dxa" w:w="2160"/>
          </w:tcPr>
          <w:p>
            <w:r>
              <w:t>OPEN / DEFERRED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AEP4-OD-08 separate gate</w:t>
            </w:r>
          </w:p>
        </w:tc>
      </w:tr>
    </w:tbl>
    <w:p>
      <w:pPr>
        <w:pStyle w:val="Heading1"/>
      </w:pPr>
      <w:r>
        <w:t>10. Lead Assessment</w:t>
      </w:r>
    </w:p>
    <w:p>
      <w:r>
        <w:t>TECH-03 dapat ditutup pada level semantic readiness, tetapi tidak dapat ditutup sebagai final RBAC reconciliation selama MADCR-053 belum memiliki approval evidence yang surfaced dalam current source set. Ini bukan blocker terhadap Visibility decision yang sudah approved; ini adalah governance gate untuk final cross-domain permission taxonomy.</w:t>
      </w:r>
    </w:p>
    <w:p>
      <w:r>
        <w:t>Tidak ada alasan untuk membuka kembali Visibility. Visibility vocabulary sudah final pada level semantic. Yang perlu dilakukan adalah menyelesaikan governance taxonomy MADCR-053, lalu memetakan capability families ke permission catalogue aktual tanpa mengubah existing M01–M13 IDs secara diam-diam.</w:t>
      </w:r>
    </w:p>
    <w:p>
      <w:pPr>
        <w:pStyle w:val="Heading1"/>
      </w:pPr>
      <w:r>
        <w:t>11. User Open Decision</w:t>
      </w:r>
    </w:p>
    <w:p>
      <w:r>
        <w:t>Satu keputusan governance yang masih diperlukan bila kita ingin menutup TECH-03 sepenuhnya: apakah taxonomy MADCR-053 berikut diterima sebagai canonical semantic foundation?</w:t>
      </w:r>
    </w:p>
    <w:p>
      <w:r>
        <w:rPr>
          <w:b/>
        </w:rPr>
        <w:t>Capability + Permission + Scope; Role sebagai actor grouping; Commercial Entitlement dan Qualification/Awarding Authority tetap terpisah.</w:t>
      </w:r>
    </w:p>
    <w:p>
      <w:r>
        <w:t>Source Decision Brief merekomendasikan model ini dan menyatakan MADCR-053 = OPEN / DECISION-READY. Saya tidak akan menganggapnya approved tanpa keputusan eksplisit.</w:t>
      </w:r>
    </w:p>
    <w:p>
      <w:pPr>
        <w:pStyle w:val="Heading1"/>
      </w:pPr>
      <w:r>
        <w:t>12. Gate Result</w:t>
      </w:r>
    </w:p>
    <w:p>
      <w:r>
        <w:t>TECH-03 = READY FOR GOVERNANCE DECISION; PHYSICAL RBAC/RLS IMPLEMENTATION NOT AUTHORIZED.</w:t>
      </w:r>
    </w:p>
    <w:p>
      <w:pPr>
        <w:pStyle w:val="Heading1"/>
      </w:pPr>
      <w:r>
        <w:t>13. Source Traceability</w:t>
      </w:r>
    </w:p>
    <w:p>
      <w:r>
        <w:t>MADCR-053 Decision Brief — cross-domain permission taxonomy and scope vocabulary.</w:t>
      </w:r>
    </w:p>
    <w:p>
      <w:r>
        <w:t>R2 MADCR-053/054 Governance Readiness Assessment — source-level readiness and non-approval boundary.</w:t>
      </w:r>
    </w:p>
    <w:p>
      <w:r>
        <w:t>MADCR-054 Formal Decision &amp; Closure — Host/Instructor separation and explicit authorization.</w:t>
      </w:r>
    </w:p>
    <w:p>
      <w:r>
        <w:t>AEP4 STEP-10 RBAC Permission Impact — conceptual Session capability families and RBAC/RLS invariants.</w:t>
      </w:r>
    </w:p>
    <w:p>
      <w:r>
        <w:t>AEP4 corrected current-state artifact — semantic visibility and authorization dependency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