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RUMAHAGEN — TECH-05</w:t>
      </w:r>
    </w:p>
    <w:p>
      <w:pPr>
        <w:jc w:val="center"/>
      </w:pPr>
      <w:r>
        <w:rPr>
          <w:i/>
        </w:rPr>
        <w:t>Authorization Scope &amp; RLS Design Readiness</w:t>
      </w:r>
    </w:p>
    <w:p>
      <w:r>
        <w:rPr>
          <w:b/>
        </w:rPr>
        <w:t xml:space="preserve">Status: </w:t>
      </w:r>
      <w:r>
        <w:t>READY WITH CONTROLLED PHYSICAL-DESIGN RESIDUALS</w:t>
      </w:r>
    </w:p>
    <w:p>
      <w:pPr>
        <w:pStyle w:val="Heading1"/>
      </w:pPr>
      <w:r>
        <w:t>1. Purpose</w:t>
      </w:r>
    </w:p>
    <w:p>
      <w:r>
        <w:t>TECH-05 menentukan boundary desain authorization scope dan RLS untuk Learning Session setelah TECH-02 visibility dan TECH-04 semantic permission reconciliation. Artifact ini bukan migration, bukan SQL implementation, dan bukan final physical schema approval.</w:t>
      </w:r>
    </w:p>
    <w:p>
      <w:pPr>
        <w:pStyle w:val="Heading1"/>
      </w:pPr>
      <w:r>
        <w:t>2. Source Authority Used</w:t>
      </w:r>
    </w:p>
    <w:p>
      <w:pPr>
        <w:pStyle w:val="ListBullet"/>
      </w:pPr>
      <w:r>
        <w:t>ADR-003 / current RBAC architecture: platform RBAC is the authorization foundation; RLS is an enforcement layer.</w:t>
      </w:r>
    </w:p>
    <w:p>
      <w:pPr>
        <w:pStyle w:val="ListBullet"/>
      </w:pPr>
      <w:r>
        <w:t>ADR-026 Organization Model Strategy: Organization uses organizations, organization_members, organization_invitations; one active Organization per agent.</w:t>
      </w:r>
    </w:p>
    <w:p>
      <w:pPr>
        <w:pStyle w:val="ListBullet"/>
      </w:pPr>
      <w:r>
        <w:t>ADR-027 Organization-Scoped Authorization Strategy: Organization authorization is independent from platform RBAC and does not expand permissions.scope_type beyond all/own/none.</w:t>
      </w:r>
    </w:p>
    <w:p>
      <w:pPr>
        <w:pStyle w:val="ListBullet"/>
      </w:pPr>
      <w:r>
        <w:t>AEP4 STEP-10 RBAC impact: Session capability families, hard ownership, visibility and RLS boundaries.</w:t>
      </w:r>
    </w:p>
    <w:p>
      <w:pPr>
        <w:pStyle w:val="ListBullet"/>
      </w:pPr>
      <w:r>
        <w:t>MADCR-053 approved in the current execution thread: Capability + Permission + Scope; Role is actor grouping; Entitlement and Qualification/Awarding remain separate.</w:t>
      </w:r>
    </w:p>
    <w:p>
      <w:pPr>
        <w:pStyle w:val="ListBullet"/>
      </w:pPr>
      <w:r>
        <w:t>MADCR-054 governing: Host and Instructor are separate capabilities; explicit authorization is required for dual capability.</w:t>
      </w:r>
    </w:p>
    <w:p>
      <w:pPr>
        <w:pStyle w:val="ListBullet"/>
      </w:pPr>
      <w:r>
        <w:t>TECH-02: approved visibility vocabulary PUBLIC / ORGANIZATION / PARTNER / PRIVATE.</w:t>
      </w:r>
    </w:p>
    <w:p>
      <w:pPr>
        <w:pStyle w:val="ListBullet"/>
      </w:pPr>
      <w:r>
        <w:t>TECH-04: semantic capability reconciliation; exact permission IDs remain controlled until catalogue evidence is sufficient.</w:t>
      </w:r>
    </w:p>
    <w:p>
      <w:pPr>
        <w:pStyle w:val="Heading1"/>
      </w:pPr>
      <w:r>
        <w:t>3. Critical Architectural Boundary</w:t>
      </w:r>
    </w:p>
    <w:p>
      <w:r>
        <w:t>The source architecture distinguishes platform RBAC from Organization-scoped authorization. ADR-027 explicitly preserves the platform permissions.scope_type values all/own/none and evaluates organization_members.role + organization_members.organization_id against the target organization's resource after the platform RBAC gate. The system architecture also describes Organization-scoped authorization as an independent layer for Organization endpoints. TECH-05 therefore does not reinterpret Organization as a fourth platform RBAC scope type.</w:t>
      </w:r>
    </w:p>
    <w:p>
      <w:pPr>
        <w:pStyle w:val="Heading1"/>
      </w:pPr>
      <w:r>
        <w:t>4. Effective Authorization Model</w:t>
      </w:r>
    </w:p>
    <w:p>
      <w:pPr>
        <w:pStyle w:val="ListNumber"/>
      </w:pPr>
      <w:r>
        <w:t>Authentication / identity context</w:t>
      </w:r>
    </w:p>
    <w:p>
      <w:pPr>
        <w:pStyle w:val="ListNumber"/>
      </w:pPr>
      <w:r>
        <w:t>Platform RBAC: role → permission → granted_scope (all / own / none)</w:t>
      </w:r>
    </w:p>
    <w:p>
      <w:pPr>
        <w:pStyle w:val="ListNumber"/>
      </w:pPr>
      <w:r>
        <w:t>Resource ownership / hard ownership rules where applicable</w:t>
      </w:r>
    </w:p>
    <w:p>
      <w:pPr>
        <w:pStyle w:val="ListNumber"/>
      </w:pPr>
      <w:r>
        <w:t>Visibility evaluation: PUBLIC / ORGANIZATION / PARTNER / PRIVATE</w:t>
      </w:r>
    </w:p>
    <w:p>
      <w:pPr>
        <w:pStyle w:val="ListNumber"/>
      </w:pPr>
      <w:r>
        <w:t>Domain-specific Organization or Partner authority when the Session is scoped to those contexts</w:t>
      </w:r>
    </w:p>
    <w:p>
      <w:pPr>
        <w:pStyle w:val="ListNumber"/>
      </w:pPr>
      <w:r>
        <w:t>Commercial Entitlement where access is paid</w:t>
      </w:r>
    </w:p>
    <w:p>
      <w:pPr>
        <w:pStyle w:val="ListNumber"/>
      </w:pPr>
      <w:r>
        <w:t>RLS / database enforcement of the effective resource/data scope</w:t>
      </w:r>
    </w:p>
    <w:p>
      <w:pPr>
        <w:pStyle w:val="ListNumber"/>
      </w:pPr>
      <w:r>
        <w:t>Provider access only after the above authorization path succeeds</w:t>
      </w:r>
    </w:p>
    <w:p>
      <w:r>
        <w:t>Important: this sequence is a design boundary, not a claim that all layers must be implemented as separate middleware functions or tables. Physical composition remains an implementation concern.</w:t>
      </w:r>
    </w:p>
    <w:p>
      <w:pPr>
        <w:pStyle w:val="Heading1"/>
      </w:pPr>
      <w:r>
        <w:t>5. Visibility → Scope Resolution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</w:tcPr>
          <w:p>
            <w:r>
              <w:t>Visibility</w:t>
            </w:r>
          </w:p>
        </w:tc>
        <w:tc>
          <w:tcPr>
            <w:tcW w:type="dxa" w:w="2016"/>
            <w:shd w:fill="D9EAF7"/>
          </w:tcPr>
          <w:p>
            <w:r>
              <w:t>Primary scope context</w:t>
            </w:r>
          </w:p>
        </w:tc>
        <w:tc>
          <w:tcPr>
            <w:tcW w:type="dxa" w:w="2016"/>
            <w:shd w:fill="D9EAF7"/>
          </w:tcPr>
          <w:p>
            <w:r>
              <w:t>Required authorization condition</w:t>
            </w:r>
          </w:p>
        </w:tc>
        <w:tc>
          <w:tcPr>
            <w:tcW w:type="dxa" w:w="2016"/>
            <w:shd w:fill="D9EAF7"/>
          </w:tcPr>
          <w:p>
            <w:r>
              <w:t>RLS/data boundary</w:t>
            </w:r>
          </w:p>
        </w:tc>
        <w:tc>
          <w:tcPr>
            <w:tcW w:type="dxa" w:w="2016"/>
            <w:shd w:fill="D9EAF7"/>
          </w:tcPr>
          <w:p>
            <w:r>
              <w:t>Do not infer</w:t>
            </w:r>
          </w:p>
        </w:tc>
      </w:tr>
      <w:tr>
        <w:tc>
          <w:tcPr>
            <w:tcW w:type="dxa" w:w="2016"/>
          </w:tcPr>
          <w:p>
            <w:r>
              <w:t>PUBLIC</w:t>
            </w:r>
          </w:p>
        </w:tc>
        <w:tc>
          <w:tcPr>
            <w:tcW w:type="dxa" w:w="2016"/>
          </w:tcPr>
          <w:p>
            <w:r>
              <w:t>General/public</w:t>
            </w:r>
          </w:p>
        </w:tc>
        <w:tc>
          <w:tcPr>
            <w:tcW w:type="dxa" w:w="2016"/>
          </w:tcPr>
          <w:p>
            <w:r>
              <w:t>Protected actions still require explicit permission; paid access may require entitlement</w:t>
            </w:r>
          </w:p>
        </w:tc>
        <w:tc>
          <w:tcPr>
            <w:tcW w:type="dxa" w:w="2016"/>
          </w:tcPr>
          <w:p>
            <w:r>
              <w:t>Public-readable fields + protected mutations</w:t>
            </w:r>
          </w:p>
        </w:tc>
        <w:tc>
          <w:tcPr>
            <w:tcW w:type="dxa" w:w="2016"/>
          </w:tcPr>
          <w:p>
            <w:r>
              <w:t>Public ≠ anonymous mutation</w:t>
            </w:r>
          </w:p>
        </w:tc>
      </w:tr>
      <w:tr>
        <w:tc>
          <w:tcPr>
            <w:tcW w:type="dxa" w:w="2016"/>
          </w:tcPr>
          <w:p>
            <w:r>
              <w:t>ORGANIZATION</w:t>
            </w:r>
          </w:p>
        </w:tc>
        <w:tc>
          <w:tcPr>
            <w:tcW w:type="dxa" w:w="2016"/>
          </w:tcPr>
          <w:p>
            <w:r>
              <w:t>Existing Workspace/Organization</w:t>
            </w:r>
          </w:p>
        </w:tc>
        <w:tc>
          <w:tcPr>
            <w:tcW w:type="dxa" w:w="2016"/>
          </w:tcPr>
          <w:p>
            <w:r>
              <w:t>Platform permission + applicable organization authority/membership</w:t>
            </w:r>
          </w:p>
        </w:tc>
        <w:tc>
          <w:tcPr>
            <w:tcW w:type="dxa" w:w="2016"/>
          </w:tcPr>
          <w:p>
            <w:r>
              <w:t>Target organization/resource scope</w:t>
            </w:r>
          </w:p>
        </w:tc>
        <w:tc>
          <w:tcPr>
            <w:tcW w:type="dxa" w:w="2016"/>
          </w:tcPr>
          <w:p>
            <w:r>
              <w:t>Membership ≠ management/provider authority</w:t>
            </w:r>
          </w:p>
        </w:tc>
      </w:tr>
      <w:tr>
        <w:tc>
          <w:tcPr>
            <w:tcW w:type="dxa" w:w="2016"/>
          </w:tcPr>
          <w:p>
            <w:r>
              <w:t>PARTNER</w:t>
            </w:r>
          </w:p>
        </w:tc>
        <w:tc>
          <w:tcPr>
            <w:tcW w:type="dxa" w:w="2016"/>
          </w:tcPr>
          <w:p>
            <w:r>
              <w:t>Partner context</w:t>
            </w:r>
          </w:p>
        </w:tc>
        <w:tc>
          <w:tcPr>
            <w:tcW w:type="dxa" w:w="2016"/>
          </w:tcPr>
          <w:p>
            <w:r>
              <w:t>Platform permission + applicable partner authority</w:t>
            </w:r>
          </w:p>
        </w:tc>
        <w:tc>
          <w:tcPr>
            <w:tcW w:type="dxa" w:w="2016"/>
          </w:tcPr>
          <w:p>
            <w:r>
              <w:t>Partner/resource scope where governed</w:t>
            </w:r>
          </w:p>
        </w:tc>
        <w:tc>
          <w:tcPr>
            <w:tcW w:type="dxa" w:w="2016"/>
          </w:tcPr>
          <w:p>
            <w:r>
              <w:t>Partner ≠ internal Organization</w:t>
            </w:r>
          </w:p>
        </w:tc>
      </w:tr>
      <w:tr>
        <w:tc>
          <w:tcPr>
            <w:tcW w:type="dxa" w:w="2016"/>
          </w:tcPr>
          <w:p>
            <w:r>
              <w:t>PRIVATE</w:t>
            </w:r>
          </w:p>
        </w:tc>
        <w:tc>
          <w:tcPr>
            <w:tcW w:type="dxa" w:w="2016"/>
          </w:tcPr>
          <w:p>
            <w:r>
              <w:t>Explicit audience/resource</w:t>
            </w:r>
          </w:p>
        </w:tc>
        <w:tc>
          <w:tcPr>
            <w:tcW w:type="dxa" w:w="2016"/>
          </w:tcPr>
          <w:p>
            <w:r>
              <w:t>Platform permission + explicit resource/audience eligibility</w:t>
            </w:r>
          </w:p>
        </w:tc>
        <w:tc>
          <w:tcPr>
            <w:tcW w:type="dxa" w:w="2016"/>
          </w:tcPr>
          <w:p>
            <w:r>
              <w:t>Specific Session/audience scope</w:t>
            </w:r>
          </w:p>
        </w:tc>
        <w:tc>
          <w:tcPr>
            <w:tcW w:type="dxa" w:w="2016"/>
          </w:tcPr>
          <w:p>
            <w:r>
              <w:t>Private does not itself define invitation persistence</w:t>
            </w:r>
          </w:p>
        </w:tc>
      </w:tr>
    </w:tbl>
    <w:p>
      <w:pPr>
        <w:pStyle w:val="Heading1"/>
      </w:pPr>
      <w:r>
        <w:t>6. Organization Scope — Current Evidence</w:t>
      </w:r>
    </w:p>
    <w:p>
      <w:r>
        <w:t>The Organization model is a grouping construct in a shared database, not classic tenant isolation. The source defines organizations, organization_members and organization_invitations; one agent may have at most one active Organization membership. Organization role is contextual and separate from platform roles.</w:t>
      </w:r>
    </w:p>
    <w:p>
      <w:r>
        <w:t>ADR-027 requires Organization authorization to remain independent from platform RBAC. For Organization-scoped resources, the relevant organization_members role and organization_id are checked after the platform role gate. The source explicitly rejects adding organization as a fourth permissions.scope_type.</w:t>
      </w:r>
    </w:p>
    <w:p>
      <w:pPr>
        <w:pStyle w:val="Heading1"/>
      </w:pPr>
      <w:r>
        <w:t>7. Session-Specific Scope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Scope area</w:t>
            </w:r>
          </w:p>
        </w:tc>
        <w:tc>
          <w:tcPr>
            <w:tcW w:type="dxa" w:w="2520"/>
            <w:shd w:fill="D9EAF7"/>
          </w:tcPr>
          <w:p>
            <w:r>
              <w:t>Semantic decision</w:t>
            </w:r>
          </w:p>
        </w:tc>
        <w:tc>
          <w:tcPr>
            <w:tcW w:type="dxa" w:w="2520"/>
            <w:shd w:fill="D9EAF7"/>
          </w:tcPr>
          <w:p>
            <w:r>
              <w:t>Physical state</w:t>
            </w:r>
          </w:p>
        </w:tc>
        <w:tc>
          <w:tcPr>
            <w:tcW w:type="dxa" w:w="2520"/>
            <w:shd w:fill="D9EAF7"/>
          </w:tcPr>
          <w:p>
            <w:r>
              <w:t>TECH-05 treatment</w:t>
            </w:r>
          </w:p>
        </w:tc>
      </w:tr>
      <w:tr>
        <w:tc>
          <w:tcPr>
            <w:tcW w:type="dxa" w:w="2520"/>
          </w:tcPr>
          <w:p>
            <w:r>
              <w:t>Session visibility</w:t>
            </w:r>
          </w:p>
        </w:tc>
        <w:tc>
          <w:tcPr>
            <w:tcW w:type="dxa" w:w="2520"/>
          </w:tcPr>
          <w:p>
            <w:r>
              <w:t>PUBLIC / ORGANIZATION / PARTNER / PRIVATE</w:t>
            </w:r>
          </w:p>
        </w:tc>
        <w:tc>
          <w:tcPr>
            <w:tcW w:type="dxa" w:w="2520"/>
          </w:tcPr>
          <w:p>
            <w:r>
              <w:t>APPROVED semantic</w:t>
            </w:r>
          </w:p>
        </w:tc>
        <w:tc>
          <w:tcPr>
            <w:tcW w:type="dxa" w:w="2520"/>
          </w:tcPr>
          <w:p>
            <w:r>
              <w:t>Carry forward</w:t>
            </w:r>
          </w:p>
        </w:tc>
      </w:tr>
      <w:tr>
        <w:tc>
          <w:tcPr>
            <w:tcW w:type="dxa" w:w="2520"/>
          </w:tcPr>
          <w:p>
            <w:r>
              <w:t>Organization target</w:t>
            </w:r>
          </w:p>
        </w:tc>
        <w:tc>
          <w:tcPr>
            <w:tcW w:type="dxa" w:w="2520"/>
          </w:tcPr>
          <w:p>
            <w:r>
              <w:t>Existing Organization authority when applicable</w:t>
            </w:r>
          </w:p>
        </w:tc>
        <w:tc>
          <w:tcPr>
            <w:tcW w:type="dxa" w:w="2520"/>
          </w:tcPr>
          <w:p>
            <w:r>
              <w:t>Cardinality not finalized for Session</w:t>
            </w:r>
          </w:p>
        </w:tc>
        <w:tc>
          <w:tcPr>
            <w:tcW w:type="dxa" w:w="2520"/>
          </w:tcPr>
          <w:p>
            <w:r>
              <w:t>CONTROLLED OPEN</w:t>
            </w:r>
          </w:p>
        </w:tc>
      </w:tr>
      <w:tr>
        <w:tc>
          <w:tcPr>
            <w:tcW w:type="dxa" w:w="2520"/>
          </w:tcPr>
          <w:p>
            <w:r>
              <w:t>Partner target</w:t>
            </w:r>
          </w:p>
        </w:tc>
        <w:tc>
          <w:tcPr>
            <w:tcW w:type="dxa" w:w="2520"/>
          </w:tcPr>
          <w:p>
            <w:r>
              <w:t>Partner context when applicable</w:t>
            </w:r>
          </w:p>
        </w:tc>
        <w:tc>
          <w:tcPr>
            <w:tcW w:type="dxa" w:w="2520"/>
          </w:tcPr>
          <w:p>
            <w:r>
              <w:t>Partner entity/cardinality not established by current evidence</w:t>
            </w:r>
          </w:p>
        </w:tc>
        <w:tc>
          <w:tcPr>
            <w:tcW w:type="dxa" w:w="2520"/>
          </w:tcPr>
          <w:p>
            <w:r>
              <w:t>CONTROLLED OPEN</w:t>
            </w:r>
          </w:p>
        </w:tc>
      </w:tr>
      <w:tr>
        <w:tc>
          <w:tcPr>
            <w:tcW w:type="dxa" w:w="2520"/>
          </w:tcPr>
          <w:p>
            <w:r>
              <w:t>Private audience</w:t>
            </w:r>
          </w:p>
        </w:tc>
        <w:tc>
          <w:tcPr>
            <w:tcW w:type="dxa" w:w="2520"/>
          </w:tcPr>
          <w:p>
            <w:r>
              <w:t>Restricted audience/resource</w:t>
            </w:r>
          </w:p>
        </w:tc>
        <w:tc>
          <w:tcPr>
            <w:tcW w:type="dxa" w:w="2520"/>
          </w:tcPr>
          <w:p>
            <w:r>
              <w:t>Persistence mechanism not finalized</w:t>
            </w:r>
          </w:p>
        </w:tc>
        <w:tc>
          <w:tcPr>
            <w:tcW w:type="dxa" w:w="2520"/>
          </w:tcPr>
          <w:p>
            <w:r>
              <w:t>CONTROLLED OPEN</w:t>
            </w:r>
          </w:p>
        </w:tc>
      </w:tr>
      <w:tr>
        <w:tc>
          <w:tcPr>
            <w:tcW w:type="dxa" w:w="2520"/>
          </w:tcPr>
          <w:p>
            <w:r>
              <w:t>Agent ownership</w:t>
            </w:r>
          </w:p>
        </w:tc>
        <w:tc>
          <w:tcPr>
            <w:tcW w:type="dxa" w:w="2520"/>
          </w:tcPr>
          <w:p>
            <w:r>
              <w:t>Hard ownership boundary</w:t>
            </w:r>
          </w:p>
        </w:tc>
        <w:tc>
          <w:tcPr>
            <w:tcW w:type="dxa" w:w="2520"/>
          </w:tcPr>
          <w:p>
            <w:r>
              <w:t>Existing platform rule</w:t>
            </w:r>
          </w:p>
        </w:tc>
        <w:tc>
          <w:tcPr>
            <w:tcW w:type="dxa" w:w="2520"/>
          </w:tcPr>
          <w:p>
            <w:r>
              <w:t>KEEP</w:t>
            </w:r>
          </w:p>
        </w:tc>
      </w:tr>
      <w:tr>
        <w:tc>
          <w:tcPr>
            <w:tcW w:type="dxa" w:w="2520"/>
          </w:tcPr>
          <w:p>
            <w:r>
              <w:t>Provider identity</w:t>
            </w:r>
          </w:p>
        </w:tc>
        <w:tc>
          <w:tcPr>
            <w:tcW w:type="dxa" w:w="2520"/>
          </w:tcPr>
          <w:p>
            <w:r>
              <w:t>Infrastructure/provider reference</w:t>
            </w:r>
          </w:p>
        </w:tc>
        <w:tc>
          <w:tcPr>
            <w:tcW w:type="dxa" w:w="2520"/>
          </w:tcPr>
          <w:p>
            <w:r>
              <w:t>Provider Session ID not semantic identity</w:t>
            </w:r>
          </w:p>
        </w:tc>
        <w:tc>
          <w:tcPr>
            <w:tcW w:type="dxa" w:w="2520"/>
          </w:tcPr>
          <w:p>
            <w:r>
              <w:t>KEEP SEPARATE</w:t>
            </w:r>
          </w:p>
        </w:tc>
      </w:tr>
    </w:tbl>
    <w:p>
      <w:pPr>
        <w:pStyle w:val="Heading1"/>
      </w:pPr>
      <w:r>
        <w:t>8. RLS Design Principles</w:t>
      </w:r>
    </w:p>
    <w:p>
      <w:pPr>
        <w:pStyle w:val="ListBullet"/>
      </w:pPr>
      <w:r>
        <w:t>RLS must enforce the effective data boundary; it must not be the only place where business authorization is decided.</w:t>
      </w:r>
    </w:p>
    <w:p>
      <w:pPr>
        <w:pStyle w:val="ListBullet"/>
      </w:pPr>
      <w:r>
        <w:t>Client-provided organization_id, resource_id, or scope value is never authorization proof.</w:t>
      </w:r>
    </w:p>
    <w:p>
      <w:pPr>
        <w:pStyle w:val="ListBullet"/>
      </w:pPr>
      <w:r>
        <w:t>RLS must not grant a capability that platform/domain authorization did not grant.</w:t>
      </w:r>
    </w:p>
    <w:p>
      <w:pPr>
        <w:pStyle w:val="ListBullet"/>
      </w:pPr>
      <w:r>
        <w:t>Agent hard ownership remains a non-bypassable boundary; granted_scope=all cannot be used to defeat ownership rules where the governing rule forbids it.</w:t>
      </w:r>
    </w:p>
    <w:p>
      <w:pPr>
        <w:pStyle w:val="ListBullet"/>
      </w:pPr>
      <w:r>
        <w:t>Organization-scoped access must use the authoritative organization membership/context, not a client-selected organization.</w:t>
      </w:r>
    </w:p>
    <w:p>
      <w:pPr>
        <w:pStyle w:val="ListBullet"/>
      </w:pPr>
      <w:r>
        <w:t>Private Session data must be filtered by effective audience/resource scope.</w:t>
      </w:r>
    </w:p>
    <w:p>
      <w:pPr>
        <w:pStyle w:val="ListBullet"/>
      </w:pPr>
      <w:r>
        <w:t>Provider credentials and raw provider identifiers must not be used as end-user authorization evidence.</w:t>
      </w:r>
    </w:p>
    <w:p>
      <w:pPr>
        <w:pStyle w:val="ListBullet"/>
      </w:pPr>
      <w:r>
        <w:t>Historical attendance/evidence remains immutable by default; corrective paths must be explicit and auditable.</w:t>
      </w:r>
    </w:p>
    <w:p>
      <w:pPr>
        <w:pStyle w:val="Heading1"/>
      </w:pPr>
      <w:r>
        <w:t>9. RLS / Authorization Test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</w:tcPr>
          <w:p>
            <w:r>
              <w:t>Scenario</w:t>
            </w:r>
          </w:p>
        </w:tc>
        <w:tc>
          <w:tcPr>
            <w:tcW w:type="dxa" w:w="2016"/>
            <w:shd w:fill="D9EAF7"/>
          </w:tcPr>
          <w:p>
            <w:r>
              <w:t>RBAC</w:t>
            </w:r>
          </w:p>
        </w:tc>
        <w:tc>
          <w:tcPr>
            <w:tcW w:type="dxa" w:w="2016"/>
            <w:shd w:fill="D9EAF7"/>
          </w:tcPr>
          <w:p>
            <w:r>
              <w:t>Domain scope</w:t>
            </w:r>
          </w:p>
        </w:tc>
        <w:tc>
          <w:tcPr>
            <w:tcW w:type="dxa" w:w="2016"/>
            <w:shd w:fill="D9EAF7"/>
          </w:tcPr>
          <w:p>
            <w:r>
              <w:t>Expected result</w:t>
            </w:r>
          </w:p>
        </w:tc>
        <w:tc>
          <w:tcPr>
            <w:tcW w:type="dxa" w:w="2016"/>
            <w:shd w:fill="D9EAF7"/>
          </w:tcPr>
          <w:p>
            <w:r>
              <w:t>Risk to prevent</w:t>
            </w:r>
          </w:p>
        </w:tc>
      </w:tr>
      <w:tr>
        <w:tc>
          <w:tcPr>
            <w:tcW w:type="dxa" w:w="2016"/>
          </w:tcPr>
          <w:p>
            <w:r>
              <w:t>Public Session read</w:t>
            </w:r>
          </w:p>
        </w:tc>
        <w:tc>
          <w:tcPr>
            <w:tcW w:type="dxa" w:w="2016"/>
          </w:tcPr>
          <w:p>
            <w:r>
              <w:t>Read capability</w:t>
            </w:r>
          </w:p>
        </w:tc>
        <w:tc>
          <w:tcPr>
            <w:tcW w:type="dxa" w:w="2016"/>
          </w:tcPr>
          <w:p>
            <w:r>
              <w:t>PUBLIC</w:t>
            </w:r>
          </w:p>
        </w:tc>
        <w:tc>
          <w:tcPr>
            <w:tcW w:type="dxa" w:w="2016"/>
          </w:tcPr>
          <w:p>
            <w:r>
              <w:t>ALLOW read if visibility policy permits</w:t>
            </w:r>
          </w:p>
        </w:tc>
        <w:tc>
          <w:tcPr>
            <w:tcW w:type="dxa" w:w="2016"/>
          </w:tcPr>
          <w:p>
            <w:r>
              <w:t>Public accidentally grants mutation</w:t>
            </w:r>
          </w:p>
        </w:tc>
      </w:tr>
      <w:tr>
        <w:tc>
          <w:tcPr>
            <w:tcW w:type="dxa" w:w="2016"/>
          </w:tcPr>
          <w:p>
            <w:r>
              <w:t>Organization Session read by member</w:t>
            </w:r>
          </w:p>
        </w:tc>
        <w:tc>
          <w:tcPr>
            <w:tcW w:type="dxa" w:w="2016"/>
          </w:tcPr>
          <w:p>
            <w:r>
              <w:t>Read capability</w:t>
            </w:r>
          </w:p>
        </w:tc>
        <w:tc>
          <w:tcPr>
            <w:tcW w:type="dxa" w:w="2016"/>
          </w:tcPr>
          <w:p>
            <w:r>
              <w:t>Matching active Organization membership</w:t>
            </w:r>
          </w:p>
        </w:tc>
        <w:tc>
          <w:tcPr>
            <w:tcW w:type="dxa" w:w="2016"/>
          </w:tcPr>
          <w:p>
            <w:r>
              <w:t>ALLOW</w:t>
            </w:r>
          </w:p>
        </w:tc>
        <w:tc>
          <w:tcPr>
            <w:tcW w:type="dxa" w:w="2016"/>
          </w:tcPr>
          <w:p>
            <w:r>
              <w:t>Membership incorrectly grants manage</w:t>
            </w:r>
          </w:p>
        </w:tc>
      </w:tr>
      <w:tr>
        <w:tc>
          <w:tcPr>
            <w:tcW w:type="dxa" w:w="2016"/>
          </w:tcPr>
          <w:p>
            <w:r>
              <w:t>Organization Session read by non-member</w:t>
            </w:r>
          </w:p>
        </w:tc>
        <w:tc>
          <w:tcPr>
            <w:tcW w:type="dxa" w:w="2016"/>
          </w:tcPr>
          <w:p>
            <w:r>
              <w:t>Read capability</w:t>
            </w:r>
          </w:p>
        </w:tc>
        <w:tc>
          <w:tcPr>
            <w:tcW w:type="dxa" w:w="2016"/>
          </w:tcPr>
          <w:p>
            <w:r>
              <w:t>No matching Organization authority</w:t>
            </w:r>
          </w:p>
        </w:tc>
        <w:tc>
          <w:tcPr>
            <w:tcW w:type="dxa" w:w="2016"/>
          </w:tcPr>
          <w:p>
            <w:r>
              <w:t>DENY</w:t>
            </w:r>
          </w:p>
        </w:tc>
        <w:tc>
          <w:tcPr>
            <w:tcW w:type="dxa" w:w="2016"/>
          </w:tcPr>
          <w:p>
            <w:r>
              <w:t>IDOR/cross-organization leakage</w:t>
            </w:r>
          </w:p>
        </w:tc>
      </w:tr>
      <w:tr>
        <w:tc>
          <w:tcPr>
            <w:tcW w:type="dxa" w:w="2016"/>
          </w:tcPr>
          <w:p>
            <w:r>
              <w:t>Private Session read by unrelated actor</w:t>
            </w:r>
          </w:p>
        </w:tc>
        <w:tc>
          <w:tcPr>
            <w:tcW w:type="dxa" w:w="2016"/>
          </w:tcPr>
          <w:p>
            <w:r>
              <w:t>Read capability</w:t>
            </w:r>
          </w:p>
        </w:tc>
        <w:tc>
          <w:tcPr>
            <w:tcW w:type="dxa" w:w="2016"/>
          </w:tcPr>
          <w:p>
            <w:r>
              <w:t>No explicit audience authority</w:t>
            </w:r>
          </w:p>
        </w:tc>
        <w:tc>
          <w:tcPr>
            <w:tcW w:type="dxa" w:w="2016"/>
          </w:tcPr>
          <w:p>
            <w:r>
              <w:t>DENY</w:t>
            </w:r>
          </w:p>
        </w:tc>
        <w:tc>
          <w:tcPr>
            <w:tcW w:type="dxa" w:w="2016"/>
          </w:tcPr>
          <w:p>
            <w:r>
              <w:t>Private visibility bypass</w:t>
            </w:r>
          </w:p>
        </w:tc>
      </w:tr>
      <w:tr>
        <w:tc>
          <w:tcPr>
            <w:tcW w:type="dxa" w:w="2016"/>
          </w:tcPr>
          <w:p>
            <w:r>
              <w:t>Instructor manages assigned Session</w:t>
            </w:r>
          </w:p>
        </w:tc>
        <w:tc>
          <w:tcPr>
            <w:tcW w:type="dxa" w:w="2016"/>
          </w:tcPr>
          <w:p>
            <w:r>
              <w:t>Manage capability</w:t>
            </w:r>
          </w:p>
        </w:tc>
        <w:tc>
          <w:tcPr>
            <w:tcW w:type="dxa" w:w="2016"/>
          </w:tcPr>
          <w:p>
            <w:r>
              <w:t>Explicit Instructor + Session scope</w:t>
            </w:r>
          </w:p>
        </w:tc>
        <w:tc>
          <w:tcPr>
            <w:tcW w:type="dxa" w:w="2016"/>
          </w:tcPr>
          <w:p>
            <w:r>
              <w:t>ALLOW if both match</w:t>
            </w:r>
          </w:p>
        </w:tc>
        <w:tc>
          <w:tcPr>
            <w:tcW w:type="dxa" w:w="2016"/>
          </w:tcPr>
          <w:p>
            <w:r>
              <w:t>Instructor treated as global</w:t>
            </w:r>
          </w:p>
        </w:tc>
      </w:tr>
      <w:tr>
        <w:tc>
          <w:tcPr>
            <w:tcW w:type="dxa" w:w="2016"/>
          </w:tcPr>
          <w:p>
            <w:r>
              <w:t>Instructor attempts provider switch</w:t>
            </w:r>
          </w:p>
        </w:tc>
        <w:tc>
          <w:tcPr>
            <w:tcW w:type="dxa" w:w="2016"/>
          </w:tcPr>
          <w:p>
            <w:r>
              <w:t>Provider-binding capability absent</w:t>
            </w:r>
          </w:p>
        </w:tc>
        <w:tc>
          <w:tcPr>
            <w:tcW w:type="dxa" w:w="2016"/>
          </w:tcPr>
          <w:p>
            <w:r>
              <w:t>Scope irrelevant</w:t>
            </w:r>
          </w:p>
        </w:tc>
        <w:tc>
          <w:tcPr>
            <w:tcW w:type="dxa" w:w="2016"/>
          </w:tcPr>
          <w:p>
            <w:r>
              <w:t>DENY</w:t>
            </w:r>
          </w:p>
        </w:tc>
        <w:tc>
          <w:tcPr>
            <w:tcW w:type="dxa" w:w="2016"/>
          </w:tcPr>
          <w:p>
            <w:r>
              <w:t>Role inheritance</w:t>
            </w:r>
          </w:p>
        </w:tc>
      </w:tr>
      <w:tr>
        <w:tc>
          <w:tcPr>
            <w:tcW w:type="dxa" w:w="2016"/>
          </w:tcPr>
          <w:p>
            <w:r>
              <w:t>Host attempts Instructor-only operation</w:t>
            </w:r>
          </w:p>
        </w:tc>
        <w:tc>
          <w:tcPr>
            <w:tcW w:type="dxa" w:w="2016"/>
          </w:tcPr>
          <w:p>
            <w:r>
              <w:t>Instructor capability absent</w:t>
            </w:r>
          </w:p>
        </w:tc>
        <w:tc>
          <w:tcPr>
            <w:tcW w:type="dxa" w:w="2016"/>
          </w:tcPr>
          <w:p>
            <w:r>
              <w:t>Host scope present</w:t>
            </w:r>
          </w:p>
        </w:tc>
        <w:tc>
          <w:tcPr>
            <w:tcW w:type="dxa" w:w="2016"/>
          </w:tcPr>
          <w:p>
            <w:r>
              <w:t>DENY</w:t>
            </w:r>
          </w:p>
        </w:tc>
        <w:tc>
          <w:tcPr>
            <w:tcW w:type="dxa" w:w="2016"/>
          </w:tcPr>
          <w:p>
            <w:r>
              <w:t>Host ≠ Instructor</w:t>
            </w:r>
          </w:p>
        </w:tc>
      </w:tr>
      <w:tr>
        <w:tc>
          <w:tcPr>
            <w:tcW w:type="dxa" w:w="2016"/>
          </w:tcPr>
          <w:p>
            <w:r>
              <w:t>Agent reads own attendance</w:t>
            </w:r>
          </w:p>
        </w:tc>
        <w:tc>
          <w:tcPr>
            <w:tcW w:type="dxa" w:w="2016"/>
          </w:tcPr>
          <w:p>
            <w:r>
              <w:t>Read capability</w:t>
            </w:r>
          </w:p>
        </w:tc>
        <w:tc>
          <w:tcPr>
            <w:tcW w:type="dxa" w:w="2016"/>
          </w:tcPr>
          <w:p>
            <w:r>
              <w:t>Own enrollment/attendance</w:t>
            </w:r>
          </w:p>
        </w:tc>
        <w:tc>
          <w:tcPr>
            <w:tcW w:type="dxa" w:w="2016"/>
          </w:tcPr>
          <w:p>
            <w:r>
              <w:t>ALLOW</w:t>
            </w:r>
          </w:p>
        </w:tc>
        <w:tc>
          <w:tcPr>
            <w:tcW w:type="dxa" w:w="2016"/>
          </w:tcPr>
          <w:p>
            <w:r>
              <w:t>Cross-user attendance leakage</w:t>
            </w:r>
          </w:p>
        </w:tc>
      </w:tr>
      <w:tr>
        <w:tc>
          <w:tcPr>
            <w:tcW w:type="dxa" w:w="2016"/>
          </w:tcPr>
          <w:p>
            <w:r>
              <w:t>Agent changes another user's attendance</w:t>
            </w:r>
          </w:p>
        </w:tc>
        <w:tc>
          <w:tcPr>
            <w:tcW w:type="dxa" w:w="2016"/>
          </w:tcPr>
          <w:p>
            <w:r>
              <w:t>No override capability</w:t>
            </w:r>
          </w:p>
        </w:tc>
        <w:tc>
          <w:tcPr>
            <w:tcW w:type="dxa" w:w="2016"/>
          </w:tcPr>
          <w:p>
            <w:r>
              <w:t>Wrong resource owner</w:t>
            </w:r>
          </w:p>
        </w:tc>
        <w:tc>
          <w:tcPr>
            <w:tcW w:type="dxa" w:w="2016"/>
          </w:tcPr>
          <w:p>
            <w:r>
              <w:t>DENY</w:t>
            </w:r>
          </w:p>
        </w:tc>
        <w:tc>
          <w:tcPr>
            <w:tcW w:type="dxa" w:w="2016"/>
          </w:tcPr>
          <w:p>
            <w:r>
              <w:t>Historical evidence mutation</w:t>
            </w:r>
          </w:p>
        </w:tc>
      </w:tr>
      <w:tr>
        <w:tc>
          <w:tcPr>
            <w:tcW w:type="dxa" w:w="2016"/>
          </w:tcPr>
          <w:p>
            <w:r>
              <w:t>Paid Session without entitlement</w:t>
            </w:r>
          </w:p>
        </w:tc>
        <w:tc>
          <w:tcPr>
            <w:tcW w:type="dxa" w:w="2016"/>
          </w:tcPr>
          <w:p>
            <w:r>
              <w:t>Access capability</w:t>
            </w:r>
          </w:p>
        </w:tc>
        <w:tc>
          <w:tcPr>
            <w:tcW w:type="dxa" w:w="2016"/>
          </w:tcPr>
          <w:p>
            <w:r>
              <w:t>Commercial entitlement absent</w:t>
            </w:r>
          </w:p>
        </w:tc>
        <w:tc>
          <w:tcPr>
            <w:tcW w:type="dxa" w:w="2016"/>
          </w:tcPr>
          <w:p>
            <w:r>
              <w:t>DENY/NOT ACTIVE per access policy</w:t>
            </w:r>
          </w:p>
        </w:tc>
        <w:tc>
          <w:tcPr>
            <w:tcW w:type="dxa" w:w="2016"/>
          </w:tcPr>
          <w:p>
            <w:r>
              <w:t>Visibility bypasses commercial boundary</w:t>
            </w:r>
          </w:p>
        </w:tc>
      </w:tr>
    </w:tbl>
    <w:p>
      <w:pPr>
        <w:pStyle w:val="Heading1"/>
      </w:pPr>
      <w:r>
        <w:t>10. Open / Controlled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Item</w:t>
            </w:r>
          </w:p>
        </w:tc>
        <w:tc>
          <w:tcPr>
            <w:tcW w:type="dxa" w:w="2520"/>
            <w:shd w:fill="D9EAF7"/>
          </w:tcPr>
          <w:p>
            <w:r>
              <w:t>Status</w:t>
            </w:r>
          </w:p>
        </w:tc>
        <w:tc>
          <w:tcPr>
            <w:tcW w:type="dxa" w:w="2520"/>
            <w:shd w:fill="D9EAF7"/>
          </w:tcPr>
          <w:p>
            <w:r>
              <w:t>Why it remains open</w:t>
            </w:r>
          </w:p>
        </w:tc>
        <w:tc>
          <w:tcPr>
            <w:tcW w:type="dxa" w:w="2520"/>
            <w:shd w:fill="D9EAF7"/>
          </w:tcPr>
          <w:p>
            <w:r>
              <w:t>Next gate</w:t>
            </w:r>
          </w:p>
        </w:tc>
      </w:tr>
      <w:tr>
        <w:tc>
          <w:tcPr>
            <w:tcW w:type="dxa" w:w="2520"/>
          </w:tcPr>
          <w:p>
            <w:r>
              <w:t>Session ↔ Organization cardinality</w:t>
            </w:r>
          </w:p>
        </w:tc>
        <w:tc>
          <w:tcPr>
            <w:tcW w:type="dxa" w:w="2520"/>
          </w:tcPr>
          <w:p>
            <w:r>
              <w:t>CONTROLLED OPEN</w:t>
            </w:r>
          </w:p>
        </w:tc>
        <w:tc>
          <w:tcPr>
            <w:tcW w:type="dxa" w:w="2520"/>
          </w:tcPr>
          <w:p>
            <w:r>
              <w:t>AEP4 approved context but physical cardinality was intentionally deferred</w:t>
            </w:r>
          </w:p>
        </w:tc>
        <w:tc>
          <w:tcPr>
            <w:tcW w:type="dxa" w:w="2520"/>
          </w:tcPr>
          <w:p>
            <w:r>
              <w:t>Session schema/API design</w:t>
            </w:r>
          </w:p>
        </w:tc>
      </w:tr>
      <w:tr>
        <w:tc>
          <w:tcPr>
            <w:tcW w:type="dxa" w:w="2520"/>
          </w:tcPr>
          <w:p>
            <w:r>
              <w:t>Session ↔ Partner cardinality</w:t>
            </w:r>
          </w:p>
        </w:tc>
        <w:tc>
          <w:tcPr>
            <w:tcW w:type="dxa" w:w="2520"/>
          </w:tcPr>
          <w:p>
            <w:r>
              <w:t>CONTROLLED OPEN</w:t>
            </w:r>
          </w:p>
        </w:tc>
        <w:tc>
          <w:tcPr>
            <w:tcW w:type="dxa" w:w="2520"/>
          </w:tcPr>
          <w:p>
            <w:r>
              <w:t>Partner authority model not established by current evidence</w:t>
            </w:r>
          </w:p>
        </w:tc>
        <w:tc>
          <w:tcPr>
            <w:tcW w:type="dxa" w:w="2520"/>
          </w:tcPr>
          <w:p>
            <w:r>
              <w:t>Partner/domain design</w:t>
            </w:r>
          </w:p>
        </w:tc>
      </w:tr>
      <w:tr>
        <w:tc>
          <w:tcPr>
            <w:tcW w:type="dxa" w:w="2520"/>
          </w:tcPr>
          <w:p>
            <w:r>
              <w:t>Private audience persistence</w:t>
            </w:r>
          </w:p>
        </w:tc>
        <w:tc>
          <w:tcPr>
            <w:tcW w:type="dxa" w:w="2520"/>
          </w:tcPr>
          <w:p>
            <w:r>
              <w:t>CONTROLLED OPEN</w:t>
            </w:r>
          </w:p>
        </w:tc>
        <w:tc>
          <w:tcPr>
            <w:tcW w:type="dxa" w:w="2520"/>
          </w:tcPr>
          <w:p>
            <w:r>
              <w:t>Semantic PRIVATE is approved; invitation/audience storage model is not</w:t>
            </w:r>
          </w:p>
        </w:tc>
        <w:tc>
          <w:tcPr>
            <w:tcW w:type="dxa" w:w="2520"/>
          </w:tcPr>
          <w:p>
            <w:r>
              <w:t>Session access design</w:t>
            </w:r>
          </w:p>
        </w:tc>
      </w:tr>
      <w:tr>
        <w:tc>
          <w:tcPr>
            <w:tcW w:type="dxa" w:w="2520"/>
          </w:tcPr>
          <w:p>
            <w:r>
              <w:t>Exact RLS SQL/policies</w:t>
            </w:r>
          </w:p>
        </w:tc>
        <w:tc>
          <w:tcPr>
            <w:tcW w:type="dxa" w:w="2520"/>
          </w:tcPr>
          <w:p>
            <w:r>
              <w:t>DEFERRED</w:t>
            </w:r>
          </w:p>
        </w:tc>
        <w:tc>
          <w:tcPr>
            <w:tcW w:type="dxa" w:w="2520"/>
          </w:tcPr>
          <w:p>
            <w:r>
              <w:t>Implementation not yet authorized</w:t>
            </w:r>
          </w:p>
        </w:tc>
        <w:tc>
          <w:tcPr>
            <w:tcW w:type="dxa" w:w="2520"/>
          </w:tcPr>
          <w:p>
            <w:r>
              <w:t>Physical implementation gate</w:t>
            </w:r>
          </w:p>
        </w:tc>
      </w:tr>
      <w:tr>
        <w:tc>
          <w:tcPr>
            <w:tcW w:type="dxa" w:w="2520"/>
          </w:tcPr>
          <w:p>
            <w:r>
              <w:t>Exact permission IDs / role_permission rows</w:t>
            </w:r>
          </w:p>
        </w:tc>
        <w:tc>
          <w:tcPr>
            <w:tcW w:type="dxa" w:w="2520"/>
          </w:tcPr>
          <w:p>
            <w:r>
              <w:t>CONTROLLED</w:t>
            </w:r>
          </w:p>
        </w:tc>
        <w:tc>
          <w:tcPr>
            <w:tcW w:type="dxa" w:w="2520"/>
          </w:tcPr>
          <w:p>
            <w:r>
              <w:t>TECH-04 found no sufficient direct catalogue evidence for new Session capabilities</w:t>
            </w:r>
          </w:p>
        </w:tc>
        <w:tc>
          <w:tcPr>
            <w:tcW w:type="dxa" w:w="2520"/>
          </w:tcPr>
          <w:p>
            <w:r>
              <w:t>Permission catalogue evidence + implementation</w:t>
            </w:r>
          </w:p>
        </w:tc>
      </w:tr>
      <w:tr>
        <w:tc>
          <w:tcPr>
            <w:tcW w:type="dxa" w:w="2520"/>
          </w:tcPr>
          <w:p>
            <w:r>
              <w:t>Provider OAuth scopes</w:t>
            </w:r>
          </w:p>
        </w:tc>
        <w:tc>
          <w:tcPr>
            <w:tcW w:type="dxa" w:w="2520"/>
          </w:tcPr>
          <w:p>
            <w:r>
              <w:t>DEFERRED</w:t>
            </w:r>
          </w:p>
        </w:tc>
        <w:tc>
          <w:tcPr>
            <w:tcW w:type="dxa" w:w="2520"/>
          </w:tcPr>
          <w:p>
            <w:r>
              <w:t>Provider capability research is separate</w:t>
            </w:r>
          </w:p>
        </w:tc>
        <w:tc>
          <w:tcPr>
            <w:tcW w:type="dxa" w:w="2520"/>
          </w:tcPr>
          <w:p>
            <w:r>
              <w:t>Provider integration research</w:t>
            </w:r>
          </w:p>
        </w:tc>
      </w:tr>
      <w:tr>
        <w:tc>
          <w:tcPr>
            <w:tcW w:type="dxa" w:w="2520"/>
          </w:tcPr>
          <w:p>
            <w:r>
              <w:t>Automatic provider failover</w:t>
            </w:r>
          </w:p>
        </w:tc>
        <w:tc>
          <w:tcPr>
            <w:tcW w:type="dxa" w:w="2520"/>
          </w:tcPr>
          <w:p>
            <w:r>
              <w:t>OPEN / DEFERRED</w:t>
            </w:r>
          </w:p>
        </w:tc>
        <w:tc>
          <w:tcPr>
            <w:tcW w:type="dxa" w:w="2520"/>
          </w:tcPr>
          <w:p>
            <w:r>
              <w:t>AEP4-OD-08 remains separate</w:t>
            </w:r>
          </w:p>
        </w:tc>
        <w:tc>
          <w:tcPr>
            <w:tcW w:type="dxa" w:w="2520"/>
          </w:tcPr>
          <w:p>
            <w:r>
              <w:t>Provider architecture gate</w:t>
            </w:r>
          </w:p>
        </w:tc>
      </w:tr>
    </w:tbl>
    <w:p>
      <w:pPr>
        <w:pStyle w:val="Heading1"/>
      </w:pPr>
      <w:r>
        <w:t>11. Lead Assessment</w:t>
      </w:r>
    </w:p>
    <w:p>
      <w:r>
        <w:t>TECH-05 is PASS at design-readiness level. The project now has a coherent semantic model for visibility, platform RBAC, Organization-scoped authorization and RLS without modifying the locked all/own/none platform scope model. No new user decision is required to continue.</w:t>
      </w:r>
    </w:p>
    <w:p>
      <w:r>
        <w:t>The next step should not be another generic authorization discussion. The remaining useful work is to resolve the concrete resource-scope relationships for Learning Session (Organization, Partner, Private audience) and then produce a physical schema/RLS impact package. Those relationships must be evidenced before implementation.</w:t>
      </w:r>
    </w:p>
    <w:p>
      <w:pPr>
        <w:pStyle w:val="Heading1"/>
      </w:pPr>
      <w:r>
        <w:t>12. Next Step — TECH-06</w:t>
      </w:r>
    </w:p>
    <w:p>
      <w:r>
        <w:t>TECH-06 — Learning Session Resource Scope &amp; Relationship Design. It will focus on Session↔Organization, Session↔Partner, Private audience representation, resource-level authorization inputs, and the minimum schema/API impact needed for a safe physical design. It will not yet execute migrations or production RLS.</w:t>
      </w:r>
    </w:p>
    <w:p>
      <w:pPr>
        <w:pStyle w:val="Heading1"/>
      </w:pPr>
      <w:r>
        <w:t>13. Traceability</w:t>
      </w:r>
    </w:p>
    <w:p>
      <w:pPr>
        <w:pStyle w:val="ListBullet"/>
      </w:pPr>
      <w:r>
        <w:t>ADR-003 — Authorization &amp; RBAC Strategy.</w:t>
      </w:r>
    </w:p>
    <w:p>
      <w:pPr>
        <w:pStyle w:val="ListBullet"/>
      </w:pPr>
      <w:r>
        <w:t>ADR-024 — RBAC Role Model Scope.</w:t>
      </w:r>
    </w:p>
    <w:p>
      <w:pPr>
        <w:pStyle w:val="ListBullet"/>
      </w:pPr>
      <w:r>
        <w:t>ADR-026 — Organization Model Strategy.</w:t>
      </w:r>
    </w:p>
    <w:p>
      <w:pPr>
        <w:pStyle w:val="ListBullet"/>
      </w:pPr>
      <w:r>
        <w:t>ADR-027 — Organization-Scoped Authorization Strategy.</w:t>
      </w:r>
    </w:p>
    <w:p>
      <w:pPr>
        <w:pStyle w:val="ListBullet"/>
      </w:pPr>
      <w:r>
        <w:t>MADCR-053 — approved Capability + Permission + Scope taxonomy.</w:t>
      </w:r>
    </w:p>
    <w:p>
      <w:pPr>
        <w:pStyle w:val="ListBullet"/>
      </w:pPr>
      <w:r>
        <w:t>MADCR-054 — Host / Instructor explicit authorization boundary.</w:t>
      </w:r>
    </w:p>
    <w:p>
      <w:pPr>
        <w:pStyle w:val="ListBullet"/>
      </w:pPr>
      <w:r>
        <w:t>AEP4 STEP-10 — RBAC / Permission Impact.</w:t>
      </w:r>
    </w:p>
    <w:p>
      <w:pPr>
        <w:pStyle w:val="ListBullet"/>
      </w:pPr>
      <w:r>
        <w:t>TECH-02 — Visibility &amp; Authorization Scope Reconciliation.</w:t>
      </w:r>
    </w:p>
    <w:p>
      <w:pPr>
        <w:pStyle w:val="ListBullet"/>
      </w:pPr>
      <w:r>
        <w:t>TECH-04 — Permission Catalogue &amp; Scope Reconciliation.</w:t>
      </w:r>
    </w:p>
    <w:p>
      <w:pPr>
        <w:pStyle w:val="ListBullet"/>
      </w:pPr>
      <w:r>
        <w:t>SYSTEM-ARCHITECTURE v1.6 — Authorization/RLS/Organization architecture.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