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TECH-06</w:t>
      </w:r>
    </w:p>
    <w:p>
      <w:pPr>
        <w:jc w:val="center"/>
      </w:pPr>
      <w:r>
        <w:rPr>
          <w:i/>
        </w:rPr>
        <w:t>Learning Session Resource Scope &amp; Relationship Design</w:t>
      </w:r>
    </w:p>
    <w:p>
      <w:r>
        <w:rPr>
          <w:b/>
        </w:rPr>
        <w:t xml:space="preserve">Status: </w:t>
      </w:r>
      <w:r>
        <w:t>SEMANTIC RELATIONSHIP DESIGN PASS — PHYSICAL CARDINALITY CONTROLLED OPEN</w:t>
      </w:r>
    </w:p>
    <w:p>
      <w:pPr>
        <w:pStyle w:val="Heading1"/>
      </w:pPr>
      <w:r>
        <w:t>1. Purpose</w:t>
      </w:r>
    </w:p>
    <w:p>
      <w:r>
        <w:t>TECH-06 resolves what the current source corpus can safely establish about Learning Session resource scope relationships: Organization, Partner, Private audience, ownership, and authorization inputs. It intentionally does not invent physical FK/cardinality or create SQL.</w:t>
      </w:r>
    </w:p>
    <w:p>
      <w:pPr>
        <w:pStyle w:val="Heading1"/>
      </w:pPr>
      <w:r>
        <w:t>2. Source Findings</w:t>
      </w:r>
    </w:p>
    <w:p>
      <w:pPr>
        <w:pStyle w:val="ListBullet"/>
      </w:pPr>
      <w:r>
        <w:t>AEP4-OD-14 approves Workspace/Organization context as part of Learning Session semantic context when applicable, while authority/cardinality remain downstream.</w:t>
      </w:r>
    </w:p>
    <w:p>
      <w:pPr>
        <w:pStyle w:val="ListBullet"/>
      </w:pPr>
      <w:r>
        <w:t>AEP4-OD-15 establishes a semantic visibility/access scope, with exact authorization and persistence downstream.</w:t>
      </w:r>
    </w:p>
    <w:p>
      <w:pPr>
        <w:pStyle w:val="ListBullet"/>
      </w:pPr>
      <w:r>
        <w:t>The approved current visibility vocabulary from the execution thread is PUBLIC / ORGANIZATION / PARTNER / PRIVATE.</w:t>
      </w:r>
    </w:p>
    <w:p>
      <w:pPr>
        <w:pStyle w:val="ListBullet"/>
      </w:pPr>
      <w:r>
        <w:t>ADR-026 defines the existing Organization model through organizations, organization_members, and organization_invitations; Organization is a grouping construct in a shared database rather than classic tenant isolation.</w:t>
      </w:r>
    </w:p>
    <w:p>
      <w:pPr>
        <w:pStyle w:val="ListBullet"/>
      </w:pPr>
      <w:r>
        <w:t>ADR-027 keeps Organization authorization independent from platform RBAC and evaluates organization membership/context after the platform RBAC gate.</w:t>
      </w:r>
    </w:p>
    <w:p>
      <w:pPr>
        <w:pStyle w:val="ListBullet"/>
      </w:pPr>
      <w:r>
        <w:t>Current source does not establish a canonical Learning Session↔Partner entity/cardinality model.</w:t>
      </w:r>
    </w:p>
    <w:p>
      <w:pPr>
        <w:pStyle w:val="ListBullet"/>
      </w:pPr>
      <w:r>
        <w:t>Current source does not establish a canonical persistence model for PRIVATE audience membership/invitations.</w:t>
      </w:r>
    </w:p>
    <w:p>
      <w:pPr>
        <w:pStyle w:val="ListBullet"/>
      </w:pPr>
      <w:r>
        <w:t>Existing M04 Course Enrollment and M05 Event Registration remain semantically distinct from Learning Session Enrollment.</w:t>
      </w:r>
    </w:p>
    <w:p>
      <w:pPr>
        <w:pStyle w:val="Heading1"/>
      </w:pPr>
      <w:r>
        <w:t>3. Canonical Resource-Scope Model</w:t>
      </w:r>
    </w:p>
    <w:p>
      <w:r>
        <w:t>A Learning Session has one semantic visibility class. The visibility class determines which resource-scope context is relevant; it does not itself grant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Visibility</w:t>
            </w:r>
          </w:p>
        </w:tc>
        <w:tc>
          <w:tcPr>
            <w:tcW w:type="dxa" w:w="2016"/>
            <w:shd w:fill="D9EAF7"/>
          </w:tcPr>
          <w:p>
            <w:r>
              <w:t>Required context</w:t>
            </w:r>
          </w:p>
        </w:tc>
        <w:tc>
          <w:tcPr>
            <w:tcW w:type="dxa" w:w="2016"/>
            <w:shd w:fill="D9EAF7"/>
          </w:tcPr>
          <w:p>
            <w:r>
              <w:t>Semantic relationship</w:t>
            </w:r>
          </w:p>
        </w:tc>
        <w:tc>
          <w:tcPr>
            <w:tcW w:type="dxa" w:w="2016"/>
            <w:shd w:fill="D9EAF7"/>
          </w:tcPr>
          <w:p>
            <w:r>
              <w:t>Access input</w:t>
            </w:r>
          </w:p>
        </w:tc>
        <w:tc>
          <w:tcPr>
            <w:tcW w:type="dxa" w:w="2016"/>
            <w:shd w:fill="D9EAF7"/>
          </w:tcPr>
          <w:p>
            <w:r>
              <w:t>Physical status</w:t>
            </w:r>
          </w:p>
        </w:tc>
      </w:tr>
      <w:tr>
        <w:tc>
          <w:tcPr>
            <w:tcW w:type="dxa" w:w="2016"/>
          </w:tcPr>
          <w:p>
            <w:r>
              <w:t>PUBLIC</w:t>
            </w:r>
          </w:p>
        </w:tc>
        <w:tc>
          <w:tcPr>
            <w:tcW w:type="dxa" w:w="2016"/>
          </w:tcPr>
          <w:p>
            <w:r>
              <w:t>Public audience</w:t>
            </w:r>
          </w:p>
        </w:tc>
        <w:tc>
          <w:tcPr>
            <w:tcW w:type="dxa" w:w="2016"/>
          </w:tcPr>
          <w:p>
            <w:r>
              <w:t>Session is not dependent on a specific organization/partner/private audience for discovery</w:t>
            </w:r>
          </w:p>
        </w:tc>
        <w:tc>
          <w:tcPr>
            <w:tcW w:type="dxa" w:w="2016"/>
          </w:tcPr>
          <w:p>
            <w:r>
              <w:t>RBAC + enrollment/eligibility + entitlement if paid</w:t>
            </w:r>
          </w:p>
        </w:tc>
        <w:tc>
          <w:tcPr>
            <w:tcW w:type="dxa" w:w="2016"/>
          </w:tcPr>
          <w:p>
            <w:r>
              <w:t>SEMANTIC CLOSED</w:t>
            </w:r>
          </w:p>
        </w:tc>
      </w:tr>
      <w:tr>
        <w:tc>
          <w:tcPr>
            <w:tcW w:type="dxa" w:w="2016"/>
          </w:tcPr>
          <w:p>
            <w:r>
              <w:t>ORGANIZATION</w:t>
            </w:r>
          </w:p>
        </w:tc>
        <w:tc>
          <w:tcPr>
            <w:tcW w:type="dxa" w:w="2016"/>
          </w:tcPr>
          <w:p>
            <w:r>
              <w:t>Existing Organization/Workspace</w:t>
            </w:r>
          </w:p>
        </w:tc>
        <w:tc>
          <w:tcPr>
            <w:tcW w:type="dxa" w:w="2016"/>
          </w:tcPr>
          <w:p>
            <w:r>
              <w:t>Session is associated with an applicable organization context</w:t>
            </w:r>
          </w:p>
        </w:tc>
        <w:tc>
          <w:tcPr>
            <w:tcW w:type="dxa" w:w="2016"/>
          </w:tcPr>
          <w:p>
            <w:r>
              <w:t>RBAC + authoritative organization membership/authority</w:t>
            </w:r>
          </w:p>
        </w:tc>
        <w:tc>
          <w:tcPr>
            <w:tcW w:type="dxa" w:w="2016"/>
          </w:tcPr>
          <w:p>
            <w:r>
              <w:t>CARDINALITY OPEN</w:t>
            </w:r>
          </w:p>
        </w:tc>
      </w:tr>
      <w:tr>
        <w:tc>
          <w:tcPr>
            <w:tcW w:type="dxa" w:w="2016"/>
          </w:tcPr>
          <w:p>
            <w:r>
              <w:t>PARTNER</w:t>
            </w:r>
          </w:p>
        </w:tc>
        <w:tc>
          <w:tcPr>
            <w:tcW w:type="dxa" w:w="2016"/>
          </w:tcPr>
          <w:p>
            <w:r>
              <w:t>Partner context</w:t>
            </w:r>
          </w:p>
        </w:tc>
        <w:tc>
          <w:tcPr>
            <w:tcW w:type="dxa" w:w="2016"/>
          </w:tcPr>
          <w:p>
            <w:r>
              <w:t>Session is associated with an applicable partner context</w:t>
            </w:r>
          </w:p>
        </w:tc>
        <w:tc>
          <w:tcPr>
            <w:tcW w:type="dxa" w:w="2016"/>
          </w:tcPr>
          <w:p>
            <w:r>
              <w:t>RBAC + partner authority/eligibility</w:t>
            </w:r>
          </w:p>
        </w:tc>
        <w:tc>
          <w:tcPr>
            <w:tcW w:type="dxa" w:w="2016"/>
          </w:tcPr>
          <w:p>
            <w:r>
              <w:t>ENTITY/CARDINALITY OPEN</w:t>
            </w:r>
          </w:p>
        </w:tc>
      </w:tr>
      <w:tr>
        <w:tc>
          <w:tcPr>
            <w:tcW w:type="dxa" w:w="2016"/>
          </w:tcPr>
          <w:p>
            <w:r>
              <w:t>PRIVATE</w:t>
            </w:r>
          </w:p>
        </w:tc>
        <w:tc>
          <w:tcPr>
            <w:tcW w:type="dxa" w:w="2016"/>
          </w:tcPr>
          <w:p>
            <w:r>
              <w:t>Explicit restricted audience</w:t>
            </w:r>
          </w:p>
        </w:tc>
        <w:tc>
          <w:tcPr>
            <w:tcW w:type="dxa" w:w="2016"/>
          </w:tcPr>
          <w:p>
            <w:r>
              <w:t>Session is associated with an explicitly governed audience/resource set</w:t>
            </w:r>
          </w:p>
        </w:tc>
        <w:tc>
          <w:tcPr>
            <w:tcW w:type="dxa" w:w="2016"/>
          </w:tcPr>
          <w:p>
            <w:r>
              <w:t>RBAC + explicit audience/resource eligibility</w:t>
            </w:r>
          </w:p>
        </w:tc>
        <w:tc>
          <w:tcPr>
            <w:tcW w:type="dxa" w:w="2016"/>
          </w:tcPr>
          <w:p>
            <w:r>
              <w:t>PERSISTENCE OPEN</w:t>
            </w:r>
          </w:p>
        </w:tc>
      </w:tr>
    </w:tbl>
    <w:p>
      <w:pPr>
        <w:pStyle w:val="Heading1"/>
      </w:pPr>
      <w:r>
        <w:t>4. Organization Relationship — Decision</w:t>
      </w:r>
    </w:p>
    <w:p>
      <w:r>
        <w:t>Organization is the only resource scope for which the current corpus provides a sufficiently established authority model. The Session should reference the existing Organization/Workspace context when visibility is ORGANIZATION. The relationship is semantic and should not create a Learning-specific organization entity.</w:t>
      </w:r>
    </w:p>
    <w:p>
      <w:r>
        <w:t>However, the source deliberately does not settle whether a Session belongs to exactly one Organization, may reference multiple Organizations, or uses a separate publishing/audience relationship. Therefore physical cardinality remains CONTROLLED OPEN.</w:t>
      </w:r>
    </w:p>
    <w:p>
      <w:r>
        <w:rPr>
          <w:b/>
        </w:rPr>
        <w:t xml:space="preserve">TECH-06 conclusion: </w:t>
      </w:r>
      <w:r>
        <w:t>Use existing Organization authority; do not invent cardinality.</w:t>
      </w:r>
    </w:p>
    <w:p>
      <w:pPr>
        <w:pStyle w:val="Heading1"/>
      </w:pPr>
      <w:r>
        <w:t>5. Partner Relationship — Decision Boundary</w:t>
      </w:r>
    </w:p>
    <w:p>
      <w:r>
        <w:t>The corpus supports Partner as a semantic visibility/context class, and partnership learning preserves Partner/Provider provenance. It does not, however, provide a sufficiently authoritative Session Partner entity model, membership model, or cardinality rule.</w:t>
      </w:r>
    </w:p>
    <w:p>
      <w:r>
        <w:t>Therefore TECH-06 must not equate Partner with Workspace/Organization, and must not create a new Partner table or relationship solely to make the visibility enum physically implementable.</w:t>
      </w:r>
    </w:p>
    <w:p>
      <w:r>
        <w:rPr>
          <w:b/>
        </w:rPr>
        <w:t xml:space="preserve">TECH-06 conclusion: </w:t>
      </w:r>
      <w:r>
        <w:t>Partner visibility is semantically approved; physical Partner relationship is evidence-dependent and remains open.</w:t>
      </w:r>
    </w:p>
    <w:p>
      <w:pPr>
        <w:pStyle w:val="Heading1"/>
      </w:pPr>
      <w:r>
        <w:t>6. Private Audience — Decision Boundary</w:t>
      </w:r>
    </w:p>
    <w:p>
      <w:r>
        <w:t>PRIVATE means the Session audience is explicitly restricted. The current source does not establish whether the canonical mechanism is invitation rows, explicit user audience rows, organization subgroups, enrollment-only access, or another resource ACL.</w:t>
      </w:r>
    </w:p>
    <w:p>
      <w:r>
        <w:t>The correct invariant is therefore: PRIVATE must be enforced by an explicit server-side audience/resource authorization input, but the persistence mechanism remains undecided.</w:t>
      </w:r>
    </w:p>
    <w:p>
      <w:r>
        <w:rPr>
          <w:b/>
        </w:rPr>
        <w:t xml:space="preserve">TECH-06 conclusion: </w:t>
      </w:r>
      <w:r>
        <w:t>Do not invent a private-audience table or invitation model at this stage.</w:t>
      </w:r>
    </w:p>
    <w:p>
      <w:pPr>
        <w:pStyle w:val="Heading1"/>
      </w:pPr>
      <w:r>
        <w:t>7. Ownership and Scope Interaction</w:t>
      </w:r>
    </w:p>
    <w:p>
      <w:pPr>
        <w:pStyle w:val="ListBullet"/>
      </w:pPr>
      <w:r>
        <w:t>Session ownership remains separate from visibility.</w:t>
      </w:r>
    </w:p>
    <w:p>
      <w:pPr>
        <w:pStyle w:val="ListBullet"/>
      </w:pPr>
      <w:r>
        <w:t>Agent ownership cannot be bypassed by a visibility class.</w:t>
      </w:r>
    </w:p>
    <w:p>
      <w:pPr>
        <w:pStyle w:val="ListBullet"/>
      </w:pPr>
      <w:r>
        <w:t>Organization visibility does not make every organization member a Session manager.</w:t>
      </w:r>
    </w:p>
    <w:p>
      <w:pPr>
        <w:pStyle w:val="ListBullet"/>
      </w:pPr>
      <w:r>
        <w:t>Partner visibility does not grant provider or instructor authority.</w:t>
      </w:r>
    </w:p>
    <w:p>
      <w:pPr>
        <w:pStyle w:val="ListBullet"/>
      </w:pPr>
      <w:r>
        <w:t>Private audience membership does not imply mutation permission.</w:t>
      </w:r>
    </w:p>
    <w:p>
      <w:pPr>
        <w:pStyle w:val="ListBullet"/>
      </w:pPr>
      <w:r>
        <w:t>Host and Instructor capabilities remain explicit and separate.</w:t>
      </w:r>
    </w:p>
    <w:p>
      <w:pPr>
        <w:pStyle w:val="ListBullet"/>
      </w:pPr>
      <w:r>
        <w:t>Provider Session ID is infrastructure identity, not resource ownership or user authorization.</w:t>
      </w:r>
    </w:p>
    <w:p>
      <w:pPr>
        <w:pStyle w:val="Heading1"/>
      </w:pPr>
      <w:r>
        <w:t>8. Enrollment Boundary</w:t>
      </w:r>
    </w:p>
    <w:p>
      <w:r>
        <w:t>Learning Session Enrollment remains distinct from M04 Course Enrollment and M05 Event Registration. A visibility relationship determines audience/discovery scope; enrollment determines the learner's Session access state. Event registration must not be used as proof of Session enrollment.</w:t>
      </w:r>
    </w:p>
    <w:p>
      <w:pPr>
        <w:pStyle w:val="Heading1"/>
      </w:pPr>
      <w:r>
        <w:t>9. Resource Authorization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Input</w:t>
            </w:r>
          </w:p>
        </w:tc>
        <w:tc>
          <w:tcPr>
            <w:tcW w:type="dxa" w:w="2520"/>
            <w:shd w:fill="D9EAF7"/>
          </w:tcPr>
          <w:p>
            <w:r>
              <w:t>Authority</w:t>
            </w:r>
          </w:p>
        </w:tc>
        <w:tc>
          <w:tcPr>
            <w:tcW w:type="dxa" w:w="2520"/>
            <w:shd w:fill="D9EAF7"/>
          </w:tcPr>
          <w:p>
            <w:r>
              <w:t>Use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</w:tr>
      <w:tr>
        <w:tc>
          <w:tcPr>
            <w:tcW w:type="dxa" w:w="2520"/>
          </w:tcPr>
          <w:p>
            <w:r>
              <w:t>Actor identity</w:t>
            </w:r>
          </w:p>
        </w:tc>
        <w:tc>
          <w:tcPr>
            <w:tcW w:type="dxa" w:w="2520"/>
          </w:tcPr>
          <w:p>
            <w:r>
              <w:t>Existing identity authority</w:t>
            </w:r>
          </w:p>
        </w:tc>
        <w:tc>
          <w:tcPr>
            <w:tcW w:type="dxa" w:w="2520"/>
          </w:tcPr>
          <w:p>
            <w:r>
              <w:t>Identify authenticated actor</w:t>
            </w:r>
          </w:p>
        </w:tc>
        <w:tc>
          <w:tcPr>
            <w:tcW w:type="dxa" w:w="2520"/>
          </w:tcPr>
          <w:p>
            <w:r>
              <w:t>CLOSED</w:t>
            </w:r>
          </w:p>
        </w:tc>
      </w:tr>
      <w:tr>
        <w:tc>
          <w:tcPr>
            <w:tcW w:type="dxa" w:w="2520"/>
          </w:tcPr>
          <w:p>
            <w:r>
              <w:t>Platform permission</w:t>
            </w:r>
          </w:p>
        </w:tc>
        <w:tc>
          <w:tcPr>
            <w:tcW w:type="dxa" w:w="2520"/>
          </w:tcPr>
          <w:p>
            <w:r>
              <w:t>MADCR-053 + RBAC</w:t>
            </w:r>
          </w:p>
        </w:tc>
        <w:tc>
          <w:tcPr>
            <w:tcW w:type="dxa" w:w="2520"/>
          </w:tcPr>
          <w:p>
            <w:r>
              <w:t>Authorize operation</w:t>
            </w:r>
          </w:p>
        </w:tc>
        <w:tc>
          <w:tcPr>
            <w:tcW w:type="dxa" w:w="2520"/>
          </w:tcPr>
          <w:p>
            <w:r>
              <w:t>CLOSED semantic / IDs downstream</w:t>
            </w:r>
          </w:p>
        </w:tc>
      </w:tr>
      <w:tr>
        <w:tc>
          <w:tcPr>
            <w:tcW w:type="dxa" w:w="2520"/>
          </w:tcPr>
          <w:p>
            <w:r>
              <w:t>Visibility</w:t>
            </w:r>
          </w:p>
        </w:tc>
        <w:tc>
          <w:tcPr>
            <w:tcW w:type="dxa" w:w="2520"/>
          </w:tcPr>
          <w:p>
            <w:r>
              <w:t>TECH-02 user decision</w:t>
            </w:r>
          </w:p>
        </w:tc>
        <w:tc>
          <w:tcPr>
            <w:tcW w:type="dxa" w:w="2520"/>
          </w:tcPr>
          <w:p>
            <w:r>
              <w:t>Resolve intended audience/scope</w:t>
            </w:r>
          </w:p>
        </w:tc>
        <w:tc>
          <w:tcPr>
            <w:tcW w:type="dxa" w:w="2520"/>
          </w:tcPr>
          <w:p>
            <w:r>
              <w:t>CLOSED</w:t>
            </w:r>
          </w:p>
        </w:tc>
      </w:tr>
      <w:tr>
        <w:tc>
          <w:tcPr>
            <w:tcW w:type="dxa" w:w="2520"/>
          </w:tcPr>
          <w:p>
            <w:r>
              <w:t>Organization membership/context</w:t>
            </w:r>
          </w:p>
        </w:tc>
        <w:tc>
          <w:tcPr>
            <w:tcW w:type="dxa" w:w="2520"/>
          </w:tcPr>
          <w:p>
            <w:r>
              <w:t>Existing Organization authority</w:t>
            </w:r>
          </w:p>
        </w:tc>
        <w:tc>
          <w:tcPr>
            <w:tcW w:type="dxa" w:w="2520"/>
          </w:tcPr>
          <w:p>
            <w:r>
              <w:t>Authorize ORGANIZATION scope</w:t>
            </w:r>
          </w:p>
        </w:tc>
        <w:tc>
          <w:tcPr>
            <w:tcW w:type="dxa" w:w="2520"/>
          </w:tcPr>
          <w:p>
            <w:r>
              <w:t>CLOSED authority / Session cardinality open</w:t>
            </w:r>
          </w:p>
        </w:tc>
      </w:tr>
      <w:tr>
        <w:tc>
          <w:tcPr>
            <w:tcW w:type="dxa" w:w="2520"/>
          </w:tcPr>
          <w:p>
            <w:r>
              <w:t>Partner authority</w:t>
            </w:r>
          </w:p>
        </w:tc>
        <w:tc>
          <w:tcPr>
            <w:tcW w:type="dxa" w:w="2520"/>
          </w:tcPr>
          <w:p>
            <w:r>
              <w:t>Partner domain evidence</w:t>
            </w:r>
          </w:p>
        </w:tc>
        <w:tc>
          <w:tcPr>
            <w:tcW w:type="dxa" w:w="2520"/>
          </w:tcPr>
          <w:p>
            <w:r>
              <w:t>Authorize PARTNER scope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</w:tr>
      <w:tr>
        <w:tc>
          <w:tcPr>
            <w:tcW w:type="dxa" w:w="2520"/>
          </w:tcPr>
          <w:p>
            <w:r>
              <w:t>Private audience/resource scope</w:t>
            </w:r>
          </w:p>
        </w:tc>
        <w:tc>
          <w:tcPr>
            <w:tcW w:type="dxa" w:w="2520"/>
          </w:tcPr>
          <w:p>
            <w:r>
              <w:t>Session access design</w:t>
            </w:r>
          </w:p>
        </w:tc>
        <w:tc>
          <w:tcPr>
            <w:tcW w:type="dxa" w:w="2520"/>
          </w:tcPr>
          <w:p>
            <w:r>
              <w:t>Authorize PRIVATE scope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</w:tr>
      <w:tr>
        <w:tc>
          <w:tcPr>
            <w:tcW w:type="dxa" w:w="2520"/>
          </w:tcPr>
          <w:p>
            <w:r>
              <w:t>Commercial Entitlement</w:t>
            </w:r>
          </w:p>
        </w:tc>
        <w:tc>
          <w:tcPr>
            <w:tcW w:type="dxa" w:w="2520"/>
          </w:tcPr>
          <w:p>
            <w:r>
              <w:t>Commercial/Payment</w:t>
            </w:r>
          </w:p>
        </w:tc>
        <w:tc>
          <w:tcPr>
            <w:tcW w:type="dxa" w:w="2520"/>
          </w:tcPr>
          <w:p>
            <w:r>
              <w:t>Authorize paid access outcome</w:t>
            </w:r>
          </w:p>
        </w:tc>
        <w:tc>
          <w:tcPr>
            <w:tcW w:type="dxa" w:w="2520"/>
          </w:tcPr>
          <w:p>
            <w:r>
              <w:t>CLOSED boundary</w:t>
            </w:r>
          </w:p>
        </w:tc>
      </w:tr>
      <w:tr>
        <w:tc>
          <w:tcPr>
            <w:tcW w:type="dxa" w:w="2520"/>
          </w:tcPr>
          <w:p>
            <w:r>
              <w:t>Enrollment</w:t>
            </w:r>
          </w:p>
        </w:tc>
        <w:tc>
          <w:tcPr>
            <w:tcW w:type="dxa" w:w="2520"/>
          </w:tcPr>
          <w:p>
            <w:r>
              <w:t>Learning Session domain</w:t>
            </w:r>
          </w:p>
        </w:tc>
        <w:tc>
          <w:tcPr>
            <w:tcW w:type="dxa" w:w="2520"/>
          </w:tcPr>
          <w:p>
            <w:r>
              <w:t>Determine active Session access state</w:t>
            </w:r>
          </w:p>
        </w:tc>
        <w:tc>
          <w:tcPr>
            <w:tcW w:type="dxa" w:w="2520"/>
          </w:tcPr>
          <w:p>
            <w:r>
              <w:t>SEMANTIC CLOSED</w:t>
            </w:r>
          </w:p>
        </w:tc>
      </w:tr>
      <w:tr>
        <w:tc>
          <w:tcPr>
            <w:tcW w:type="dxa" w:w="2520"/>
          </w:tcPr>
          <w:p>
            <w:r>
              <w:t>Ownership</w:t>
            </w:r>
          </w:p>
        </w:tc>
        <w:tc>
          <w:tcPr>
            <w:tcW w:type="dxa" w:w="2520"/>
          </w:tcPr>
          <w:p>
            <w:r>
              <w:t>Resource/business rule</w:t>
            </w:r>
          </w:p>
        </w:tc>
        <w:tc>
          <w:tcPr>
            <w:tcW w:type="dxa" w:w="2520"/>
          </w:tcPr>
          <w:p>
            <w:r>
              <w:t>Enforce hard ownership</w:t>
            </w:r>
          </w:p>
        </w:tc>
        <w:tc>
          <w:tcPr>
            <w:tcW w:type="dxa" w:w="2520"/>
          </w:tcPr>
          <w:p>
            <w:r>
              <w:t>CLOSED boundary</w:t>
            </w:r>
          </w:p>
        </w:tc>
      </w:tr>
    </w:tbl>
    <w:p>
      <w:pPr>
        <w:pStyle w:val="Heading1"/>
      </w:pPr>
      <w:r>
        <w:t>10. Physical Design Readiness</w:t>
      </w:r>
    </w:p>
    <w:p>
      <w:r>
        <w:t>The semantic model is ready to inform a physical schema/API impact package, but three physical questions remain insufficiently evidenced: Session↔Organization cardinality, Session↔Partner relationship, and PRIVATE audience persistence.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Area</w:t>
            </w:r>
          </w:p>
        </w:tc>
        <w:tc>
          <w:tcPr>
            <w:tcW w:type="dxa" w:w="2520"/>
            <w:shd w:fill="D9EAF7"/>
          </w:tcPr>
          <w:p>
            <w:r>
              <w:t>Ready to design?</w:t>
            </w:r>
          </w:p>
        </w:tc>
        <w:tc>
          <w:tcPr>
            <w:tcW w:type="dxa" w:w="2520"/>
            <w:shd w:fill="D9EAF7"/>
          </w:tcPr>
          <w:p>
            <w:r>
              <w:t>Evidence sufficiency</w:t>
            </w:r>
          </w:p>
        </w:tc>
        <w:tc>
          <w:tcPr>
            <w:tcW w:type="dxa" w:w="2520"/>
            <w:shd w:fill="D9EAF7"/>
          </w:tcPr>
          <w:p>
            <w:r>
              <w:t>Restriction</w:t>
            </w:r>
          </w:p>
        </w:tc>
      </w:tr>
      <w:tr>
        <w:tc>
          <w:tcPr>
            <w:tcW w:type="dxa" w:w="2520"/>
          </w:tcPr>
          <w:p>
            <w:r>
              <w:t>Visibility field/class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Approved semantic decision</w:t>
            </w:r>
          </w:p>
        </w:tc>
        <w:tc>
          <w:tcPr>
            <w:tcW w:type="dxa" w:w="2520"/>
          </w:tcPr>
          <w:p>
            <w:r>
              <w:t>Exact column/type still downstream</w:t>
            </w:r>
          </w:p>
        </w:tc>
      </w:tr>
      <w:tr>
        <w:tc>
          <w:tcPr>
            <w:tcW w:type="dxa" w:w="2520"/>
          </w:tcPr>
          <w:p>
            <w:r>
              <w:t>Organization context</w:t>
            </w:r>
          </w:p>
        </w:tc>
        <w:tc>
          <w:tcPr>
            <w:tcW w:type="dxa" w:w="2520"/>
          </w:tcPr>
          <w:p>
            <w:r>
              <w:t>YES, conceptually</w:t>
            </w:r>
          </w:p>
        </w:tc>
        <w:tc>
          <w:tcPr>
            <w:tcW w:type="dxa" w:w="2520"/>
          </w:tcPr>
          <w:p>
            <w:r>
              <w:t>Existing Organization authority exists</w:t>
            </w:r>
          </w:p>
        </w:tc>
        <w:tc>
          <w:tcPr>
            <w:tcW w:type="dxa" w:w="2520"/>
          </w:tcPr>
          <w:p>
            <w:r>
              <w:t>No cardinality invention</w:t>
            </w:r>
          </w:p>
        </w:tc>
      </w:tr>
      <w:tr>
        <w:tc>
          <w:tcPr>
            <w:tcW w:type="dxa" w:w="2520"/>
          </w:tcPr>
          <w:p>
            <w:r>
              <w:t>Partner context</w:t>
            </w:r>
          </w:p>
        </w:tc>
        <w:tc>
          <w:tcPr>
            <w:tcW w:type="dxa" w:w="2520"/>
          </w:tcPr>
          <w:p>
            <w:r>
              <w:t>SEMANTIC ONLY</w:t>
            </w:r>
          </w:p>
        </w:tc>
        <w:tc>
          <w:tcPr>
            <w:tcW w:type="dxa" w:w="2520"/>
          </w:tcPr>
          <w:p>
            <w:r>
              <w:t>Insufficient Session-specific evidence</w:t>
            </w:r>
          </w:p>
        </w:tc>
        <w:tc>
          <w:tcPr>
            <w:tcW w:type="dxa" w:w="2520"/>
          </w:tcPr>
          <w:p>
            <w:r>
              <w:t>No physical relation yet</w:t>
            </w:r>
          </w:p>
        </w:tc>
      </w:tr>
      <w:tr>
        <w:tc>
          <w:tcPr>
            <w:tcW w:type="dxa" w:w="2520"/>
          </w:tcPr>
          <w:p>
            <w:r>
              <w:t>Private audience</w:t>
            </w:r>
          </w:p>
        </w:tc>
        <w:tc>
          <w:tcPr>
            <w:tcW w:type="dxa" w:w="2520"/>
          </w:tcPr>
          <w:p>
            <w:r>
              <w:t>SEMANTIC ONLY</w:t>
            </w:r>
          </w:p>
        </w:tc>
        <w:tc>
          <w:tcPr>
            <w:tcW w:type="dxa" w:w="2520"/>
          </w:tcPr>
          <w:p>
            <w:r>
              <w:t>Insufficient persistence evidence</w:t>
            </w:r>
          </w:p>
        </w:tc>
        <w:tc>
          <w:tcPr>
            <w:tcW w:type="dxa" w:w="2520"/>
          </w:tcPr>
          <w:p>
            <w:r>
              <w:t>No physical ACL/invite table yet</w:t>
            </w:r>
          </w:p>
        </w:tc>
      </w:tr>
      <w:tr>
        <w:tc>
          <w:tcPr>
            <w:tcW w:type="dxa" w:w="2520"/>
          </w:tcPr>
          <w:p>
            <w:r>
              <w:t>RLS</w:t>
            </w:r>
          </w:p>
        </w:tc>
        <w:tc>
          <w:tcPr>
            <w:tcW w:type="dxa" w:w="2520"/>
          </w:tcPr>
          <w:p>
            <w:r>
              <w:t>DESIGN INPUT READY</w:t>
            </w:r>
          </w:p>
        </w:tc>
        <w:tc>
          <w:tcPr>
            <w:tcW w:type="dxa" w:w="2520"/>
          </w:tcPr>
          <w:p>
            <w:r>
              <w:t>Scope model coherent</w:t>
            </w:r>
          </w:p>
        </w:tc>
        <w:tc>
          <w:tcPr>
            <w:tcW w:type="dxa" w:w="2520"/>
          </w:tcPr>
          <w:p>
            <w:r>
              <w:t>SQL implementation not authorized</w:t>
            </w:r>
          </w:p>
        </w:tc>
      </w:tr>
      <w:tr>
        <w:tc>
          <w:tcPr>
            <w:tcW w:type="dxa" w:w="2520"/>
          </w:tcPr>
          <w:p>
            <w:r>
              <w:t>API</w:t>
            </w:r>
          </w:p>
        </w:tc>
        <w:tc>
          <w:tcPr>
            <w:tcW w:type="dxa" w:w="2520"/>
          </w:tcPr>
          <w:p>
            <w:r>
              <w:t>DESIGN INPUT READY</w:t>
            </w:r>
          </w:p>
        </w:tc>
        <w:tc>
          <w:tcPr>
            <w:tcW w:type="dxa" w:w="2520"/>
          </w:tcPr>
          <w:p>
            <w:r>
              <w:t>Semantic access inputs defined</w:t>
            </w:r>
          </w:p>
        </w:tc>
        <w:tc>
          <w:tcPr>
            <w:tcW w:type="dxa" w:w="2520"/>
          </w:tcPr>
          <w:p>
            <w:r>
              <w:t>Endpoint contract still downstream</w:t>
            </w:r>
          </w:p>
        </w:tc>
      </w:tr>
    </w:tbl>
    <w:p>
      <w:pPr>
        <w:pStyle w:val="Heading1"/>
      </w:pPr>
      <w:r>
        <w:t>11. Open Decisions / Controlled Residuals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Item</w:t>
            </w:r>
          </w:p>
        </w:tc>
        <w:tc>
          <w:tcPr>
            <w:tcW w:type="dxa" w:w="2520"/>
            <w:shd w:fill="D9EAF7"/>
          </w:tcPr>
          <w:p>
            <w:r>
              <w:t>Status</w:t>
            </w:r>
          </w:p>
        </w:tc>
        <w:tc>
          <w:tcPr>
            <w:tcW w:type="dxa" w:w="2520"/>
            <w:shd w:fill="D9EAF7"/>
          </w:tcPr>
          <w:p>
            <w:r>
              <w:t>Why</w:t>
            </w:r>
          </w:p>
        </w:tc>
        <w:tc>
          <w:tcPr>
            <w:tcW w:type="dxa" w:w="2520"/>
            <w:shd w:fill="D9EAF7"/>
          </w:tcPr>
          <w:p>
            <w:r>
              <w:t>Required before</w:t>
            </w:r>
          </w:p>
        </w:tc>
      </w:tr>
      <w:tr>
        <w:tc>
          <w:tcPr>
            <w:tcW w:type="dxa" w:w="2520"/>
          </w:tcPr>
          <w:p>
            <w:r>
              <w:t>Session↔Organization cardinality</w:t>
            </w:r>
          </w:p>
        </w:tc>
        <w:tc>
          <w:tcPr>
            <w:tcW w:type="dxa" w:w="2520"/>
          </w:tcPr>
          <w:p>
            <w:r>
              <w:t>CONTROLLED OPEN</w:t>
            </w:r>
          </w:p>
        </w:tc>
        <w:tc>
          <w:tcPr>
            <w:tcW w:type="dxa" w:w="2520"/>
          </w:tcPr>
          <w:p>
            <w:r>
              <w:t>AEP4 explicitly deferred authority/cardinality</w:t>
            </w:r>
          </w:p>
        </w:tc>
        <w:tc>
          <w:tcPr>
            <w:tcW w:type="dxa" w:w="2520"/>
          </w:tcPr>
          <w:p>
            <w:r>
              <w:t>Physical ERD/API</w:t>
            </w:r>
          </w:p>
        </w:tc>
      </w:tr>
      <w:tr>
        <w:tc>
          <w:tcPr>
            <w:tcW w:type="dxa" w:w="2520"/>
          </w:tcPr>
          <w:p>
            <w:r>
              <w:t>Session↔Partner relationship/cardinality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 authoritative Session Partner model surfaced</w:t>
            </w:r>
          </w:p>
        </w:tc>
        <w:tc>
          <w:tcPr>
            <w:tcW w:type="dxa" w:w="2520"/>
          </w:tcPr>
          <w:p>
            <w:r>
              <w:t>Partner/session physical design</w:t>
            </w:r>
          </w:p>
        </w:tc>
      </w:tr>
      <w:tr>
        <w:tc>
          <w:tcPr>
            <w:tcW w:type="dxa" w:w="2520"/>
          </w:tcPr>
          <w:p>
            <w:r>
              <w:t>PRIVATE audience persistence</w:t>
            </w:r>
          </w:p>
        </w:tc>
        <w:tc>
          <w:tcPr>
            <w:tcW w:type="dxa" w:w="2520"/>
          </w:tcPr>
          <w:p>
            <w:r>
              <w:t>OPEN</w:t>
            </w:r>
          </w:p>
        </w:tc>
        <w:tc>
          <w:tcPr>
            <w:tcW w:type="dxa" w:w="2520"/>
          </w:tcPr>
          <w:p>
            <w:r>
              <w:t>No authoritative persistence mechanism surfaced</w:t>
            </w:r>
          </w:p>
        </w:tc>
        <w:tc>
          <w:tcPr>
            <w:tcW w:type="dxa" w:w="2520"/>
          </w:tcPr>
          <w:p>
            <w:r>
              <w:t>Private access physical design</w:t>
            </w:r>
          </w:p>
        </w:tc>
      </w:tr>
      <w:tr>
        <w:tc>
          <w:tcPr>
            <w:tcW w:type="dxa" w:w="2520"/>
          </w:tcPr>
          <w:p>
            <w:r>
              <w:t>Exact RLS SQL</w:t>
            </w:r>
          </w:p>
        </w:tc>
        <w:tc>
          <w:tcPr>
            <w:tcW w:type="dxa" w:w="2520"/>
          </w:tcPr>
          <w:p>
            <w:r>
              <w:t>DEFERRED</w:t>
            </w:r>
          </w:p>
        </w:tc>
        <w:tc>
          <w:tcPr>
            <w:tcW w:type="dxa" w:w="2520"/>
          </w:tcPr>
          <w:p>
            <w:r>
              <w:t>Implementation gate not reached</w:t>
            </w:r>
          </w:p>
        </w:tc>
        <w:tc>
          <w:tcPr>
            <w:tcW w:type="dxa" w:w="2520"/>
          </w:tcPr>
          <w:p>
            <w:r>
              <w:t>Physical implementation authorization</w:t>
            </w:r>
          </w:p>
        </w:tc>
      </w:tr>
      <w:tr>
        <w:tc>
          <w:tcPr>
            <w:tcW w:type="dxa" w:w="2520"/>
          </w:tcPr>
          <w:p>
            <w:r>
              <w:t>Exact permission IDs</w:t>
            </w:r>
          </w:p>
        </w:tc>
        <w:tc>
          <w:tcPr>
            <w:tcW w:type="dxa" w:w="2520"/>
          </w:tcPr>
          <w:p>
            <w:r>
              <w:t>CONTROLLED</w:t>
            </w:r>
          </w:p>
        </w:tc>
        <w:tc>
          <w:tcPr>
            <w:tcW w:type="dxa" w:w="2520"/>
          </w:tcPr>
          <w:p>
            <w:r>
              <w:t>Catalogue mapping evidence still incomplete</w:t>
            </w:r>
          </w:p>
        </w:tc>
        <w:tc>
          <w:tcPr>
            <w:tcW w:type="dxa" w:w="2520"/>
          </w:tcPr>
          <w:p>
            <w:r>
              <w:t>Permission implementation</w:t>
            </w:r>
          </w:p>
        </w:tc>
      </w:tr>
    </w:tbl>
    <w:p>
      <w:pPr>
        <w:pStyle w:val="Heading1"/>
      </w:pPr>
      <w:r>
        <w:t>12. Lead Decision</w:t>
      </w:r>
    </w:p>
    <w:p>
      <w:r>
        <w:t>TECH-06 closes the semantic resource-scope model without forcing physical assumptions. No user decision is requested now because the remaining open items are evidence/physical-design questions, not choices that can be safely resolved from the current source corpus.</w:t>
      </w:r>
    </w:p>
    <w:p>
      <w:r>
        <w:t>The next best step is therefore not to guess cardinality. It is TECH-07 — Physical Session Scope &amp; Schema Impact Evidence Review, using the actual current ERD/schema/API artifacts to determine whether the existing baseline already contains reusable organization/partner/audience structures or whether a controlled delta is required.</w:t>
      </w:r>
    </w:p>
    <w:p>
      <w:pPr>
        <w:pStyle w:val="Heading1"/>
      </w:pPr>
      <w:r>
        <w:t>13. Traceability</w:t>
      </w:r>
    </w:p>
    <w:p>
      <w:pPr>
        <w:pStyle w:val="ListBullet"/>
      </w:pPr>
      <w:r>
        <w:t>AEP4-OD-14 — Workspace/Organization context; authority/cardinality downstream.</w:t>
      </w:r>
    </w:p>
    <w:p>
      <w:pPr>
        <w:pStyle w:val="ListBullet"/>
      </w:pPr>
      <w:r>
        <w:t>AEP4-OD-15 — semantic visibility/access scope; exact authorization/persistence downstream.</w:t>
      </w:r>
    </w:p>
    <w:p>
      <w:pPr>
        <w:pStyle w:val="ListBullet"/>
      </w:pPr>
      <w:r>
        <w:t>TECH-02 — approved PUBLIC / ORGANIZATION / PARTNER / PRIVATE vocabulary.</w:t>
      </w:r>
    </w:p>
    <w:p>
      <w:pPr>
        <w:pStyle w:val="ListBullet"/>
      </w:pPr>
      <w:r>
        <w:t>TECH-05 — authorization/RLS design boundary.</w:t>
      </w:r>
    </w:p>
    <w:p>
      <w:pPr>
        <w:pStyle w:val="ListBullet"/>
      </w:pPr>
      <w:r>
        <w:t>ADR-026 — Organization model strategy.</w:t>
      </w:r>
    </w:p>
    <w:p>
      <w:pPr>
        <w:pStyle w:val="ListBullet"/>
      </w:pPr>
      <w:r>
        <w:t>ADR-027 — Organization-scoped authorization strategy.</w:t>
      </w:r>
    </w:p>
    <w:p>
      <w:pPr>
        <w:pStyle w:val="ListBullet"/>
      </w:pPr>
      <w:r>
        <w:t>Authorization/RBAC baseline — platform RBAC and scope model.</w:t>
      </w:r>
    </w:p>
    <w:p>
      <w:pPr>
        <w:pStyle w:val="ListBullet"/>
      </w:pPr>
      <w:r>
        <w:t>AEP4 ERD/API reconciliation — Session Enrollment distinct from M04/M05 semantics.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