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RUMAHAGEN — TECH-08</w:t>
      </w:r>
    </w:p>
    <w:p>
      <w:pPr>
        <w:jc w:val="center"/>
      </w:pPr>
      <w:r>
        <w:rPr>
          <w:i/>
        </w:rPr>
        <w:t>Learning Session Physical Relationship Decision Gate</w:t>
      </w:r>
    </w:p>
    <w:p>
      <w:r>
        <w:rPr>
          <w:b/>
        </w:rPr>
        <w:t xml:space="preserve">Status: </w:t>
      </w:r>
      <w:r>
        <w:t>DECISION-READY — 3 PHYSICAL RELATIONSHIPS REMAIN GOVERNANCE/PRODUCT OPEN</w:t>
      </w:r>
    </w:p>
    <w:p>
      <w:pPr>
        <w:pStyle w:val="Heading1"/>
      </w:pPr>
      <w:r>
        <w:t>1. Purpose</w:t>
      </w:r>
    </w:p>
    <w:p>
      <w:r>
        <w:t>TECH-08 is the final evidence gate before a physical ERD/schema delta can be specified for the remaining Learning Session resource-scope relationships. It reviews the source corpus and explicitly separates source-supported facts from design recommendations and user decisions.</w:t>
      </w:r>
    </w:p>
    <w:p>
      <w:pPr>
        <w:pStyle w:val="Heading1"/>
      </w:pPr>
      <w:r>
        <w:t>2. Source Evidence Reviewed</w:t>
      </w:r>
    </w:p>
    <w:p>
      <w:pPr>
        <w:pStyle w:val="ListBullet"/>
      </w:pPr>
      <w:r>
        <w:t>AEP4 STEP-06 ERD Logical Reconciliation — Session/Event relationship and NEW Session concepts.</w:t>
      </w:r>
    </w:p>
    <w:p>
      <w:pPr>
        <w:pStyle w:val="ListBullet"/>
      </w:pPr>
      <w:r>
        <w:t>AEP4 STEP-07 Logical Schema/Data Dictionary Impact — Organization context, visibility, provider/session identity and deferred physical representation.</w:t>
      </w:r>
    </w:p>
    <w:p>
      <w:pPr>
        <w:pStyle w:val="ListBullet"/>
      </w:pPr>
      <w:r>
        <w:t>AEP4 STEP-15 Cross-Document Reconciliation — M04/M05 separation and legacy Event semantics.</w:t>
      </w:r>
    </w:p>
    <w:p>
      <w:pPr>
        <w:pStyle w:val="ListBullet"/>
      </w:pPr>
      <w:r>
        <w:t>ADR-026 Organization Model Strategy — organizations, organization_members, organization_invitations; one active Organization per agent.</w:t>
      </w:r>
    </w:p>
    <w:p>
      <w:pPr>
        <w:pStyle w:val="ListBullet"/>
      </w:pPr>
      <w:r>
        <w:t>ADR-027 Organization-Scoped Authorization Strategy — Organization authorization remains separate from platform RBAC.</w:t>
      </w:r>
    </w:p>
    <w:p>
      <w:pPr>
        <w:pStyle w:val="ListBullet"/>
      </w:pPr>
      <w:r>
        <w:t>AEP2 Partnership Learning Schema Requirements — partner provenance and partner-origin learning outcomes.</w:t>
      </w:r>
    </w:p>
    <w:p>
      <w:pPr>
        <w:pStyle w:val="ListBullet"/>
      </w:pPr>
      <w:r>
        <w:t>TECH-02 / TECH-06 / TECH-07 — current approved visibility vocabulary and controlled physical residuals.</w:t>
      </w:r>
    </w:p>
    <w:p>
      <w:pPr>
        <w:pStyle w:val="Heading1"/>
      </w:pPr>
      <w:r>
        <w:t>3. Evidence Outcome</w:t>
      </w:r>
    </w:p>
    <w:p>
      <w:r>
        <w:t>The additional corpus search did not reveal a governing Session-specific Partner entity/cardinality model, a canonical Private-audience persistence model, or an explicit Session↔Event cardinality rule. It did confirm that Organization is an established authority and that EventRegistration remains M05 RSVP.</w:t>
      </w:r>
    </w:p>
    <w:p>
      <w:r>
        <w:t>Therefore none of the three unresolved physical relationships can be safely closed as an already-existing governance fact. TECH-08 converts them into explicit decision-ready options instead of inventing schema.</w:t>
      </w:r>
    </w:p>
    <w:p>
      <w:pPr>
        <w:pStyle w:val="Heading1"/>
      </w:pPr>
      <w:r>
        <w:t>4. Relationship A — Learning Session ↔ Organization</w:t>
      </w:r>
    </w:p>
    <w:p>
      <w:r>
        <w:t>Source-supported facts: Organization is a first-class grouping entity; an agent may have at most one active Organization membership; Organization authorization is evaluated separately from platform RBAC. AEP4 says Organization/Workspace context is part of Session semantic context when applicable, but deliberately leaves authority/cardinality downstream.</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t>Option</w:t>
            </w:r>
          </w:p>
        </w:tc>
        <w:tc>
          <w:tcPr>
            <w:tcW w:type="dxa" w:w="2016"/>
            <w:shd w:fill="D9EAF7"/>
          </w:tcPr>
          <w:p>
            <w:r>
              <w:t>Model</w:t>
            </w:r>
          </w:p>
        </w:tc>
        <w:tc>
          <w:tcPr>
            <w:tcW w:type="dxa" w:w="2016"/>
            <w:shd w:fill="D9EAF7"/>
          </w:tcPr>
          <w:p>
            <w:r>
              <w:t>Advantages</w:t>
            </w:r>
          </w:p>
        </w:tc>
        <w:tc>
          <w:tcPr>
            <w:tcW w:type="dxa" w:w="2016"/>
            <w:shd w:fill="D9EAF7"/>
          </w:tcPr>
          <w:p>
            <w:r>
              <w:t>Risk</w:t>
            </w:r>
          </w:p>
        </w:tc>
        <w:tc>
          <w:tcPr>
            <w:tcW w:type="dxa" w:w="2016"/>
            <w:shd w:fill="D9EAF7"/>
          </w:tcPr>
          <w:p>
            <w:r>
              <w:t>Recommendation</w:t>
            </w:r>
          </w:p>
        </w:tc>
      </w:tr>
      <w:tr>
        <w:tc>
          <w:tcPr>
            <w:tcW w:type="dxa" w:w="2016"/>
          </w:tcPr>
          <w:p>
            <w:r>
              <w:t>A</w:t>
            </w:r>
          </w:p>
        </w:tc>
        <w:tc>
          <w:tcPr>
            <w:tcW w:type="dxa" w:w="2016"/>
          </w:tcPr>
          <w:p>
            <w:r>
              <w:t>Session has nullable organization_id; max 1 Organization per Session</w:t>
            </w:r>
          </w:p>
        </w:tc>
        <w:tc>
          <w:tcPr>
            <w:tcW w:type="dxa" w:w="2016"/>
          </w:tcPr>
          <w:p>
            <w:r>
              <w:t>Simple; aligns one Organization context; easy RLS</w:t>
            </w:r>
          </w:p>
        </w:tc>
        <w:tc>
          <w:tcPr>
            <w:tcW w:type="dxa" w:w="2016"/>
          </w:tcPr>
          <w:p>
            <w:r>
              <w:t>Cannot publish one Session to multiple Organizations</w:t>
            </w:r>
          </w:p>
        </w:tc>
        <w:tc>
          <w:tcPr>
            <w:tcW w:type="dxa" w:w="2016"/>
          </w:tcPr>
          <w:p>
            <w:r>
              <w:t>RECOMMENDED for current product model</w:t>
            </w:r>
          </w:p>
        </w:tc>
      </w:tr>
      <w:tr>
        <w:tc>
          <w:tcPr>
            <w:tcW w:type="dxa" w:w="2016"/>
          </w:tcPr>
          <w:p>
            <w:r>
              <w:t>B</w:t>
            </w:r>
          </w:p>
        </w:tc>
        <w:tc>
          <w:tcPr>
            <w:tcW w:type="dxa" w:w="2016"/>
          </w:tcPr>
          <w:p>
            <w:r>
              <w:t>Session↔Organization N:N pivot</w:t>
            </w:r>
          </w:p>
        </w:tc>
        <w:tc>
          <w:tcPr>
            <w:tcW w:type="dxa" w:w="2016"/>
          </w:tcPr>
          <w:p>
            <w:r>
              <w:t>Supports multi-organization publishing</w:t>
            </w:r>
          </w:p>
        </w:tc>
        <w:tc>
          <w:tcPr>
            <w:tcW w:type="dxa" w:w="2016"/>
          </w:tcPr>
          <w:p>
            <w:r>
              <w:t>More complexity; no source evidence of need</w:t>
            </w:r>
          </w:p>
        </w:tc>
        <w:tc>
          <w:tcPr>
            <w:tcW w:type="dxa" w:w="2016"/>
          </w:tcPr>
          <w:p>
            <w:r>
              <w:t>Not recommended without requirement</w:t>
            </w:r>
          </w:p>
        </w:tc>
      </w:tr>
      <w:tr>
        <w:tc>
          <w:tcPr>
            <w:tcW w:type="dxa" w:w="2016"/>
          </w:tcPr>
          <w:p>
            <w:r>
              <w:t>C</w:t>
            </w:r>
          </w:p>
        </w:tc>
        <w:tc>
          <w:tcPr>
            <w:tcW w:type="dxa" w:w="2016"/>
          </w:tcPr>
          <w:p>
            <w:r>
              <w:t>Separate Session publication/audience relation</w:t>
            </w:r>
          </w:p>
        </w:tc>
        <w:tc>
          <w:tcPr>
            <w:tcW w:type="dxa" w:w="2016"/>
          </w:tcPr>
          <w:p>
            <w:r>
              <w:t>Flexible audience model</w:t>
            </w:r>
          </w:p>
        </w:tc>
        <w:tc>
          <w:tcPr>
            <w:tcW w:type="dxa" w:w="2016"/>
          </w:tcPr>
          <w:p>
            <w:r>
              <w:t>Introduces extra semantic layer before need is proven</w:t>
            </w:r>
          </w:p>
        </w:tc>
        <w:tc>
          <w:tcPr>
            <w:tcW w:type="dxa" w:w="2016"/>
          </w:tcPr>
          <w:p>
            <w:r>
              <w:t>Defer</w:t>
            </w:r>
          </w:p>
        </w:tc>
      </w:tr>
    </w:tbl>
    <w:p>
      <w:pPr>
        <w:pStyle w:val="Heading1"/>
      </w:pPr>
      <w:r>
        <w:t>5. Relationship B — Learning Session ↔ Partner</w:t>
      </w:r>
    </w:p>
    <w:p>
      <w:r>
        <w:t>Source-supported facts: Partnership Learning preserves Partner/Provider provenance, but the current corpus does not establish a canonical Session Partner entity, Partner membership model, or Session↔Partner cardinality.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t>Option</w:t>
            </w:r>
          </w:p>
        </w:tc>
        <w:tc>
          <w:tcPr>
            <w:tcW w:type="dxa" w:w="2016"/>
            <w:shd w:fill="D9EAF7"/>
          </w:tcPr>
          <w:p>
            <w:r>
              <w:t>Model</w:t>
            </w:r>
          </w:p>
        </w:tc>
        <w:tc>
          <w:tcPr>
            <w:tcW w:type="dxa" w:w="2016"/>
            <w:shd w:fill="D9EAF7"/>
          </w:tcPr>
          <w:p>
            <w:r>
              <w:t>Advantages</w:t>
            </w:r>
          </w:p>
        </w:tc>
        <w:tc>
          <w:tcPr>
            <w:tcW w:type="dxa" w:w="2016"/>
            <w:shd w:fill="D9EAF7"/>
          </w:tcPr>
          <w:p>
            <w:r>
              <w:t>Risk</w:t>
            </w:r>
          </w:p>
        </w:tc>
        <w:tc>
          <w:tcPr>
            <w:tcW w:type="dxa" w:w="2016"/>
            <w:shd w:fill="D9EAF7"/>
          </w:tcPr>
          <w:p>
            <w:r>
              <w:t>Recommendation</w:t>
            </w:r>
          </w:p>
        </w:tc>
      </w:tr>
      <w:tr>
        <w:tc>
          <w:tcPr>
            <w:tcW w:type="dxa" w:w="2016"/>
          </w:tcPr>
          <w:p>
            <w:r>
              <w:t>A</w:t>
            </w:r>
          </w:p>
        </w:tc>
        <w:tc>
          <w:tcPr>
            <w:tcW w:type="dxa" w:w="2016"/>
          </w:tcPr>
          <w:p>
            <w:r>
              <w:t>No direct Session↔Partner physical relation in current Session MVP; PARTNER visibility remains semantic until partner context is established</w:t>
            </w:r>
          </w:p>
        </w:tc>
        <w:tc>
          <w:tcPr>
            <w:tcW w:type="dxa" w:w="2016"/>
          </w:tcPr>
          <w:p>
            <w:r>
              <w:t>Avoids inventing Partner domain; lowest coupling</w:t>
            </w:r>
          </w:p>
        </w:tc>
        <w:tc>
          <w:tcPr>
            <w:tcW w:type="dxa" w:w="2016"/>
          </w:tcPr>
          <w:p>
            <w:r>
              <w:t>Partner-scoped Sessions cannot yet be fully materialized</w:t>
            </w:r>
          </w:p>
        </w:tc>
        <w:tc>
          <w:tcPr>
            <w:tcW w:type="dxa" w:w="2016"/>
          </w:tcPr>
          <w:p>
            <w:r>
              <w:t>RECOMMENDED</w:t>
            </w:r>
          </w:p>
        </w:tc>
      </w:tr>
      <w:tr>
        <w:tc>
          <w:tcPr>
            <w:tcW w:type="dxa" w:w="2016"/>
          </w:tcPr>
          <w:p>
            <w:r>
              <w:t>B</w:t>
            </w:r>
          </w:p>
        </w:tc>
        <w:tc>
          <w:tcPr>
            <w:tcW w:type="dxa" w:w="2016"/>
          </w:tcPr>
          <w:p>
            <w:r>
              <w:t>Session has nullable partner_id</w:t>
            </w:r>
          </w:p>
        </w:tc>
        <w:tc>
          <w:tcPr>
            <w:tcW w:type="dxa" w:w="2016"/>
          </w:tcPr>
          <w:p>
            <w:r>
              <w:t>Simple if one Partner is canonical</w:t>
            </w:r>
          </w:p>
        </w:tc>
        <w:tc>
          <w:tcPr>
            <w:tcW w:type="dxa" w:w="2016"/>
          </w:tcPr>
          <w:p>
            <w:r>
              <w:t>Assumes Partner entity/cardinality not yet governed</w:t>
            </w:r>
          </w:p>
        </w:tc>
        <w:tc>
          <w:tcPr>
            <w:tcW w:type="dxa" w:w="2016"/>
          </w:tcPr>
          <w:p>
            <w:r>
              <w:t>Do not approve without Partner authority evidence</w:t>
            </w:r>
          </w:p>
        </w:tc>
      </w:tr>
      <w:tr>
        <w:tc>
          <w:tcPr>
            <w:tcW w:type="dxa" w:w="2016"/>
          </w:tcPr>
          <w:p>
            <w:r>
              <w:t>C</w:t>
            </w:r>
          </w:p>
        </w:tc>
        <w:tc>
          <w:tcPr>
            <w:tcW w:type="dxa" w:w="2016"/>
          </w:tcPr>
          <w:p>
            <w:r>
              <w:t>Session↔Partner N:N pivot</w:t>
            </w:r>
          </w:p>
        </w:tc>
        <w:tc>
          <w:tcPr>
            <w:tcW w:type="dxa" w:w="2016"/>
          </w:tcPr>
          <w:p>
            <w:r>
              <w:t>Flexible multi-partner model</w:t>
            </w:r>
          </w:p>
        </w:tc>
        <w:tc>
          <w:tcPr>
            <w:tcW w:type="dxa" w:w="2016"/>
          </w:tcPr>
          <w:p>
            <w:r>
              <w:t>Highest complexity; no source requirement</w:t>
            </w:r>
          </w:p>
        </w:tc>
        <w:tc>
          <w:tcPr>
            <w:tcW w:type="dxa" w:w="2016"/>
          </w:tcPr>
          <w:p>
            <w:r>
              <w:t>Do not approve without explicit requirement</w:t>
            </w:r>
          </w:p>
        </w:tc>
      </w:tr>
    </w:tbl>
    <w:p>
      <w:pPr>
        <w:pStyle w:val="Heading1"/>
      </w:pPr>
      <w:r>
        <w:t>6. Relationship C — PRIVATE Audience</w:t>
      </w:r>
    </w:p>
    <w:p>
      <w:r>
        <w:t>Source-supported facts: PRIVATE is an approved visibility class and must be enforced by explicit server-side audience/resource authorization. The source does not establish invitation rows, user audience rows, subgroup rows, or another canonical ACL.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t>Option</w:t>
            </w:r>
          </w:p>
        </w:tc>
        <w:tc>
          <w:tcPr>
            <w:tcW w:type="dxa" w:w="2016"/>
            <w:shd w:fill="D9EAF7"/>
          </w:tcPr>
          <w:p>
            <w:r>
              <w:t>Model</w:t>
            </w:r>
          </w:p>
        </w:tc>
        <w:tc>
          <w:tcPr>
            <w:tcW w:type="dxa" w:w="2016"/>
            <w:shd w:fill="D9EAF7"/>
          </w:tcPr>
          <w:p>
            <w:r>
              <w:t>Advantages</w:t>
            </w:r>
          </w:p>
        </w:tc>
        <w:tc>
          <w:tcPr>
            <w:tcW w:type="dxa" w:w="2016"/>
            <w:shd w:fill="D9EAF7"/>
          </w:tcPr>
          <w:p>
            <w:r>
              <w:t>Risk</w:t>
            </w:r>
          </w:p>
        </w:tc>
        <w:tc>
          <w:tcPr>
            <w:tcW w:type="dxa" w:w="2016"/>
            <w:shd w:fill="D9EAF7"/>
          </w:tcPr>
          <w:p>
            <w:r>
              <w:t>Recommendation</w:t>
            </w:r>
          </w:p>
        </w:tc>
      </w:tr>
      <w:tr>
        <w:tc>
          <w:tcPr>
            <w:tcW w:type="dxa" w:w="2016"/>
          </w:tcPr>
          <w:p>
            <w:r>
              <w:t>A</w:t>
            </w:r>
          </w:p>
        </w:tc>
        <w:tc>
          <w:tcPr>
            <w:tcW w:type="dxa" w:w="2016"/>
          </w:tcPr>
          <w:p>
            <w:r>
              <w:t>Private Session access is resolved by existing enrollment/authorization context; no dedicated audience table in MVP</w:t>
            </w:r>
          </w:p>
        </w:tc>
        <w:tc>
          <w:tcPr>
            <w:tcW w:type="dxa" w:w="2016"/>
          </w:tcPr>
          <w:p>
            <w:r>
              <w:t>Avoids premature ACL model; uses existing authorization flow</w:t>
            </w:r>
          </w:p>
        </w:tc>
        <w:tc>
          <w:tcPr>
            <w:tcW w:type="dxa" w:w="2016"/>
          </w:tcPr>
          <w:p>
            <w:r>
              <w:t>Cannot support arbitrary pre-approved private audiences without later extension</w:t>
            </w:r>
          </w:p>
        </w:tc>
        <w:tc>
          <w:tcPr>
            <w:tcW w:type="dxa" w:w="2016"/>
          </w:tcPr>
          <w:p>
            <w:r>
              <w:t>RECOMMENDED for MVP if product does not require explicit invitations</w:t>
            </w:r>
          </w:p>
        </w:tc>
      </w:tr>
      <w:tr>
        <w:tc>
          <w:tcPr>
            <w:tcW w:type="dxa" w:w="2016"/>
          </w:tcPr>
          <w:p>
            <w:r>
              <w:t>B</w:t>
            </w:r>
          </w:p>
        </w:tc>
        <w:tc>
          <w:tcPr>
            <w:tcW w:type="dxa" w:w="2016"/>
          </w:tcPr>
          <w:p>
            <w:r>
              <w:t>Explicit Session Audience table referencing users/agents</w:t>
            </w:r>
          </w:p>
        </w:tc>
        <w:tc>
          <w:tcPr>
            <w:tcW w:type="dxa" w:w="2016"/>
          </w:tcPr>
          <w:p>
            <w:r>
              <w:t>Precise audience control</w:t>
            </w:r>
          </w:p>
        </w:tc>
        <w:tc>
          <w:tcPr>
            <w:tcW w:type="dxa" w:w="2016"/>
          </w:tcPr>
          <w:p>
            <w:r>
              <w:t>New resource/permission/audit model</w:t>
            </w:r>
          </w:p>
        </w:tc>
        <w:tc>
          <w:tcPr>
            <w:tcW w:type="dxa" w:w="2016"/>
          </w:tcPr>
          <w:p>
            <w:r>
              <w:t>Requires product requirement</w:t>
            </w:r>
          </w:p>
        </w:tc>
      </w:tr>
      <w:tr>
        <w:tc>
          <w:tcPr>
            <w:tcW w:type="dxa" w:w="2016"/>
          </w:tcPr>
          <w:p>
            <w:r>
              <w:t>C</w:t>
            </w:r>
          </w:p>
        </w:tc>
        <w:tc>
          <w:tcPr>
            <w:tcW w:type="dxa" w:w="2016"/>
          </w:tcPr>
          <w:p>
            <w:r>
              <w:t>Reuse organization membership/subgroup as private audience</w:t>
            </w:r>
          </w:p>
        </w:tc>
        <w:tc>
          <w:tcPr>
            <w:tcW w:type="dxa" w:w="2016"/>
          </w:tcPr>
          <w:p>
            <w:r>
              <w:t>Leverages Organization</w:t>
            </w:r>
          </w:p>
        </w:tc>
        <w:tc>
          <w:tcPr>
            <w:tcW w:type="dxa" w:w="2016"/>
          </w:tcPr>
          <w:p>
            <w:r>
              <w:t>Overloads Organization semantics and cannot cover arbitrary private users</w:t>
            </w:r>
          </w:p>
        </w:tc>
        <w:tc>
          <w:tcPr>
            <w:tcW w:type="dxa" w:w="2016"/>
          </w:tcPr>
          <w:p>
            <w:r>
              <w:t>NOT recommended</w:t>
            </w:r>
          </w:p>
        </w:tc>
      </w:tr>
      <w:tr>
        <w:tc>
          <w:tcPr>
            <w:tcW w:type="dxa" w:w="2016"/>
          </w:tcPr>
          <w:p>
            <w:r>
              <w:t>D</w:t>
            </w:r>
          </w:p>
        </w:tc>
        <w:tc>
          <w:tcPr>
            <w:tcW w:type="dxa" w:w="2016"/>
          </w:tcPr>
          <w:p>
            <w:r>
              <w:t>Invitation/access-token model</w:t>
            </w:r>
          </w:p>
        </w:tc>
        <w:tc>
          <w:tcPr>
            <w:tcW w:type="dxa" w:w="2016"/>
          </w:tcPr>
          <w:p>
            <w:r>
              <w:t>Strong explicit invitation flow</w:t>
            </w:r>
          </w:p>
        </w:tc>
        <w:tc>
          <w:tcPr>
            <w:tcW w:type="dxa" w:w="2016"/>
          </w:tcPr>
          <w:p>
            <w:r>
              <w:t>Adds lifecycle/security complexity</w:t>
            </w:r>
          </w:p>
        </w:tc>
        <w:tc>
          <w:tcPr>
            <w:tcW w:type="dxa" w:w="2016"/>
          </w:tcPr>
          <w:p>
            <w:r>
              <w:t>Requires explicit product requirement</w:t>
            </w:r>
          </w:p>
        </w:tc>
      </w:tr>
    </w:tbl>
    <w:p>
      <w:pPr>
        <w:pStyle w:val="Heading1"/>
      </w:pPr>
      <w:r>
        <w:t>7. Relationship D — Learning Session ↔ M05 Event</w:t>
      </w:r>
    </w:p>
    <w:p>
      <w:r>
        <w:t>Source-supported facts: Event is discovery/presentation/calendar context; Session is semantic authority; EventRegistration is RSVP and is not Session Enrollment. Exact cardinality/ownership remains open.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t>Option</w:t>
            </w:r>
          </w:p>
        </w:tc>
        <w:tc>
          <w:tcPr>
            <w:tcW w:type="dxa" w:w="2016"/>
            <w:shd w:fill="D9EAF7"/>
          </w:tcPr>
          <w:p>
            <w:r>
              <w:t>Model</w:t>
            </w:r>
          </w:p>
        </w:tc>
        <w:tc>
          <w:tcPr>
            <w:tcW w:type="dxa" w:w="2016"/>
            <w:shd w:fill="D9EAF7"/>
          </w:tcPr>
          <w:p>
            <w:r>
              <w:t>Advantages</w:t>
            </w:r>
          </w:p>
        </w:tc>
        <w:tc>
          <w:tcPr>
            <w:tcW w:type="dxa" w:w="2016"/>
            <w:shd w:fill="D9EAF7"/>
          </w:tcPr>
          <w:p>
            <w:r>
              <w:t>Risk</w:t>
            </w:r>
          </w:p>
        </w:tc>
        <w:tc>
          <w:tcPr>
            <w:tcW w:type="dxa" w:w="2016"/>
            <w:shd w:fill="D9EAF7"/>
          </w:tcPr>
          <w:p>
            <w:r>
              <w:t>Recommendation</w:t>
            </w:r>
          </w:p>
        </w:tc>
      </w:tr>
      <w:tr>
        <w:tc>
          <w:tcPr>
            <w:tcW w:type="dxa" w:w="2016"/>
          </w:tcPr>
          <w:p>
            <w:r>
              <w:t>A</w:t>
            </w:r>
          </w:p>
        </w:tc>
        <w:tc>
          <w:tcPr>
            <w:tcW w:type="dxa" w:w="2016"/>
          </w:tcPr>
          <w:p>
            <w:r>
              <w:t>Nullable event_id on Session; one Session may be surfaced by at most one Event</w:t>
            </w:r>
          </w:p>
        </w:tc>
        <w:tc>
          <w:tcPr>
            <w:tcW w:type="dxa" w:w="2016"/>
          </w:tcPr>
          <w:p>
            <w:r>
              <w:t>Simple; preserves Event as optional presentation context</w:t>
            </w:r>
          </w:p>
        </w:tc>
        <w:tc>
          <w:tcPr>
            <w:tcW w:type="dxa" w:w="2016"/>
          </w:tcPr>
          <w:p>
            <w:r>
              <w:t>Cannot represent multiple calendar surfaces</w:t>
            </w:r>
          </w:p>
        </w:tc>
        <w:tc>
          <w:tcPr>
            <w:tcW w:type="dxa" w:w="2016"/>
          </w:tcPr>
          <w:p>
            <w:r>
              <w:t>RECOMMENDED if one canonical calendar representation is enough</w:t>
            </w:r>
          </w:p>
        </w:tc>
      </w:tr>
      <w:tr>
        <w:tc>
          <w:tcPr>
            <w:tcW w:type="dxa" w:w="2016"/>
          </w:tcPr>
          <w:p>
            <w:r>
              <w:t>B</w:t>
            </w:r>
          </w:p>
        </w:tc>
        <w:tc>
          <w:tcPr>
            <w:tcW w:type="dxa" w:w="2016"/>
          </w:tcPr>
          <w:p>
            <w:r>
              <w:t>Session↔Event N:N pivot</w:t>
            </w:r>
          </w:p>
        </w:tc>
        <w:tc>
          <w:tcPr>
            <w:tcW w:type="dxa" w:w="2016"/>
          </w:tcPr>
          <w:p>
            <w:r>
              <w:t>Flexible calendar publishing</w:t>
            </w:r>
          </w:p>
        </w:tc>
        <w:tc>
          <w:tcPr>
            <w:tcW w:type="dxa" w:w="2016"/>
          </w:tcPr>
          <w:p>
            <w:r>
              <w:t>Adds complexity; no current requirement surfaced</w:t>
            </w:r>
          </w:p>
        </w:tc>
        <w:tc>
          <w:tcPr>
            <w:tcW w:type="dxa" w:w="2016"/>
          </w:tcPr>
          <w:p>
            <w:r>
              <w:t>Defer</w:t>
            </w:r>
          </w:p>
        </w:tc>
      </w:tr>
      <w:tr>
        <w:tc>
          <w:tcPr>
            <w:tcW w:type="dxa" w:w="2016"/>
          </w:tcPr>
          <w:p>
            <w:r>
              <w:t>C</w:t>
            </w:r>
          </w:p>
        </w:tc>
        <w:tc>
          <w:tcPr>
            <w:tcW w:type="dxa" w:w="2016"/>
          </w:tcPr>
          <w:p>
            <w:r>
              <w:t>Event always owns Session</w:t>
            </w:r>
          </w:p>
        </w:tc>
        <w:tc>
          <w:tcPr>
            <w:tcW w:type="dxa" w:w="2016"/>
          </w:tcPr>
          <w:p>
            <w:r>
              <w:t>Strong calendar coupling</w:t>
            </w:r>
          </w:p>
        </w:tc>
        <w:tc>
          <w:tcPr>
            <w:tcW w:type="dxa" w:w="2016"/>
          </w:tcPr>
          <w:p>
            <w:r>
              <w:t>Violates AEP4 semantic authority boundary</w:t>
            </w:r>
          </w:p>
        </w:tc>
        <w:tc>
          <w:tcPr>
            <w:tcW w:type="dxa" w:w="2016"/>
          </w:tcPr>
          <w:p>
            <w:r>
              <w:t>REJECT</w:t>
            </w:r>
          </w:p>
        </w:tc>
      </w:tr>
    </w:tbl>
    <w:p>
      <w:pPr>
        <w:pStyle w:val="Heading1"/>
      </w:pPr>
      <w:r>
        <w:t>8. Lead Recommendation</w:t>
      </w:r>
    </w:p>
    <w:p>
      <w:r>
        <w:t>I recommend the minimum-complexity physical direction: (A) nullable organization_id on Session, (A) no physical Partner relationship in the current Session MVP, (A) no dedicated private-audience table unless explicit private invitation/audience requirements are approved, and (A) nullable event_id on Session if the product needs a canonical calendar representation.</w:t>
      </w:r>
    </w:p>
    <w:p>
      <w:r>
        <w:t>This recommendation is NOT treated as approved architecture. It is a decision proposal because the source corpus does not itself close these physical choices.</w:t>
      </w:r>
    </w:p>
    <w:p>
      <w:pPr>
        <w:pStyle w:val="Heading1"/>
      </w:pPr>
      <w:r>
        <w:t>9. User Open Decisions</w:t>
      </w:r>
    </w:p>
    <w:p>
      <w:r>
        <w:t>TECH-08 now reaches a genuine governance/product decision gate. To proceed to a physical ERD delta without inventing semantics, the following choices need approval or explicit deferral:</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t>Decision</w:t>
            </w:r>
          </w:p>
        </w:tc>
        <w:tc>
          <w:tcPr>
            <w:tcW w:type="dxa" w:w="2520"/>
            <w:shd w:fill="D9EAF7"/>
          </w:tcPr>
          <w:p>
            <w:r>
              <w:t>Recommended</w:t>
            </w:r>
          </w:p>
        </w:tc>
        <w:tc>
          <w:tcPr>
            <w:tcW w:type="dxa" w:w="2520"/>
            <w:shd w:fill="D9EAF7"/>
          </w:tcPr>
          <w:p>
            <w:r>
              <w:t>Alternative</w:t>
            </w:r>
          </w:p>
        </w:tc>
        <w:tc>
          <w:tcPr>
            <w:tcW w:type="dxa" w:w="2520"/>
            <w:shd w:fill="D9EAF7"/>
          </w:tcPr>
          <w:p>
            <w:r>
              <w:t>Status</w:t>
            </w:r>
          </w:p>
        </w:tc>
      </w:tr>
      <w:tr>
        <w:tc>
          <w:tcPr>
            <w:tcW w:type="dxa" w:w="2520"/>
          </w:tcPr>
          <w:p>
            <w:r>
              <w:t>Session↔Organization</w:t>
            </w:r>
          </w:p>
        </w:tc>
        <w:tc>
          <w:tcPr>
            <w:tcW w:type="dxa" w:w="2520"/>
          </w:tcPr>
          <w:p>
            <w:r>
              <w:t>A — nullable organization_id, max 1 Organization per Session</w:t>
            </w:r>
          </w:p>
        </w:tc>
        <w:tc>
          <w:tcPr>
            <w:tcW w:type="dxa" w:w="2520"/>
          </w:tcPr>
          <w:p>
            <w:r>
              <w:t>B N:N / C publication relation</w:t>
            </w:r>
          </w:p>
        </w:tc>
        <w:tc>
          <w:tcPr>
            <w:tcW w:type="dxa" w:w="2520"/>
          </w:tcPr>
          <w:p>
            <w:r>
              <w:t>OPEN</w:t>
            </w:r>
          </w:p>
        </w:tc>
      </w:tr>
      <w:tr>
        <w:tc>
          <w:tcPr>
            <w:tcW w:type="dxa" w:w="2520"/>
          </w:tcPr>
          <w:p>
            <w:r>
              <w:t>Session↔Partner</w:t>
            </w:r>
          </w:p>
        </w:tc>
        <w:tc>
          <w:tcPr>
            <w:tcW w:type="dxa" w:w="2520"/>
          </w:tcPr>
          <w:p>
            <w:r>
              <w:t>A — no physical relation in MVP</w:t>
            </w:r>
          </w:p>
        </w:tc>
        <w:tc>
          <w:tcPr>
            <w:tcW w:type="dxa" w:w="2520"/>
          </w:tcPr>
          <w:p>
            <w:r>
              <w:t>B nullable partner_id / C N:N</w:t>
            </w:r>
          </w:p>
        </w:tc>
        <w:tc>
          <w:tcPr>
            <w:tcW w:type="dxa" w:w="2520"/>
          </w:tcPr>
          <w:p>
            <w:r>
              <w:t>OPEN</w:t>
            </w:r>
          </w:p>
        </w:tc>
      </w:tr>
      <w:tr>
        <w:tc>
          <w:tcPr>
            <w:tcW w:type="dxa" w:w="2520"/>
          </w:tcPr>
          <w:p>
            <w:r>
              <w:t>PRIVATE audience</w:t>
            </w:r>
          </w:p>
        </w:tc>
        <w:tc>
          <w:tcPr>
            <w:tcW w:type="dxa" w:w="2520"/>
          </w:tcPr>
          <w:p>
            <w:r>
              <w:t>A — authorization/enrollment context; no dedicated audience table in MVP</w:t>
            </w:r>
          </w:p>
        </w:tc>
        <w:tc>
          <w:tcPr>
            <w:tcW w:type="dxa" w:w="2520"/>
          </w:tcPr>
          <w:p>
            <w:r>
              <w:t>B explicit audience / C org subgroup / D invitation</w:t>
            </w:r>
          </w:p>
        </w:tc>
        <w:tc>
          <w:tcPr>
            <w:tcW w:type="dxa" w:w="2520"/>
          </w:tcPr>
          <w:p>
            <w:r>
              <w:t>OPEN</w:t>
            </w:r>
          </w:p>
        </w:tc>
      </w:tr>
      <w:tr>
        <w:tc>
          <w:tcPr>
            <w:tcW w:type="dxa" w:w="2520"/>
          </w:tcPr>
          <w:p>
            <w:r>
              <w:t>Session↔Event</w:t>
            </w:r>
          </w:p>
        </w:tc>
        <w:tc>
          <w:tcPr>
            <w:tcW w:type="dxa" w:w="2520"/>
          </w:tcPr>
          <w:p>
            <w:r>
              <w:t>A — nullable event_id, max 1 canonical Event representation</w:t>
            </w:r>
          </w:p>
        </w:tc>
        <w:tc>
          <w:tcPr>
            <w:tcW w:type="dxa" w:w="2520"/>
          </w:tcPr>
          <w:p>
            <w:r>
              <w:t>B N:N / C Event owns Session</w:t>
            </w:r>
          </w:p>
        </w:tc>
        <w:tc>
          <w:tcPr>
            <w:tcW w:type="dxa" w:w="2520"/>
          </w:tcPr>
          <w:p>
            <w:r>
              <w:t>OPEN</w:t>
            </w:r>
          </w:p>
        </w:tc>
      </w:tr>
    </w:tbl>
    <w:p>
      <w:pPr>
        <w:pStyle w:val="Heading1"/>
      </w:pPr>
      <w:r>
        <w:t>10. Gate Result</w:t>
      </w:r>
    </w:p>
    <w:p>
      <w:r>
        <w:t>TECH-08 = DECISION-READY, NOT CLOSED. The source evidence is exhausted for the currently targeted questions without creating unsupported assumptions. The next step can proceed immediately after user approval of the recommended options, or after explicit selection of alternatives.</w:t>
      </w:r>
    </w:p>
    <w:p>
      <w:pPr>
        <w:pStyle w:val="Heading1"/>
      </w:pPr>
      <w:r>
        <w:t>11. What Will Happen After Approval</w:t>
      </w:r>
    </w:p>
    <w:p>
      <w:pPr>
        <w:pStyle w:val="ListNumber"/>
      </w:pPr>
      <w:r>
        <w:t>Create TECH-09 — Physical ERD/Schema Delta Specification.</w:t>
      </w:r>
    </w:p>
    <w:p>
      <w:pPr>
        <w:pStyle w:val="ListNumber"/>
      </w:pPr>
      <w:r>
        <w:t>Define exact logical-to-physical relationships and cardinalities only for approved choices.</w:t>
      </w:r>
    </w:p>
    <w:p>
      <w:pPr>
        <w:pStyle w:val="ListNumber"/>
      </w:pPr>
      <w:r>
        <w:t>Map Session scope fields and relationships into API contract impact.</w:t>
      </w:r>
    </w:p>
    <w:p>
      <w:pPr>
        <w:pStyle w:val="ListNumber"/>
      </w:pPr>
      <w:r>
        <w:t>Prepare RLS impact specification without executing SQL.</w:t>
      </w:r>
    </w:p>
    <w:p>
      <w:pPr>
        <w:pStyle w:val="ListNumber"/>
      </w:pPr>
      <w:r>
        <w:t>Reconcile permission IDs against the actual catalogue where evidence is available.</w:t>
      </w:r>
    </w:p>
    <w:p>
      <w:pPr>
        <w:pStyle w:val="ListNumber"/>
      </w:pPr>
      <w:r>
        <w:t>Preserve all deferred items as explicit residuals.</w:t>
      </w:r>
    </w:p>
    <w:p>
      <w:pPr>
        <w:pStyle w:val="Heading1"/>
      </w:pPr>
      <w:r>
        <w:t>12. Traceability</w:t>
      </w:r>
    </w:p>
    <w:p>
      <w:pPr>
        <w:pStyle w:val="ListBullet"/>
      </w:pPr>
      <w:r>
        <w:t>AEP4 STEP-06 — ERD logical reconciliation.</w:t>
      </w:r>
    </w:p>
    <w:p>
      <w:pPr>
        <w:pStyle w:val="ListBullet"/>
      </w:pPr>
      <w:r>
        <w:t>AEP4 STEP-07 — logical schema/data dictionary impact.</w:t>
      </w:r>
    </w:p>
    <w:p>
      <w:pPr>
        <w:pStyle w:val="ListBullet"/>
      </w:pPr>
      <w:r>
        <w:t>AEP4 STEP-15 — cross-document reconciliation.</w:t>
      </w:r>
    </w:p>
    <w:p>
      <w:pPr>
        <w:pStyle w:val="ListBullet"/>
      </w:pPr>
      <w:r>
        <w:t>ADR-026 — Organization Model Strategy.</w:t>
      </w:r>
    </w:p>
    <w:p>
      <w:pPr>
        <w:pStyle w:val="ListBullet"/>
      </w:pPr>
      <w:r>
        <w:t>ADR-027 — Organization-Scoped Authorization Strategy.</w:t>
      </w:r>
    </w:p>
    <w:p>
      <w:pPr>
        <w:pStyle w:val="ListBullet"/>
      </w:pPr>
      <w:r>
        <w:t>AEP2 Partnership Learning schema requirements — partner provenance boundary.</w:t>
      </w:r>
    </w:p>
    <w:p>
      <w:pPr>
        <w:pStyle w:val="ListBullet"/>
      </w:pPr>
      <w:r>
        <w:t>TECH-02 — approved visibility vocabulary.</w:t>
      </w:r>
    </w:p>
    <w:p>
      <w:pPr>
        <w:pStyle w:val="ListBullet"/>
      </w:pPr>
      <w:r>
        <w:t>TECH-06 — resource scope relationship design.</w:t>
      </w:r>
    </w:p>
    <w:p>
      <w:pPr>
        <w:pStyle w:val="ListBullet"/>
      </w:pPr>
      <w:r>
        <w:t>TECH-07 — physical scope/schema evidence review.</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