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TECH-09</w:t>
      </w:r>
    </w:p>
    <w:p>
      <w:pPr>
        <w:jc w:val="center"/>
      </w:pPr>
      <w:r>
        <w:rPr>
          <w:i/>
        </w:rPr>
        <w:t>Physical ERD / Schema Delta Specification</w:t>
      </w:r>
    </w:p>
    <w:p>
      <w:r>
        <w:rPr>
          <w:b/>
        </w:rPr>
        <w:t xml:space="preserve">Status: </w:t>
      </w:r>
      <w:r>
        <w:t>DESIGN SPECIFICATION READY — IMPLEMENTATION / MIGRATION NOT AUTHORIZED</w:t>
      </w:r>
    </w:p>
    <w:p>
      <w:pPr>
        <w:pStyle w:val="Heading1"/>
      </w:pPr>
      <w:r>
        <w:t>1. Purpose</w:t>
      </w:r>
    </w:p>
    <w:p>
      <w:r>
        <w:t>TECH-09 converts the approved TECH-08 physical relationship decisions and the AEP4 logical schema/data-dictionary into a controlled physical-delta specification. It is intentionally a design artifact, not an edited ERD, SQL migration, production database change, or final vendor-specific schema.</w:t>
      </w:r>
    </w:p>
    <w:p>
      <w:pPr>
        <w:pStyle w:val="Heading1"/>
      </w:pPr>
      <w:r>
        <w:t>2. Evidence and Governing Inputs</w:t>
      </w:r>
    </w:p>
    <w:p>
      <w:pPr>
        <w:pStyle w:val="ListBullet"/>
      </w:pPr>
      <w:r>
        <w:t>TECH-08 — approved physical relationship decisions: Session↔Organization, Session↔Partner, PRIVATE audience, Session↔Event.</w:t>
      </w:r>
    </w:p>
    <w:p>
      <w:pPr>
        <w:pStyle w:val="ListBullet"/>
      </w:pPr>
      <w:r>
        <w:t>AEP4 STEP-06 ERD Logical Reconciliation — NEW Learning Session, Session Enrollment, Provider Binding, Participation Evidence; M04/M05 isolation.</w:t>
      </w:r>
    </w:p>
    <w:p>
      <w:pPr>
        <w:pStyle w:val="ListBullet"/>
      </w:pPr>
      <w:r>
        <w:t>AEP4 STEP-07 Logical Schema/Data Dictionary Impact — logical attributes, provenance, integrity and deferred physical representation.</w:t>
      </w:r>
    </w:p>
    <w:p>
      <w:pPr>
        <w:pStyle w:val="ListBullet"/>
      </w:pPr>
      <w:r>
        <w:t>AEP4 STEP-08 Provider Adapter &amp; Integration Contract — provider-neutral binding, evidence normalization, idempotency and provider switching.</w:t>
      </w:r>
    </w:p>
    <w:p>
      <w:pPr>
        <w:pStyle w:val="ListBullet"/>
      </w:pPr>
      <w:r>
        <w:t>AEP4 STEP-13 Engineering Guidebook/Playbook Impact — implementation shape, state-machine and reliability invariants.</w:t>
      </w:r>
    </w:p>
    <w:p>
      <w:pPr>
        <w:pStyle w:val="ListBullet"/>
      </w:pPr>
      <w:r>
        <w:t>P1 Current Technical Baseline Verification — ERD v1.4 / Dictionary v1.0 are current downstream baseline; 44-table M01–M13 baseline has no dedicated AEP4 Session model.</w:t>
      </w:r>
    </w:p>
    <w:p>
      <w:pPr>
        <w:pStyle w:val="ListBullet"/>
      </w:pPr>
      <w:r>
        <w:t>TECH-05/06/07 — authorization/RLS and physical evidence gates.</w:t>
      </w:r>
    </w:p>
    <w:p>
      <w:pPr>
        <w:pStyle w:val="ListBullet"/>
      </w:pPr>
      <w:r>
        <w:t>Current execution-thread decision: MADCR-049 is approved as Option A; this supersedes older artifacts that still display its previous OPEN/re-evaluation state. Exact physical model remains downstream.</w:t>
      </w:r>
    </w:p>
    <w:p>
      <w:pPr>
        <w:pStyle w:val="Heading1"/>
      </w:pPr>
      <w:r>
        <w:t>3. Baseline Compatibility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Existing object</w:t>
            </w:r>
          </w:p>
        </w:tc>
        <w:tc>
          <w:tcPr>
            <w:tcW w:type="dxa" w:w="2520"/>
            <w:shd w:fill="D9EAF7"/>
          </w:tcPr>
          <w:p>
            <w:r>
              <w:t>Treatment</w:t>
            </w:r>
          </w:p>
        </w:tc>
        <w:tc>
          <w:tcPr>
            <w:tcW w:type="dxa" w:w="2520"/>
            <w:shd w:fill="D9EAF7"/>
          </w:tcPr>
          <w:p>
            <w:r>
              <w:t>Rule</w:t>
            </w:r>
          </w:p>
        </w:tc>
        <w:tc>
          <w:tcPr>
            <w:tcW w:type="dxa" w:w="2520"/>
            <w:shd w:fill="D9EAF7"/>
          </w:tcPr>
          <w:p>
            <w:r>
              <w:t>Reason</w:t>
            </w:r>
          </w:p>
        </w:tc>
      </w:tr>
      <w:tr>
        <w:tc>
          <w:tcPr>
            <w:tcW w:type="dxa" w:w="2520"/>
          </w:tcPr>
          <w:p>
            <w:r>
              <w:t>M04 enrollments</w:t>
            </w:r>
          </w:p>
        </w:tc>
        <w:tc>
          <w:tcPr>
            <w:tcW w:type="dxa" w:w="2520"/>
          </w:tcPr>
          <w:p>
            <w:r>
              <w:t>KEEP / ISOLATE</w:t>
            </w:r>
          </w:p>
        </w:tc>
        <w:tc>
          <w:tcPr>
            <w:tcW w:type="dxa" w:w="2520"/>
          </w:tcPr>
          <w:p>
            <w:r>
              <w:t>Do not add Session Enrollment semantics</w:t>
            </w:r>
          </w:p>
        </w:tc>
        <w:tc>
          <w:tcPr>
            <w:tcW w:type="dxa" w:w="2520"/>
          </w:tcPr>
          <w:p>
            <w:r>
              <w:t>Course Enrollment remains authoritative for courses</w:t>
            </w:r>
          </w:p>
        </w:tc>
      </w:tr>
      <w:tr>
        <w:tc>
          <w:tcPr>
            <w:tcW w:type="dxa" w:w="2520"/>
          </w:tcPr>
          <w:p>
            <w:r>
              <w:t>M05 event_registrations</w:t>
            </w:r>
          </w:p>
        </w:tc>
        <w:tc>
          <w:tcPr>
            <w:tcW w:type="dxa" w:w="2520"/>
          </w:tcPr>
          <w:p>
            <w:r>
              <w:t>KEEP / ISOLATE</w:t>
            </w:r>
          </w:p>
        </w:tc>
        <w:tc>
          <w:tcPr>
            <w:tcW w:type="dxa" w:w="2520"/>
          </w:tcPr>
          <w:p>
            <w:r>
              <w:t>Do not add Session Enrollment lifecycle</w:t>
            </w:r>
          </w:p>
        </w:tc>
        <w:tc>
          <w:tcPr>
            <w:tcW w:type="dxa" w:w="2520"/>
          </w:tcPr>
          <w:p>
            <w:r>
              <w:t>Event RSVP remains calendar context</w:t>
            </w:r>
          </w:p>
        </w:tc>
      </w:tr>
      <w:tr>
        <w:tc>
          <w:tcPr>
            <w:tcW w:type="dxa" w:w="2520"/>
          </w:tcPr>
          <w:p>
            <w:r>
              <w:t>M05 events.meeting_link</w:t>
            </w:r>
          </w:p>
        </w:tc>
        <w:tc>
          <w:tcPr>
            <w:tcW w:type="dxa" w:w="2520"/>
          </w:tcPr>
          <w:p>
            <w:r>
              <w:t>LEGACY / ISOLATE</w:t>
            </w:r>
          </w:p>
        </w:tc>
        <w:tc>
          <w:tcPr>
            <w:tcW w:type="dxa" w:w="2520"/>
          </w:tcPr>
          <w:p>
            <w:r>
              <w:t>Do not make provider identity</w:t>
            </w:r>
          </w:p>
        </w:tc>
        <w:tc>
          <w:tcPr>
            <w:tcW w:type="dxa" w:w="2520"/>
          </w:tcPr>
          <w:p>
            <w:r>
              <w:t>Provider Binding is canonical</w:t>
            </w:r>
          </w:p>
        </w:tc>
      </w:tr>
      <w:tr>
        <w:tc>
          <w:tcPr>
            <w:tcW w:type="dxa" w:w="2520"/>
          </w:tcPr>
          <w:p>
            <w:r>
              <w:t>M05 events.quota</w:t>
            </w:r>
          </w:p>
        </w:tc>
        <w:tc>
          <w:tcPr>
            <w:tcW w:type="dxa" w:w="2520"/>
          </w:tcPr>
          <w:p>
            <w:r>
              <w:t>KEEP / ISOLATE</w:t>
            </w:r>
          </w:p>
        </w:tc>
        <w:tc>
          <w:tcPr>
            <w:tcW w:type="dxa" w:w="2520"/>
          </w:tcPr>
          <w:p>
            <w:r>
              <w:t>Do not reuse as Session capacity</w:t>
            </w:r>
          </w:p>
        </w:tc>
        <w:tc>
          <w:tcPr>
            <w:tcW w:type="dxa" w:w="2520"/>
          </w:tcPr>
          <w:p>
            <w:r>
              <w:t>Capacity is Session policy</w:t>
            </w:r>
          </w:p>
        </w:tc>
      </w:tr>
      <w:tr>
        <w:tc>
          <w:tcPr>
            <w:tcW w:type="dxa" w:w="2520"/>
          </w:tcPr>
          <w:p>
            <w:r>
              <w:t>M04 certificates</w:t>
            </w:r>
          </w:p>
        </w:tc>
        <w:tc>
          <w:tcPr>
            <w:tcW w:type="dxa" w:w="2520"/>
          </w:tcPr>
          <w:p>
            <w:r>
              <w:t>KEEP / ISOLATE</w:t>
            </w:r>
          </w:p>
        </w:tc>
        <w:tc>
          <w:tcPr>
            <w:tcW w:type="dxa" w:w="2520"/>
          </w:tcPr>
          <w:p>
            <w:r>
              <w:t>Do not merge with Award Instance</w:t>
            </w:r>
          </w:p>
        </w:tc>
        <w:tc>
          <w:tcPr>
            <w:tcW w:type="dxa" w:w="2520"/>
          </w:tcPr>
          <w:p>
            <w:r>
              <w:t>Credential/Award boundaries remain separate</w:t>
            </w:r>
          </w:p>
        </w:tc>
      </w:tr>
      <w:tr>
        <w:tc>
          <w:tcPr>
            <w:tcW w:type="dxa" w:w="2520"/>
          </w:tcPr>
          <w:p>
            <w:r>
              <w:t>Existing organizations / members</w:t>
            </w:r>
          </w:p>
        </w:tc>
        <w:tc>
          <w:tcPr>
            <w:tcW w:type="dxa" w:w="2520"/>
          </w:tcPr>
          <w:p>
            <w:r>
              <w:t>REUSE</w:t>
            </w:r>
          </w:p>
        </w:tc>
        <w:tc>
          <w:tcPr>
            <w:tcW w:type="dxa" w:w="2520"/>
          </w:tcPr>
          <w:p>
            <w:r>
              <w:t>Reference existing Organization authority</w:t>
            </w:r>
          </w:p>
        </w:tc>
        <w:tc>
          <w:tcPr>
            <w:tcW w:type="dxa" w:w="2520"/>
          </w:tcPr>
          <w:p>
            <w:r>
              <w:t>No Learning-specific Organization entity</w:t>
            </w:r>
          </w:p>
        </w:tc>
      </w:tr>
      <w:tr>
        <w:tc>
          <w:tcPr>
            <w:tcW w:type="dxa" w:w="2520"/>
          </w:tcPr>
          <w:p>
            <w:r>
              <w:t>Existing audit_logs / notifications</w:t>
            </w:r>
          </w:p>
        </w:tc>
        <w:tc>
          <w:tcPr>
            <w:tcW w:type="dxa" w:w="2520"/>
          </w:tcPr>
          <w:p>
            <w:r>
              <w:t>REUSE / EVOLVE</w:t>
            </w:r>
          </w:p>
        </w:tc>
        <w:tc>
          <w:tcPr>
            <w:tcW w:type="dxa" w:w="2520"/>
          </w:tcPr>
          <w:p>
            <w:r>
              <w:t>Extend existing architecture</w:t>
            </w:r>
          </w:p>
        </w:tc>
        <w:tc>
          <w:tcPr>
            <w:tcW w:type="dxa" w:w="2520"/>
          </w:tcPr>
          <w:p>
            <w:r>
              <w:t>No parallel audit authority</w:t>
            </w:r>
          </w:p>
        </w:tc>
      </w:tr>
      <w:tr>
        <w:tc>
          <w:tcPr>
            <w:tcW w:type="dxa" w:w="2520"/>
          </w:tcPr>
          <w:p>
            <w:r>
              <w:t>Existing RBAC</w:t>
            </w:r>
          </w:p>
        </w:tc>
        <w:tc>
          <w:tcPr>
            <w:tcW w:type="dxa" w:w="2520"/>
          </w:tcPr>
          <w:p>
            <w:r>
              <w:t>EVOLVE</w:t>
            </w:r>
          </w:p>
        </w:tc>
        <w:tc>
          <w:tcPr>
            <w:tcW w:type="dxa" w:w="2520"/>
          </w:tcPr>
          <w:p>
            <w:r>
              <w:t>Add/reconcile Session capabilities only after permission catalogue evidence</w:t>
            </w:r>
          </w:p>
        </w:tc>
        <w:tc>
          <w:tcPr>
            <w:tcW w:type="dxa" w:w="2520"/>
          </w:tcPr>
          <w:p>
            <w:r>
              <w:t>No silent ID creation</w:t>
            </w:r>
          </w:p>
        </w:tc>
      </w:tr>
    </w:tbl>
    <w:p>
      <w:pPr>
        <w:pStyle w:val="Heading1"/>
      </w:pPr>
      <w:r>
        <w:t>4. Proposed Physical Resource Set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t>Resource</w:t>
            </w:r>
          </w:p>
        </w:tc>
        <w:tc>
          <w:tcPr>
            <w:tcW w:type="dxa" w:w="2016"/>
            <w:shd w:fill="D9EAF7"/>
          </w:tcPr>
          <w:p>
            <w:r>
              <w:t>Disposition</w:t>
            </w:r>
          </w:p>
        </w:tc>
        <w:tc>
          <w:tcPr>
            <w:tcW w:type="dxa" w:w="2016"/>
            <w:shd w:fill="D9EAF7"/>
          </w:tcPr>
          <w:p>
            <w:r>
              <w:t>Primary identity</w:t>
            </w:r>
          </w:p>
        </w:tc>
        <w:tc>
          <w:tcPr>
            <w:tcW w:type="dxa" w:w="2016"/>
            <w:shd w:fill="D9EAF7"/>
          </w:tcPr>
          <w:p>
            <w:r>
              <w:t>Core relationship</w:t>
            </w:r>
          </w:p>
        </w:tc>
        <w:tc>
          <w:tcPr>
            <w:tcW w:type="dxa" w:w="2016"/>
            <w:shd w:fill="D9EAF7"/>
          </w:tcPr>
          <w:p>
            <w:r>
              <w:t>Status</w:t>
            </w:r>
          </w:p>
        </w:tc>
      </w:tr>
      <w:tr>
        <w:tc>
          <w:tcPr>
            <w:tcW w:type="dxa" w:w="2016"/>
          </w:tcPr>
          <w:p>
            <w:r>
              <w:t>learning_sessions</w:t>
            </w:r>
          </w:p>
        </w:tc>
        <w:tc>
          <w:tcPr>
            <w:tcW w:type="dxa" w:w="2016"/>
          </w:tcPr>
          <w:p>
            <w:r>
              <w:t>NEW</w:t>
            </w:r>
          </w:p>
        </w:tc>
        <w:tc>
          <w:tcPr>
            <w:tcW w:type="dxa" w:w="2016"/>
          </w:tcPr>
          <w:p>
            <w:r>
              <w:t>session_id</w:t>
            </w:r>
          </w:p>
        </w:tc>
        <w:tc>
          <w:tcPr>
            <w:tcW w:type="dxa" w:w="2016"/>
          </w:tcPr>
          <w:p>
            <w:r>
              <w:t>Optional course, organization, event; owned Session resource</w:t>
            </w:r>
          </w:p>
        </w:tc>
        <w:tc>
          <w:tcPr>
            <w:tcW w:type="dxa" w:w="2016"/>
          </w:tcPr>
          <w:p>
            <w:r>
              <w:t>DESIGN</w:t>
            </w:r>
          </w:p>
        </w:tc>
      </w:tr>
      <w:tr>
        <w:tc>
          <w:tcPr>
            <w:tcW w:type="dxa" w:w="2016"/>
          </w:tcPr>
          <w:p>
            <w:r>
              <w:t>session_enrollments</w:t>
            </w:r>
          </w:p>
        </w:tc>
        <w:tc>
          <w:tcPr>
            <w:tcW w:type="dxa" w:w="2016"/>
          </w:tcPr>
          <w:p>
            <w:r>
              <w:t>NEW</w:t>
            </w:r>
          </w:p>
        </w:tc>
        <w:tc>
          <w:tcPr>
            <w:tcW w:type="dxa" w:w="2016"/>
          </w:tcPr>
          <w:p>
            <w:r>
              <w:t>session_enrollment_id</w:t>
            </w:r>
          </w:p>
        </w:tc>
        <w:tc>
          <w:tcPr>
            <w:tcW w:type="dxa" w:w="2016"/>
          </w:tcPr>
          <w:p>
            <w:r>
              <w:t>learner/agent + learning_session</w:t>
            </w:r>
          </w:p>
        </w:tc>
        <w:tc>
          <w:tcPr>
            <w:tcW w:type="dxa" w:w="2016"/>
          </w:tcPr>
          <w:p>
            <w:r>
              <w:t>DESIGN</w:t>
            </w:r>
          </w:p>
        </w:tc>
      </w:tr>
      <w:tr>
        <w:tc>
          <w:tcPr>
            <w:tcW w:type="dxa" w:w="2016"/>
          </w:tcPr>
          <w:p>
            <w:r>
              <w:t>session_provider_bindings</w:t>
            </w:r>
          </w:p>
        </w:tc>
        <w:tc>
          <w:tcPr>
            <w:tcW w:type="dxa" w:w="2016"/>
          </w:tcPr>
          <w:p>
            <w:r>
              <w:t>NEW</w:t>
            </w:r>
          </w:p>
        </w:tc>
        <w:tc>
          <w:tcPr>
            <w:tcW w:type="dxa" w:w="2016"/>
          </w:tcPr>
          <w:p>
            <w:r>
              <w:t>binding_id</w:t>
            </w:r>
          </w:p>
        </w:tc>
        <w:tc>
          <w:tcPr>
            <w:tcW w:type="dxa" w:w="2016"/>
          </w:tcPr>
          <w:p>
            <w:r>
              <w:t>learning_session + provider execution context</w:t>
            </w:r>
          </w:p>
        </w:tc>
        <w:tc>
          <w:tcPr>
            <w:tcW w:type="dxa" w:w="2016"/>
          </w:tcPr>
          <w:p>
            <w:r>
              <w:t>DESIGN</w:t>
            </w:r>
          </w:p>
        </w:tc>
      </w:tr>
      <w:tr>
        <w:tc>
          <w:tcPr>
            <w:tcW w:type="dxa" w:w="2016"/>
          </w:tcPr>
          <w:p>
            <w:r>
              <w:t>session_participation_evidence</w:t>
            </w:r>
          </w:p>
        </w:tc>
        <w:tc>
          <w:tcPr>
            <w:tcW w:type="dxa" w:w="2016"/>
          </w:tcPr>
          <w:p>
            <w:r>
              <w:t>NEW</w:t>
            </w:r>
          </w:p>
        </w:tc>
        <w:tc>
          <w:tcPr>
            <w:tcW w:type="dxa" w:w="2016"/>
          </w:tcPr>
          <w:p>
            <w:r>
              <w:t>evidence_id</w:t>
            </w:r>
          </w:p>
        </w:tc>
        <w:tc>
          <w:tcPr>
            <w:tcW w:type="dxa" w:w="2016"/>
          </w:tcPr>
          <w:p>
            <w:r>
              <w:t>binding + participant/session enrollment context</w:t>
            </w:r>
          </w:p>
        </w:tc>
        <w:tc>
          <w:tcPr>
            <w:tcW w:type="dxa" w:w="2016"/>
          </w:tcPr>
          <w:p>
            <w:r>
              <w:t>DESIGN</w:t>
            </w:r>
          </w:p>
        </w:tc>
      </w:tr>
      <w:tr>
        <w:tc>
          <w:tcPr>
            <w:tcW w:type="dxa" w:w="2016"/>
          </w:tcPr>
          <w:p>
            <w:r>
              <w:t>session_attendance_evaluations</w:t>
            </w:r>
          </w:p>
        </w:tc>
        <w:tc>
          <w:tcPr>
            <w:tcW w:type="dxa" w:w="2016"/>
          </w:tcPr>
          <w:p>
            <w:r>
              <w:t>NEW / EVOLVE</w:t>
            </w:r>
          </w:p>
        </w:tc>
        <w:tc>
          <w:tcPr>
            <w:tcW w:type="dxa" w:w="2016"/>
          </w:tcPr>
          <w:p>
            <w:r>
              <w:t>attendance_evaluation_id</w:t>
            </w:r>
          </w:p>
        </w:tc>
        <w:tc>
          <w:tcPr>
            <w:tcW w:type="dxa" w:w="2016"/>
          </w:tcPr>
          <w:p>
            <w:r>
              <w:t>session enrollment + evidence + policy version</w:t>
            </w:r>
          </w:p>
        </w:tc>
        <w:tc>
          <w:tcPr>
            <w:tcW w:type="dxa" w:w="2016"/>
          </w:tcPr>
          <w:p>
            <w:r>
              <w:t>DESIGN</w:t>
            </w:r>
          </w:p>
        </w:tc>
      </w:tr>
      <w:tr>
        <w:tc>
          <w:tcPr>
            <w:tcW w:type="dxa" w:w="2016"/>
          </w:tcPr>
          <w:p>
            <w:r>
              <w:t>session_completion_outcomes</w:t>
            </w:r>
          </w:p>
        </w:tc>
        <w:tc>
          <w:tcPr>
            <w:tcW w:type="dxa" w:w="2016"/>
          </w:tcPr>
          <w:p>
            <w:r>
              <w:t>NEW / EVOLVE</w:t>
            </w:r>
          </w:p>
        </w:tc>
        <w:tc>
          <w:tcPr>
            <w:tcW w:type="dxa" w:w="2016"/>
          </w:tcPr>
          <w:p>
            <w:r>
              <w:t>completion_outcome_id</w:t>
            </w:r>
          </w:p>
        </w:tc>
        <w:tc>
          <w:tcPr>
            <w:tcW w:type="dxa" w:w="2016"/>
          </w:tcPr>
          <w:p>
            <w:r>
              <w:t>session enrollment + evaluation/evidence provenance</w:t>
            </w:r>
          </w:p>
        </w:tc>
        <w:tc>
          <w:tcPr>
            <w:tcW w:type="dxa" w:w="2016"/>
          </w:tcPr>
          <w:p>
            <w:r>
              <w:t>DESIGN</w:t>
            </w:r>
          </w:p>
        </w:tc>
      </w:tr>
      <w:tr>
        <w:tc>
          <w:tcPr>
            <w:tcW w:type="dxa" w:w="2016"/>
          </w:tcPr>
          <w:p>
            <w:r>
              <w:t>session_artifacts</w:t>
            </w:r>
          </w:p>
        </w:tc>
        <w:tc>
          <w:tcPr>
            <w:tcW w:type="dxa" w:w="2016"/>
          </w:tcPr>
          <w:p>
            <w:r>
              <w:t>NEW / EVOLVE</w:t>
            </w:r>
          </w:p>
        </w:tc>
        <w:tc>
          <w:tcPr>
            <w:tcW w:type="dxa" w:w="2016"/>
          </w:tcPr>
          <w:p>
            <w:r>
              <w:t>artifact_id</w:t>
            </w:r>
          </w:p>
        </w:tc>
        <w:tc>
          <w:tcPr>
            <w:tcW w:type="dxa" w:w="2016"/>
          </w:tcPr>
          <w:p>
            <w:r>
              <w:t>learning_session + provider/source reference</w:t>
            </w:r>
          </w:p>
        </w:tc>
        <w:tc>
          <w:tcPr>
            <w:tcW w:type="dxa" w:w="2016"/>
          </w:tcPr>
          <w:p>
            <w:r>
              <w:t>DESIGN</w:t>
            </w:r>
          </w:p>
        </w:tc>
      </w:tr>
    </w:tbl>
    <w:p>
      <w:pPr>
        <w:pStyle w:val="Heading1"/>
      </w:pPr>
      <w:r>
        <w:t>5. Learning Session — Physical Attribute Specification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t>Attribute class</w:t>
            </w:r>
          </w:p>
        </w:tc>
        <w:tc>
          <w:tcPr>
            <w:tcW w:type="dxa" w:w="2016"/>
            <w:shd w:fill="D9EAF7"/>
          </w:tcPr>
          <w:p>
            <w:r>
              <w:t>Required semantic content</w:t>
            </w:r>
          </w:p>
        </w:tc>
        <w:tc>
          <w:tcPr>
            <w:tcW w:type="dxa" w:w="2016"/>
            <w:shd w:fill="D9EAF7"/>
          </w:tcPr>
          <w:p>
            <w:r>
              <w:t>Physical direction</w:t>
            </w:r>
          </w:p>
        </w:tc>
        <w:tc>
          <w:tcPr>
            <w:tcW w:type="dxa" w:w="2016"/>
            <w:shd w:fill="D9EAF7"/>
          </w:tcPr>
          <w:p>
            <w:r>
              <w:t>Constraint</w:t>
            </w:r>
          </w:p>
        </w:tc>
        <w:tc>
          <w:tcPr>
            <w:tcW w:type="dxa" w:w="2016"/>
            <w:shd w:fill="D9EAF7"/>
          </w:tcPr>
          <w:p>
            <w:r>
              <w:t>Open detail</w:t>
            </w:r>
          </w:p>
        </w:tc>
      </w:tr>
      <w:tr>
        <w:tc>
          <w:tcPr>
            <w:tcW w:type="dxa" w:w="2016"/>
          </w:tcPr>
          <w:p>
            <w:r>
              <w:t>Identity</w:t>
            </w:r>
          </w:p>
        </w:tc>
        <w:tc>
          <w:tcPr>
            <w:tcW w:type="dxa" w:w="2016"/>
          </w:tcPr>
          <w:p>
            <w:r>
              <w:t>Stable provider-independent Session identity</w:t>
            </w:r>
          </w:p>
        </w:tc>
        <w:tc>
          <w:tcPr>
            <w:tcW w:type="dxa" w:w="2016"/>
          </w:tcPr>
          <w:p>
            <w:r>
              <w:t>Primary key / UUID-equivalent project convention</w:t>
            </w:r>
          </w:p>
        </w:tc>
        <w:tc>
          <w:tcPr>
            <w:tcW w:type="dxa" w:w="2016"/>
          </w:tcPr>
          <w:p>
            <w:r>
              <w:t>Immutable identity</w:t>
            </w:r>
          </w:p>
        </w:tc>
        <w:tc>
          <w:tcPr>
            <w:tcW w:type="dxa" w:w="2016"/>
          </w:tcPr>
          <w:p>
            <w:r>
              <w:t>Exact type follows project DB convention</w:t>
            </w:r>
          </w:p>
        </w:tc>
      </w:tr>
      <w:tr>
        <w:tc>
          <w:tcPr>
            <w:tcW w:type="dxa" w:w="2016"/>
          </w:tcPr>
          <w:p>
            <w:r>
              <w:t>Course context</w:t>
            </w:r>
          </w:p>
        </w:tc>
        <w:tc>
          <w:tcPr>
            <w:tcW w:type="dxa" w:w="2016"/>
          </w:tcPr>
          <w:p>
            <w:r>
              <w:t>Optional existing Course reference</w:t>
            </w:r>
          </w:p>
        </w:tc>
        <w:tc>
          <w:tcPr>
            <w:tcW w:type="dxa" w:w="2016"/>
          </w:tcPr>
          <w:p>
            <w:r>
              <w:t>Nullable FK to M04 course if supported</w:t>
            </w:r>
          </w:p>
        </w:tc>
        <w:tc>
          <w:tcPr>
            <w:tcW w:type="dxa" w:w="2016"/>
          </w:tcPr>
          <w:p>
            <w:r>
              <w:t>Do not make Session a Course Enrollment</w:t>
            </w:r>
          </w:p>
        </w:tc>
        <w:tc>
          <w:tcPr>
            <w:tcW w:type="dxa" w:w="2016"/>
          </w:tcPr>
          <w:p>
            <w:r>
              <w:t>Exact cardinality downstream</w:t>
            </w:r>
          </w:p>
        </w:tc>
      </w:tr>
      <w:tr>
        <w:tc>
          <w:tcPr>
            <w:tcW w:type="dxa" w:w="2016"/>
          </w:tcPr>
          <w:p>
            <w:r>
              <w:t>Organization context</w:t>
            </w:r>
          </w:p>
        </w:tc>
        <w:tc>
          <w:tcPr>
            <w:tcW w:type="dxa" w:w="2016"/>
          </w:tcPr>
          <w:p>
            <w:r>
              <w:t>Approved TECH-08: max 1 Organization per Session</w:t>
            </w:r>
          </w:p>
        </w:tc>
        <w:tc>
          <w:tcPr>
            <w:tcW w:type="dxa" w:w="2016"/>
          </w:tcPr>
          <w:p>
            <w:r>
              <w:t>Nullable FK to existing organizations</w:t>
            </w:r>
          </w:p>
        </w:tc>
        <w:tc>
          <w:tcPr>
            <w:tcW w:type="dxa" w:w="2016"/>
          </w:tcPr>
          <w:p>
            <w:r>
              <w:t>Required when visibility=ORGANIZATION</w:t>
            </w:r>
          </w:p>
        </w:tc>
        <w:tc>
          <w:tcPr>
            <w:tcW w:type="dxa" w:w="2016"/>
          </w:tcPr>
          <w:p>
            <w:r>
              <w:t>Exact nullability enforcement may be application/DB check</w:t>
            </w:r>
          </w:p>
        </w:tc>
      </w:tr>
      <w:tr>
        <w:tc>
          <w:tcPr>
            <w:tcW w:type="dxa" w:w="2016"/>
          </w:tcPr>
          <w:p>
            <w:r>
              <w:t>Event context</w:t>
            </w:r>
          </w:p>
        </w:tc>
        <w:tc>
          <w:tcPr>
            <w:tcW w:type="dxa" w:w="2016"/>
          </w:tcPr>
          <w:p>
            <w:r>
              <w:t>Approved TECH-08: max 1 canonical Event representation</w:t>
            </w:r>
          </w:p>
        </w:tc>
        <w:tc>
          <w:tcPr>
            <w:tcW w:type="dxa" w:w="2016"/>
          </w:tcPr>
          <w:p>
            <w:r>
              <w:t>Nullable FK to M05 events</w:t>
            </w:r>
          </w:p>
        </w:tc>
        <w:tc>
          <w:tcPr>
            <w:tcW w:type="dxa" w:w="2016"/>
          </w:tcPr>
          <w:p>
            <w:r>
              <w:t>Event is optional presentation/discovery context</w:t>
            </w:r>
          </w:p>
        </w:tc>
        <w:tc>
          <w:tcPr>
            <w:tcW w:type="dxa" w:w="2016"/>
          </w:tcPr>
          <w:p>
            <w:r>
              <w:t>No reverse ownership</w:t>
            </w:r>
          </w:p>
        </w:tc>
      </w:tr>
      <w:tr>
        <w:tc>
          <w:tcPr>
            <w:tcW w:type="dxa" w:w="2016"/>
          </w:tcPr>
          <w:p>
            <w:r>
              <w:t>Session type</w:t>
            </w:r>
          </w:p>
        </w:tc>
        <w:tc>
          <w:tcPr>
            <w:tcW w:type="dxa" w:w="2016"/>
          </w:tcPr>
          <w:p>
            <w:r>
              <w:t>BROADCAST / INTERACTIVE / ON_DEMAND</w:t>
            </w:r>
          </w:p>
        </w:tc>
        <w:tc>
          <w:tcPr>
            <w:tcW w:type="dxa" w:w="2016"/>
          </w:tcPr>
          <w:p>
            <w:r>
              <w:t>Controlled enum/reference per project convention</w:t>
            </w:r>
          </w:p>
        </w:tc>
        <w:tc>
          <w:tcPr>
            <w:tcW w:type="dxa" w:w="2016"/>
          </w:tcPr>
          <w:p>
            <w:r>
              <w:t>Must match canonical taxonomy</w:t>
            </w:r>
          </w:p>
        </w:tc>
        <w:tc>
          <w:tcPr>
            <w:tcW w:type="dxa" w:w="2016"/>
          </w:tcPr>
          <w:p>
            <w:r>
              <w:t>Exact DB type downstream</w:t>
            </w:r>
          </w:p>
        </w:tc>
      </w:tr>
      <w:tr>
        <w:tc>
          <w:tcPr>
            <w:tcW w:type="dxa" w:w="2016"/>
          </w:tcPr>
          <w:p>
            <w:r>
              <w:t>Lifecycle</w:t>
            </w:r>
          </w:p>
        </w:tc>
        <w:tc>
          <w:tcPr>
            <w:tcW w:type="dxa" w:w="2016"/>
          </w:tcPr>
          <w:p>
            <w:r>
              <w:t>DRAFT / SCHEDULED / LIVE / ENDED; CANCELLED/FAILED exceptions</w:t>
            </w:r>
          </w:p>
        </w:tc>
        <w:tc>
          <w:tcPr>
            <w:tcW w:type="dxa" w:w="2016"/>
          </w:tcPr>
          <w:p>
            <w:r>
              <w:t>Controlled status field</w:t>
            </w:r>
          </w:p>
        </w:tc>
        <w:tc>
          <w:tcPr>
            <w:tcW w:type="dxa" w:w="2016"/>
          </w:tcPr>
          <w:p>
            <w:r>
              <w:t>Server-controlled transitions</w:t>
            </w:r>
          </w:p>
        </w:tc>
        <w:tc>
          <w:tcPr>
            <w:tcW w:type="dxa" w:w="2016"/>
          </w:tcPr>
          <w:p>
            <w:r>
              <w:t>Exact transition storage downstream</w:t>
            </w:r>
          </w:p>
        </w:tc>
      </w:tr>
      <w:tr>
        <w:tc>
          <w:tcPr>
            <w:tcW w:type="dxa" w:w="2016"/>
          </w:tcPr>
          <w:p>
            <w:r>
              <w:t>Schedule</w:t>
            </w:r>
          </w:p>
        </w:tc>
        <w:tc>
          <w:tcPr>
            <w:tcW w:type="dxa" w:w="2016"/>
          </w:tcPr>
          <w:p>
            <w:r>
              <w:t>Start/end + scheduling context</w:t>
            </w:r>
          </w:p>
        </w:tc>
        <w:tc>
          <w:tcPr>
            <w:tcW w:type="dxa" w:w="2016"/>
          </w:tcPr>
          <w:p>
            <w:r>
              <w:t>Timestamp fields + timezone strategy</w:t>
            </w:r>
          </w:p>
        </w:tc>
        <w:tc>
          <w:tcPr>
            <w:tcW w:type="dxa" w:w="2016"/>
          </w:tcPr>
          <w:p>
            <w:r>
              <w:t>Provider-neutral</w:t>
            </w:r>
          </w:p>
        </w:tc>
        <w:tc>
          <w:tcPr>
            <w:tcW w:type="dxa" w:w="2016"/>
          </w:tcPr>
          <w:p>
            <w:r>
              <w:t>Recurrence details remain separate if needed</w:t>
            </w:r>
          </w:p>
        </w:tc>
      </w:tr>
      <w:tr>
        <w:tc>
          <w:tcPr>
            <w:tcW w:type="dxa" w:w="2016"/>
          </w:tcPr>
          <w:p>
            <w:r>
              <w:t>Visibility</w:t>
            </w:r>
          </w:p>
        </w:tc>
        <w:tc>
          <w:tcPr>
            <w:tcW w:type="dxa" w:w="2016"/>
          </w:tcPr>
          <w:p>
            <w:r>
              <w:t>PUBLIC / ORGANIZATION / PARTNER / PRIVATE</w:t>
            </w:r>
          </w:p>
        </w:tc>
        <w:tc>
          <w:tcPr>
            <w:tcW w:type="dxa" w:w="2016"/>
          </w:tcPr>
          <w:p>
            <w:r>
              <w:t>Controlled field</w:t>
            </w:r>
          </w:p>
        </w:tc>
        <w:tc>
          <w:tcPr>
            <w:tcW w:type="dxa" w:w="2016"/>
          </w:tcPr>
          <w:p>
            <w:r>
              <w:t>Visibility ≠ authorization</w:t>
            </w:r>
          </w:p>
        </w:tc>
        <w:tc>
          <w:tcPr>
            <w:tcW w:type="dxa" w:w="2016"/>
          </w:tcPr>
          <w:p>
            <w:r>
              <w:t>Exact enum/reference type downstream</w:t>
            </w:r>
          </w:p>
        </w:tc>
      </w:tr>
      <w:tr>
        <w:tc>
          <w:tcPr>
            <w:tcW w:type="dxa" w:w="2016"/>
          </w:tcPr>
          <w:p>
            <w:r>
              <w:t>Ownership</w:t>
            </w:r>
          </w:p>
        </w:tc>
        <w:tc>
          <w:tcPr>
            <w:tcW w:type="dxa" w:w="2016"/>
          </w:tcPr>
          <w:p>
            <w:r>
              <w:t>Canonical resource owner</w:t>
            </w:r>
          </w:p>
        </w:tc>
        <w:tc>
          <w:tcPr>
            <w:tcW w:type="dxa" w:w="2016"/>
          </w:tcPr>
          <w:p>
            <w:r>
              <w:t>Existing identity/ownership pattern</w:t>
            </w:r>
          </w:p>
        </w:tc>
        <w:tc>
          <w:tcPr>
            <w:tcW w:type="dxa" w:w="2016"/>
          </w:tcPr>
          <w:p>
            <w:r>
              <w:t>Hard ownership preserved</w:t>
            </w:r>
          </w:p>
        </w:tc>
        <w:tc>
          <w:tcPr>
            <w:tcW w:type="dxa" w:w="2016"/>
          </w:tcPr>
          <w:p>
            <w:r>
              <w:t>Exact owner FK follows baseline</w:t>
            </w:r>
          </w:p>
        </w:tc>
      </w:tr>
      <w:tr>
        <w:tc>
          <w:tcPr>
            <w:tcW w:type="dxa" w:w="2016"/>
          </w:tcPr>
          <w:p>
            <w:r>
              <w:t>Audit</w:t>
            </w:r>
          </w:p>
        </w:tc>
        <w:tc>
          <w:tcPr>
            <w:tcW w:type="dxa" w:w="2016"/>
          </w:tcPr>
          <w:p>
            <w:r>
              <w:t>created/updated/provenance</w:t>
            </w:r>
          </w:p>
        </w:tc>
        <w:tc>
          <w:tcPr>
            <w:tcW w:type="dxa" w:w="2016"/>
          </w:tcPr>
          <w:p>
            <w:r>
              <w:t>Reuse existing audit architecture</w:t>
            </w:r>
          </w:p>
        </w:tc>
        <w:tc>
          <w:tcPr>
            <w:tcW w:type="dxa" w:w="2016"/>
          </w:tcPr>
          <w:p>
            <w:r>
              <w:t>Reconstructable</w:t>
            </w:r>
          </w:p>
        </w:tc>
        <w:tc>
          <w:tcPr>
            <w:tcW w:type="dxa" w:w="2016"/>
          </w:tcPr>
          <w:p>
            <w:r>
              <w:t>No parallel audit authority</w:t>
            </w:r>
          </w:p>
        </w:tc>
      </w:tr>
    </w:tbl>
    <w:p>
      <w:pPr>
        <w:pStyle w:val="Heading1"/>
      </w:pPr>
      <w:r>
        <w:t>6. Session Enrollment — Physical Specification</w:t>
      </w:r>
    </w:p>
    <w:p>
      <w:pPr>
        <w:pStyle w:val="ListBullet"/>
      </w:pPr>
      <w:r>
        <w:t>Identity: session_enrollment_id.</w:t>
      </w:r>
    </w:p>
    <w:p>
      <w:pPr>
        <w:pStyle w:val="ListBullet"/>
      </w:pPr>
      <w:r>
        <w:t>Relationships: learning_session_id + existing learner/agent identity.</w:t>
      </w:r>
    </w:p>
    <w:p>
      <w:pPr>
        <w:pStyle w:val="ListBullet"/>
      </w:pPr>
      <w:r>
        <w:t>Lifecycle: PENDING → ACTIVE → COMPLETED.</w:t>
      </w:r>
    </w:p>
    <w:p>
      <w:pPr>
        <w:pStyle w:val="ListBullet"/>
      </w:pPr>
      <w:r>
        <w:t>PENDING does not grant provider access; ACTIVE is access-granting subject to authorization/eligibility.</w:t>
      </w:r>
    </w:p>
    <w:p>
      <w:pPr>
        <w:pStyle w:val="ListBullet"/>
      </w:pPr>
      <w:r>
        <w:t>Activation provenance references the governing authorization/entitlement outcome; it does not duplicate Commercial/Payment state.</w:t>
      </w:r>
    </w:p>
    <w:p>
      <w:pPr>
        <w:pStyle w:val="ListBullet"/>
      </w:pPr>
      <w:r>
        <w:t>Requested/activated/completed timestamps must be reconstructable.</w:t>
      </w:r>
    </w:p>
    <w:p>
      <w:pPr>
        <w:pStyle w:val="ListBullet"/>
      </w:pPr>
      <w:r>
        <w:t>Unique active enrollment semantics should prevent duplicate active enrollment for the same learner/session according to the final physical DB convention.</w:t>
      </w:r>
    </w:p>
    <w:p>
      <w:pPr>
        <w:pStyle w:val="ListBullet"/>
      </w:pPr>
      <w:r>
        <w:t>Do not reuse M04 enrollments or M05 event_registrations.</w:t>
      </w:r>
    </w:p>
    <w:p>
      <w:pPr>
        <w:pStyle w:val="Heading1"/>
      </w:pPr>
      <w:r>
        <w:t>7. Provider Binding — Physical Specification</w:t>
      </w:r>
    </w:p>
    <w:p>
      <w:pPr>
        <w:pStyle w:val="ListBullet"/>
      </w:pPr>
      <w:r>
        <w:t>Identity: binding_id; independent of Learning Session identity.</w:t>
      </w:r>
    </w:p>
    <w:p>
      <w:pPr>
        <w:pStyle w:val="ListBullet"/>
      </w:pPr>
      <w:r>
        <w:t>Relationship: learning_session_id → session; provider key/type; external provider session/reference ID.</w:t>
      </w:r>
    </w:p>
    <w:p>
      <w:pPr>
        <w:pStyle w:val="ListBullet"/>
      </w:pPr>
      <w:r>
        <w:t>Binding lifecycle/history must support provider switching without changing learning_sessions.session_id.</w:t>
      </w:r>
    </w:p>
    <w:p>
      <w:pPr>
        <w:pStyle w:val="ListBullet"/>
      </w:pPr>
      <w:r>
        <w:t>Effective period / active binding semantics must prevent multiple conflicting active bindings unless explicitly supported by the adapter contract.</w:t>
      </w:r>
    </w:p>
    <w:p>
      <w:pPr>
        <w:pStyle w:val="ListBullet"/>
      </w:pPr>
      <w:r>
        <w:t>Provider credentials/token references remain infrastructure-controlled; raw secrets must not be exposed through the core Learning resource.</w:t>
      </w:r>
    </w:p>
    <w:p>
      <w:pPr>
        <w:pStyle w:val="ListBullet"/>
      </w:pPr>
      <w:r>
        <w:t>No provider-specific SDK object or vendor schema should leak into the core Session resource.</w:t>
      </w:r>
    </w:p>
    <w:p>
      <w:pPr>
        <w:pStyle w:val="Heading1"/>
      </w:pPr>
      <w:r>
        <w:t>8. Participation Evidence / Attendance / Completion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Resource</w:t>
            </w:r>
          </w:p>
        </w:tc>
        <w:tc>
          <w:tcPr>
            <w:tcW w:type="dxa" w:w="2520"/>
            <w:shd w:fill="D9EAF7"/>
          </w:tcPr>
          <w:p>
            <w:r>
              <w:t>Required provenance</w:t>
            </w:r>
          </w:p>
        </w:tc>
        <w:tc>
          <w:tcPr>
            <w:tcW w:type="dxa" w:w="2520"/>
            <w:shd w:fill="D9EAF7"/>
          </w:tcPr>
          <w:p>
            <w:r>
              <w:t>Core invariant</w:t>
            </w:r>
          </w:p>
        </w:tc>
        <w:tc>
          <w:tcPr>
            <w:tcW w:type="dxa" w:w="2520"/>
            <w:shd w:fill="D9EAF7"/>
          </w:tcPr>
          <w:p>
            <w:r>
              <w:t>Implementation note</w:t>
            </w:r>
          </w:p>
        </w:tc>
      </w:tr>
      <w:tr>
        <w:tc>
          <w:tcPr>
            <w:tcW w:type="dxa" w:w="2520"/>
          </w:tcPr>
          <w:p>
            <w:r>
              <w:t>Participation Evidence</w:t>
            </w:r>
          </w:p>
        </w:tc>
        <w:tc>
          <w:tcPr>
            <w:tcW w:type="dxa" w:w="2520"/>
          </w:tcPr>
          <w:p>
            <w:r>
              <w:t>provider/source + external event/reference + received/processed timestamps + idempotency identity</w:t>
            </w:r>
          </w:p>
        </w:tc>
        <w:tc>
          <w:tcPr>
            <w:tcW w:type="dxa" w:w="2520"/>
          </w:tcPr>
          <w:p>
            <w:r>
              <w:t>Provider evidence ≠ attendance</w:t>
            </w:r>
          </w:p>
        </w:tc>
        <w:tc>
          <w:tcPr>
            <w:tcW w:type="dxa" w:w="2520"/>
          </w:tcPr>
          <w:p>
            <w:r>
              <w:t>Normalize before authoritative evaluation</w:t>
            </w:r>
          </w:p>
        </w:tc>
      </w:tr>
      <w:tr>
        <w:tc>
          <w:tcPr>
            <w:tcW w:type="dxa" w:w="2520"/>
          </w:tcPr>
          <w:p>
            <w:r>
              <w:t>Attendance Evaluation</w:t>
            </w:r>
          </w:p>
        </w:tc>
        <w:tc>
          <w:tcPr>
            <w:tcW w:type="dxa" w:w="2520"/>
          </w:tcPr>
          <w:p>
            <w:r>
              <w:t>evidence reference + policy/configuration version + evaluation timestamp</w:t>
            </w:r>
          </w:p>
        </w:tc>
        <w:tc>
          <w:tcPr>
            <w:tcW w:type="dxa" w:w="2520"/>
          </w:tcPr>
          <w:p>
            <w:r>
              <w:t>Attendance ≠ raw provider fact</w:t>
            </w:r>
          </w:p>
        </w:tc>
        <w:tc>
          <w:tcPr>
            <w:tcW w:type="dxa" w:w="2520"/>
          </w:tcPr>
          <w:p>
            <w:r>
              <w:t>Hybrid policy from TECH-01</w:t>
            </w:r>
          </w:p>
        </w:tc>
      </w:tr>
      <w:tr>
        <w:tc>
          <w:tcPr>
            <w:tcW w:type="dxa" w:w="2520"/>
          </w:tcPr>
          <w:p>
            <w:r>
              <w:t>Completion Outcome</w:t>
            </w:r>
          </w:p>
        </w:tc>
        <w:tc>
          <w:tcPr>
            <w:tcW w:type="dxa" w:w="2520"/>
          </w:tcPr>
          <w:p>
            <w:r>
              <w:t>evidence/evaluation references + completion policy/version + timestamp</w:t>
            </w:r>
          </w:p>
        </w:tc>
        <w:tc>
          <w:tcPr>
            <w:tcW w:type="dxa" w:w="2520"/>
          </w:tcPr>
          <w:p>
            <w:r>
              <w:t>Completion ≠ direct provider assertion</w:t>
            </w:r>
          </w:p>
        </w:tc>
        <w:tc>
          <w:tcPr>
            <w:tcW w:type="dxa" w:w="2520"/>
          </w:tcPr>
          <w:p>
            <w:r>
              <w:t>Feeds Learning Activity boundary</w:t>
            </w:r>
          </w:p>
        </w:tc>
      </w:tr>
    </w:tbl>
    <w:p>
      <w:pPr>
        <w:pStyle w:val="Heading1"/>
      </w:pPr>
      <w:r>
        <w:t>9. Session Artifact / Recording</w:t>
      </w:r>
    </w:p>
    <w:p>
      <w:r>
        <w:t>Recording is an optional Session artifact/reference. TECH-01 approved provider-hosted/reference-first. Physical storage should therefore support provider/source reference and availability/retention metadata without making RumahAgen a default video-streaming authority. Retention/privacy/replay policy remains a separate residual.</w:t>
      </w:r>
    </w:p>
    <w:p>
      <w:pPr>
        <w:pStyle w:val="Heading1"/>
      </w:pPr>
      <w:r>
        <w:t>10. Relationship Map — Approved</w:t>
      </w:r>
    </w:p>
    <w:p>
      <w:pPr>
        <w:pStyle w:val="ListBullet"/>
      </w:pPr>
      <w:r>
        <w:t>Learning Session → Organization: 0..1 Organization (nullable organization_id).</w:t>
      </w:r>
    </w:p>
    <w:p>
      <w:pPr>
        <w:pStyle w:val="ListBullet"/>
      </w:pPr>
      <w:r>
        <w:t>Learning Session → Partner: no physical relationship in Session MVP.</w:t>
      </w:r>
    </w:p>
    <w:p>
      <w:pPr>
        <w:pStyle w:val="ListBullet"/>
      </w:pPr>
      <w:r>
        <w:t>Learning Session → Private Audience: no dedicated audience table in MVP; use existing authorization/enrollment context.</w:t>
      </w:r>
    </w:p>
    <w:p>
      <w:pPr>
        <w:pStyle w:val="ListBullet"/>
      </w:pPr>
      <w:r>
        <w:t>Learning Session → Event: 0..1 canonical Event (nullable event_id).</w:t>
      </w:r>
    </w:p>
    <w:p>
      <w:pPr>
        <w:pStyle w:val="ListBullet"/>
      </w:pPr>
      <w:r>
        <w:t>Learning Session → Course: optional logical integration; exact cardinality remains downstream if required by product.</w:t>
      </w:r>
    </w:p>
    <w:p>
      <w:pPr>
        <w:pStyle w:val="ListBullet"/>
      </w:pPr>
      <w:r>
        <w:t>Learning Session → Session Enrollment: one Session has zero-to-many enrollments.</w:t>
      </w:r>
    </w:p>
    <w:p>
      <w:pPr>
        <w:pStyle w:val="ListBullet"/>
      </w:pPr>
      <w:r>
        <w:t>Session Enrollment → Learner/Agent: each enrollment belongs to an existing learner/agent identity.</w:t>
      </w:r>
    </w:p>
    <w:p>
      <w:pPr>
        <w:pStyle w:val="ListBullet"/>
      </w:pPr>
      <w:r>
        <w:t>Learning Session → Provider Binding: one Session can have binding history; active-binding constraints must preserve switching history.</w:t>
      </w:r>
    </w:p>
    <w:p>
      <w:pPr>
        <w:pStyle w:val="ListBullet"/>
      </w:pPr>
      <w:r>
        <w:t>Provider Binding → Participation Evidence: provider evidence references binding/source context.</w:t>
      </w:r>
    </w:p>
    <w:p>
      <w:pPr>
        <w:pStyle w:val="ListBullet"/>
      </w:pPr>
      <w:r>
        <w:t>Session Enrollment → Attendance Evaluation / Completion Outcome: learner-specific outcomes are separate from Session definition.</w:t>
      </w:r>
    </w:p>
    <w:p>
      <w:pPr>
        <w:pStyle w:val="Heading1"/>
      </w:pPr>
      <w:r>
        <w:t>11. Integrity / Index / Constraint Direction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Constraint</w:t>
            </w:r>
          </w:p>
        </w:tc>
        <w:tc>
          <w:tcPr>
            <w:tcW w:type="dxa" w:w="2520"/>
            <w:shd w:fill="D9EAF7"/>
          </w:tcPr>
          <w:p>
            <w:r>
              <w:t>Direction</w:t>
            </w:r>
          </w:p>
        </w:tc>
        <w:tc>
          <w:tcPr>
            <w:tcW w:type="dxa" w:w="2520"/>
            <w:shd w:fill="D9EAF7"/>
          </w:tcPr>
          <w:p>
            <w:r>
              <w:t>Purpose</w:t>
            </w:r>
          </w:p>
        </w:tc>
        <w:tc>
          <w:tcPr>
            <w:tcW w:type="dxa" w:w="2520"/>
            <w:shd w:fill="D9EAF7"/>
          </w:tcPr>
          <w:p>
            <w:r>
              <w:t>Exact implementation</w:t>
            </w:r>
          </w:p>
        </w:tc>
      </w:tr>
      <w:tr>
        <w:tc>
          <w:tcPr>
            <w:tcW w:type="dxa" w:w="2520"/>
          </w:tcPr>
          <w:p>
            <w:r>
              <w:t>PK on every new resource</w:t>
            </w:r>
          </w:p>
        </w:tc>
        <w:tc>
          <w:tcPr>
            <w:tcW w:type="dxa" w:w="2520"/>
          </w:tcPr>
          <w:p>
            <w:r>
              <w:t>REQUIRED</w:t>
            </w:r>
          </w:p>
        </w:tc>
        <w:tc>
          <w:tcPr>
            <w:tcW w:type="dxa" w:w="2520"/>
          </w:tcPr>
          <w:p>
            <w:r>
              <w:t>Stable identity</w:t>
            </w:r>
          </w:p>
        </w:tc>
        <w:tc>
          <w:tcPr>
            <w:tcW w:type="dxa" w:w="2520"/>
          </w:tcPr>
          <w:p>
            <w:r>
              <w:t>Use existing DB convention</w:t>
            </w:r>
          </w:p>
        </w:tc>
      </w:tr>
      <w:tr>
        <w:tc>
          <w:tcPr>
            <w:tcW w:type="dxa" w:w="2520"/>
          </w:tcPr>
          <w:p>
            <w:r>
              <w:t>FK to existing authority entities</w:t>
            </w:r>
          </w:p>
        </w:tc>
        <w:tc>
          <w:tcPr>
            <w:tcW w:type="dxa" w:w="2520"/>
          </w:tcPr>
          <w:p>
            <w:r>
              <w:t>REQUIRED where relationship is approved</w:t>
            </w:r>
          </w:p>
        </w:tc>
        <w:tc>
          <w:tcPr>
            <w:tcW w:type="dxa" w:w="2520"/>
          </w:tcPr>
          <w:p>
            <w:r>
              <w:t>Referential integrity</w:t>
            </w:r>
          </w:p>
        </w:tc>
        <w:tc>
          <w:tcPr>
            <w:tcW w:type="dxa" w:w="2520"/>
          </w:tcPr>
          <w:p>
            <w:r>
              <w:t>Exact constraint names downstream</w:t>
            </w:r>
          </w:p>
        </w:tc>
      </w:tr>
      <w:tr>
        <w:tc>
          <w:tcPr>
            <w:tcW w:type="dxa" w:w="2520"/>
          </w:tcPr>
          <w:p>
            <w:r>
              <w:t>Unique active enrollment per learner/session</w:t>
            </w:r>
          </w:p>
        </w:tc>
        <w:tc>
          <w:tcPr>
            <w:tcW w:type="dxa" w:w="2520"/>
          </w:tcPr>
          <w:p>
            <w:r>
              <w:t>REQUIRED</w:t>
            </w:r>
          </w:p>
        </w:tc>
        <w:tc>
          <w:tcPr>
            <w:tcW w:type="dxa" w:w="2520"/>
          </w:tcPr>
          <w:p>
            <w:r>
              <w:t>Prevent duplicate active access</w:t>
            </w:r>
          </w:p>
        </w:tc>
        <w:tc>
          <w:tcPr>
            <w:tcW w:type="dxa" w:w="2520"/>
          </w:tcPr>
          <w:p>
            <w:r>
              <w:t>Exact partial/compound index strategy downstream</w:t>
            </w:r>
          </w:p>
        </w:tc>
      </w:tr>
      <w:tr>
        <w:tc>
          <w:tcPr>
            <w:tcW w:type="dxa" w:w="2520"/>
          </w:tcPr>
          <w:p>
            <w:r>
              <w:t>Provider evidence idempotency identity</w:t>
            </w:r>
          </w:p>
        </w:tc>
        <w:tc>
          <w:tcPr>
            <w:tcW w:type="dxa" w:w="2520"/>
          </w:tcPr>
          <w:p>
            <w:r>
              <w:t>REQUIRED</w:t>
            </w:r>
          </w:p>
        </w:tc>
        <w:tc>
          <w:tcPr>
            <w:tcW w:type="dxa" w:w="2520"/>
          </w:tcPr>
          <w:p>
            <w:r>
              <w:t>Safe repeated delivery</w:t>
            </w:r>
          </w:p>
        </w:tc>
        <w:tc>
          <w:tcPr>
            <w:tcW w:type="dxa" w:w="2520"/>
          </w:tcPr>
          <w:p>
            <w:r>
              <w:t>Provider-specific deterministic strategy</w:t>
            </w:r>
          </w:p>
        </w:tc>
      </w:tr>
      <w:tr>
        <w:tc>
          <w:tcPr>
            <w:tcW w:type="dxa" w:w="2520"/>
          </w:tcPr>
          <w:p>
            <w:r>
              <w:t>Active Provider Binding conflict prevention</w:t>
            </w:r>
          </w:p>
        </w:tc>
        <w:tc>
          <w:tcPr>
            <w:tcW w:type="dxa" w:w="2520"/>
          </w:tcPr>
          <w:p>
            <w:r>
              <w:t>REQUIRED</w:t>
            </w:r>
          </w:p>
        </w:tc>
        <w:tc>
          <w:tcPr>
            <w:tcW w:type="dxa" w:w="2520"/>
          </w:tcPr>
          <w:p>
            <w:r>
              <w:t>Preserve valid binding history</w:t>
            </w:r>
          </w:p>
        </w:tc>
        <w:tc>
          <w:tcPr>
            <w:tcW w:type="dxa" w:w="2520"/>
          </w:tcPr>
          <w:p>
            <w:r>
              <w:t>Exact temporal/unique constraint downstream</w:t>
            </w:r>
          </w:p>
        </w:tc>
      </w:tr>
      <w:tr>
        <w:tc>
          <w:tcPr>
            <w:tcW w:type="dxa" w:w="2520"/>
          </w:tcPr>
          <w:p>
            <w:r>
              <w:t>Visibility/org consistency</w:t>
            </w:r>
          </w:p>
        </w:tc>
        <w:tc>
          <w:tcPr>
            <w:tcW w:type="dxa" w:w="2520"/>
          </w:tcPr>
          <w:p>
            <w:r>
              <w:t>REQUIRED</w:t>
            </w:r>
          </w:p>
        </w:tc>
        <w:tc>
          <w:tcPr>
            <w:tcW w:type="dxa" w:w="2520"/>
          </w:tcPr>
          <w:p>
            <w:r>
              <w:t>ORGANIZATION visibility must have organization context</w:t>
            </w:r>
          </w:p>
        </w:tc>
        <w:tc>
          <w:tcPr>
            <w:tcW w:type="dxa" w:w="2520"/>
          </w:tcPr>
          <w:p>
            <w:r>
              <w:t>DB check or service-level invariant; exact choice downstream</w:t>
            </w:r>
          </w:p>
        </w:tc>
      </w:tr>
      <w:tr>
        <w:tc>
          <w:tcPr>
            <w:tcW w:type="dxa" w:w="2520"/>
          </w:tcPr>
          <w:p>
            <w:r>
              <w:t>Event/session optionality</w:t>
            </w:r>
          </w:p>
        </w:tc>
        <w:tc>
          <w:tcPr>
            <w:tcW w:type="dxa" w:w="2520"/>
          </w:tcPr>
          <w:p>
            <w:r>
              <w:t>REQUIRED</w:t>
            </w:r>
          </w:p>
        </w:tc>
        <w:tc>
          <w:tcPr>
            <w:tcW w:type="dxa" w:w="2520"/>
          </w:tcPr>
          <w:p>
            <w:r>
              <w:t>Session can exist without Event</w:t>
            </w:r>
          </w:p>
        </w:tc>
        <w:tc>
          <w:tcPr>
            <w:tcW w:type="dxa" w:w="2520"/>
          </w:tcPr>
          <w:p>
            <w:r>
              <w:t>Nullable relationship</w:t>
            </w:r>
          </w:p>
        </w:tc>
      </w:tr>
      <w:tr>
        <w:tc>
          <w:tcPr>
            <w:tcW w:type="dxa" w:w="2520"/>
          </w:tcPr>
          <w:p>
            <w:r>
              <w:t>Ownership enforcement</w:t>
            </w:r>
          </w:p>
        </w:tc>
        <w:tc>
          <w:tcPr>
            <w:tcW w:type="dxa" w:w="2520"/>
          </w:tcPr>
          <w:p>
            <w:r>
              <w:t>REQUIRED</w:t>
            </w:r>
          </w:p>
        </w:tc>
        <w:tc>
          <w:tcPr>
            <w:tcW w:type="dxa" w:w="2520"/>
          </w:tcPr>
          <w:p>
            <w:r>
              <w:t>Hard ownership cannot be bypassed</w:t>
            </w:r>
          </w:p>
        </w:tc>
        <w:tc>
          <w:tcPr>
            <w:tcW w:type="dxa" w:w="2520"/>
          </w:tcPr>
          <w:p>
            <w:r>
              <w:t>Server authorization + RLS where applicable</w:t>
            </w:r>
          </w:p>
        </w:tc>
      </w:tr>
    </w:tbl>
    <w:p>
      <w:pPr>
        <w:pStyle w:val="Heading1"/>
      </w:pPr>
      <w:r>
        <w:t>12. RLS / Authorization Impact</w:t>
      </w:r>
    </w:p>
    <w:p>
      <w:pPr>
        <w:pStyle w:val="ListBullet"/>
      </w:pPr>
      <w:r>
        <w:t>Session resource reads/mutations must pass platform permission and applicable scope.</w:t>
      </w:r>
    </w:p>
    <w:p>
      <w:pPr>
        <w:pStyle w:val="ListBullet"/>
      </w:pPr>
      <w:r>
        <w:t>ORGANIZATION visibility resolves against the approved organization_id and authoritative Organization membership/context.</w:t>
      </w:r>
    </w:p>
    <w:p>
      <w:pPr>
        <w:pStyle w:val="ListBullet"/>
      </w:pPr>
      <w:r>
        <w:t>PUBLIC visibility does not grant mutation permission.</w:t>
      </w:r>
    </w:p>
    <w:p>
      <w:pPr>
        <w:pStyle w:val="ListBullet"/>
      </w:pPr>
      <w:r>
        <w:t>PRIVATE access remains authorization/enrollment-context based in MVP.</w:t>
      </w:r>
    </w:p>
    <w:p>
      <w:pPr>
        <w:pStyle w:val="ListBullet"/>
      </w:pPr>
      <w:r>
        <w:t>Commercial Entitlement remains separate from RBAC and Session resource ownership.</w:t>
      </w:r>
    </w:p>
    <w:p>
      <w:pPr>
        <w:pStyle w:val="ListBullet"/>
      </w:pPr>
      <w:r>
        <w:t>Host and Instructor capabilities remain separate; no role inheritance assumption.</w:t>
      </w:r>
    </w:p>
    <w:p>
      <w:pPr>
        <w:pStyle w:val="ListBullet"/>
      </w:pPr>
      <w:r>
        <w:t>Provider access is resolved only after authorization and active Session Enrollment checks.</w:t>
      </w:r>
    </w:p>
    <w:p>
      <w:pPr>
        <w:pStyle w:val="Heading1"/>
      </w:pPr>
      <w:r>
        <w:t>13. API / Downstream Impact</w:t>
      </w:r>
    </w:p>
    <w:p>
      <w:r>
        <w:t>This artifact does not define final endpoint paths or payloads. The physical delta implies a new Session API surface for Session lifecycle/read, Session Enrollment, provider access/binding, evidence/attendance/completion and artifacts. Existing course enrollment and event RSVP endpoints remain unchanged.</w:t>
      </w:r>
    </w:p>
    <w:p>
      <w:pPr>
        <w:pStyle w:val="Heading1"/>
      </w:pPr>
      <w:r>
        <w:t>14. Residuals Not Closed by TECH-09</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Residual</w:t>
            </w:r>
          </w:p>
        </w:tc>
        <w:tc>
          <w:tcPr>
            <w:tcW w:type="dxa" w:w="2520"/>
            <w:shd w:fill="D9EAF7"/>
          </w:tcPr>
          <w:p>
            <w:r>
              <w:t>Status</w:t>
            </w:r>
          </w:p>
        </w:tc>
        <w:tc>
          <w:tcPr>
            <w:tcW w:type="dxa" w:w="2520"/>
            <w:shd w:fill="D9EAF7"/>
          </w:tcPr>
          <w:p>
            <w:r>
              <w:t>Reason</w:t>
            </w:r>
          </w:p>
        </w:tc>
        <w:tc>
          <w:tcPr>
            <w:tcW w:type="dxa" w:w="2520"/>
            <w:shd w:fill="D9EAF7"/>
          </w:tcPr>
          <w:p>
            <w:r>
              <w:t>Next treatment</w:t>
            </w:r>
          </w:p>
        </w:tc>
      </w:tr>
      <w:tr>
        <w:tc>
          <w:tcPr>
            <w:tcW w:type="dxa" w:w="2520"/>
          </w:tcPr>
          <w:p>
            <w:r>
              <w:t>Exact DB types / naming conventions</w:t>
            </w:r>
          </w:p>
        </w:tc>
        <w:tc>
          <w:tcPr>
            <w:tcW w:type="dxa" w:w="2520"/>
          </w:tcPr>
          <w:p>
            <w:r>
              <w:t>CONTROLLED</w:t>
            </w:r>
          </w:p>
        </w:tc>
        <w:tc>
          <w:tcPr>
            <w:tcW w:type="dxa" w:w="2520"/>
          </w:tcPr>
          <w:p>
            <w:r>
              <w:t>Current exact baseline not directly edited in this artifact</w:t>
            </w:r>
          </w:p>
        </w:tc>
        <w:tc>
          <w:tcPr>
            <w:tcW w:type="dxa" w:w="2520"/>
          </w:tcPr>
          <w:p>
            <w:r>
              <w:t>Physical schema implementation package</w:t>
            </w:r>
          </w:p>
        </w:tc>
      </w:tr>
      <w:tr>
        <w:tc>
          <w:tcPr>
            <w:tcW w:type="dxa" w:w="2520"/>
          </w:tcPr>
          <w:p>
            <w:r>
              <w:t>Exact permission IDs / role_permission rows</w:t>
            </w:r>
          </w:p>
        </w:tc>
        <w:tc>
          <w:tcPr>
            <w:tcW w:type="dxa" w:w="2520"/>
          </w:tcPr>
          <w:p>
            <w:r>
              <w:t>CONTROLLED</w:t>
            </w:r>
          </w:p>
        </w:tc>
        <w:tc>
          <w:tcPr>
            <w:tcW w:type="dxa" w:w="2520"/>
          </w:tcPr>
          <w:p>
            <w:r>
              <w:t>TECH-04 requires direct catalogue evidence</w:t>
            </w:r>
          </w:p>
        </w:tc>
        <w:tc>
          <w:tcPr>
            <w:tcW w:type="dxa" w:w="2520"/>
          </w:tcPr>
          <w:p>
            <w:r>
              <w:t>Authorization implementation gate</w:t>
            </w:r>
          </w:p>
        </w:tc>
      </w:tr>
      <w:tr>
        <w:tc>
          <w:tcPr>
            <w:tcW w:type="dxa" w:w="2520"/>
          </w:tcPr>
          <w:p>
            <w:r>
              <w:t>Private audience future extension</w:t>
            </w:r>
          </w:p>
        </w:tc>
        <w:tc>
          <w:tcPr>
            <w:tcW w:type="dxa" w:w="2520"/>
          </w:tcPr>
          <w:p>
            <w:r>
              <w:t>DEFERRED</w:t>
            </w:r>
          </w:p>
        </w:tc>
        <w:tc>
          <w:tcPr>
            <w:tcW w:type="dxa" w:w="2520"/>
          </w:tcPr>
          <w:p>
            <w:r>
              <w:t>MVP uses authorization/enrollment context</w:t>
            </w:r>
          </w:p>
        </w:tc>
        <w:tc>
          <w:tcPr>
            <w:tcW w:type="dxa" w:w="2520"/>
          </w:tcPr>
          <w:p>
            <w:r>
              <w:t>Product requirement if explicit audience needed</w:t>
            </w:r>
          </w:p>
        </w:tc>
      </w:tr>
      <w:tr>
        <w:tc>
          <w:tcPr>
            <w:tcW w:type="dxa" w:w="2520"/>
          </w:tcPr>
          <w:p>
            <w:r>
              <w:t>Partner Session relation</w:t>
            </w:r>
          </w:p>
        </w:tc>
        <w:tc>
          <w:tcPr>
            <w:tcW w:type="dxa" w:w="2520"/>
          </w:tcPr>
          <w:p>
            <w:r>
              <w:t>DEFERRED</w:t>
            </w:r>
          </w:p>
        </w:tc>
        <w:tc>
          <w:tcPr>
            <w:tcW w:type="dxa" w:w="2520"/>
          </w:tcPr>
          <w:p>
            <w:r>
              <w:t>No physical relation in MVP</w:t>
            </w:r>
          </w:p>
        </w:tc>
        <w:tc>
          <w:tcPr>
            <w:tcW w:type="dxa" w:w="2520"/>
          </w:tcPr>
          <w:p>
            <w:r>
              <w:t>Future Partner/Session evolution</w:t>
            </w:r>
          </w:p>
        </w:tc>
      </w:tr>
      <w:tr>
        <w:tc>
          <w:tcPr>
            <w:tcW w:type="dxa" w:w="2520"/>
          </w:tcPr>
          <w:p>
            <w:r>
              <w:t>Recording retention/privacy/replay</w:t>
            </w:r>
          </w:p>
        </w:tc>
        <w:tc>
          <w:tcPr>
            <w:tcW w:type="dxa" w:w="2520"/>
          </w:tcPr>
          <w:p>
            <w:r>
              <w:t>OPEN</w:t>
            </w:r>
          </w:p>
        </w:tc>
        <w:tc>
          <w:tcPr>
            <w:tcW w:type="dxa" w:w="2520"/>
          </w:tcPr>
          <w:p>
            <w:r>
              <w:t>Policy not locked</w:t>
            </w:r>
          </w:p>
        </w:tc>
        <w:tc>
          <w:tcPr>
            <w:tcW w:type="dxa" w:w="2520"/>
          </w:tcPr>
          <w:p>
            <w:r>
              <w:t>Media policy gate</w:t>
            </w:r>
          </w:p>
        </w:tc>
      </w:tr>
      <w:tr>
        <w:tc>
          <w:tcPr>
            <w:tcW w:type="dxa" w:w="2520"/>
          </w:tcPr>
          <w:p>
            <w:r>
              <w:t>Automatic provider failover</w:t>
            </w:r>
          </w:p>
        </w:tc>
        <w:tc>
          <w:tcPr>
            <w:tcW w:type="dxa" w:w="2520"/>
          </w:tcPr>
          <w:p>
            <w:r>
              <w:t>OPEN / DEFERRED</w:t>
            </w:r>
          </w:p>
        </w:tc>
        <w:tc>
          <w:tcPr>
            <w:tcW w:type="dxa" w:w="2520"/>
          </w:tcPr>
          <w:p>
            <w:r>
              <w:t>AEP4-OD-08</w:t>
            </w:r>
          </w:p>
        </w:tc>
        <w:tc>
          <w:tcPr>
            <w:tcW w:type="dxa" w:w="2520"/>
          </w:tcPr>
          <w:p>
            <w:r>
              <w:t>Provider operational gate</w:t>
            </w:r>
          </w:p>
        </w:tc>
      </w:tr>
      <w:tr>
        <w:tc>
          <w:tcPr>
            <w:tcW w:type="dxa" w:w="2520"/>
          </w:tcPr>
          <w:p>
            <w:r>
              <w:t>Provider API/OAuth exact contracts</w:t>
            </w:r>
          </w:p>
        </w:tc>
        <w:tc>
          <w:tcPr>
            <w:tcW w:type="dxa" w:w="2520"/>
          </w:tcPr>
          <w:p>
            <w:r>
              <w:t>OPEN / VERIFICATION</w:t>
            </w:r>
          </w:p>
        </w:tc>
        <w:tc>
          <w:tcPr>
            <w:tcW w:type="dxa" w:w="2520"/>
          </w:tcPr>
          <w:p>
            <w:r>
              <w:t>Vendor capability remains evidence-level</w:t>
            </w:r>
          </w:p>
        </w:tc>
        <w:tc>
          <w:tcPr>
            <w:tcW w:type="dxa" w:w="2520"/>
          </w:tcPr>
          <w:p>
            <w:r>
              <w:t>Provider integration gate</w:t>
            </w:r>
          </w:p>
        </w:tc>
      </w:tr>
      <w:tr>
        <w:tc>
          <w:tcPr>
            <w:tcW w:type="dxa" w:w="2520"/>
          </w:tcPr>
          <w:p>
            <w:r>
              <w:t>MADCR-049 physical Learning Activity cardinality/API</w:t>
            </w:r>
          </w:p>
        </w:tc>
        <w:tc>
          <w:tcPr>
            <w:tcW w:type="dxa" w:w="2520"/>
          </w:tcPr>
          <w:p>
            <w:r>
              <w:t>APPROVED SEMANTIC / PHYSICAL DOWNSTREAM</w:t>
            </w:r>
          </w:p>
        </w:tc>
        <w:tc>
          <w:tcPr>
            <w:tcW w:type="dxa" w:w="2520"/>
          </w:tcPr>
          <w:p>
            <w:r>
              <w:t>Current user decision closes semantic model only</w:t>
            </w:r>
          </w:p>
        </w:tc>
        <w:tc>
          <w:tcPr>
            <w:tcW w:type="dxa" w:w="2520"/>
          </w:tcPr>
          <w:p>
            <w:r>
              <w:t>Learning Activity physical design gate</w:t>
            </w:r>
          </w:p>
        </w:tc>
      </w:tr>
    </w:tbl>
    <w:p>
      <w:pPr>
        <w:pStyle w:val="Heading1"/>
      </w:pPr>
      <w:r>
        <w:t>15. Gate Result</w:t>
      </w:r>
    </w:p>
    <w:p>
      <w:r>
        <w:t>TECH-09 = PASS — controlled physical ERD/schema delta specification ready. The artifact is sufficiently concrete to guide the next physical design package, while preserving all unresolved implementation details. No migration or production schema change is authorized by TECH-09.</w:t>
      </w:r>
    </w:p>
    <w:p>
      <w:pPr>
        <w:pStyle w:val="Heading1"/>
      </w:pPr>
      <w:r>
        <w:t>16. Next Step — TECH-10</w:t>
      </w:r>
    </w:p>
    <w:p>
      <w:r>
        <w:t>TECH-10 — Physical Database / Migration Readiness. It will reconcile this delta against the exact current ERD/Dictionary files if directly retrievable, identify exact table/column/index/FK changes, and produce an implementation-ready migration specification. If the exact baseline cannot be directly retrieved, TECH-10 will remain a delta specification and will not pretend to be a verified patch.</w:t>
      </w:r>
    </w:p>
    <w:p>
      <w:pPr>
        <w:pStyle w:val="Heading1"/>
      </w:pPr>
      <w:r>
        <w:t>17. Traceability</w:t>
      </w:r>
    </w:p>
    <w:p>
      <w:pPr>
        <w:pStyle w:val="ListBullet"/>
      </w:pPr>
      <w:r>
        <w:t>TECH-08 — approved physical relationship decisions.</w:t>
      </w:r>
    </w:p>
    <w:p>
      <w:pPr>
        <w:pStyle w:val="ListBullet"/>
      </w:pPr>
      <w:r>
        <w:t>AEP4 STEP-06 — ERD logical reconciliation.</w:t>
      </w:r>
    </w:p>
    <w:p>
      <w:pPr>
        <w:pStyle w:val="ListBullet"/>
      </w:pPr>
      <w:r>
        <w:t>AEP4 STEP-07 — logical schema/data dictionary impact.</w:t>
      </w:r>
    </w:p>
    <w:p>
      <w:pPr>
        <w:pStyle w:val="ListBullet"/>
      </w:pPr>
      <w:r>
        <w:t>AEP4 STEP-08 — provider adapter/integration contract.</w:t>
      </w:r>
    </w:p>
    <w:p>
      <w:pPr>
        <w:pStyle w:val="ListBullet"/>
      </w:pPr>
      <w:r>
        <w:t>AEP4 STEP-13 — engineering implementation shape and reliability rules.</w:t>
      </w:r>
    </w:p>
    <w:p>
      <w:pPr>
        <w:pStyle w:val="ListBullet"/>
      </w:pPr>
      <w:r>
        <w:t>P1 Current Technical Baseline Verification — current downstream physical baseline classification.</w:t>
      </w:r>
    </w:p>
    <w:p>
      <w:pPr>
        <w:pStyle w:val="ListBullet"/>
      </w:pPr>
      <w:r>
        <w:t>TECH-05 — authorization/RLS design readiness.</w:t>
      </w:r>
    </w:p>
    <w:p>
      <w:pPr>
        <w:pStyle w:val="ListBullet"/>
      </w:pPr>
      <w:r>
        <w:t>TECH-06 — Session resource scope relationship design.</w:t>
      </w:r>
    </w:p>
    <w:p>
      <w:pPr>
        <w:pStyle w:val="ListBullet"/>
      </w:pPr>
      <w:r>
        <w:t>TECH-07 — physical schema impact evidence review.</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