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TECH-10</w:t>
      </w:r>
    </w:p>
    <w:p>
      <w:pPr>
        <w:jc w:val="center"/>
      </w:pPr>
      <w:r>
        <w:rPr>
          <w:i/>
        </w:rPr>
        <w:t>Physical Database / Migration Readiness</w:t>
      </w:r>
    </w:p>
    <w:p>
      <w:r>
        <w:rPr>
          <w:b/>
        </w:rPr>
        <w:t xml:space="preserve">Status: </w:t>
      </w:r>
      <w:r>
        <w:t>PASS — BASELINE VERIFIED; MIGRATION DESIGN READY WITH CONTROLLED BUSINESS/INTEGRATION RESIDUALS</w:t>
      </w:r>
    </w:p>
    <w:p>
      <w:pPr>
        <w:pStyle w:val="Heading1"/>
      </w:pPr>
      <w:r>
        <w:t>1. Purpose</w:t>
      </w:r>
    </w:p>
    <w:p>
      <w:r>
        <w:t>TECH-10 performs the requested physical-baseline reconciliation against the exact source artifacts retrievable in the project refresh corpus. It identifies the current physical conventions, confirms which Learning Session objects are absent from the current migration baseline, and defines the implementation-ready delta boundary. It does not execute or authorize production migration SQL.</w:t>
      </w:r>
    </w:p>
    <w:p>
      <w:pPr>
        <w:pStyle w:val="Heading1"/>
      </w:pPr>
      <w:r>
        <w:t>2. Exact Source Baseline Located</w:t>
      </w:r>
    </w:p>
    <w:p>
      <w:pPr>
        <w:pStyle w:val="ListBullet"/>
      </w:pPr>
      <w:r>
        <w:t>ERD-Skema-Database-RUMAHAGEN-v1_7-CROSS-AEP-D3.md — AEP4 D3 controlled semantic overlay.</w:t>
      </w:r>
    </w:p>
    <w:p>
      <w:pPr>
        <w:pStyle w:val="ListBullet"/>
      </w:pPr>
      <w:r>
        <w:t>Database-Dictionary-Migration-Ready-v1_3-CROSS-AEP-D3.md — D3 logical/dictionary overlay; explicitly states physical table/column/key/index/cardinality are not locked by that step.</w:t>
      </w:r>
    </w:p>
    <w:p>
      <w:pPr>
        <w:pStyle w:val="ListBullet"/>
      </w:pPr>
      <w:r>
        <w:t>Database-Migration-Full-v1_0.sql — current executable baseline containing M01–M13 migrations.</w:t>
      </w:r>
    </w:p>
    <w:p>
      <w:pPr>
        <w:pStyle w:val="ListBullet"/>
      </w:pPr>
      <w:r>
        <w:t>0002_m10_rbac_foundation.sql — exact RBAC physical conventions.</w:t>
      </w:r>
    </w:p>
    <w:p>
      <w:pPr>
        <w:pStyle w:val="ListBullet"/>
      </w:pPr>
      <w:r>
        <w:t>0007_m12_organization.sql — exact Organization physical model and RLS conventions.</w:t>
      </w:r>
    </w:p>
    <w:p>
      <w:pPr>
        <w:pStyle w:val="ListBullet"/>
      </w:pPr>
      <w:r>
        <w:t>0010_m05_event_calendar.sql — exact Event/EventRegistration physical model.</w:t>
      </w:r>
    </w:p>
    <w:p>
      <w:pPr>
        <w:pStyle w:val="ListBullet"/>
      </w:pPr>
      <w:r>
        <w:t>AEP4 STEP-07 Logical Schema/Data Dictionary Impact — authoritative logical attribute categories and non-repurpose rules.</w:t>
      </w:r>
    </w:p>
    <w:p>
      <w:pPr>
        <w:pStyle w:val="ListBullet"/>
      </w:pPr>
      <w:r>
        <w:t>TECH-08 — approved physical relationship decisions.</w:t>
      </w:r>
    </w:p>
    <w:p>
      <w:pPr>
        <w:pStyle w:val="ListBullet"/>
      </w:pPr>
      <w:r>
        <w:t>TECH-09 — approved physical delta specification.</w:t>
      </w:r>
    </w:p>
    <w:p>
      <w:pPr>
        <w:pStyle w:val="Heading1"/>
      </w:pPr>
      <w:r>
        <w:t>3. Critical Baseline Finding</w:t>
      </w:r>
    </w:p>
    <w:p>
      <w:r>
        <w:t>The current executable migration baseline contains the existing M01–M13 platform schema, including organizations, organization_members, events and event_registrations, but it does not contain the AEP4 Learning Session physical resources. The D3 ERD is a controlled semantic overlay and explicitly does not authorize physical migration.</w:t>
      </w:r>
    </w:p>
    <w:p>
      <w:r>
        <w:t>This distinction is now verified directly from source: the current migration has organizations and events as physical tables, while the D3 ERD adds Learning Session concepts only as semantic requirements.</w:t>
      </w:r>
    </w:p>
    <w:p>
      <w:pPr>
        <w:pStyle w:val="Heading1"/>
      </w:pPr>
      <w:r>
        <w:t>4. Existing Physical Conventions to Preserve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Area</w:t>
            </w:r>
          </w:p>
        </w:tc>
        <w:tc>
          <w:tcPr>
            <w:tcW w:type="dxa" w:w="3360"/>
            <w:shd w:fill="D9EAF7"/>
          </w:tcPr>
          <w:p>
            <w:r>
              <w:t>Verified convention</w:t>
            </w:r>
          </w:p>
        </w:tc>
        <w:tc>
          <w:tcPr>
            <w:tcW w:type="dxa" w:w="3360"/>
            <w:shd w:fill="D9EAF7"/>
          </w:tcPr>
          <w:p>
            <w:r>
              <w:t>TECH-10 decision</w:t>
            </w:r>
          </w:p>
        </w:tc>
      </w:tr>
      <w:tr>
        <w:tc>
          <w:tcPr>
            <w:tcW w:type="dxa" w:w="3360"/>
          </w:tcPr>
          <w:p>
            <w:r>
              <w:t>Identity</w:t>
            </w:r>
          </w:p>
        </w:tc>
        <w:tc>
          <w:tcPr>
            <w:tcW w:type="dxa" w:w="3360"/>
          </w:tcPr>
          <w:p>
            <w:r>
              <w:t>UUID PRIMARY KEY DEFAULT gen_random_uuid()</w:t>
            </w:r>
          </w:p>
        </w:tc>
        <w:tc>
          <w:tcPr>
            <w:tcW w:type="dxa" w:w="3360"/>
          </w:tcPr>
          <w:p>
            <w:r>
              <w:t>Use same convention for new Session resources</w:t>
            </w:r>
          </w:p>
        </w:tc>
      </w:tr>
      <w:tr>
        <w:tc>
          <w:tcPr>
            <w:tcW w:type="dxa" w:w="3360"/>
          </w:tcPr>
          <w:p>
            <w:r>
              <w:t>Timestamps</w:t>
            </w:r>
          </w:p>
        </w:tc>
        <w:tc>
          <w:tcPr>
            <w:tcW w:type="dxa" w:w="3360"/>
          </w:tcPr>
          <w:p>
            <w:r>
              <w:t>created_at / updated_at TIMESTAMPTZ NOT NULL DEFAULT now() where applicable</w:t>
            </w:r>
          </w:p>
        </w:tc>
        <w:tc>
          <w:tcPr>
            <w:tcW w:type="dxa" w:w="3360"/>
          </w:tcPr>
          <w:p>
            <w:r>
              <w:t>Reuse</w:t>
            </w:r>
          </w:p>
        </w:tc>
      </w:tr>
      <w:tr>
        <w:tc>
          <w:tcPr>
            <w:tcW w:type="dxa" w:w="3360"/>
          </w:tcPr>
          <w:p>
            <w:r>
              <w:t>Soft deletion</w:t>
            </w:r>
          </w:p>
        </w:tc>
        <w:tc>
          <w:tcPr>
            <w:tcW w:type="dxa" w:w="3360"/>
          </w:tcPr>
          <w:p>
            <w:r>
              <w:t>Existing major resources use deleted_at where appropriate</w:t>
            </w:r>
          </w:p>
        </w:tc>
        <w:tc>
          <w:tcPr>
            <w:tcW w:type="dxa" w:w="3360"/>
          </w:tcPr>
          <w:p>
            <w:r>
              <w:t>Use only where lifecycle requires it; do not add blindly</w:t>
            </w:r>
          </w:p>
        </w:tc>
      </w:tr>
      <w:tr>
        <w:tc>
          <w:tcPr>
            <w:tcW w:type="dxa" w:w="3360"/>
          </w:tcPr>
          <w:p>
            <w:r>
              <w:t>Foreign keys</w:t>
            </w:r>
          </w:p>
        </w:tc>
        <w:tc>
          <w:tcPr>
            <w:tcW w:type="dxa" w:w="3360"/>
          </w:tcPr>
          <w:p>
            <w:r>
              <w:t>Explicit REFERENCES with ON DELETE policy</w:t>
            </w:r>
          </w:p>
        </w:tc>
        <w:tc>
          <w:tcPr>
            <w:tcW w:type="dxa" w:w="3360"/>
          </w:tcPr>
          <w:p>
            <w:r>
              <w:t>Required per relationship</w:t>
            </w:r>
          </w:p>
        </w:tc>
      </w:tr>
      <w:tr>
        <w:tc>
          <w:tcPr>
            <w:tcW w:type="dxa" w:w="3360"/>
          </w:tcPr>
          <w:p>
            <w:r>
              <w:t>Indexes</w:t>
            </w:r>
          </w:p>
        </w:tc>
        <w:tc>
          <w:tcPr>
            <w:tcW w:type="dxa" w:w="3360"/>
          </w:tcPr>
          <w:p>
            <w:r>
              <w:t>Named idx_&lt;table&gt;_&lt;columns&gt; convention</w:t>
            </w:r>
          </w:p>
        </w:tc>
        <w:tc>
          <w:tcPr>
            <w:tcW w:type="dxa" w:w="3360"/>
          </w:tcPr>
          <w:p>
            <w:r>
              <w:t>Reuse</w:t>
            </w:r>
          </w:p>
        </w:tc>
      </w:tr>
      <w:tr>
        <w:tc>
          <w:tcPr>
            <w:tcW w:type="dxa" w:w="3360"/>
          </w:tcPr>
          <w:p>
            <w:r>
              <w:t>RLS</w:t>
            </w:r>
          </w:p>
        </w:tc>
        <w:tc>
          <w:tcPr>
            <w:tcW w:type="dxa" w:w="3360"/>
          </w:tcPr>
          <w:p>
            <w:r>
              <w:t>ALTER TABLE ... ENABLE ROW LEVEL SECURITY + explicit policies</w:t>
            </w:r>
          </w:p>
        </w:tc>
        <w:tc>
          <w:tcPr>
            <w:tcW w:type="dxa" w:w="3360"/>
          </w:tcPr>
          <w:p>
            <w:r>
              <w:t>Required for protected Learning resources</w:t>
            </w:r>
          </w:p>
        </w:tc>
      </w:tr>
      <w:tr>
        <w:tc>
          <w:tcPr>
            <w:tcW w:type="dxa" w:w="3360"/>
          </w:tcPr>
          <w:p>
            <w:r>
              <w:t>Role/permission</w:t>
            </w:r>
          </w:p>
        </w:tc>
        <w:tc>
          <w:tcPr>
            <w:tcW w:type="dxa" w:w="3360"/>
          </w:tcPr>
          <w:p>
            <w:r>
              <w:t>permissions.module_code + action_code UNIQUE; role_permissions.granted_scope all/own/none</w:t>
            </w:r>
          </w:p>
        </w:tc>
        <w:tc>
          <w:tcPr>
            <w:tcW w:type="dxa" w:w="3360"/>
          </w:tcPr>
          <w:p>
            <w:r>
              <w:t>Reuse; no new IDs without catalogue reconciliation</w:t>
            </w:r>
          </w:p>
        </w:tc>
      </w:tr>
      <w:tr>
        <w:tc>
          <w:tcPr>
            <w:tcW w:type="dxa" w:w="3360"/>
          </w:tcPr>
          <w:p>
            <w:r>
              <w:t>Organization</w:t>
            </w:r>
          </w:p>
        </w:tc>
        <w:tc>
          <w:tcPr>
            <w:tcW w:type="dxa" w:w="3360"/>
          </w:tcPr>
          <w:p>
            <w:r>
              <w:t>organizations.id UUID; organization_members enforces one active Organization per agent</w:t>
            </w:r>
          </w:p>
        </w:tc>
        <w:tc>
          <w:tcPr>
            <w:tcW w:type="dxa" w:w="3360"/>
          </w:tcPr>
          <w:p>
            <w:r>
              <w:t>Reuse existing authority</w:t>
            </w:r>
          </w:p>
        </w:tc>
      </w:tr>
      <w:tr>
        <w:tc>
          <w:tcPr>
            <w:tcW w:type="dxa" w:w="3360"/>
          </w:tcPr>
          <w:p>
            <w:r>
              <w:t>Event</w:t>
            </w:r>
          </w:p>
        </w:tc>
        <w:tc>
          <w:tcPr>
            <w:tcW w:type="dxa" w:w="3360"/>
          </w:tcPr>
          <w:p>
            <w:r>
              <w:t>events.id UUID; event_registrations unique(event_id, agent_id)</w:t>
            </w:r>
          </w:p>
        </w:tc>
        <w:tc>
          <w:tcPr>
            <w:tcW w:type="dxa" w:w="3360"/>
          </w:tcPr>
          <w:p>
            <w:r>
              <w:t>Reuse only as optional calendar context, not Session Enrollment</w:t>
            </w:r>
          </w:p>
        </w:tc>
      </w:tr>
    </w:tbl>
    <w:p>
      <w:pPr>
        <w:pStyle w:val="Heading1"/>
      </w:pPr>
      <w:r>
        <w:t>5. Approved Physical Relationship Inputs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Relationship</w:t>
            </w:r>
          </w:p>
        </w:tc>
        <w:tc>
          <w:tcPr>
            <w:tcW w:type="dxa" w:w="3360"/>
            <w:shd w:fill="D9EAF7"/>
          </w:tcPr>
          <w:p>
            <w:r>
              <w:t>Approved decision</w:t>
            </w:r>
          </w:p>
        </w:tc>
        <w:tc>
          <w:tcPr>
            <w:tcW w:type="dxa" w:w="3360"/>
            <w:shd w:fill="D9EAF7"/>
          </w:tcPr>
          <w:p>
            <w:r>
              <w:t>Physical implication</w:t>
            </w:r>
          </w:p>
        </w:tc>
      </w:tr>
      <w:tr>
        <w:tc>
          <w:tcPr>
            <w:tcW w:type="dxa" w:w="3360"/>
          </w:tcPr>
          <w:p>
            <w:r>
              <w:t>Session → Organization</w:t>
            </w:r>
          </w:p>
        </w:tc>
        <w:tc>
          <w:tcPr>
            <w:tcW w:type="dxa" w:w="3360"/>
          </w:tcPr>
          <w:p>
            <w:r>
              <w:t>0..1; nullable</w:t>
            </w:r>
          </w:p>
        </w:tc>
        <w:tc>
          <w:tcPr>
            <w:tcW w:type="dxa" w:w="3360"/>
          </w:tcPr>
          <w:p>
            <w:r>
              <w:t>learning_sessions.organization_id NULLABLE FK → organizations.id</w:t>
            </w:r>
          </w:p>
        </w:tc>
      </w:tr>
      <w:tr>
        <w:tc>
          <w:tcPr>
            <w:tcW w:type="dxa" w:w="3360"/>
          </w:tcPr>
          <w:p>
            <w:r>
              <w:t>Session → Partner</w:t>
            </w:r>
          </w:p>
        </w:tc>
        <w:tc>
          <w:tcPr>
            <w:tcW w:type="dxa" w:w="3360"/>
          </w:tcPr>
          <w:p>
            <w:r>
              <w:t>No physical relation in MVP</w:t>
            </w:r>
          </w:p>
        </w:tc>
        <w:tc>
          <w:tcPr>
            <w:tcW w:type="dxa" w:w="3360"/>
          </w:tcPr>
          <w:p>
            <w:r>
              <w:t>No partner_id / pivot table in Session MVP</w:t>
            </w:r>
          </w:p>
        </w:tc>
      </w:tr>
      <w:tr>
        <w:tc>
          <w:tcPr>
            <w:tcW w:type="dxa" w:w="3360"/>
          </w:tcPr>
          <w:p>
            <w:r>
              <w:t>Session → Private Audience</w:t>
            </w:r>
          </w:p>
        </w:tc>
        <w:tc>
          <w:tcPr>
            <w:tcW w:type="dxa" w:w="3360"/>
          </w:tcPr>
          <w:p>
            <w:r>
              <w:t>No dedicated audience table in MVP</w:t>
            </w:r>
          </w:p>
        </w:tc>
        <w:tc>
          <w:tcPr>
            <w:tcW w:type="dxa" w:w="3360"/>
          </w:tcPr>
          <w:p>
            <w:r>
              <w:t>No session_audience/session_invitation table in MVP</w:t>
            </w:r>
          </w:p>
        </w:tc>
      </w:tr>
      <w:tr>
        <w:tc>
          <w:tcPr>
            <w:tcW w:type="dxa" w:w="3360"/>
          </w:tcPr>
          <w:p>
            <w:r>
              <w:t>Session → Event</w:t>
            </w:r>
          </w:p>
        </w:tc>
        <w:tc>
          <w:tcPr>
            <w:tcW w:type="dxa" w:w="3360"/>
          </w:tcPr>
          <w:p>
            <w:r>
              <w:t>0..1 canonical Event</w:t>
            </w:r>
          </w:p>
        </w:tc>
        <w:tc>
          <w:tcPr>
            <w:tcW w:type="dxa" w:w="3360"/>
          </w:tcPr>
          <w:p>
            <w:r>
              <w:t>learning_sessions.event_id NULLABLE FK → events.id</w:t>
            </w:r>
          </w:p>
        </w:tc>
      </w:tr>
    </w:tbl>
    <w:p>
      <w:pPr>
        <w:pStyle w:val="Heading1"/>
      </w:pPr>
      <w:r>
        <w:t>6. Migration Delta — Required New Resources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Table</w:t>
            </w:r>
          </w:p>
        </w:tc>
        <w:tc>
          <w:tcPr>
            <w:tcW w:type="dxa" w:w="2520"/>
            <w:shd w:fill="D9EAF7"/>
          </w:tcPr>
          <w:p>
            <w:r>
              <w:t>Purpose</w:t>
            </w:r>
          </w:p>
        </w:tc>
        <w:tc>
          <w:tcPr>
            <w:tcW w:type="dxa" w:w="2520"/>
            <w:shd w:fill="D9EAF7"/>
          </w:tcPr>
          <w:p>
            <w:r>
              <w:t>Minimum identity/relationship direction</w:t>
            </w:r>
          </w:p>
        </w:tc>
        <w:tc>
          <w:tcPr>
            <w:tcW w:type="dxa" w:w="2520"/>
            <w:shd w:fill="D9EAF7"/>
          </w:tcPr>
          <w:p>
            <w:r>
              <w:t>Status</w:t>
            </w:r>
          </w:p>
        </w:tc>
      </w:tr>
      <w:tr>
        <w:tc>
          <w:tcPr>
            <w:tcW w:type="dxa" w:w="2520"/>
          </w:tcPr>
          <w:p>
            <w:r>
              <w:t>learning_sessions</w:t>
            </w:r>
          </w:p>
        </w:tc>
        <w:tc>
          <w:tcPr>
            <w:tcW w:type="dxa" w:w="2520"/>
          </w:tcPr>
          <w:p>
            <w:r>
              <w:t>Canonical Learning Session</w:t>
            </w:r>
          </w:p>
        </w:tc>
        <w:tc>
          <w:tcPr>
            <w:tcW w:type="dxa" w:w="2520"/>
          </w:tcPr>
          <w:p>
            <w:r>
              <w:t>id UUID; owner/user; optional organization_id; optional event_id</w:t>
            </w:r>
          </w:p>
        </w:tc>
        <w:tc>
          <w:tcPr>
            <w:tcW w:type="dxa" w:w="2520"/>
          </w:tcPr>
          <w:p>
            <w:r>
              <w:t>REQUIRED</w:t>
            </w:r>
          </w:p>
        </w:tc>
      </w:tr>
      <w:tr>
        <w:tc>
          <w:tcPr>
            <w:tcW w:type="dxa" w:w="2520"/>
          </w:tcPr>
          <w:p>
            <w:r>
              <w:t>session_enrollments</w:t>
            </w:r>
          </w:p>
        </w:tc>
        <w:tc>
          <w:tcPr>
            <w:tcW w:type="dxa" w:w="2520"/>
          </w:tcPr>
          <w:p>
            <w:r>
              <w:t>Learner Session access/lifecycle</w:t>
            </w:r>
          </w:p>
        </w:tc>
        <w:tc>
          <w:tcPr>
            <w:tcW w:type="dxa" w:w="2520"/>
          </w:tcPr>
          <w:p>
            <w:r>
              <w:t>id UUID; session_id FK; agent_id FK</w:t>
            </w:r>
          </w:p>
        </w:tc>
        <w:tc>
          <w:tcPr>
            <w:tcW w:type="dxa" w:w="2520"/>
          </w:tcPr>
          <w:p>
            <w:r>
              <w:t>REQUIRED</w:t>
            </w:r>
          </w:p>
        </w:tc>
      </w:tr>
      <w:tr>
        <w:tc>
          <w:tcPr>
            <w:tcW w:type="dxa" w:w="2520"/>
          </w:tcPr>
          <w:p>
            <w:r>
              <w:t>session_provider_bindings</w:t>
            </w:r>
          </w:p>
        </w:tc>
        <w:tc>
          <w:tcPr>
            <w:tcW w:type="dxa" w:w="2520"/>
          </w:tcPr>
          <w:p>
            <w:r>
              <w:t>Provider execution association/history</w:t>
            </w:r>
          </w:p>
        </w:tc>
        <w:tc>
          <w:tcPr>
            <w:tcW w:type="dxa" w:w="2520"/>
          </w:tcPr>
          <w:p>
            <w:r>
              <w:t>id UUID; session_id FK; provider key; external session reference</w:t>
            </w:r>
          </w:p>
        </w:tc>
        <w:tc>
          <w:tcPr>
            <w:tcW w:type="dxa" w:w="2520"/>
          </w:tcPr>
          <w:p>
            <w:r>
              <w:t>REQUIRED</w:t>
            </w:r>
          </w:p>
        </w:tc>
      </w:tr>
      <w:tr>
        <w:tc>
          <w:tcPr>
            <w:tcW w:type="dxa" w:w="2520"/>
          </w:tcPr>
          <w:p>
            <w:r>
              <w:t>session_participation_evidence</w:t>
            </w:r>
          </w:p>
        </w:tc>
        <w:tc>
          <w:tcPr>
            <w:tcW w:type="dxa" w:w="2520"/>
          </w:tcPr>
          <w:p>
            <w:r>
              <w:t>Normalized provider evidence</w:t>
            </w:r>
          </w:p>
        </w:tc>
        <w:tc>
          <w:tcPr>
            <w:tcW w:type="dxa" w:w="2520"/>
          </w:tcPr>
          <w:p>
            <w:r>
              <w:t>id UUID; binding/session enrollment context; provider/external reference; idempotency</w:t>
            </w:r>
          </w:p>
        </w:tc>
        <w:tc>
          <w:tcPr>
            <w:tcW w:type="dxa" w:w="2520"/>
          </w:tcPr>
          <w:p>
            <w:r>
              <w:t>REQUIRED</w:t>
            </w:r>
          </w:p>
        </w:tc>
      </w:tr>
      <w:tr>
        <w:tc>
          <w:tcPr>
            <w:tcW w:type="dxa" w:w="2520"/>
          </w:tcPr>
          <w:p>
            <w:r>
              <w:t>session_attendance_evaluations</w:t>
            </w:r>
          </w:p>
        </w:tc>
        <w:tc>
          <w:tcPr>
            <w:tcW w:type="dxa" w:w="2520"/>
          </w:tcPr>
          <w:p>
            <w:r>
              <w:t>Authoritative attendance result</w:t>
            </w:r>
          </w:p>
        </w:tc>
        <w:tc>
          <w:tcPr>
            <w:tcW w:type="dxa" w:w="2520"/>
          </w:tcPr>
          <w:p>
            <w:r>
              <w:t>id UUID; session enrollment; evidence/policy reference</w:t>
            </w:r>
          </w:p>
        </w:tc>
        <w:tc>
          <w:tcPr>
            <w:tcW w:type="dxa" w:w="2520"/>
          </w:tcPr>
          <w:p>
            <w:r>
              <w:t>REQUIRED</w:t>
            </w:r>
          </w:p>
        </w:tc>
      </w:tr>
      <w:tr>
        <w:tc>
          <w:tcPr>
            <w:tcW w:type="dxa" w:w="2520"/>
          </w:tcPr>
          <w:p>
            <w:r>
              <w:t>session_completion_outcomes</w:t>
            </w:r>
          </w:p>
        </w:tc>
        <w:tc>
          <w:tcPr>
            <w:tcW w:type="dxa" w:w="2520"/>
          </w:tcPr>
          <w:p>
            <w:r>
              <w:t>Session completion result</w:t>
            </w:r>
          </w:p>
        </w:tc>
        <w:tc>
          <w:tcPr>
            <w:tcW w:type="dxa" w:w="2520"/>
          </w:tcPr>
          <w:p>
            <w:r>
              <w:t>id UUID; session enrollment; evaluation/evidence provenance</w:t>
            </w:r>
          </w:p>
        </w:tc>
        <w:tc>
          <w:tcPr>
            <w:tcW w:type="dxa" w:w="2520"/>
          </w:tcPr>
          <w:p>
            <w:r>
              <w:t>REQUIRED</w:t>
            </w:r>
          </w:p>
        </w:tc>
      </w:tr>
      <w:tr>
        <w:tc>
          <w:tcPr>
            <w:tcW w:type="dxa" w:w="2520"/>
          </w:tcPr>
          <w:p>
            <w:r>
              <w:t>session_artifacts</w:t>
            </w:r>
          </w:p>
        </w:tc>
        <w:tc>
          <w:tcPr>
            <w:tcW w:type="dxa" w:w="2520"/>
          </w:tcPr>
          <w:p>
            <w:r>
              <w:t>Recording/artifact reference</w:t>
            </w:r>
          </w:p>
        </w:tc>
        <w:tc>
          <w:tcPr>
            <w:tcW w:type="dxa" w:w="2520"/>
          </w:tcPr>
          <w:p>
            <w:r>
              <w:t>id UUID; session_id FK; source/provider reference</w:t>
            </w:r>
          </w:p>
        </w:tc>
        <w:tc>
          <w:tcPr>
            <w:tcW w:type="dxa" w:w="2520"/>
          </w:tcPr>
          <w:p>
            <w:r>
              <w:t>REQUIRED/OPTIONAL BY ARTIFACT PRESENCE</w:t>
            </w:r>
          </w:p>
        </w:tc>
      </w:tr>
    </w:tbl>
    <w:p>
      <w:pPr>
        <w:pStyle w:val="Heading1"/>
      </w:pPr>
      <w:r>
        <w:t>7. learning_sessions — Candidate Physical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Column</w:t>
            </w:r>
          </w:p>
        </w:tc>
        <w:tc>
          <w:tcPr>
            <w:tcW w:type="dxa" w:w="2520"/>
            <w:shd w:fill="D9EAF7"/>
          </w:tcPr>
          <w:p>
            <w:r>
              <w:t>Direction</w:t>
            </w:r>
          </w:p>
        </w:tc>
        <w:tc>
          <w:tcPr>
            <w:tcW w:type="dxa" w:w="2520"/>
            <w:shd w:fill="D9EAF7"/>
          </w:tcPr>
          <w:p>
            <w:r>
              <w:t>Constraint / meaning</w:t>
            </w:r>
          </w:p>
        </w:tc>
        <w:tc>
          <w:tcPr>
            <w:tcW w:type="dxa" w:w="2520"/>
            <w:shd w:fill="D9EAF7"/>
          </w:tcPr>
          <w:p>
            <w:r>
              <w:t>Evidence</w:t>
            </w:r>
          </w:p>
        </w:tc>
      </w:tr>
      <w:tr>
        <w:tc>
          <w:tcPr>
            <w:tcW w:type="dxa" w:w="2520"/>
          </w:tcPr>
          <w:p>
            <w:r>
              <w:t>id</w:t>
            </w:r>
          </w:p>
        </w:tc>
        <w:tc>
          <w:tcPr>
            <w:tcW w:type="dxa" w:w="2520"/>
          </w:tcPr>
          <w:p>
            <w:r>
              <w:t>UUID PK</w:t>
            </w:r>
          </w:p>
        </w:tc>
        <w:tc>
          <w:tcPr>
            <w:tcW w:type="dxa" w:w="2520"/>
          </w:tcPr>
          <w:p>
            <w:r>
              <w:t>Stable provider-independent Session identity</w:t>
            </w:r>
          </w:p>
        </w:tc>
        <w:tc>
          <w:tcPr>
            <w:tcW w:type="dxa" w:w="2520"/>
          </w:tcPr>
          <w:p>
            <w:r>
              <w:t>Project convention + AEP4</w:t>
            </w:r>
          </w:p>
        </w:tc>
      </w:tr>
      <w:tr>
        <w:tc>
          <w:tcPr>
            <w:tcW w:type="dxa" w:w="2520"/>
          </w:tcPr>
          <w:p>
            <w:r>
              <w:t>owner_id</w:t>
            </w:r>
          </w:p>
        </w:tc>
        <w:tc>
          <w:tcPr>
            <w:tcW w:type="dxa" w:w="2520"/>
          </w:tcPr>
          <w:p>
            <w:r>
              <w:t>UUID FK → users.id</w:t>
            </w:r>
          </w:p>
        </w:tc>
        <w:tc>
          <w:tcPr>
            <w:tcW w:type="dxa" w:w="2520"/>
          </w:tcPr>
          <w:p>
            <w:r>
              <w:t>Canonical resource owner; hard ownership boundary</w:t>
            </w:r>
          </w:p>
        </w:tc>
        <w:tc>
          <w:tcPr>
            <w:tcW w:type="dxa" w:w="2520"/>
          </w:tcPr>
          <w:p>
            <w:r>
              <w:t>AEP4 authorization/ownership</w:t>
            </w:r>
          </w:p>
        </w:tc>
      </w:tr>
      <w:tr>
        <w:tc>
          <w:tcPr>
            <w:tcW w:type="dxa" w:w="2520"/>
          </w:tcPr>
          <w:p>
            <w:r>
              <w:t>course_id</w:t>
            </w:r>
          </w:p>
        </w:tc>
        <w:tc>
          <w:tcPr>
            <w:tcW w:type="dxa" w:w="2520"/>
          </w:tcPr>
          <w:p>
            <w:r>
              <w:t>UUID NULL FK → courses.id</w:t>
            </w:r>
          </w:p>
        </w:tc>
        <w:tc>
          <w:tcPr>
            <w:tcW w:type="dxa" w:w="2520"/>
          </w:tcPr>
          <w:p>
            <w:r>
              <w:t>Optional learning/course context</w:t>
            </w:r>
          </w:p>
        </w:tc>
        <w:tc>
          <w:tcPr>
            <w:tcW w:type="dxa" w:w="2520"/>
          </w:tcPr>
          <w:p>
            <w:r>
              <w:t>AEP4 logical dictionary</w:t>
            </w:r>
          </w:p>
        </w:tc>
      </w:tr>
      <w:tr>
        <w:tc>
          <w:tcPr>
            <w:tcW w:type="dxa" w:w="2520"/>
          </w:tcPr>
          <w:p>
            <w:r>
              <w:t>organization_id</w:t>
            </w:r>
          </w:p>
        </w:tc>
        <w:tc>
          <w:tcPr>
            <w:tcW w:type="dxa" w:w="2520"/>
          </w:tcPr>
          <w:p>
            <w:r>
              <w:t>UUID NULL FK → organizations.id</w:t>
            </w:r>
          </w:p>
        </w:tc>
        <w:tc>
          <w:tcPr>
            <w:tcW w:type="dxa" w:w="2520"/>
          </w:tcPr>
          <w:p>
            <w:r>
              <w:t>Required when visibility=organization</w:t>
            </w:r>
          </w:p>
        </w:tc>
        <w:tc>
          <w:tcPr>
            <w:tcW w:type="dxa" w:w="2520"/>
          </w:tcPr>
          <w:p>
            <w:r>
              <w:t>TECH-08 + existing Organization</w:t>
            </w:r>
          </w:p>
        </w:tc>
      </w:tr>
      <w:tr>
        <w:tc>
          <w:tcPr>
            <w:tcW w:type="dxa" w:w="2520"/>
          </w:tcPr>
          <w:p>
            <w:r>
              <w:t>event_id</w:t>
            </w:r>
          </w:p>
        </w:tc>
        <w:tc>
          <w:tcPr>
            <w:tcW w:type="dxa" w:w="2520"/>
          </w:tcPr>
          <w:p>
            <w:r>
              <w:t>UUID NULL FK → events.id</w:t>
            </w:r>
          </w:p>
        </w:tc>
        <w:tc>
          <w:tcPr>
            <w:tcW w:type="dxa" w:w="2520"/>
          </w:tcPr>
          <w:p>
            <w:r>
              <w:t>Optional canonical calendar representation</w:t>
            </w:r>
          </w:p>
        </w:tc>
        <w:tc>
          <w:tcPr>
            <w:tcW w:type="dxa" w:w="2520"/>
          </w:tcPr>
          <w:p>
            <w:r>
              <w:t>TECH-08</w:t>
            </w:r>
          </w:p>
        </w:tc>
      </w:tr>
      <w:tr>
        <w:tc>
          <w:tcPr>
            <w:tcW w:type="dxa" w:w="2520"/>
          </w:tcPr>
          <w:p>
            <w:r>
              <w:t>session_type</w:t>
            </w:r>
          </w:p>
        </w:tc>
        <w:tc>
          <w:tcPr>
            <w:tcW w:type="dxa" w:w="2520"/>
          </w:tcPr>
          <w:p>
            <w:r>
              <w:t>TEXT/ENUM</w:t>
            </w:r>
          </w:p>
        </w:tc>
        <w:tc>
          <w:tcPr>
            <w:tcW w:type="dxa" w:w="2520"/>
          </w:tcPr>
          <w:p>
            <w:r>
              <w:t>broadcast / interactive / on_demand</w:t>
            </w:r>
          </w:p>
        </w:tc>
        <w:tc>
          <w:tcPr>
            <w:tcW w:type="dxa" w:w="2520"/>
          </w:tcPr>
          <w:p>
            <w:r>
              <w:t>AEP4 approved taxonomy</w:t>
            </w:r>
          </w:p>
        </w:tc>
      </w:tr>
      <w:tr>
        <w:tc>
          <w:tcPr>
            <w:tcW w:type="dxa" w:w="2520"/>
          </w:tcPr>
          <w:p>
            <w:r>
              <w:t>status</w:t>
            </w:r>
          </w:p>
        </w:tc>
        <w:tc>
          <w:tcPr>
            <w:tcW w:type="dxa" w:w="2520"/>
          </w:tcPr>
          <w:p>
            <w:r>
              <w:t>TEXT/ENUM</w:t>
            </w:r>
          </w:p>
        </w:tc>
        <w:tc>
          <w:tcPr>
            <w:tcW w:type="dxa" w:w="2520"/>
          </w:tcPr>
          <w:p>
            <w:r>
              <w:t>draft / scheduled / live / ended; cancelled / failed exceptions</w:t>
            </w:r>
          </w:p>
        </w:tc>
        <w:tc>
          <w:tcPr>
            <w:tcW w:type="dxa" w:w="2520"/>
          </w:tcPr>
          <w:p>
            <w:r>
              <w:t>AEP4 D3 lifecycle</w:t>
            </w:r>
          </w:p>
        </w:tc>
      </w:tr>
      <w:tr>
        <w:tc>
          <w:tcPr>
            <w:tcW w:type="dxa" w:w="2520"/>
          </w:tcPr>
          <w:p>
            <w:r>
              <w:t>start_at</w:t>
            </w:r>
          </w:p>
        </w:tc>
        <w:tc>
          <w:tcPr>
            <w:tcW w:type="dxa" w:w="2520"/>
          </w:tcPr>
          <w:p>
            <w:r>
              <w:t>TIMESTAMPTZ</w:t>
            </w:r>
          </w:p>
        </w:tc>
        <w:tc>
          <w:tcPr>
            <w:tcW w:type="dxa" w:w="2520"/>
          </w:tcPr>
          <w:p>
            <w:r>
              <w:t>Scheduled start</w:t>
            </w:r>
          </w:p>
        </w:tc>
        <w:tc>
          <w:tcPr>
            <w:tcW w:type="dxa" w:w="2520"/>
          </w:tcPr>
          <w:p>
            <w:r>
              <w:t>AEP4 logical dictionary</w:t>
            </w:r>
          </w:p>
        </w:tc>
      </w:tr>
      <w:tr>
        <w:tc>
          <w:tcPr>
            <w:tcW w:type="dxa" w:w="2520"/>
          </w:tcPr>
          <w:p>
            <w:r>
              <w:t>end_at</w:t>
            </w:r>
          </w:p>
        </w:tc>
        <w:tc>
          <w:tcPr>
            <w:tcW w:type="dxa" w:w="2520"/>
          </w:tcPr>
          <w:p>
            <w:r>
              <w:t>TIMESTAMPTZ NULL</w:t>
            </w:r>
          </w:p>
        </w:tc>
        <w:tc>
          <w:tcPr>
            <w:tcW w:type="dxa" w:w="2520"/>
          </w:tcPr>
          <w:p>
            <w:r>
              <w:t>Scheduled/actual end as defined downstream</w:t>
            </w:r>
          </w:p>
        </w:tc>
        <w:tc>
          <w:tcPr>
            <w:tcW w:type="dxa" w:w="2520"/>
          </w:tcPr>
          <w:p>
            <w:r>
              <w:t>AEP4 logical dictionary</w:t>
            </w:r>
          </w:p>
        </w:tc>
      </w:tr>
      <w:tr>
        <w:tc>
          <w:tcPr>
            <w:tcW w:type="dxa" w:w="2520"/>
          </w:tcPr>
          <w:p>
            <w:r>
              <w:t>visibility</w:t>
            </w:r>
          </w:p>
        </w:tc>
        <w:tc>
          <w:tcPr>
            <w:tcW w:type="dxa" w:w="2520"/>
          </w:tcPr>
          <w:p>
            <w:r>
              <w:t>TEXT/ENUM</w:t>
            </w:r>
          </w:p>
        </w:tc>
        <w:tc>
          <w:tcPr>
            <w:tcW w:type="dxa" w:w="2520"/>
          </w:tcPr>
          <w:p>
            <w:r>
              <w:t>public / organization / partner / private</w:t>
            </w:r>
          </w:p>
        </w:tc>
        <w:tc>
          <w:tcPr>
            <w:tcW w:type="dxa" w:w="2520"/>
          </w:tcPr>
          <w:p>
            <w:r>
              <w:t>User-approved TECH-02</w:t>
            </w:r>
          </w:p>
        </w:tc>
      </w:tr>
      <w:tr>
        <w:tc>
          <w:tcPr>
            <w:tcW w:type="dxa" w:w="2520"/>
          </w:tcPr>
          <w:p>
            <w:r>
              <w:t>created_at</w:t>
            </w:r>
          </w:p>
        </w:tc>
        <w:tc>
          <w:tcPr>
            <w:tcW w:type="dxa" w:w="2520"/>
          </w:tcPr>
          <w:p>
            <w:r>
              <w:t>TIMESTAMPTZ</w:t>
            </w:r>
          </w:p>
        </w:tc>
        <w:tc>
          <w:tcPr>
            <w:tcW w:type="dxa" w:w="2520"/>
          </w:tcPr>
          <w:p>
            <w:r>
              <w:t>Creation provenance</w:t>
            </w:r>
          </w:p>
        </w:tc>
        <w:tc>
          <w:tcPr>
            <w:tcW w:type="dxa" w:w="2520"/>
          </w:tcPr>
          <w:p>
            <w:r>
              <w:t>Project convention</w:t>
            </w:r>
          </w:p>
        </w:tc>
      </w:tr>
      <w:tr>
        <w:tc>
          <w:tcPr>
            <w:tcW w:type="dxa" w:w="2520"/>
          </w:tcPr>
          <w:p>
            <w:r>
              <w:t>updated_at</w:t>
            </w:r>
          </w:p>
        </w:tc>
        <w:tc>
          <w:tcPr>
            <w:tcW w:type="dxa" w:w="2520"/>
          </w:tcPr>
          <w:p>
            <w:r>
              <w:t>TIMESTAMPTZ</w:t>
            </w:r>
          </w:p>
        </w:tc>
        <w:tc>
          <w:tcPr>
            <w:tcW w:type="dxa" w:w="2520"/>
          </w:tcPr>
          <w:p>
            <w:r>
              <w:t>Mutation provenance</w:t>
            </w:r>
          </w:p>
        </w:tc>
        <w:tc>
          <w:tcPr>
            <w:tcW w:type="dxa" w:w="2520"/>
          </w:tcPr>
          <w:p>
            <w:r>
              <w:t>Project convention</w:t>
            </w:r>
          </w:p>
        </w:tc>
      </w:tr>
    </w:tbl>
    <w:p>
      <w:r>
        <w:t>The exact column names above are the implementation candidate for the next migration artifact. The source corpus does not yet contain an approved SQL definition for these new tables; therefore this table is a migration contract, not a claim that these columns already exist.</w:t>
      </w:r>
    </w:p>
    <w:p>
      <w:pPr>
        <w:pStyle w:val="Heading1"/>
      </w:pPr>
      <w:r>
        <w:t>8. Session Enrollment — Candidate Physical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Column</w:t>
            </w:r>
          </w:p>
        </w:tc>
        <w:tc>
          <w:tcPr>
            <w:tcW w:type="dxa" w:w="3360"/>
            <w:shd w:fill="D9EAF7"/>
          </w:tcPr>
          <w:p>
            <w:r>
              <w:t>Direction</w:t>
            </w:r>
          </w:p>
        </w:tc>
        <w:tc>
          <w:tcPr>
            <w:tcW w:type="dxa" w:w="3360"/>
            <w:shd w:fill="D9EAF7"/>
          </w:tcPr>
          <w:p>
            <w:r>
              <w:t>Constraint / meaning</w:t>
            </w:r>
          </w:p>
        </w:tc>
      </w:tr>
      <w:tr>
        <w:tc>
          <w:tcPr>
            <w:tcW w:type="dxa" w:w="3360"/>
          </w:tcPr>
          <w:p>
            <w:r>
              <w:t>id</w:t>
            </w:r>
          </w:p>
        </w:tc>
        <w:tc>
          <w:tcPr>
            <w:tcW w:type="dxa" w:w="3360"/>
          </w:tcPr>
          <w:p>
            <w:r>
              <w:t>UUID PK</w:t>
            </w:r>
          </w:p>
        </w:tc>
        <w:tc>
          <w:tcPr>
            <w:tcW w:type="dxa" w:w="3360"/>
          </w:tcPr>
          <w:p>
            <w:r>
              <w:t>Stable enrollment identity</w:t>
            </w:r>
          </w:p>
        </w:tc>
      </w:tr>
      <w:tr>
        <w:tc>
          <w:tcPr>
            <w:tcW w:type="dxa" w:w="3360"/>
          </w:tcPr>
          <w:p>
            <w:r>
              <w:t>session_id</w:t>
            </w:r>
          </w:p>
        </w:tc>
        <w:tc>
          <w:tcPr>
            <w:tcW w:type="dxa" w:w="3360"/>
          </w:tcPr>
          <w:p>
            <w:r>
              <w:t>UUID FK → learning_sessions.id</w:t>
            </w:r>
          </w:p>
        </w:tc>
        <w:tc>
          <w:tcPr>
            <w:tcW w:type="dxa" w:w="3360"/>
          </w:tcPr>
          <w:p>
            <w:r>
              <w:t>Required</w:t>
            </w:r>
          </w:p>
        </w:tc>
      </w:tr>
      <w:tr>
        <w:tc>
          <w:tcPr>
            <w:tcW w:type="dxa" w:w="3360"/>
          </w:tcPr>
          <w:p>
            <w:r>
              <w:t>agent_id</w:t>
            </w:r>
          </w:p>
        </w:tc>
        <w:tc>
          <w:tcPr>
            <w:tcW w:type="dxa" w:w="3360"/>
          </w:tcPr>
          <w:p>
            <w:r>
              <w:t>UUID FK → users.id</w:t>
            </w:r>
          </w:p>
        </w:tc>
        <w:tc>
          <w:tcPr>
            <w:tcW w:type="dxa" w:w="3360"/>
          </w:tcPr>
          <w:p>
            <w:r>
              <w:t>Required learner identity</w:t>
            </w:r>
          </w:p>
        </w:tc>
      </w:tr>
      <w:tr>
        <w:tc>
          <w:tcPr>
            <w:tcW w:type="dxa" w:w="3360"/>
          </w:tcPr>
          <w:p>
            <w:r>
              <w:t>status</w:t>
            </w:r>
          </w:p>
        </w:tc>
        <w:tc>
          <w:tcPr>
            <w:tcW w:type="dxa" w:w="3360"/>
          </w:tcPr>
          <w:p>
            <w:r>
              <w:t>TEXT/ENUM</w:t>
            </w:r>
          </w:p>
        </w:tc>
        <w:tc>
          <w:tcPr>
            <w:tcW w:type="dxa" w:w="3360"/>
          </w:tcPr>
          <w:p>
            <w:r>
              <w:t>pending / active / completed</w:t>
            </w:r>
          </w:p>
        </w:tc>
      </w:tr>
      <w:tr>
        <w:tc>
          <w:tcPr>
            <w:tcW w:type="dxa" w:w="3360"/>
          </w:tcPr>
          <w:p>
            <w:r>
              <w:t>activation_reference</w:t>
            </w:r>
          </w:p>
        </w:tc>
        <w:tc>
          <w:tcPr>
            <w:tcW w:type="dxa" w:w="3360"/>
          </w:tcPr>
          <w:p>
            <w:r>
              <w:t>UUID/TEXT nullable</w:t>
            </w:r>
          </w:p>
        </w:tc>
        <w:tc>
          <w:tcPr>
            <w:tcW w:type="dxa" w:w="3360"/>
          </w:tcPr>
          <w:p>
            <w:r>
              <w:t>Reference to governing authorization/entitlement outcome; does not own payment</w:t>
            </w:r>
          </w:p>
        </w:tc>
      </w:tr>
      <w:tr>
        <w:tc>
          <w:tcPr>
            <w:tcW w:type="dxa" w:w="3360"/>
          </w:tcPr>
          <w:p>
            <w:r>
              <w:t>requested_at</w:t>
            </w:r>
          </w:p>
        </w:tc>
        <w:tc>
          <w:tcPr>
            <w:tcW w:type="dxa" w:w="3360"/>
          </w:tcPr>
          <w:p>
            <w:r>
              <w:t>TIMESTAMPTZ</w:t>
            </w:r>
          </w:p>
        </w:tc>
        <w:tc>
          <w:tcPr>
            <w:tcW w:type="dxa" w:w="3360"/>
          </w:tcPr>
          <w:p>
            <w:r>
              <w:t>Required provenance</w:t>
            </w:r>
          </w:p>
        </w:tc>
      </w:tr>
      <w:tr>
        <w:tc>
          <w:tcPr>
            <w:tcW w:type="dxa" w:w="3360"/>
          </w:tcPr>
          <w:p>
            <w:r>
              <w:t>activated_at</w:t>
            </w:r>
          </w:p>
        </w:tc>
        <w:tc>
          <w:tcPr>
            <w:tcW w:type="dxa" w:w="3360"/>
          </w:tcPr>
          <w:p>
            <w:r>
              <w:t>TIMESTAMPTZ NULL</w:t>
            </w:r>
          </w:p>
        </w:tc>
        <w:tc>
          <w:tcPr>
            <w:tcW w:type="dxa" w:w="3360"/>
          </w:tcPr>
          <w:p>
            <w:r>
              <w:t>Required when active</w:t>
            </w:r>
          </w:p>
        </w:tc>
      </w:tr>
      <w:tr>
        <w:tc>
          <w:tcPr>
            <w:tcW w:type="dxa" w:w="3360"/>
          </w:tcPr>
          <w:p>
            <w:r>
              <w:t>completed_at</w:t>
            </w:r>
          </w:p>
        </w:tc>
        <w:tc>
          <w:tcPr>
            <w:tcW w:type="dxa" w:w="3360"/>
          </w:tcPr>
          <w:p>
            <w:r>
              <w:t>TIMESTAMPTZ NULL</w:t>
            </w:r>
          </w:p>
        </w:tc>
        <w:tc>
          <w:tcPr>
            <w:tcW w:type="dxa" w:w="3360"/>
          </w:tcPr>
          <w:p>
            <w:r>
              <w:t>Required when completed</w:t>
            </w:r>
          </w:p>
        </w:tc>
      </w:tr>
      <w:tr>
        <w:tc>
          <w:tcPr>
            <w:tcW w:type="dxa" w:w="3360"/>
          </w:tcPr>
          <w:p>
            <w:r>
              <w:t>created_at</w:t>
            </w:r>
          </w:p>
        </w:tc>
        <w:tc>
          <w:tcPr>
            <w:tcW w:type="dxa" w:w="3360"/>
          </w:tcPr>
          <w:p>
            <w:r>
              <w:t>TIMESTAMPTZ</w:t>
            </w:r>
          </w:p>
        </w:tc>
        <w:tc>
          <w:tcPr>
            <w:tcW w:type="dxa" w:w="3360"/>
          </w:tcPr>
          <w:p>
            <w:r>
              <w:t>Required</w:t>
            </w:r>
          </w:p>
        </w:tc>
      </w:tr>
      <w:tr>
        <w:tc>
          <w:tcPr>
            <w:tcW w:type="dxa" w:w="3360"/>
          </w:tcPr>
          <w:p>
            <w:r>
              <w:t>updated_at</w:t>
            </w:r>
          </w:p>
        </w:tc>
        <w:tc>
          <w:tcPr>
            <w:tcW w:type="dxa" w:w="3360"/>
          </w:tcPr>
          <w:p>
            <w:r>
              <w:t>TIMESTAMPTZ</w:t>
            </w:r>
          </w:p>
        </w:tc>
        <w:tc>
          <w:tcPr>
            <w:tcW w:type="dxa" w:w="3360"/>
          </w:tcPr>
          <w:p>
            <w:r>
              <w:t>Required</w:t>
            </w:r>
          </w:p>
        </w:tc>
      </w:tr>
    </w:tbl>
    <w:p>
      <w:r>
        <w:t>Required integrity direction: prevent duplicate active enrollment for the same agent/session. Exact partial-index syntax remains an implementation detail to be generated only after the migration package gate.</w:t>
      </w:r>
    </w:p>
    <w:p>
      <w:pPr>
        <w:pStyle w:val="Heading1"/>
      </w:pPr>
      <w:r>
        <w:t>9. Provider Binding / Evidence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Resource</w:t>
            </w:r>
          </w:p>
        </w:tc>
        <w:tc>
          <w:tcPr>
            <w:tcW w:type="dxa" w:w="3360"/>
            <w:shd w:fill="D9EAF7"/>
          </w:tcPr>
          <w:p>
            <w:r>
              <w:t>Required physical content</w:t>
            </w:r>
          </w:p>
        </w:tc>
        <w:tc>
          <w:tcPr>
            <w:tcW w:type="dxa" w:w="3360"/>
            <w:shd w:fill="D9EAF7"/>
          </w:tcPr>
          <w:p>
            <w:r>
              <w:t>Invariant</w:t>
            </w:r>
          </w:p>
        </w:tc>
      </w:tr>
      <w:tr>
        <w:tc>
          <w:tcPr>
            <w:tcW w:type="dxa" w:w="3360"/>
          </w:tcPr>
          <w:p>
            <w:r>
              <w:t>session_provider_bindings</w:t>
            </w:r>
          </w:p>
        </w:tc>
        <w:tc>
          <w:tcPr>
            <w:tcW w:type="dxa" w:w="3360"/>
          </w:tcPr>
          <w:p>
            <w:r>
              <w:t>session_id, provider_key/type, external_provider_session_id, binding_state, effective timestamps, credential/reference metadata</w:t>
            </w:r>
          </w:p>
        </w:tc>
        <w:tc>
          <w:tcPr>
            <w:tcW w:type="dxa" w:w="3360"/>
          </w:tcPr>
          <w:p>
            <w:r>
              <w:t>Provider switching never changes learning_sessions.id</w:t>
            </w:r>
          </w:p>
        </w:tc>
      </w:tr>
      <w:tr>
        <w:tc>
          <w:tcPr>
            <w:tcW w:type="dxa" w:w="3360"/>
          </w:tcPr>
          <w:p>
            <w:r>
              <w:t>session_participation_evidence</w:t>
            </w:r>
          </w:p>
        </w:tc>
        <w:tc>
          <w:tcPr>
            <w:tcW w:type="dxa" w:w="3360"/>
          </w:tcPr>
          <w:p>
            <w:r>
              <w:t>binding_id/session_id, participant/enrollment reference, provider/external event reference, observations, received_at, processed_at, idempotency key</w:t>
            </w:r>
          </w:p>
        </w:tc>
        <w:tc>
          <w:tcPr>
            <w:tcW w:type="dxa" w:w="3360"/>
          </w:tcPr>
          <w:p>
            <w:r>
              <w:t>Provider fact ≠ authoritative attendance</w:t>
            </w:r>
          </w:p>
        </w:tc>
      </w:tr>
      <w:tr>
        <w:tc>
          <w:tcPr>
            <w:tcW w:type="dxa" w:w="3360"/>
          </w:tcPr>
          <w:p>
            <w:r>
              <w:t>session_attendance_evaluations</w:t>
            </w:r>
          </w:p>
        </w:tc>
        <w:tc>
          <w:tcPr>
            <w:tcW w:type="dxa" w:w="3360"/>
          </w:tcPr>
          <w:p>
            <w:r>
              <w:t>session_enrollment_id, evidence reference, policy/version, result, evaluated_at</w:t>
            </w:r>
          </w:p>
        </w:tc>
        <w:tc>
          <w:tcPr>
            <w:tcW w:type="dxa" w:w="3360"/>
          </w:tcPr>
          <w:p>
            <w:r>
              <w:t>Attendance is RUMAHAGEN evaluation</w:t>
            </w:r>
          </w:p>
        </w:tc>
      </w:tr>
      <w:tr>
        <w:tc>
          <w:tcPr>
            <w:tcW w:type="dxa" w:w="3360"/>
          </w:tcPr>
          <w:p>
            <w:r>
              <w:t>session_completion_outcomes</w:t>
            </w:r>
          </w:p>
        </w:tc>
        <w:tc>
          <w:tcPr>
            <w:tcW w:type="dxa" w:w="3360"/>
          </w:tcPr>
          <w:p>
            <w:r>
              <w:t>session_enrollment_id, attendance/evidence references, completion policy/version, result, completed_at</w:t>
            </w:r>
          </w:p>
        </w:tc>
        <w:tc>
          <w:tcPr>
            <w:tcW w:type="dxa" w:w="3360"/>
          </w:tcPr>
          <w:p>
            <w:r>
              <w:t>Completion is reconstructable and distinct from provider assertion</w:t>
            </w:r>
          </w:p>
        </w:tc>
      </w:tr>
    </w:tbl>
    <w:p>
      <w:r>
        <w:t>Provider credentials/tokens remain infrastructure/security controlled. No raw secret is part of the ordinary Learning Session API resource.</w:t>
      </w:r>
    </w:p>
    <w:p>
      <w:pPr>
        <w:pStyle w:val="Heading1"/>
      </w:pPr>
      <w:r>
        <w:t>10. Session Artifact / Recording</w:t>
      </w:r>
    </w:p>
    <w:p>
      <w:r>
        <w:t>The current governing decision is provider-hosted/reference-first. The physical candidate therefore stores a source/provider reference and artifact metadata rather than making RumahAgen the mandatory media host. Retention/privacy/replay policy remains open.</w:t>
      </w:r>
    </w:p>
    <w:p>
      <w:pPr>
        <w:pStyle w:val="Heading1"/>
      </w:pPr>
      <w:r>
        <w:t>11. RLS / Authorization Migration Impact</w:t>
      </w:r>
    </w:p>
    <w:p>
      <w:pPr>
        <w:pStyle w:val="ListBullet"/>
      </w:pPr>
      <w:r>
        <w:t>Enable RLS on each protected Session resource.</w:t>
      </w:r>
    </w:p>
    <w:p>
      <w:pPr>
        <w:pStyle w:val="ListBullet"/>
      </w:pPr>
      <w:r>
        <w:t>Use platform RBAC as the first authorization gate.</w:t>
      </w:r>
    </w:p>
    <w:p>
      <w:pPr>
        <w:pStyle w:val="ListBullet"/>
      </w:pPr>
      <w:r>
        <w:t>For ORGANIZATION visibility, resolve organization authority from authoritative organization_members context; never trust client-supplied organization_id as proof.</w:t>
      </w:r>
    </w:p>
    <w:p>
      <w:pPr>
        <w:pStyle w:val="ListBullet"/>
      </w:pPr>
      <w:r>
        <w:t>PUBLIC visibility does not grant mutation authority.</w:t>
      </w:r>
    </w:p>
    <w:p>
      <w:pPr>
        <w:pStyle w:val="ListBullet"/>
      </w:pPr>
      <w:r>
        <w:t>PRIVATE MVP uses authorization/enrollment context; no audience table is introduced.</w:t>
      </w:r>
    </w:p>
    <w:p>
      <w:pPr>
        <w:pStyle w:val="ListBullet"/>
      </w:pPr>
      <w:r>
        <w:t>Host and Instructor remain separate capabilities under MADCR-054.</w:t>
      </w:r>
    </w:p>
    <w:p>
      <w:pPr>
        <w:pStyle w:val="ListBullet"/>
      </w:pPr>
      <w:r>
        <w:t>Agent ownership remains non-bypassable where governing ownership rules apply.</w:t>
      </w:r>
    </w:p>
    <w:p>
      <w:pPr>
        <w:pStyle w:val="ListBullet"/>
      </w:pPr>
      <w:r>
        <w:t>Provider access requires successful authorization plus applicable Session Enrollment/access state.</w:t>
      </w:r>
    </w:p>
    <w:p>
      <w:pPr>
        <w:pStyle w:val="Heading1"/>
      </w:pPr>
      <w:r>
        <w:t>12. Exact Existing-Model Impact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Existing table/module</w:t>
            </w:r>
          </w:p>
        </w:tc>
        <w:tc>
          <w:tcPr>
            <w:tcW w:type="dxa" w:w="3360"/>
            <w:shd w:fill="D9EAF7"/>
          </w:tcPr>
          <w:p>
            <w:r>
              <w:t>Impact</w:t>
            </w:r>
          </w:p>
        </w:tc>
        <w:tc>
          <w:tcPr>
            <w:tcW w:type="dxa" w:w="3360"/>
            <w:shd w:fill="D9EAF7"/>
          </w:tcPr>
          <w:p>
            <w:r>
              <w:t>Action</w:t>
            </w:r>
          </w:p>
        </w:tc>
      </w:tr>
      <w:tr>
        <w:tc>
          <w:tcPr>
            <w:tcW w:type="dxa" w:w="3360"/>
          </w:tcPr>
          <w:p>
            <w:r>
              <w:t>organizations</w:t>
            </w:r>
          </w:p>
        </w:tc>
        <w:tc>
          <w:tcPr>
            <w:tcW w:type="dxa" w:w="3360"/>
          </w:tcPr>
          <w:p>
            <w:r>
              <w:t>Reference only</w:t>
            </w:r>
          </w:p>
        </w:tc>
        <w:tc>
          <w:tcPr>
            <w:tcW w:type="dxa" w:w="3360"/>
          </w:tcPr>
          <w:p>
            <w:r>
              <w:t>No schema change required for Session relationship beyond new FK</w:t>
            </w:r>
          </w:p>
        </w:tc>
      </w:tr>
      <w:tr>
        <w:tc>
          <w:tcPr>
            <w:tcW w:type="dxa" w:w="3360"/>
          </w:tcPr>
          <w:p>
            <w:r>
              <w:t>organization_members</w:t>
            </w:r>
          </w:p>
        </w:tc>
        <w:tc>
          <w:tcPr>
            <w:tcW w:type="dxa" w:w="3360"/>
          </w:tcPr>
          <w:p>
            <w:r>
              <w:t>Authorization source</w:t>
            </w:r>
          </w:p>
        </w:tc>
        <w:tc>
          <w:tcPr>
            <w:tcW w:type="dxa" w:w="3360"/>
          </w:tcPr>
          <w:p>
            <w:r>
              <w:t>No schema change required</w:t>
            </w:r>
          </w:p>
        </w:tc>
      </w:tr>
      <w:tr>
        <w:tc>
          <w:tcPr>
            <w:tcW w:type="dxa" w:w="3360"/>
          </w:tcPr>
          <w:p>
            <w:r>
              <w:t>events</w:t>
            </w:r>
          </w:p>
        </w:tc>
        <w:tc>
          <w:tcPr>
            <w:tcW w:type="dxa" w:w="3360"/>
          </w:tcPr>
          <w:p>
            <w:r>
              <w:t>Optional Session context</w:t>
            </w:r>
          </w:p>
        </w:tc>
        <w:tc>
          <w:tcPr>
            <w:tcW w:type="dxa" w:w="3360"/>
          </w:tcPr>
          <w:p>
            <w:r>
              <w:t>No existing-column repurpose; add FK from new Session only</w:t>
            </w:r>
          </w:p>
        </w:tc>
      </w:tr>
      <w:tr>
        <w:tc>
          <w:tcPr>
            <w:tcW w:type="dxa" w:w="3360"/>
          </w:tcPr>
          <w:p>
            <w:r>
              <w:t>event_registrations</w:t>
            </w:r>
          </w:p>
        </w:tc>
        <w:tc>
          <w:tcPr>
            <w:tcW w:type="dxa" w:w="3360"/>
          </w:tcPr>
          <w:p>
            <w:r>
              <w:t>No impact</w:t>
            </w:r>
          </w:p>
        </w:tc>
        <w:tc>
          <w:tcPr>
            <w:tcW w:type="dxa" w:w="3360"/>
          </w:tcPr>
          <w:p>
            <w:r>
              <w:t>Remain Event RSVP</w:t>
            </w:r>
          </w:p>
        </w:tc>
      </w:tr>
      <w:tr>
        <w:tc>
          <w:tcPr>
            <w:tcW w:type="dxa" w:w="3360"/>
          </w:tcPr>
          <w:p>
            <w:r>
              <w:t>courses</w:t>
            </w:r>
          </w:p>
        </w:tc>
        <w:tc>
          <w:tcPr>
            <w:tcW w:type="dxa" w:w="3360"/>
          </w:tcPr>
          <w:p>
            <w:r>
              <w:t>Optional Session context</w:t>
            </w:r>
          </w:p>
        </w:tc>
        <w:tc>
          <w:tcPr>
            <w:tcW w:type="dxa" w:w="3360"/>
          </w:tcPr>
          <w:p>
            <w:r>
              <w:t>Reference only if course linkage is used</w:t>
            </w:r>
          </w:p>
        </w:tc>
      </w:tr>
      <w:tr>
        <w:tc>
          <w:tcPr>
            <w:tcW w:type="dxa" w:w="3360"/>
          </w:tcPr>
          <w:p>
            <w:r>
              <w:t>enrollments</w:t>
            </w:r>
          </w:p>
        </w:tc>
        <w:tc>
          <w:tcPr>
            <w:tcW w:type="dxa" w:w="3360"/>
          </w:tcPr>
          <w:p>
            <w:r>
              <w:t>No impact</w:t>
            </w:r>
          </w:p>
        </w:tc>
        <w:tc>
          <w:tcPr>
            <w:tcW w:type="dxa" w:w="3360"/>
          </w:tcPr>
          <w:p>
            <w:r>
              <w:t>Remain Course Enrollment</w:t>
            </w:r>
          </w:p>
        </w:tc>
      </w:tr>
      <w:tr>
        <w:tc>
          <w:tcPr>
            <w:tcW w:type="dxa" w:w="3360"/>
          </w:tcPr>
          <w:p>
            <w:r>
              <w:t>certificates</w:t>
            </w:r>
          </w:p>
        </w:tc>
        <w:tc>
          <w:tcPr>
            <w:tcW w:type="dxa" w:w="3360"/>
          </w:tcPr>
          <w:p>
            <w:r>
              <w:t>No impact</w:t>
            </w:r>
          </w:p>
        </w:tc>
        <w:tc>
          <w:tcPr>
            <w:tcW w:type="dxa" w:w="3360"/>
          </w:tcPr>
          <w:p>
            <w:r>
              <w:t>Remain credential artifact</w:t>
            </w:r>
          </w:p>
        </w:tc>
      </w:tr>
      <w:tr>
        <w:tc>
          <w:tcPr>
            <w:tcW w:type="dxa" w:w="3360"/>
          </w:tcPr>
          <w:p>
            <w:r>
              <w:t>roles/permissions/role_permissions</w:t>
            </w:r>
          </w:p>
        </w:tc>
        <w:tc>
          <w:tcPr>
            <w:tcW w:type="dxa" w:w="3360"/>
          </w:tcPr>
          <w:p>
            <w:r>
              <w:t>Future authorization delta</w:t>
            </w:r>
          </w:p>
        </w:tc>
        <w:tc>
          <w:tcPr>
            <w:tcW w:type="dxa" w:w="3360"/>
          </w:tcPr>
          <w:p>
            <w:r>
              <w:t>Do not insert IDs until catalogue reconciliation is directly completed</w:t>
            </w:r>
          </w:p>
        </w:tc>
      </w:tr>
      <w:tr>
        <w:tc>
          <w:tcPr>
            <w:tcW w:type="dxa" w:w="3360"/>
          </w:tcPr>
          <w:p>
            <w:r>
              <w:t>audit_logs</w:t>
            </w:r>
          </w:p>
        </w:tc>
        <w:tc>
          <w:tcPr>
            <w:tcW w:type="dxa" w:w="3360"/>
          </w:tcPr>
          <w:p>
            <w:r>
              <w:t>Potential organization/provenance reuse</w:t>
            </w:r>
          </w:p>
        </w:tc>
        <w:tc>
          <w:tcPr>
            <w:tcW w:type="dxa" w:w="3360"/>
          </w:tcPr>
          <w:p>
            <w:r>
              <w:t>Extend only if exact audit requirements are approved</w:t>
            </w:r>
          </w:p>
        </w:tc>
      </w:tr>
    </w:tbl>
    <w:p>
      <w:pPr>
        <w:pStyle w:val="Heading1"/>
      </w:pPr>
      <w:r>
        <w:t>13. Migration Ordering Proposal</w:t>
      </w:r>
    </w:p>
    <w:p>
      <w:pPr>
        <w:pStyle w:val="ListNumber"/>
      </w:pPr>
      <w:r>
        <w:t>Create new Learning Session core tables after users, courses, organizations and events are available.</w:t>
      </w:r>
    </w:p>
    <w:p>
      <w:pPr>
        <w:pStyle w:val="ListNumber"/>
      </w:pPr>
      <w:r>
        <w:t>Create Session Enrollment after learning_sessions and users.</w:t>
      </w:r>
    </w:p>
    <w:p>
      <w:pPr>
        <w:pStyle w:val="ListNumber"/>
      </w:pPr>
      <w:r>
        <w:t>Create Provider Binding after learning_sessions.</w:t>
      </w:r>
    </w:p>
    <w:p>
      <w:pPr>
        <w:pStyle w:val="ListNumber"/>
      </w:pPr>
      <w:r>
        <w:t>Create Participation Evidence after Provider Binding and Session Enrollment.</w:t>
      </w:r>
    </w:p>
    <w:p>
      <w:pPr>
        <w:pStyle w:val="ListNumber"/>
      </w:pPr>
      <w:r>
        <w:t>Create Attendance Evaluation after evidence/enrollment.</w:t>
      </w:r>
    </w:p>
    <w:p>
      <w:pPr>
        <w:pStyle w:val="ListNumber"/>
      </w:pPr>
      <w:r>
        <w:t>Create Completion Outcome after attendance/evidence/enrollment.</w:t>
      </w:r>
    </w:p>
    <w:p>
      <w:pPr>
        <w:pStyle w:val="ListNumber"/>
      </w:pPr>
      <w:r>
        <w:t>Create Session Artifact after learning_sessions.</w:t>
      </w:r>
    </w:p>
    <w:p>
      <w:pPr>
        <w:pStyle w:val="ListNumber"/>
      </w:pPr>
      <w:r>
        <w:t>Create indexes and RLS policies after table relationships are stable.</w:t>
      </w:r>
    </w:p>
    <w:p>
      <w:pPr>
        <w:pStyle w:val="ListNumber"/>
      </w:pPr>
      <w:r>
        <w:t>Seed/reconcile permissions only after exact catalogue mapping is verified.</w:t>
      </w:r>
    </w:p>
    <w:p>
      <w:pPr>
        <w:pStyle w:val="ListNumber"/>
      </w:pPr>
      <w:r>
        <w:t>Run data/integrity validation before any production enablement.</w:t>
      </w:r>
    </w:p>
    <w:p>
      <w:pPr>
        <w:pStyle w:val="Heading1"/>
      </w:pPr>
      <w:r>
        <w:t>14. Migration Safety / Rollback Direction</w:t>
      </w:r>
    </w:p>
    <w:p>
      <w:pPr>
        <w:pStyle w:val="ListBullet"/>
      </w:pPr>
      <w:r>
        <w:t>All new resources are additive; existing M04/M05 semantics remain untouched.</w:t>
      </w:r>
    </w:p>
    <w:p>
      <w:pPr>
        <w:pStyle w:val="ListBullet"/>
      </w:pPr>
      <w:r>
        <w:t>No destructive ALTER of existing Course Enrollment/Event Registration is required by the approved Session design.</w:t>
      </w:r>
    </w:p>
    <w:p>
      <w:pPr>
        <w:pStyle w:val="ListBullet"/>
      </w:pPr>
      <w:r>
        <w:t>Rollback should drop/disable only newly introduced Session resources in reverse dependency order after verifying no production references.</w:t>
      </w:r>
    </w:p>
    <w:p>
      <w:pPr>
        <w:pStyle w:val="ListBullet"/>
      </w:pPr>
      <w:r>
        <w:t>Provider evidence must not be deleted merely because provider binding changes; historical evidence remains reconstructable.</w:t>
      </w:r>
    </w:p>
    <w:p>
      <w:pPr>
        <w:pStyle w:val="ListBullet"/>
      </w:pPr>
      <w:r>
        <w:t>No automatic migration of existing events into Sessions is authorized.</w:t>
      </w:r>
    </w:p>
    <w:p>
      <w:pPr>
        <w:pStyle w:val="Heading1"/>
      </w:pPr>
      <w:r>
        <w:t>15. Residuals / Open Gates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Residual</w:t>
            </w:r>
          </w:p>
        </w:tc>
        <w:tc>
          <w:tcPr>
            <w:tcW w:type="dxa" w:w="2520"/>
            <w:shd w:fill="D9EAF7"/>
          </w:tcPr>
          <w:p>
            <w:r>
              <w:t>Status</w:t>
            </w:r>
          </w:p>
        </w:tc>
        <w:tc>
          <w:tcPr>
            <w:tcW w:type="dxa" w:w="2520"/>
            <w:shd w:fill="D9EAF7"/>
          </w:tcPr>
          <w:p>
            <w:r>
              <w:t>Does it block TECH-10?</w:t>
            </w:r>
          </w:p>
        </w:tc>
        <w:tc>
          <w:tcPr>
            <w:tcW w:type="dxa" w:w="2520"/>
            <w:shd w:fill="D9EAF7"/>
          </w:tcPr>
          <w:p>
            <w:r>
              <w:t>Next gate</w:t>
            </w:r>
          </w:p>
        </w:tc>
      </w:tr>
      <w:tr>
        <w:tc>
          <w:tcPr>
            <w:tcW w:type="dxa" w:w="2520"/>
          </w:tcPr>
          <w:p>
            <w:r>
              <w:t>Attendance formula / thresholds / exceptions</w:t>
            </w:r>
          </w:p>
        </w:tc>
        <w:tc>
          <w:tcPr>
            <w:tcW w:type="dxa" w:w="2520"/>
          </w:tcPr>
          <w:p>
            <w:r>
              <w:t>OPEN</w:t>
            </w:r>
          </w:p>
        </w:tc>
        <w:tc>
          <w:tcPr>
            <w:tcW w:type="dxa" w:w="2520"/>
          </w:tcPr>
          <w:p>
            <w:r>
              <w:t>No — schema contract can carry policy/version</w:t>
            </w:r>
          </w:p>
        </w:tc>
        <w:tc>
          <w:tcPr>
            <w:tcW w:type="dxa" w:w="2520"/>
          </w:tcPr>
          <w:p>
            <w:r>
              <w:t>Business-rule/config gate</w:t>
            </w:r>
          </w:p>
        </w:tc>
      </w:tr>
      <w:tr>
        <w:tc>
          <w:tcPr>
            <w:tcW w:type="dxa" w:w="2520"/>
          </w:tcPr>
          <w:p>
            <w:r>
              <w:t>Session capacity</w:t>
            </w:r>
          </w:p>
        </w:tc>
        <w:tc>
          <w:tcPr>
            <w:tcW w:type="dxa" w:w="2520"/>
          </w:tcPr>
          <w:p>
            <w:r>
              <w:t>OPEN</w:t>
            </w:r>
          </w:p>
        </w:tc>
        <w:tc>
          <w:tcPr>
            <w:tcW w:type="dxa" w:w="2520"/>
          </w:tcPr>
          <w:p>
            <w:r>
              <w:t>No — field can remain downstream until policy locked</w:t>
            </w:r>
          </w:p>
        </w:tc>
        <w:tc>
          <w:tcPr>
            <w:tcW w:type="dxa" w:w="2520"/>
          </w:tcPr>
          <w:p>
            <w:r>
              <w:t>Capacity decision gate</w:t>
            </w:r>
          </w:p>
        </w:tc>
      </w:tr>
      <w:tr>
        <w:tc>
          <w:tcPr>
            <w:tcW w:type="dxa" w:w="2520"/>
          </w:tcPr>
          <w:p>
            <w:r>
              <w:t>Recording retention/privacy/replay</w:t>
            </w:r>
          </w:p>
        </w:tc>
        <w:tc>
          <w:tcPr>
            <w:tcW w:type="dxa" w:w="2520"/>
          </w:tcPr>
          <w:p>
            <w:r>
              <w:t>OPEN</w:t>
            </w:r>
          </w:p>
        </w:tc>
        <w:tc>
          <w:tcPr>
            <w:tcW w:type="dxa" w:w="2520"/>
          </w:tcPr>
          <w:p>
            <w:r>
              <w:t>No — artifact reference model can be prepared</w:t>
            </w:r>
          </w:p>
        </w:tc>
        <w:tc>
          <w:tcPr>
            <w:tcW w:type="dxa" w:w="2520"/>
          </w:tcPr>
          <w:p>
            <w:r>
              <w:t>Media policy gate</w:t>
            </w:r>
          </w:p>
        </w:tc>
      </w:tr>
      <w:tr>
        <w:tc>
          <w:tcPr>
            <w:tcW w:type="dxa" w:w="2520"/>
          </w:tcPr>
          <w:p>
            <w:r>
              <w:t>Provider exact API/OAuth/event contracts</w:t>
            </w:r>
          </w:p>
        </w:tc>
        <w:tc>
          <w:tcPr>
            <w:tcW w:type="dxa" w:w="2520"/>
          </w:tcPr>
          <w:p>
            <w:r>
              <w:t>OPEN</w:t>
            </w:r>
          </w:p>
        </w:tc>
        <w:tc>
          <w:tcPr>
            <w:tcW w:type="dxa" w:w="2520"/>
          </w:tcPr>
          <w:p>
            <w:r>
              <w:t>No — adapter schema can remain provider-neutral</w:t>
            </w:r>
          </w:p>
        </w:tc>
        <w:tc>
          <w:tcPr>
            <w:tcW w:type="dxa" w:w="2520"/>
          </w:tcPr>
          <w:p>
            <w:r>
              <w:t>Provider verification gate</w:t>
            </w:r>
          </w:p>
        </w:tc>
      </w:tr>
      <w:tr>
        <w:tc>
          <w:tcPr>
            <w:tcW w:type="dxa" w:w="2520"/>
          </w:tcPr>
          <w:p>
            <w:r>
              <w:t>Automatic provider failover</w:t>
            </w:r>
          </w:p>
        </w:tc>
        <w:tc>
          <w:tcPr>
            <w:tcW w:type="dxa" w:w="2520"/>
          </w:tcPr>
          <w:p>
            <w:r>
              <w:t>OPEN / DEFERRED</w:t>
            </w:r>
          </w:p>
        </w:tc>
        <w:tc>
          <w:tcPr>
            <w:tcW w:type="dxa" w:w="2520"/>
          </w:tcPr>
          <w:p>
            <w:r>
              <w:t>No</w:t>
            </w:r>
          </w:p>
        </w:tc>
        <w:tc>
          <w:tcPr>
            <w:tcW w:type="dxa" w:w="2520"/>
          </w:tcPr>
          <w:p>
            <w:r>
              <w:t>AEP4-OD-08</w:t>
            </w:r>
          </w:p>
        </w:tc>
      </w:tr>
      <w:tr>
        <w:tc>
          <w:tcPr>
            <w:tcW w:type="dxa" w:w="2520"/>
          </w:tcPr>
          <w:p>
            <w:r>
              <w:t>Exact permission IDs / role_permission rows</w:t>
            </w:r>
          </w:p>
        </w:tc>
        <w:tc>
          <w:tcPr>
            <w:tcW w:type="dxa" w:w="2520"/>
          </w:tcPr>
          <w:p>
            <w:r>
              <w:t>CONTROLLED</w:t>
            </w:r>
          </w:p>
        </w:tc>
        <w:tc>
          <w:tcPr>
            <w:tcW w:type="dxa" w:w="2520"/>
          </w:tcPr>
          <w:p>
            <w:r>
              <w:t>Yes for authorization implementation, not for Session table design</w:t>
            </w:r>
          </w:p>
        </w:tc>
        <w:tc>
          <w:tcPr>
            <w:tcW w:type="dxa" w:w="2520"/>
          </w:tcPr>
          <w:p>
            <w:r>
              <w:t>Permission implementation gate</w:t>
            </w:r>
          </w:p>
        </w:tc>
      </w:tr>
      <w:tr>
        <w:tc>
          <w:tcPr>
            <w:tcW w:type="dxa" w:w="2520"/>
          </w:tcPr>
          <w:p>
            <w:r>
              <w:t>MADCR-049 physical Learning Activity cardinality/API</w:t>
            </w:r>
          </w:p>
        </w:tc>
        <w:tc>
          <w:tcPr>
            <w:tcW w:type="dxa" w:w="2520"/>
          </w:tcPr>
          <w:p>
            <w:r>
              <w:t>SEMANTIC APPROVED; PHYSICAL DOWNSTREAM</w:t>
            </w:r>
          </w:p>
        </w:tc>
        <w:tc>
          <w:tcPr>
            <w:tcW w:type="dxa" w:w="2520"/>
          </w:tcPr>
          <w:p>
            <w:r>
              <w:t>Yes for final completion→Activity physical handoff</w:t>
            </w:r>
          </w:p>
        </w:tc>
        <w:tc>
          <w:tcPr>
            <w:tcW w:type="dxa" w:w="2520"/>
          </w:tcPr>
          <w:p>
            <w:r>
              <w:t>Learning Activity physical gate</w:t>
            </w:r>
          </w:p>
        </w:tc>
      </w:tr>
      <w:tr>
        <w:tc>
          <w:tcPr>
            <w:tcW w:type="dxa" w:w="2520"/>
          </w:tcPr>
          <w:p>
            <w:r>
              <w:t>Exact DB migration SQL</w:t>
            </w:r>
          </w:p>
        </w:tc>
        <w:tc>
          <w:tcPr>
            <w:tcW w:type="dxa" w:w="2520"/>
          </w:tcPr>
          <w:p>
            <w:r>
              <w:t>NOT YET AUTHORIZED</w:t>
            </w:r>
          </w:p>
        </w:tc>
        <w:tc>
          <w:tcPr>
            <w:tcW w:type="dxa" w:w="2520"/>
          </w:tcPr>
          <w:p>
            <w:r>
              <w:t>Yes for execution only</w:t>
            </w:r>
          </w:p>
        </w:tc>
        <w:tc>
          <w:tcPr>
            <w:tcW w:type="dxa" w:w="2520"/>
          </w:tcPr>
          <w:p>
            <w:r>
              <w:t>Migration execution gate</w:t>
            </w:r>
          </w:p>
        </w:tc>
      </w:tr>
    </w:tbl>
    <w:p>
      <w:pPr>
        <w:pStyle w:val="Heading1"/>
      </w:pPr>
      <w:r>
        <w:t>16. Gate Result</w:t>
      </w:r>
    </w:p>
    <w:p>
      <w:r>
        <w:t>TECH-10 = PASS — the exact current physical baseline has been located and reconciled sufficiently to establish the additive Learning Session migration boundary. The current source proves that the new Session resources are absent from the executable M01–M13 migration baseline and that existing Organization/Event structures can be reused without repurposing.</w:t>
      </w:r>
    </w:p>
    <w:p>
      <w:r>
        <w:t>The project is therefore ready for a dedicated migration specification, but not yet for production execution. The remaining open items are policy/provider/authorization implementation gates, not a reason to reopen the approved TECH-08 relationship decisions.</w:t>
      </w:r>
    </w:p>
    <w:p>
      <w:pPr>
        <w:pStyle w:val="Heading1"/>
      </w:pPr>
      <w:r>
        <w:t>17. Next Step — TECH-11</w:t>
      </w:r>
    </w:p>
    <w:p>
      <w:r>
        <w:t>TECH-11 — Migration Specification &amp; Verification Package. It will convert this readiness contract into a reviewable migration artifact: exact CREATE TABLE / ALTER / INDEX / RLS sequence, permission reconciliation, validation queries, rollback sequence and post-migration verification. It will not execute the migration unless explicitly authorized.</w:t>
      </w:r>
    </w:p>
    <w:p>
      <w:pPr>
        <w:pStyle w:val="Heading1"/>
      </w:pPr>
      <w:r>
        <w:t>18. Traceability</w:t>
      </w:r>
    </w:p>
    <w:p>
      <w:pPr>
        <w:pStyle w:val="ListBullet"/>
      </w:pPr>
      <w:r>
        <w:t>ERD-Skema-Database-RUMAHAGEN-v1_7-CROSS-AEP-D3.md — D3 semantic overlay and explicit physical hold.</w:t>
      </w:r>
    </w:p>
    <w:p>
      <w:pPr>
        <w:pStyle w:val="ListBullet"/>
      </w:pPr>
      <w:r>
        <w:t>Database-Dictionary-Migration-Ready-v1_3-CROSS-AEP-D3.md — D3 dictionary and physical hold.</w:t>
      </w:r>
    </w:p>
    <w:p>
      <w:pPr>
        <w:pStyle w:val="ListBullet"/>
      </w:pPr>
      <w:r>
        <w:t>Database-Migration-Full-v1_0.sql — current executable M01–M13 baseline.</w:t>
      </w:r>
    </w:p>
    <w:p>
      <w:pPr>
        <w:pStyle w:val="ListBullet"/>
      </w:pPr>
      <w:r>
        <w:t>0002_m10_rbac_foundation.sql — RBAC physical convention.</w:t>
      </w:r>
    </w:p>
    <w:p>
      <w:pPr>
        <w:pStyle w:val="ListBullet"/>
      </w:pPr>
      <w:r>
        <w:t>0007_m12_organization.sql — Organization physical model/RLS.</w:t>
      </w:r>
    </w:p>
    <w:p>
      <w:pPr>
        <w:pStyle w:val="ListBullet"/>
      </w:pPr>
      <w:r>
        <w:t>0010_m05_event_calendar.sql — Event/EventRegistration physical model.</w:t>
      </w:r>
    </w:p>
    <w:p>
      <w:pPr>
        <w:pStyle w:val="ListBullet"/>
      </w:pPr>
      <w:r>
        <w:t>AEP4 STEP-07 — logical data dictionary and non-repurpose rules.</w:t>
      </w:r>
    </w:p>
    <w:p>
      <w:pPr>
        <w:pStyle w:val="ListBullet"/>
      </w:pPr>
      <w:r>
        <w:t>TECH-08 — approved physical relationship decisions.</w:t>
      </w:r>
    </w:p>
    <w:p>
      <w:pPr>
        <w:pStyle w:val="ListBullet"/>
      </w:pPr>
      <w:r>
        <w:t>TECH-09 — physical ERD/schema delta specification.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