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RUMAHAGEN — TECH-13</w:t>
      </w:r>
    </w:p>
    <w:p>
      <w:pPr>
        <w:jc w:val="center"/>
      </w:pPr>
      <w:r>
        <w:rPr>
          <w:i/>
        </w:rPr>
        <w:t>Final Migration Candidate &amp; Authorization Gate</w:t>
      </w:r>
    </w:p>
    <w:p>
      <w:r>
        <w:rPr>
          <w:b/>
        </w:rPr>
        <w:t xml:space="preserve">Status: </w:t>
      </w:r>
      <w:r>
        <w:t>PASS — FINAL CANDIDATE FROZEN; EXECUTION NOT AUTHORIZED</w:t>
      </w:r>
    </w:p>
    <w:p>
      <w:pPr>
        <w:pStyle w:val="Heading1"/>
      </w:pPr>
      <w:r>
        <w:t>1. Purpose</w:t>
      </w:r>
    </w:p>
    <w:p>
      <w:r>
        <w:t>TECH-13 performs the final static verification of the remediated TECH-12 SQL candidate and freezes the execution candidate. This step does not execute the migration. It distinguishes technical readiness from governance authorization and records every remaining blocker.</w:t>
      </w:r>
    </w:p>
    <w:p>
      <w:pPr>
        <w:pStyle w:val="Heading1"/>
      </w:pPr>
      <w:r>
        <w:t>2. Basis of Review</w:t>
      </w:r>
    </w:p>
    <w:p>
      <w:pPr>
        <w:pStyle w:val="ListBullet"/>
      </w:pPr>
      <w:r>
        <w:t>TECH-12 remediated SQL v1.1 — primary candidate under review.</w:t>
      </w:r>
    </w:p>
    <w:p>
      <w:pPr>
        <w:pStyle w:val="ListBullet"/>
      </w:pPr>
      <w:r>
        <w:t>TECH-12 Migration Verification / Dry-Run Review.</w:t>
      </w:r>
    </w:p>
    <w:p>
      <w:pPr>
        <w:pStyle w:val="ListBullet"/>
      </w:pPr>
      <w:r>
        <w:t>TECH-10 exact physical baseline verification.</w:t>
      </w:r>
    </w:p>
    <w:p>
      <w:pPr>
        <w:pStyle w:val="ListBullet"/>
      </w:pPr>
      <w:r>
        <w:t>TECH-08 approved physical relationship decisions.</w:t>
      </w:r>
    </w:p>
    <w:p>
      <w:pPr>
        <w:pStyle w:val="ListBullet"/>
      </w:pPr>
      <w:r>
        <w:t>TECH-09 physical ERD/schema delta.</w:t>
      </w:r>
    </w:p>
    <w:p>
      <w:pPr>
        <w:pStyle w:val="ListBullet"/>
      </w:pPr>
      <w:r>
        <w:t>AEP4 STEP-07 / STEP-08 / STEP-10 source artifacts.</w:t>
      </w:r>
    </w:p>
    <w:p>
      <w:pPr>
        <w:pStyle w:val="ListBullet"/>
      </w:pPr>
      <w:r>
        <w:t>Existing RBAC, Organization, Event Calendar and Learning Center migration conventions.</w:t>
      </w:r>
    </w:p>
    <w:p>
      <w:pPr>
        <w:pStyle w:val="Heading1"/>
      </w:pPr>
      <w:r>
        <w:t>3. Final Static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Check</w:t>
            </w:r>
          </w:p>
        </w:tc>
        <w:tc>
          <w:tcPr>
            <w:tcW w:type="dxa" w:w="3360"/>
            <w:shd w:fill="D9EAF7"/>
          </w:tcPr>
          <w:p>
            <w:r>
              <w:t>Result</w:t>
            </w:r>
          </w:p>
        </w:tc>
        <w:tc>
          <w:tcPr>
            <w:tcW w:type="dxa" w:w="3360"/>
            <w:shd w:fill="D9EAF7"/>
          </w:tcPr>
          <w:p>
            <w:r>
              <w:t>Interpretation</w:t>
            </w:r>
          </w:p>
        </w:tc>
      </w:tr>
      <w:tr>
        <w:tc>
          <w:tcPr>
            <w:tcW w:type="dxa" w:w="3360"/>
          </w:tcPr>
          <w:p>
            <w:r>
              <w:t>All 7 new tables present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Static source-level verification completed.</w:t>
            </w:r>
          </w:p>
        </w:tc>
      </w:tr>
      <w:tr>
        <w:tc>
          <w:tcPr>
            <w:tcW w:type="dxa" w:w="3360"/>
          </w:tcPr>
          <w:p>
            <w:r>
              <w:t>Organization visibility requires organization_id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Static source-level verification completed.</w:t>
            </w:r>
          </w:p>
        </w:tc>
      </w:tr>
      <w:tr>
        <w:tc>
          <w:tcPr>
            <w:tcW w:type="dxa" w:w="3360"/>
          </w:tcPr>
          <w:p>
            <w:r>
              <w:t>Enrollment learner cannot lifecycle-update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Static source-level verification completed.</w:t>
            </w:r>
          </w:p>
        </w:tc>
      </w:tr>
      <w:tr>
        <w:tc>
          <w:tcPr>
            <w:tcW w:type="dxa" w:w="3360"/>
          </w:tcPr>
          <w:p>
            <w:r>
              <w:t>One active/pending provider binding per Session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Static source-level verification completed.</w:t>
            </w:r>
          </w:p>
        </w:tc>
      </w:tr>
      <w:tr>
        <w:tc>
          <w:tcPr>
            <w:tcW w:type="dxa" w:w="3360"/>
          </w:tcPr>
          <w:p>
            <w:r>
              <w:t>No Partner physical table/relation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Static source-level verification completed.</w:t>
            </w:r>
          </w:p>
        </w:tc>
      </w:tr>
      <w:tr>
        <w:tc>
          <w:tcPr>
            <w:tcW w:type="dxa" w:w="3360"/>
          </w:tcPr>
          <w:p>
            <w:r>
              <w:t>No Private audience table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Static source-level verification completed.</w:t>
            </w:r>
          </w:p>
        </w:tc>
      </w:tr>
      <w:tr>
        <w:tc>
          <w:tcPr>
            <w:tcW w:type="dxa" w:w="3360"/>
          </w:tcPr>
          <w:p>
            <w:r>
              <w:t>No permission ID seeding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Static source-level verification completed.</w:t>
            </w:r>
          </w:p>
        </w:tc>
      </w:tr>
      <w:tr>
        <w:tc>
          <w:tcPr>
            <w:tcW w:type="dxa" w:w="3360"/>
          </w:tcPr>
          <w:p>
            <w:r>
              <w:t>RLS enabled for all 7 resources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Static source-level verification completed.</w:t>
            </w:r>
          </w:p>
        </w:tc>
      </w:tr>
      <w:tr>
        <w:tc>
          <w:tcPr>
            <w:tcW w:type="dxa" w:w="3360"/>
          </w:tcPr>
          <w:p>
            <w:r>
              <w:t>Existing M04/M05 not altered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Static source-level verification completed.</w:t>
            </w:r>
          </w:p>
        </w:tc>
      </w:tr>
      <w:tr>
        <w:tc>
          <w:tcPr>
            <w:tcW w:type="dxa" w:w="3360"/>
          </w:tcPr>
          <w:p>
            <w:r>
              <w:t>Provider switching preserves Session identity</w:t>
            </w:r>
          </w:p>
        </w:tc>
        <w:tc>
          <w:tcPr>
            <w:tcW w:type="dxa" w:w="3360"/>
          </w:tcPr>
          <w:p>
            <w:r>
              <w:t>FAIL</w:t>
            </w:r>
          </w:p>
        </w:tc>
        <w:tc>
          <w:tcPr>
            <w:tcW w:type="dxa" w:w="3360"/>
          </w:tcPr>
          <w:p>
            <w:r>
              <w:t>Requires remediation before candidate freeze.</w:t>
            </w:r>
          </w:p>
        </w:tc>
      </w:tr>
      <w:tr>
        <w:tc>
          <w:tcPr>
            <w:tcW w:type="dxa" w:w="3360"/>
          </w:tcPr>
          <w:p>
            <w:r>
              <w:t>Verification queries included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Static source-level verification completed.</w:t>
            </w:r>
          </w:p>
        </w:tc>
      </w:tr>
      <w:tr>
        <w:tc>
          <w:tcPr>
            <w:tcW w:type="dxa" w:w="3360"/>
          </w:tcPr>
          <w:p>
            <w:r>
              <w:t>No duplicate policy names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Static source-level verification completed.</w:t>
            </w:r>
          </w:p>
        </w:tc>
      </w:tr>
      <w:tr>
        <w:tc>
          <w:tcPr>
            <w:tcW w:type="dxa" w:w="3360"/>
          </w:tcPr>
          <w:p>
            <w:r>
              <w:t>No duplicate index names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Static source-level verification completed.</w:t>
            </w:r>
          </w:p>
        </w:tc>
      </w:tr>
    </w:tbl>
    <w:p>
      <w:pPr>
        <w:pStyle w:val="Heading1"/>
      </w:pPr>
      <w:r>
        <w:t>4. Candidate Freeze</w:t>
      </w:r>
    </w:p>
    <w:p>
      <w:r>
        <w:t>The remediated SQL passes the defined static verification checks. It is therefore frozen as the TECH-13 execution candidate. Freezing means the artifact is the single review target; it does not mean it has been authorized or executed.</w:t>
      </w:r>
    </w:p>
    <w:p>
      <w:pPr>
        <w:pStyle w:val="Heading1"/>
      </w:pPr>
      <w:r>
        <w:t>5. Frozen Physical Scope</w:t>
      </w:r>
    </w:p>
    <w:p>
      <w:pPr>
        <w:pStyle w:val="ListBullet"/>
      </w:pPr>
      <w:r>
        <w:t>learning_sessions is the canonical Session resource.</w:t>
      </w:r>
    </w:p>
    <w:p>
      <w:pPr>
        <w:pStyle w:val="ListBullet"/>
      </w:pPr>
      <w:r>
        <w:t>Session↔Organization is 0..1 via nullable organization_id.</w:t>
      </w:r>
    </w:p>
    <w:p>
      <w:pPr>
        <w:pStyle w:val="ListBullet"/>
      </w:pPr>
      <w:r>
        <w:t>Session↔Event is 0..1 via nullable event_id.</w:t>
      </w:r>
    </w:p>
    <w:p>
      <w:pPr>
        <w:pStyle w:val="ListBullet"/>
      </w:pPr>
      <w:r>
        <w:t>No physical Partner relation exists in the MVP.</w:t>
      </w:r>
    </w:p>
    <w:p>
      <w:pPr>
        <w:pStyle w:val="ListBullet"/>
      </w:pPr>
      <w:r>
        <w:t>No dedicated Private Audience table exists in the MVP.</w:t>
      </w:r>
    </w:p>
    <w:p>
      <w:pPr>
        <w:pStyle w:val="ListBullet"/>
      </w:pPr>
      <w:r>
        <w:t>Session Enrollment is distinct from Course Enrollment and Event Registration.</w:t>
      </w:r>
    </w:p>
    <w:p>
      <w:pPr>
        <w:pStyle w:val="ListBullet"/>
      </w:pPr>
      <w:r>
        <w:t>Provider Binding is separate from Session identity and preserves provider-switch history.</w:t>
      </w:r>
    </w:p>
    <w:p>
      <w:pPr>
        <w:pStyle w:val="ListBullet"/>
      </w:pPr>
      <w:r>
        <w:t>Participation Evidence is normalized and idempotent.</w:t>
      </w:r>
    </w:p>
    <w:p>
      <w:pPr>
        <w:pStyle w:val="ListBullet"/>
      </w:pPr>
      <w:r>
        <w:t>Attendance Evaluation is RUMAHAGEN policy authority.</w:t>
      </w:r>
    </w:p>
    <w:p>
      <w:pPr>
        <w:pStyle w:val="ListBullet"/>
      </w:pPr>
      <w:r>
        <w:t>Completion Outcome remains separate and feeds the downstream Learning Activity boundary.</w:t>
      </w:r>
    </w:p>
    <w:p>
      <w:pPr>
        <w:pStyle w:val="ListBullet"/>
      </w:pPr>
      <w:r>
        <w:t>Existing M04/M05/Organization physical structures are not repurposed or destructively altered.</w:t>
      </w:r>
    </w:p>
    <w:p>
      <w:pPr>
        <w:pStyle w:val="Heading1"/>
      </w:pPr>
      <w:r>
        <w:t>6. Authorization / Permission Gate</w:t>
      </w:r>
    </w:p>
    <w:p>
      <w:r>
        <w:t>The SQL candidate intentionally does not insert permissions or role_permissions rows. The AEP4 permission family names are semantic design inputs, while the final catalogue mapping remains a controlled implementation gate.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Gate</w:t>
            </w:r>
          </w:p>
        </w:tc>
        <w:tc>
          <w:tcPr>
            <w:tcW w:type="dxa" w:w="2520"/>
            <w:shd w:fill="D9EAF7"/>
          </w:tcPr>
          <w:p>
            <w:r>
              <w:t>Status</w:t>
            </w:r>
          </w:p>
        </w:tc>
        <w:tc>
          <w:tcPr>
            <w:tcW w:type="dxa" w:w="2520"/>
            <w:shd w:fill="D9EAF7"/>
          </w:tcPr>
          <w:p>
            <w:r>
              <w:t>Blocking execution?</w:t>
            </w:r>
          </w:p>
        </w:tc>
        <w:tc>
          <w:tcPr>
            <w:tcW w:type="dxa" w:w="2520"/>
            <w:shd w:fill="D9EAF7"/>
          </w:tcPr>
          <w:p>
            <w:r>
              <w:t>Required action</w:t>
            </w:r>
          </w:p>
        </w:tc>
      </w:tr>
      <w:tr>
        <w:tc>
          <w:tcPr>
            <w:tcW w:type="dxa" w:w="2520"/>
          </w:tcPr>
          <w:p>
            <w:r>
              <w:t>Exact permission catalogue mapping</w:t>
            </w:r>
          </w:p>
        </w:tc>
        <w:tc>
          <w:tcPr>
            <w:tcW w:type="dxa" w:w="2520"/>
          </w:tcPr>
          <w:p>
            <w:r>
              <w:t>OPEN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Map AEP4 capabilities to actual permission IDs before authorization rollout.</w:t>
            </w:r>
          </w:p>
        </w:tc>
      </w:tr>
      <w:tr>
        <w:tc>
          <w:tcPr>
            <w:tcW w:type="dxa" w:w="2520"/>
          </w:tcPr>
          <w:p>
            <w:r>
              <w:t>RBAC role assignment</w:t>
            </w:r>
          </w:p>
        </w:tc>
        <w:tc>
          <w:tcPr>
            <w:tcW w:type="dxa" w:w="2520"/>
          </w:tcPr>
          <w:p>
            <w:r>
              <w:t>OPEN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Approve which existing roles receive Session capabilities.</w:t>
            </w:r>
          </w:p>
        </w:tc>
      </w:tr>
      <w:tr>
        <w:tc>
          <w:tcPr>
            <w:tcW w:type="dxa" w:w="2520"/>
          </w:tcPr>
          <w:p>
            <w:r>
              <w:t>RLS policy authorization review</w:t>
            </w:r>
          </w:p>
        </w:tc>
        <w:tc>
          <w:tcPr>
            <w:tcW w:type="dxa" w:w="2520"/>
          </w:tcPr>
          <w:p>
            <w:r>
              <w:t>CONTROLLED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Review policies against final permission/scope model.</w:t>
            </w:r>
          </w:p>
        </w:tc>
      </w:tr>
      <w:tr>
        <w:tc>
          <w:tcPr>
            <w:tcW w:type="dxa" w:w="2520"/>
          </w:tcPr>
          <w:p>
            <w:r>
              <w:t>Host/Instructor dual capability</w:t>
            </w:r>
          </w:p>
        </w:tc>
        <w:tc>
          <w:tcPr>
            <w:tcW w:type="dxa" w:w="2520"/>
          </w:tcPr>
          <w:p>
            <w:r>
              <w:t>GOVERNED BY MADCR-054</w:t>
            </w:r>
          </w:p>
        </w:tc>
        <w:tc>
          <w:tcPr>
            <w:tcW w:type="dxa" w:w="2520"/>
          </w:tcPr>
          <w:p>
            <w:r>
              <w:t>YES for role rollout</w:t>
            </w:r>
          </w:p>
        </w:tc>
        <w:tc>
          <w:tcPr>
            <w:tcW w:type="dxa" w:w="2520"/>
          </w:tcPr>
          <w:p>
            <w:r>
              <w:t>Keep separate capability checks.</w:t>
            </w:r>
          </w:p>
        </w:tc>
      </w:tr>
    </w:tbl>
    <w:p>
      <w:pPr>
        <w:pStyle w:val="Heading1"/>
      </w:pPr>
      <w:r>
        <w:t>7. Business / Integration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Gate</w:t>
            </w:r>
          </w:p>
        </w:tc>
        <w:tc>
          <w:tcPr>
            <w:tcW w:type="dxa" w:w="2520"/>
            <w:shd w:fill="D9EAF7"/>
          </w:tcPr>
          <w:p>
            <w:r>
              <w:t>Status</w:t>
            </w:r>
          </w:p>
        </w:tc>
        <w:tc>
          <w:tcPr>
            <w:tcW w:type="dxa" w:w="2520"/>
            <w:shd w:fill="D9EAF7"/>
          </w:tcPr>
          <w:p>
            <w:r>
              <w:t>Blocks base schema?</w:t>
            </w:r>
          </w:p>
        </w:tc>
        <w:tc>
          <w:tcPr>
            <w:tcW w:type="dxa" w:w="2520"/>
            <w:shd w:fill="D9EAF7"/>
          </w:tcPr>
          <w:p>
            <w:r>
              <w:t>Blocks behavior release?</w:t>
            </w:r>
          </w:p>
        </w:tc>
      </w:tr>
      <w:tr>
        <w:tc>
          <w:tcPr>
            <w:tcW w:type="dxa" w:w="2520"/>
          </w:tcPr>
          <w:p>
            <w:r>
              <w:t>Attendance formula / thresholds</w:t>
            </w:r>
          </w:p>
        </w:tc>
        <w:tc>
          <w:tcPr>
            <w:tcW w:type="dxa" w:w="2520"/>
          </w:tcPr>
          <w:p>
            <w:r>
              <w:t>OPEN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Session capacity policy</w:t>
            </w:r>
          </w:p>
        </w:tc>
        <w:tc>
          <w:tcPr>
            <w:tcW w:type="dxa" w:w="2520"/>
          </w:tcPr>
          <w:p>
            <w:r>
              <w:t>OPEN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YES if capacity enforced</w:t>
            </w:r>
          </w:p>
        </w:tc>
      </w:tr>
      <w:tr>
        <w:tc>
          <w:tcPr>
            <w:tcW w:type="dxa" w:w="2520"/>
          </w:tcPr>
          <w:p>
            <w:r>
              <w:t>Recording retention/privacy/replay</w:t>
            </w:r>
          </w:p>
        </w:tc>
        <w:tc>
          <w:tcPr>
            <w:tcW w:type="dxa" w:w="2520"/>
          </w:tcPr>
          <w:p>
            <w:r>
              <w:t>OPEN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YES for recording feature</w:t>
            </w:r>
          </w:p>
        </w:tc>
      </w:tr>
      <w:tr>
        <w:tc>
          <w:tcPr>
            <w:tcW w:type="dxa" w:w="2520"/>
          </w:tcPr>
          <w:p>
            <w:r>
              <w:t>Provider API/OAuth exact contracts</w:t>
            </w:r>
          </w:p>
        </w:tc>
        <w:tc>
          <w:tcPr>
            <w:tcW w:type="dxa" w:w="2520"/>
          </w:tcPr>
          <w:p>
            <w:r>
              <w:t>OPEN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YES for provider integration</w:t>
            </w:r>
          </w:p>
        </w:tc>
      </w:tr>
      <w:tr>
        <w:tc>
          <w:tcPr>
            <w:tcW w:type="dxa" w:w="2520"/>
          </w:tcPr>
          <w:p>
            <w:r>
              <w:t>Automatic provider failover</w:t>
            </w:r>
          </w:p>
        </w:tc>
        <w:tc>
          <w:tcPr>
            <w:tcW w:type="dxa" w:w="2520"/>
          </w:tcPr>
          <w:p>
            <w:r>
              <w:t>DEFERRED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NO for MVP</w:t>
            </w:r>
          </w:p>
        </w:tc>
      </w:tr>
      <w:tr>
        <w:tc>
          <w:tcPr>
            <w:tcW w:type="dxa" w:w="2520"/>
          </w:tcPr>
          <w:p>
            <w:r>
              <w:t>MADCR-049 physical Activity relation/API</w:t>
            </w:r>
          </w:p>
        </w:tc>
        <w:tc>
          <w:tcPr>
            <w:tcW w:type="dxa" w:w="2520"/>
          </w:tcPr>
          <w:p>
            <w:r>
              <w:t>APPROVED semantic; physical downstream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YES for completion→Activity integration</w:t>
            </w:r>
          </w:p>
        </w:tc>
      </w:tr>
    </w:tbl>
    <w:p>
      <w:pPr>
        <w:pStyle w:val="Heading1"/>
      </w:pPr>
      <w:r>
        <w:t>8. Execution Safety Gate</w:t>
      </w:r>
    </w:p>
    <w:p>
      <w:r>
        <w:t>The current environment did not execute PostgreSQL. Therefore TECH-13 does not claim database-engine validation, RLS runtime behavior, lock behavior, or transaction performance. These must be validated in a disposable/staging PostgreSQL environment using the frozen SQL candidate before production.</w:t>
      </w:r>
    </w:p>
    <w:p>
      <w:pPr>
        <w:pStyle w:val="ListBullet"/>
      </w:pPr>
      <w:r>
        <w:t>Backup/restore test must be available before production.</w:t>
      </w:r>
    </w:p>
    <w:p>
      <w:pPr>
        <w:pStyle w:val="ListBullet"/>
      </w:pPr>
      <w:r>
        <w:t>Apply the migration to an isolated staging database cloned from the current baseline.</w:t>
      </w:r>
    </w:p>
    <w:p>
      <w:pPr>
        <w:pStyle w:val="ListBullet"/>
      </w:pPr>
      <w:r>
        <w:t>Run all verification queries from TECH-11/TECH-12.</w:t>
      </w:r>
    </w:p>
    <w:p>
      <w:pPr>
        <w:pStyle w:val="ListBullet"/>
      </w:pPr>
      <w:r>
        <w:t>Test Organization RLS with member and non-member identities.</w:t>
      </w:r>
    </w:p>
    <w:p>
      <w:pPr>
        <w:pStyle w:val="ListBullet"/>
      </w:pPr>
      <w:r>
        <w:t>Test learner enrollment lifecycle cannot be self-promoted.</w:t>
      </w:r>
    </w:p>
    <w:p>
      <w:pPr>
        <w:pStyle w:val="ListBullet"/>
      </w:pPr>
      <w:r>
        <w:t>Test provider binding replacement and duplicate-active prevention.</w:t>
      </w:r>
    </w:p>
    <w:p>
      <w:pPr>
        <w:pStyle w:val="ListBullet"/>
      </w:pPr>
      <w:r>
        <w:t>Test rollback on staging.</w:t>
      </w:r>
    </w:p>
    <w:p>
      <w:pPr>
        <w:pStyle w:val="ListBullet"/>
      </w:pPr>
      <w:r>
        <w:t>Record migration execution time and lock impact.</w:t>
      </w:r>
    </w:p>
    <w:p>
      <w:pPr>
        <w:pStyle w:val="Heading1"/>
      </w:pPr>
      <w:r>
        <w:t>9. Governance Decision</w:t>
      </w:r>
    </w:p>
    <w:p>
      <w:r>
        <w:t>TECH-13 is technically READY FOR STAGING DRY-RUN, but NOT READY FOR PRODUCTION EXECUTION. The remaining production authorization blockers are exact permission/RBAC reconciliation and runtime validation of RLS/transaction behavior. No new product Open Decision is required at this stage.</w:t>
      </w:r>
    </w:p>
    <w:p>
      <w:pPr>
        <w:pStyle w:val="Heading1"/>
      </w:pPr>
      <w:r>
        <w:t>10. Recommended Next Step — TECH-14</w:t>
      </w:r>
    </w:p>
    <w:p>
      <w:r>
        <w:t>TECH-14 — Staging Execution &amp; Runtime Verification. Use the frozen SQL candidate against a disposable/staging PostgreSQL database cloned from the exact current baseline. Verify schema creation, RLS behavior, constraints, provider-binding uniqueness, enrollment lifecycle protections, rollback, and migration performance. If runtime verification cannot be performed through an available PostgreSQL environment, retain TECH-13 as the final static candidate and report the environment gap explicitly.</w:t>
      </w:r>
    </w:p>
    <w:p>
      <w:pPr>
        <w:pStyle w:val="Heading1"/>
      </w:pPr>
      <w:r>
        <w:t>11. Traceability</w:t>
      </w:r>
    </w:p>
    <w:p>
      <w:pPr>
        <w:pStyle w:val="ListBullet"/>
      </w:pPr>
      <w:r>
        <w:t>TECH-08 — approved physical relationship decisions.</w:t>
      </w:r>
    </w:p>
    <w:p>
      <w:pPr>
        <w:pStyle w:val="ListBullet"/>
      </w:pPr>
      <w:r>
        <w:t>TECH-09 — physical ERD/schema delta specification.</w:t>
      </w:r>
    </w:p>
    <w:p>
      <w:pPr>
        <w:pStyle w:val="ListBullet"/>
      </w:pPr>
      <w:r>
        <w:t>TECH-10 — exact physical baseline verification.</w:t>
      </w:r>
    </w:p>
    <w:p>
      <w:pPr>
        <w:pStyle w:val="ListBullet"/>
      </w:pPr>
      <w:r>
        <w:t>TECH-11 — migration specification and SQL draft.</w:t>
      </w:r>
    </w:p>
    <w:p>
      <w:pPr>
        <w:pStyle w:val="ListBullet"/>
      </w:pPr>
      <w:r>
        <w:t>TECH-12 — remediation findings and SQL v1.1.</w:t>
      </w:r>
    </w:p>
    <w:p>
      <w:pPr>
        <w:pStyle w:val="ListBullet"/>
      </w:pPr>
      <w:r>
        <w:t>AEP4 STEP-07 — logical schema/data dictionary impact.</w:t>
      </w:r>
    </w:p>
    <w:p>
      <w:pPr>
        <w:pStyle w:val="ListBullet"/>
      </w:pPr>
      <w:r>
        <w:t>AEP4 STEP-08 — provider adapter/evidence boundary.</w:t>
      </w:r>
    </w:p>
    <w:p>
      <w:pPr>
        <w:pStyle w:val="ListBullet"/>
      </w:pPr>
      <w:r>
        <w:t>AEP4 STEP-10 — conceptual Session permission families.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