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TECH-17</w:t>
      </w:r>
    </w:p>
    <w:p>
      <w:pPr>
        <w:jc w:val="center"/>
      </w:pPr>
      <w:r>
        <w:rPr>
          <w:i/>
        </w:rPr>
        <w:t>Learning Session Technical Residual Closure</w:t>
      </w:r>
    </w:p>
    <w:p>
      <w:r>
        <w:rPr>
          <w:b/>
        </w:rPr>
        <w:t xml:space="preserve">Status: </w:t>
      </w:r>
      <w:r>
        <w:t>PASS WITH CONTROLLED RESIDUALS — TECHNICAL MODEL FROZEN; BEHAVIORAL / RUNTIME GATES REMAIN</w:t>
      </w:r>
    </w:p>
    <w:p>
      <w:pPr>
        <w:pStyle w:val="Heading1"/>
      </w:pPr>
      <w:r>
        <w:t>1. Purpose</w:t>
      </w:r>
    </w:p>
    <w:p>
      <w:r>
        <w:t>TECH-17 reconciles the remaining Learning Session technical residuals after TECH-15-R1 and TECH-16-R1. It deliberately distinguishes three states: resolved by approved/current decisions, controlled downstream residual, and genuinely open business/provider/runtime work. It does not reopen approved MADCR/ADR decisions and does not authorize production migration.</w:t>
      </w:r>
    </w:p>
    <w:p>
      <w:pPr>
        <w:pStyle w:val="Heading1"/>
      </w:pPr>
      <w:r>
        <w:t>2. Source Reconciliation Rule</w:t>
      </w:r>
    </w:p>
    <w:p>
      <w:r>
        <w:t>The project source corpus contains earlier AEP4 artifacts that still display MADCR-049/053/054 and some semantic items as OPEN. Those artifacts are historical AEP4 synchronization snapshots. Current user-approved decisions and later formal governance artifacts are used as the current governing state where they are demonstrably newer/authoritative. The project knowledge-refresh rule requires historical snapshots to remain audit evidence rather than override later governing records.</w:t>
      </w:r>
    </w:p>
    <w:p>
      <w:pPr>
        <w:pStyle w:val="Heading1"/>
      </w:pPr>
      <w:r>
        <w:t>3. Current Governing Decisions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Item</w:t>
            </w:r>
          </w:p>
        </w:tc>
        <w:tc>
          <w:tcPr>
            <w:tcW w:type="dxa" w:w="3360"/>
            <w:shd w:fill="D9EAF7"/>
          </w:tcPr>
          <w:p>
            <w:r>
              <w:t>Current state</w:t>
            </w:r>
          </w:p>
        </w:tc>
        <w:tc>
          <w:tcPr>
            <w:tcW w:type="dxa" w:w="3360"/>
            <w:shd w:fill="D9EAF7"/>
          </w:tcPr>
          <w:p>
            <w:r>
              <w:t>TECH-17 treatment</w:t>
            </w:r>
          </w:p>
        </w:tc>
      </w:tr>
      <w:tr>
        <w:tc>
          <w:tcPr>
            <w:tcW w:type="dxa" w:w="3360"/>
          </w:tcPr>
          <w:p>
            <w:r>
              <w:t>Session taxonomy</w:t>
            </w:r>
          </w:p>
        </w:tc>
        <w:tc>
          <w:tcPr>
            <w:tcW w:type="dxa" w:w="3360"/>
          </w:tcPr>
          <w:p>
            <w:r>
              <w:t>APPROVED — BROADCAST / INTERACTIVE / ON_DEMAND</w:t>
            </w:r>
          </w:p>
        </w:tc>
        <w:tc>
          <w:tcPr>
            <w:tcW w:type="dxa" w:w="3360"/>
          </w:tcPr>
          <w:p>
            <w:r>
              <w:t>FROZEN</w:t>
            </w:r>
          </w:p>
        </w:tc>
      </w:tr>
      <w:tr>
        <w:tc>
          <w:tcPr>
            <w:tcW w:type="dxa" w:w="3360"/>
          </w:tcPr>
          <w:p>
            <w:r>
              <w:t>Visibility</w:t>
            </w:r>
          </w:p>
        </w:tc>
        <w:tc>
          <w:tcPr>
            <w:tcW w:type="dxa" w:w="3360"/>
          </w:tcPr>
          <w:p>
            <w:r>
              <w:t>APPROVED — PUBLIC / ORGANIZATION / PARTNER / PRIVATE</w:t>
            </w:r>
          </w:p>
        </w:tc>
        <w:tc>
          <w:tcPr>
            <w:tcW w:type="dxa" w:w="3360"/>
          </w:tcPr>
          <w:p>
            <w:r>
              <w:t>FROZEN semantic values</w:t>
            </w:r>
          </w:p>
        </w:tc>
      </w:tr>
      <w:tr>
        <w:tc>
          <w:tcPr>
            <w:tcW w:type="dxa" w:w="3360"/>
          </w:tcPr>
          <w:p>
            <w:r>
              <w:t>Workspace context</w:t>
            </w:r>
          </w:p>
        </w:tc>
        <w:tc>
          <w:tcPr>
            <w:tcW w:type="dxa" w:w="3360"/>
          </w:tcPr>
          <w:p>
            <w:r>
              <w:t>APPROVED semantic workspace/organization context; exact authority/cardinality downstream</w:t>
            </w:r>
          </w:p>
        </w:tc>
        <w:tc>
          <w:tcPr>
            <w:tcW w:type="dxa" w:w="3360"/>
          </w:tcPr>
          <w:p>
            <w:r>
              <w:t>Use Organization as current physical workspace authority where Organization is the applicable workspace</w:t>
            </w:r>
          </w:p>
        </w:tc>
      </w:tr>
      <w:tr>
        <w:tc>
          <w:tcPr>
            <w:tcW w:type="dxa" w:w="3360"/>
          </w:tcPr>
          <w:p>
            <w:r>
              <w:t>Enrollment lifecycle</w:t>
            </w:r>
          </w:p>
        </w:tc>
        <w:tc>
          <w:tcPr>
            <w:tcW w:type="dxa" w:w="3360"/>
          </w:tcPr>
          <w:p>
            <w:r>
              <w:t>APPROVED — PENDING → ACTIVE → COMPLETED</w:t>
            </w:r>
          </w:p>
        </w:tc>
        <w:tc>
          <w:tcPr>
            <w:tcW w:type="dxa" w:w="3360"/>
          </w:tcPr>
          <w:p>
            <w:r>
              <w:t>FROZEN semantic lifecycle</w:t>
            </w:r>
          </w:p>
        </w:tc>
      </w:tr>
      <w:tr>
        <w:tc>
          <w:tcPr>
            <w:tcW w:type="dxa" w:w="3360"/>
          </w:tcPr>
          <w:p>
            <w:r>
              <w:t>MADCR-049</w:t>
            </w:r>
          </w:p>
        </w:tc>
        <w:tc>
          <w:tcPr>
            <w:tcW w:type="dxa" w:w="3360"/>
          </w:tcPr>
          <w:p>
            <w:r>
              <w:t>User-approved Option A: Course/Module completion is a Learning Activity instance/type; Activity is canonical completion/reward boundary; Course remains content/product structure</w:t>
            </w:r>
          </w:p>
        </w:tc>
        <w:tc>
          <w:tcPr>
            <w:tcW w:type="dxa" w:w="3360"/>
          </w:tcPr>
          <w:p>
            <w:r>
              <w:t>FROZEN semantic handoff; physical Activity/API downstream</w:t>
            </w:r>
          </w:p>
        </w:tc>
      </w:tr>
      <w:tr>
        <w:tc>
          <w:tcPr>
            <w:tcW w:type="dxa" w:w="3360"/>
          </w:tcPr>
          <w:p>
            <w:r>
              <w:t>MADCR-053</w:t>
            </w:r>
          </w:p>
        </w:tc>
        <w:tc>
          <w:tcPr>
            <w:tcW w:type="dxa" w:w="3360"/>
          </w:tcPr>
          <w:p>
            <w:r>
              <w:t>APPROVED / GOVERNING — Capability + Permission + Scope</w:t>
            </w:r>
          </w:p>
        </w:tc>
        <w:tc>
          <w:tcPr>
            <w:tcW w:type="dxa" w:w="3360"/>
          </w:tcPr>
          <w:p>
            <w:r>
              <w:t>FROZEN semantic authorization vocabulary; exact physical IDs downstream</w:t>
            </w:r>
          </w:p>
        </w:tc>
      </w:tr>
      <w:tr>
        <w:tc>
          <w:tcPr>
            <w:tcW w:type="dxa" w:w="3360"/>
          </w:tcPr>
          <w:p>
            <w:r>
              <w:t>MADCR-054</w:t>
            </w:r>
          </w:p>
        </w:tc>
        <w:tc>
          <w:tcPr>
            <w:tcW w:type="dxa" w:w="3360"/>
          </w:tcPr>
          <w:p>
            <w:r>
              <w:t>APPROVED / GOVERNING — Host and Instructor separate capabilities</w:t>
            </w:r>
          </w:p>
        </w:tc>
        <w:tc>
          <w:tcPr>
            <w:tcW w:type="dxa" w:w="3360"/>
          </w:tcPr>
          <w:p>
            <w:r>
              <w:t>FROZEN authorization boundary</w:t>
            </w:r>
          </w:p>
        </w:tc>
      </w:tr>
      <w:tr>
        <w:tc>
          <w:tcPr>
            <w:tcW w:type="dxa" w:w="3360"/>
          </w:tcPr>
          <w:p>
            <w:r>
              <w:t>Provider architecture</w:t>
            </w:r>
          </w:p>
        </w:tc>
        <w:tc>
          <w:tcPr>
            <w:tcW w:type="dxa" w:w="3360"/>
          </w:tcPr>
          <w:p>
            <w:r>
              <w:t>Provider-agnostic; Daily/LiveKit/Zoom/Google Meet/YouTube Live supported behind Adapter</w:t>
            </w:r>
          </w:p>
        </w:tc>
        <w:tc>
          <w:tcPr>
            <w:tcW w:type="dxa" w:w="3360"/>
          </w:tcPr>
          <w:p>
            <w:r>
              <w:t>FROZEN</w:t>
            </w:r>
          </w:p>
        </w:tc>
      </w:tr>
    </w:tbl>
    <w:p>
      <w:pPr>
        <w:pStyle w:val="Heading1"/>
      </w:pPr>
      <w:r>
        <w:t>4. Residual Closure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Current disposition</w:t>
            </w:r>
          </w:p>
        </w:tc>
        <w:tc>
          <w:tcPr>
            <w:tcW w:type="dxa" w:w="3360"/>
            <w:shd w:fill="D9EAF7"/>
          </w:tcPr>
          <w:p>
            <w:r>
              <w:t>Decision / action</w:t>
            </w:r>
          </w:p>
        </w:tc>
      </w:tr>
      <w:tr>
        <w:tc>
          <w:tcPr>
            <w:tcW w:type="dxa" w:w="3360"/>
          </w:tcPr>
          <w:p>
            <w:r>
              <w:t>Session ↔ Event</w:t>
            </w:r>
          </w:p>
        </w:tc>
        <w:tc>
          <w:tcPr>
            <w:tcW w:type="dxa" w:w="3360"/>
          </w:tcPr>
          <w:p>
            <w:r>
              <w:t>RESOLVED FOR CURRENT PHYSICAL CANDIDATE</w:t>
            </w:r>
          </w:p>
        </w:tc>
        <w:tc>
          <w:tcPr>
            <w:tcW w:type="dxa" w:w="3360"/>
          </w:tcPr>
          <w:p>
            <w:r>
              <w:t>0..1 nullable event_id; Event remains discovery/calendar context; EventRegistration remains RSVP.</w:t>
            </w:r>
          </w:p>
        </w:tc>
      </w:tr>
      <w:tr>
        <w:tc>
          <w:tcPr>
            <w:tcW w:type="dxa" w:w="3360"/>
          </w:tcPr>
          <w:p>
            <w:r>
              <w:t>Visibility taxonomy</w:t>
            </w:r>
          </w:p>
        </w:tc>
        <w:tc>
          <w:tcPr>
            <w:tcW w:type="dxa" w:w="3360"/>
          </w:tcPr>
          <w:p>
            <w:r>
              <w:t>RESOLVED SEMANTICALLY</w:t>
            </w:r>
          </w:p>
        </w:tc>
        <w:tc>
          <w:tcPr>
            <w:tcW w:type="dxa" w:w="3360"/>
          </w:tcPr>
          <w:p>
            <w:r>
              <w:t>PUBLIC / ORGANIZATION / PARTNER / PRIVATE. Authorization implementation remains downstream.</w:t>
            </w:r>
          </w:p>
        </w:tc>
      </w:tr>
      <w:tr>
        <w:tc>
          <w:tcPr>
            <w:tcW w:type="dxa" w:w="3360"/>
          </w:tcPr>
          <w:p>
            <w:r>
              <w:t>Session ↔ Organization / Workspace</w:t>
            </w:r>
          </w:p>
        </w:tc>
        <w:tc>
          <w:tcPr>
            <w:tcW w:type="dxa" w:w="3360"/>
          </w:tcPr>
          <w:p>
            <w:r>
              <w:t>RESOLVED SEMANTICALLY; PHYSICAL AUTHORITY CONTROLLED</w:t>
            </w:r>
          </w:p>
        </w:tc>
        <w:tc>
          <w:tcPr>
            <w:tcW w:type="dxa" w:w="3360"/>
          </w:tcPr>
          <w:p>
            <w:r>
              <w:t>Organization is current physical workspace reference where applicable; exact organization authority/cardinality remains constrained by authorization model.</w:t>
            </w:r>
          </w:p>
        </w:tc>
      </w:tr>
      <w:tr>
        <w:tc>
          <w:tcPr>
            <w:tcW w:type="dxa" w:w="3360"/>
          </w:tcPr>
          <w:p>
            <w:r>
              <w:t>Session Enrollment lifecycle</w:t>
            </w:r>
          </w:p>
        </w:tc>
        <w:tc>
          <w:tcPr>
            <w:tcW w:type="dxa" w:w="3360"/>
          </w:tcPr>
          <w:p>
            <w:r>
              <w:t>RESOLVED</w:t>
            </w:r>
          </w:p>
        </w:tc>
        <w:tc>
          <w:tcPr>
            <w:tcW w:type="dxa" w:w="3360"/>
          </w:tcPr>
          <w:p>
            <w:r>
              <w:t>PENDING → ACTIVE → COMPLETED. Payment success is not itself ACTIVE; activation follows applicable entitlement/authorization.</w:t>
            </w:r>
          </w:p>
        </w:tc>
      </w:tr>
      <w:tr>
        <w:tc>
          <w:tcPr>
            <w:tcW w:type="dxa" w:w="3360"/>
          </w:tcPr>
          <w:p>
            <w:r>
              <w:t>Learning Activity handoff</w:t>
            </w:r>
          </w:p>
        </w:tc>
        <w:tc>
          <w:tcPr>
            <w:tcW w:type="dxa" w:w="3360"/>
          </w:tcPr>
          <w:p>
            <w:r>
              <w:t>RESOLVED SEMANTICALLY; PHYSICAL DOWNSTREAM</w:t>
            </w:r>
          </w:p>
        </w:tc>
        <w:tc>
          <w:tcPr>
            <w:tcW w:type="dxa" w:w="3360"/>
          </w:tcPr>
          <w:p>
            <w:r>
              <w:t>Completion Outcome → Learning Activity. No direct LP/credential/title issuance by Session.</w:t>
            </w:r>
          </w:p>
        </w:tc>
      </w:tr>
      <w:tr>
        <w:tc>
          <w:tcPr>
            <w:tcW w:type="dxa" w:w="3360"/>
          </w:tcPr>
          <w:p>
            <w:r>
              <w:t>Attendance formula / thresholds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Do not hardcode. Keep configurable policy/version.</w:t>
            </w:r>
          </w:p>
        </w:tc>
      </w:tr>
      <w:tr>
        <w:tc>
          <w:tcPr>
            <w:tcW w:type="dxa" w:w="3360"/>
          </w:tcPr>
          <w:p>
            <w:r>
              <w:t>Capacity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Do not use M05 events.quota as canonical Session capacity.</w:t>
            </w:r>
          </w:p>
        </w:tc>
      </w:tr>
      <w:tr>
        <w:tc>
          <w:tcPr>
            <w:tcW w:type="dxa" w:w="3360"/>
          </w:tcPr>
          <w:p>
            <w:r>
              <w:t>Recording retention/privacy/replay/transcript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Artifact/reference model remains valid; operational policy still required.</w:t>
            </w:r>
          </w:p>
        </w:tc>
      </w:tr>
      <w:tr>
        <w:tc>
          <w:tcPr>
            <w:tcW w:type="dxa" w:w="3360"/>
          </w:tcPr>
          <w:p>
            <w:r>
              <w:t>Provider exact API/OAuth/event contracts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Capability verified; exact payload/scopes/contracts remain provider implementation work.</w:t>
            </w:r>
          </w:p>
        </w:tc>
      </w:tr>
      <w:tr>
        <w:tc>
          <w:tcPr>
            <w:tcW w:type="dxa" w:w="3360"/>
          </w:tcPr>
          <w:p>
            <w:r>
              <w:t>Automatic provider failover</w:t>
            </w:r>
          </w:p>
        </w:tc>
        <w:tc>
          <w:tcPr>
            <w:tcW w:type="dxa" w:w="3360"/>
          </w:tcPr>
          <w:p>
            <w:r>
              <w:t>OPEN / DEFERRED</w:t>
            </w:r>
          </w:p>
        </w:tc>
        <w:tc>
          <w:tcPr>
            <w:tcW w:type="dxa" w:w="3360"/>
          </w:tcPr>
          <w:p>
            <w:r>
              <w:t>Manual/controlled provider switching continuity remains valid; no automatic failover requirement.</w:t>
            </w:r>
          </w:p>
        </w:tc>
      </w:tr>
      <w:tr>
        <w:tc>
          <w:tcPr>
            <w:tcW w:type="dxa" w:w="3360"/>
          </w:tcPr>
          <w:p>
            <w:r>
              <w:t>Exact physical permission IDs / role_permissions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Semantic taxonomy approved; map only against actual catalogue.</w:t>
            </w:r>
          </w:p>
        </w:tc>
      </w:tr>
      <w:tr>
        <w:tc>
          <w:tcPr>
            <w:tcW w:type="dxa" w:w="3360"/>
          </w:tcPr>
          <w:p>
            <w:r>
              <w:t>RLS runtime behavior</w:t>
            </w:r>
          </w:p>
        </w:tc>
        <w:tc>
          <w:tcPr>
            <w:tcW w:type="dxa" w:w="3360"/>
          </w:tcPr>
          <w:p>
            <w:r>
              <w:t>OPEN / RUNTIME GATE</w:t>
            </w:r>
          </w:p>
        </w:tc>
        <w:tc>
          <w:tcPr>
            <w:tcW w:type="dxa" w:w="3360"/>
          </w:tcPr>
          <w:p>
            <w:r>
              <w:t>Static policy design exists; PostgreSQL staging runtime evidence unavailable in current environment.</w:t>
            </w:r>
          </w:p>
        </w:tc>
      </w:tr>
      <w:tr>
        <w:tc>
          <w:tcPr>
            <w:tcW w:type="dxa" w:w="3360"/>
          </w:tcPr>
          <w:p>
            <w:r>
              <w:t>Physical migration execution</w:t>
            </w:r>
          </w:p>
        </w:tc>
        <w:tc>
          <w:tcPr>
            <w:tcW w:type="dxa" w:w="3360"/>
          </w:tcPr>
          <w:p>
            <w:r>
              <w:t>NOT AUTHORIZED</w:t>
            </w:r>
          </w:p>
        </w:tc>
        <w:tc>
          <w:tcPr>
            <w:tcW w:type="dxa" w:w="3360"/>
          </w:tcPr>
          <w:p>
            <w:r>
              <w:t>Requires runtime verification and explicit authorization.</w:t>
            </w:r>
          </w:p>
        </w:tc>
      </w:tr>
    </w:tbl>
    <w:p>
      <w:pPr>
        <w:pStyle w:val="Heading1"/>
      </w:pPr>
      <w:r>
        <w:t>5. Canonical Technical Model After Closure</w:t>
      </w:r>
    </w:p>
    <w:p>
      <w:pPr>
        <w:pStyle w:val="ListBullet"/>
      </w:pPr>
      <w:r>
        <w:t>Learning Session is a capability inside Learning and remains the semantic System of Record.</w:t>
      </w:r>
    </w:p>
    <w:p>
      <w:pPr>
        <w:pStyle w:val="ListBullet"/>
      </w:pPr>
      <w:r>
        <w:t>Course is content/product structure; Learning Session is execution/session structure.</w:t>
      </w:r>
    </w:p>
    <w:p>
      <w:pPr>
        <w:pStyle w:val="ListBullet"/>
      </w:pPr>
      <w:r>
        <w:t>Course Enrollment, Session Enrollment and Event Registration remain three distinct resources.</w:t>
      </w:r>
    </w:p>
    <w:p>
      <w:pPr>
        <w:pStyle w:val="ListBullet"/>
      </w:pPr>
      <w:r>
        <w:t>Session Enrollment controls learner/session access lifecycle; it is not a payment record.</w:t>
      </w:r>
    </w:p>
    <w:p>
      <w:pPr>
        <w:pStyle w:val="ListBullet"/>
      </w:pPr>
      <w:r>
        <w:t>Event is discovery/calendar/RSVP context; it does not own Session semantics.</w:t>
      </w:r>
    </w:p>
    <w:p>
      <w:pPr>
        <w:pStyle w:val="ListBullet"/>
      </w:pPr>
      <w:r>
        <w:t>Provider Binding is the infrastructure execution association and preserves provider-switch history.</w:t>
      </w:r>
    </w:p>
    <w:p>
      <w:pPr>
        <w:pStyle w:val="ListBullet"/>
      </w:pPr>
      <w:r>
        <w:t>Provider Participation Evidence is normalized/idempotent evidence; provider events are not authoritative outcomes.</w:t>
      </w:r>
    </w:p>
    <w:p>
      <w:pPr>
        <w:pStyle w:val="ListBullet"/>
      </w:pPr>
      <w:r>
        <w:t>Attendance Evaluation is a RUMAHAGEN policy outcome.</w:t>
      </w:r>
    </w:p>
    <w:p>
      <w:pPr>
        <w:pStyle w:val="ListBullet"/>
      </w:pPr>
      <w:r>
        <w:t>Completion Outcome is distinct from Attendance, Learning Points, Competency, Credential and Title.</w:t>
      </w:r>
    </w:p>
    <w:p>
      <w:pPr>
        <w:pStyle w:val="ListBullet"/>
      </w:pPr>
      <w:r>
        <w:t>Completion Outcome may feed Learning Activity; Learning Economy remains the authority for LP processing.</w:t>
      </w:r>
    </w:p>
    <w:p>
      <w:pPr>
        <w:pStyle w:val="ListBullet"/>
      </w:pPr>
      <w:r>
        <w:t>Recording is an optional artifact/reference and is not attendance/completion authority.</w:t>
      </w:r>
    </w:p>
    <w:p>
      <w:pPr>
        <w:pStyle w:val="ListBullet"/>
      </w:pPr>
      <w:r>
        <w:t>Visibility expresses semantic access scope; authorization is enforced through Capability + Permission + Scope plus domain ownership/context.</w:t>
      </w:r>
    </w:p>
    <w:p>
      <w:pPr>
        <w:pStyle w:val="Heading1"/>
      </w:pPr>
      <w:r>
        <w:t>6. Physical Candidate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Physical candidate</w:t>
            </w:r>
          </w:p>
        </w:tc>
        <w:tc>
          <w:tcPr>
            <w:tcW w:type="dxa" w:w="5040"/>
            <w:shd w:fill="D9EAF7"/>
          </w:tcPr>
          <w:p>
            <w:r>
              <w:t>TECH-17 alignment</w:t>
            </w:r>
          </w:p>
        </w:tc>
      </w:tr>
      <w:tr>
        <w:tc>
          <w:tcPr>
            <w:tcW w:type="dxa" w:w="5040"/>
          </w:tcPr>
          <w:p>
            <w:r>
              <w:t>learning_sessions.event_id</w:t>
            </w:r>
          </w:p>
        </w:tc>
        <w:tc>
          <w:tcPr>
            <w:tcW w:type="dxa" w:w="5040"/>
          </w:tcPr>
          <w:p>
            <w:r>
              <w:t>Nullable FK to events.id; one canonical Event at most.</w:t>
            </w:r>
          </w:p>
        </w:tc>
      </w:tr>
      <w:tr>
        <w:tc>
          <w:tcPr>
            <w:tcW w:type="dxa" w:w="5040"/>
          </w:tcPr>
          <w:p>
            <w:r>
              <w:t>learning_sessions.organization_id</w:t>
            </w:r>
          </w:p>
        </w:tc>
        <w:tc>
          <w:tcPr>
            <w:tcW w:type="dxa" w:w="5040"/>
          </w:tcPr>
          <w:p>
            <w:r>
              <w:t>Nullable FK to organizations.id; required for ORGANIZATION visibility.</w:t>
            </w:r>
          </w:p>
        </w:tc>
      </w:tr>
      <w:tr>
        <w:tc>
          <w:tcPr>
            <w:tcW w:type="dxa" w:w="5040"/>
          </w:tcPr>
          <w:p>
            <w:r>
              <w:t>learning_sessions.visibility</w:t>
            </w:r>
          </w:p>
        </w:tc>
        <w:tc>
          <w:tcPr>
            <w:tcW w:type="dxa" w:w="5040"/>
          </w:tcPr>
          <w:p>
            <w:r>
              <w:t>CHECK: public / organization / partner / private.</w:t>
            </w:r>
          </w:p>
        </w:tc>
      </w:tr>
      <w:tr>
        <w:tc>
          <w:tcPr>
            <w:tcW w:type="dxa" w:w="5040"/>
          </w:tcPr>
          <w:p>
            <w:r>
              <w:t>learning_sessions.session_type</w:t>
            </w:r>
          </w:p>
        </w:tc>
        <w:tc>
          <w:tcPr>
            <w:tcW w:type="dxa" w:w="5040"/>
          </w:tcPr>
          <w:p>
            <w:r>
              <w:t>CHECK: broadcast / interactive / on_demand.</w:t>
            </w:r>
          </w:p>
        </w:tc>
      </w:tr>
      <w:tr>
        <w:tc>
          <w:tcPr>
            <w:tcW w:type="dxa" w:w="5040"/>
          </w:tcPr>
          <w:p>
            <w:r>
              <w:t>session_enrollments.status</w:t>
            </w:r>
          </w:p>
        </w:tc>
        <w:tc>
          <w:tcPr>
            <w:tcW w:type="dxa" w:w="5040"/>
          </w:tcPr>
          <w:p>
            <w:r>
              <w:t>CHECK: pending / active / completed.</w:t>
            </w:r>
          </w:p>
        </w:tc>
      </w:tr>
      <w:tr>
        <w:tc>
          <w:tcPr>
            <w:tcW w:type="dxa" w:w="5040"/>
          </w:tcPr>
          <w:p>
            <w:r>
              <w:t>session_provider_bindings</w:t>
            </w:r>
          </w:p>
        </w:tc>
        <w:tc>
          <w:tcPr>
            <w:tcW w:type="dxa" w:w="5040"/>
          </w:tcPr>
          <w:p>
            <w:r>
              <w:t>Separate from Session identity; active binding uniqueness enforced in frozen candidate.</w:t>
            </w:r>
          </w:p>
        </w:tc>
      </w:tr>
      <w:tr>
        <w:tc>
          <w:tcPr>
            <w:tcW w:type="dxa" w:w="5040"/>
          </w:tcPr>
          <w:p>
            <w:r>
              <w:t>session_participation_evidence</w:t>
            </w:r>
          </w:p>
        </w:tc>
        <w:tc>
          <w:tcPr>
            <w:tcW w:type="dxa" w:w="5040"/>
          </w:tcPr>
          <w:p>
            <w:r>
              <w:t>Idempotency key and provider evidence provenance.</w:t>
            </w:r>
          </w:p>
        </w:tc>
      </w:tr>
      <w:tr>
        <w:tc>
          <w:tcPr>
            <w:tcW w:type="dxa" w:w="5040"/>
          </w:tcPr>
          <w:p>
            <w:r>
              <w:t>session_attendance_evaluations</w:t>
            </w:r>
          </w:p>
        </w:tc>
        <w:tc>
          <w:tcPr>
            <w:tcW w:type="dxa" w:w="5040"/>
          </w:tcPr>
          <w:p>
            <w:r>
              <w:t>Policy version + evaluated result.</w:t>
            </w:r>
          </w:p>
        </w:tc>
      </w:tr>
      <w:tr>
        <w:tc>
          <w:tcPr>
            <w:tcW w:type="dxa" w:w="5040"/>
          </w:tcPr>
          <w:p>
            <w:r>
              <w:t>session_completion_outcomes</w:t>
            </w:r>
          </w:p>
        </w:tc>
        <w:tc>
          <w:tcPr>
            <w:tcW w:type="dxa" w:w="5040"/>
          </w:tcPr>
          <w:p>
            <w:r>
              <w:t>Completion policy/evaluation provenance; downstream Activity handoff.</w:t>
            </w:r>
          </w:p>
        </w:tc>
      </w:tr>
      <w:tr>
        <w:tc>
          <w:tcPr>
            <w:tcW w:type="dxa" w:w="5040"/>
          </w:tcPr>
          <w:p>
            <w:r>
              <w:t>session_artifacts</w:t>
            </w:r>
          </w:p>
        </w:tc>
        <w:tc>
          <w:tcPr>
            <w:tcW w:type="dxa" w:w="5040"/>
          </w:tcPr>
          <w:p>
            <w:r>
              <w:t>Provider/source reference; retention policy remains operational residual.</w:t>
            </w:r>
          </w:p>
        </w:tc>
      </w:tr>
    </w:tbl>
    <w:p>
      <w:pPr>
        <w:pStyle w:val="Heading1"/>
      </w:pPr>
      <w:r>
        <w:t>7. Important Correction to Earlier Technical Chain</w:t>
      </w:r>
    </w:p>
    <w:p>
      <w:r>
        <w:t>TECH-17 formally retires the earlier assumption that MADCR-049/053/054 remain governance blockers. They are not to be reopened. MADCR-049 has a user-approved semantic Option A boundary; MADCR-053 and MADCR-054 are governing authorization decisions. What remains open is their downstream physical implementation detail, not their semantic authority.</w:t>
      </w:r>
    </w:p>
    <w:p>
      <w:pPr>
        <w:pStyle w:val="Heading1"/>
      </w:pPr>
      <w:r>
        <w:t>8. No New User Open Decision</w:t>
      </w:r>
    </w:p>
    <w:p>
      <w:r>
        <w:t>No new user decision is required at TECH-17. The unresolved items are implementation/configuration/runtime gates. If a later design needs a concrete attendance formula, capacity policy, recording retention rule, automatic failover, or provider-specific production contract, those should be presented as bounded decisions at the point where the relevant implementation actually requires them.</w:t>
      </w:r>
    </w:p>
    <w:p>
      <w:pPr>
        <w:pStyle w:val="Heading1"/>
      </w:pPr>
      <w:r>
        <w:t>9. Execution / Migration Gate</w:t>
      </w:r>
    </w:p>
    <w:p>
      <w:r>
        <w:t>The physical candidate remains a review artifact. Project-wide synchronization rules prohibit full technical baseline rewrites before all four AEPs are complete. TECH-17 therefore freezes the Session technical delta without rewriting the global ERD/API/RBAC/Architecture baseline. Physical migration remains a separate downstream execution activity.</w:t>
      </w:r>
    </w:p>
    <w:p>
      <w:pPr>
        <w:pStyle w:val="Heading1"/>
      </w:pPr>
      <w:r>
        <w:t>10. Gate Result</w:t>
      </w:r>
    </w:p>
    <w:p>
      <w:r>
        <w:t>TECH-17 = PASS WITH CONTROLLED RESIDUALS. The Learning Session technical model is sufficiently bounded and internally consistent for downstream execution planning. The remaining residuals are explicit and owned: attendance/capacity/media policy, provider implementation contracts, failover, exact physical permission mapping, runtime RLS verification, and migration authorization.</w:t>
      </w:r>
    </w:p>
    <w:p>
      <w:pPr>
        <w:pStyle w:val="Heading1"/>
      </w:pPr>
      <w:r>
        <w:t>11. Next Step — TECH-18</w:t>
      </w:r>
    </w:p>
    <w:p>
      <w:r>
        <w:t>TECH-18 — Technical Execution Authorization Package. Consolidate TECH-13 through TECH-17 into one execution-readiness package: frozen schema candidate, authorization mapping gate, provider adapter contract boundary, validation matrix, rollback requirements, explicit residual register, and staging/production authorization criteria. It will not execute migration unless explicitly authorized.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RUMAHAGEN-AEP4-STEP-16-FINAL-SYNCHRONIZATION-CONSOLIDATED-PACKAGE-v1.0 — residual register and canonical boundaries.</w:t>
      </w:r>
    </w:p>
    <w:p>
      <w:pPr>
        <w:pStyle w:val="ListBullet"/>
      </w:pPr>
      <w:r>
        <w:t>RUMAHAGEN-CROSS-AEP-STEP-02-ARCHITECTURE-DELTA-DEPENDENCY-SPECIFICATION-v1.0 — D3 Learning Session dependency stage.</w:t>
      </w:r>
    </w:p>
    <w:p>
      <w:pPr>
        <w:pStyle w:val="ListBullet"/>
      </w:pPr>
      <w:r>
        <w:t>RUMAHAGEN-AEP4-STEP-06-ERD-LOGICAL-RECONCILIATION-v1.0 — Session/Event/Enrollment separation and open technical residuals.</w:t>
      </w:r>
    </w:p>
    <w:p>
      <w:pPr>
        <w:pStyle w:val="ListBullet"/>
      </w:pPr>
      <w:r>
        <w:t>RUMAHAGEN-AEP4-STEP-07-LOGICAL-SCHEMA-DATA-DICTIONARY-IMPACT-v1.0 — data separation and downstream decisions.</w:t>
      </w:r>
    </w:p>
    <w:p>
      <w:pPr>
        <w:pStyle w:val="ListBullet"/>
      </w:pPr>
      <w:r>
        <w:t>RUMAHAGEN-AEP4-STEP-10-RBAC-PERMISSION-IMPACT-v1.0 — semantic authorization impact.</w:t>
      </w:r>
    </w:p>
    <w:p>
      <w:pPr>
        <w:pStyle w:val="ListBullet"/>
      </w:pPr>
      <w:r>
        <w:t>RUMAHAGEN-TECH-15-R1-PERMISSION-CATALOGUE-RECONCILIATION-v1.0.</w:t>
      </w:r>
    </w:p>
    <w:p>
      <w:pPr>
        <w:pStyle w:val="ListBullet"/>
      </w:pPr>
      <w:r>
        <w:t>RUMAHAGEN-TECH-16-R1-PROVIDER-CAPABILITY-VERIFICATION-v1.0.</w:t>
      </w:r>
    </w:p>
    <w:p>
      <w:pPr>
        <w:pStyle w:val="ListBullet"/>
      </w:pPr>
      <w:r>
        <w:t>RUMAHAGEN-TECH-13-FINAL-MIGRATION-CANDIDATE-v1.0.sql.</w:t>
      </w:r>
    </w:p>
    <w:p>
      <w:pPr>
        <w:pStyle w:val="ListBullet"/>
      </w:pPr>
      <w:r>
        <w:t>Current user-approved MADCR-049 semantic Option A; MADCR-053/054 governing decisions.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