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TECH-18</w:t>
      </w:r>
    </w:p>
    <w:p>
      <w:pPr>
        <w:jc w:val="center"/>
      </w:pPr>
      <w:r>
        <w:rPr>
          <w:i/>
        </w:rPr>
        <w:t>Technical Execution Authorization Consolidation</w:t>
      </w:r>
    </w:p>
    <w:p>
      <w:r>
        <w:rPr>
          <w:b/>
        </w:rPr>
        <w:t xml:space="preserve">Status: </w:t>
      </w:r>
      <w:r>
        <w:t>READY FOR CONTROLLED TECHNICAL DESIGN / EXECUTION GATES; NOT AUTHORIZED FOR PRODUCTION EXECUTION</w:t>
      </w:r>
    </w:p>
    <w:p>
      <w:pPr>
        <w:pStyle w:val="Heading1"/>
      </w:pPr>
      <w:r>
        <w:t>1. Purpose</w:t>
      </w:r>
    </w:p>
    <w:p>
      <w:r>
        <w:t>TECH-18 consolidates the current technical execution state after TECH-13 through TECH-17 and the earlier Technical Execution Authorization Package. It converts the historical T1–T7 gate language into the current TECH-01 onward artifact sequence so the project no longer needs to search for a T5/T6/T7 label. The underlying gate intent is preserved; only the project artifact naming is normalized.</w:t>
      </w:r>
    </w:p>
    <w:p>
      <w:pPr>
        <w:pStyle w:val="Heading1"/>
      </w:pPr>
      <w:r>
        <w:t>2. Source Reconciliation</w:t>
      </w:r>
    </w:p>
    <w:p>
      <w:pPr>
        <w:pStyle w:val="ListBullet"/>
      </w:pPr>
      <w:r>
        <w:t>RUMAHAGEN-TECHNICAL-EXECUTION-AUTHORIZATION-PACKAGE-v1.0 — original T1–T7 execution gate and design rules.</w:t>
      </w:r>
    </w:p>
    <w:p>
      <w:pPr>
        <w:pStyle w:val="ListBullet"/>
      </w:pPr>
      <w:r>
        <w:t>TECH-01 — independent technical/product residual closure.</w:t>
      </w:r>
    </w:p>
    <w:p>
      <w:pPr>
        <w:pStyle w:val="ListBullet"/>
      </w:pPr>
      <w:r>
        <w:t>TECH-13 — final migration candidate and authorization gate.</w:t>
      </w:r>
    </w:p>
    <w:p>
      <w:pPr>
        <w:pStyle w:val="ListBullet"/>
      </w:pPr>
      <w:r>
        <w:t>TECH-14 — staging/runtime verification readiness.</w:t>
      </w:r>
    </w:p>
    <w:p>
      <w:pPr>
        <w:pStyle w:val="ListBullet"/>
      </w:pPr>
      <w:r>
        <w:t>TECH-15-R1 — corrected permission catalogue / authorization reconciliation.</w:t>
      </w:r>
    </w:p>
    <w:p>
      <w:pPr>
        <w:pStyle w:val="ListBullet"/>
      </w:pPr>
      <w:r>
        <w:t>TECH-16-R1 — corrected provider capability verification.</w:t>
      </w:r>
    </w:p>
    <w:p>
      <w:pPr>
        <w:pStyle w:val="ListBullet"/>
      </w:pPr>
      <w:r>
        <w:t>TECH-17 — Learning Session technical residual closure.</w:t>
      </w:r>
    </w:p>
    <w:p>
      <w:pPr>
        <w:pStyle w:val="ListBullet"/>
      </w:pPr>
      <w:r>
        <w:t>TECH-11/12 — migration specification, verification and remediation evidence.</w:t>
      </w:r>
    </w:p>
    <w:p>
      <w:pPr>
        <w:pStyle w:val="ListBullet"/>
      </w:pPr>
      <w:r>
        <w:t>Cross-AEP Step 02 — D0–D6 dependency order and project-wide synchronization restrictions.</w:t>
      </w:r>
    </w:p>
    <w:p>
      <w:pPr>
        <w:pStyle w:val="ListBullet"/>
      </w:pPr>
      <w:r>
        <w:t>AEP4 Step 16 — final semantic state and explicit implementation boundary.</w:t>
      </w:r>
    </w:p>
    <w:p>
      <w:pPr>
        <w:pStyle w:val="Heading1"/>
      </w:pPr>
      <w:r>
        <w:t>3. Naming Normalization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Legacy gate label</w:t>
            </w:r>
          </w:p>
        </w:tc>
        <w:tc>
          <w:tcPr>
            <w:tcW w:type="dxa" w:w="3360"/>
            <w:shd w:fill="D9EAF7"/>
          </w:tcPr>
          <w:p>
            <w:r>
              <w:t>Current artifact interpretation</w:t>
            </w:r>
          </w:p>
        </w:tc>
        <w:tc>
          <w:tcPr>
            <w:tcW w:type="dxa" w:w="3360"/>
            <w:shd w:fill="D9EAF7"/>
          </w:tcPr>
          <w:p>
            <w:r>
              <w:t>Status</w:t>
            </w:r>
          </w:p>
        </w:tc>
      </w:tr>
      <w:tr>
        <w:tc>
          <w:tcPr>
            <w:tcW w:type="dxa" w:w="3360"/>
          </w:tcPr>
          <w:p>
            <w:r>
              <w:t>T1</w:t>
            </w:r>
          </w:p>
        </w:tc>
        <w:tc>
          <w:tcPr>
            <w:tcW w:type="dxa" w:w="3360"/>
          </w:tcPr>
          <w:p>
            <w:r>
              <w:t>TECH-01 — Independent Technical/Product Residual Closure</w:t>
            </w:r>
          </w:p>
        </w:tc>
        <w:tc>
          <w:tcPr>
            <w:tcW w:type="dxa" w:w="3360"/>
          </w:tcPr>
          <w:p>
            <w:r>
              <w:t>CLOSED WITH CONTROLLED RESIDUALS</w:t>
            </w:r>
          </w:p>
        </w:tc>
      </w:tr>
      <w:tr>
        <w:tc>
          <w:tcPr>
            <w:tcW w:type="dxa" w:w="3360"/>
          </w:tcPr>
          <w:p>
            <w:r>
              <w:t>T2</w:t>
            </w:r>
          </w:p>
        </w:tc>
        <w:tc>
          <w:tcPr>
            <w:tcW w:type="dxa" w:w="3360"/>
          </w:tcPr>
          <w:p>
            <w:r>
              <w:t>TECH-15-R1 — Permission Catalogue / Authorization Reconciliation + downstream physical authorization design</w:t>
            </w:r>
          </w:p>
        </w:tc>
        <w:tc>
          <w:tcPr>
            <w:tcW w:type="dxa" w:w="3360"/>
          </w:tcPr>
          <w:p>
            <w:r>
              <w:t>PASS / controlled physical mapping</w:t>
            </w:r>
          </w:p>
        </w:tc>
      </w:tr>
      <w:tr>
        <w:tc>
          <w:tcPr>
            <w:tcW w:type="dxa" w:w="3360"/>
          </w:tcPr>
          <w:p>
            <w:r>
              <w:t>T3</w:t>
            </w:r>
          </w:p>
        </w:tc>
        <w:tc>
          <w:tcPr>
            <w:tcW w:type="dxa" w:w="3360"/>
          </w:tcPr>
          <w:p>
            <w:r>
              <w:t>AEP3 physical design remains separate from Session execution package</w:t>
            </w:r>
          </w:p>
        </w:tc>
        <w:tc>
          <w:tcPr>
            <w:tcW w:type="dxa" w:w="3360"/>
          </w:tcPr>
          <w:p>
            <w:r>
              <w:t>NOT CLOSED BY TECH-18</w:t>
            </w:r>
          </w:p>
        </w:tc>
      </w:tr>
      <w:tr>
        <w:tc>
          <w:tcPr>
            <w:tcW w:type="dxa" w:w="3360"/>
          </w:tcPr>
          <w:p>
            <w:r>
              <w:t>T4</w:t>
            </w:r>
          </w:p>
        </w:tc>
        <w:tc>
          <w:tcPr>
            <w:tcW w:type="dxa" w:w="3360"/>
          </w:tcPr>
          <w:p>
            <w:r>
              <w:t>TECH-16-R1 — Provider Capability Verification + provider production-readiness work</w:t>
            </w:r>
          </w:p>
        </w:tc>
        <w:tc>
          <w:tcPr>
            <w:tcW w:type="dxa" w:w="3360"/>
          </w:tcPr>
          <w:p>
            <w:r>
              <w:t>CAPABILITY PASS; production readiness OPEN</w:t>
            </w:r>
          </w:p>
        </w:tc>
      </w:tr>
      <w:tr>
        <w:tc>
          <w:tcPr>
            <w:tcW w:type="dxa" w:w="3360"/>
          </w:tcPr>
          <w:p>
            <w:r>
              <w:t>T5</w:t>
            </w:r>
          </w:p>
        </w:tc>
        <w:tc>
          <w:tcPr>
            <w:tcW w:type="dxa" w:w="3360"/>
          </w:tcPr>
          <w:p>
            <w:r>
              <w:t>TECH-18 — consolidated execution authorization readiness</w:t>
            </w:r>
          </w:p>
        </w:tc>
        <w:tc>
          <w:tcPr>
            <w:tcW w:type="dxa" w:w="3360"/>
          </w:tcPr>
          <w:p>
            <w:r>
              <w:t>THIS ARTIFACT</w:t>
            </w:r>
          </w:p>
        </w:tc>
      </w:tr>
      <w:tr>
        <w:tc>
          <w:tcPr>
            <w:tcW w:type="dxa" w:w="3360"/>
          </w:tcPr>
          <w:p>
            <w:r>
              <w:t>T6</w:t>
            </w:r>
          </w:p>
        </w:tc>
        <w:tc>
          <w:tcPr>
            <w:tcW w:type="dxa" w:w="3360"/>
          </w:tcPr>
          <w:p>
            <w:r>
              <w:t>Future runtime migration dry-run / controlled execution gate</w:t>
            </w:r>
          </w:p>
        </w:tc>
        <w:tc>
          <w:tcPr>
            <w:tcW w:type="dxa" w:w="3360"/>
          </w:tcPr>
          <w:p>
            <w:r>
              <w:t>NOT AUTHORIZED</w:t>
            </w:r>
          </w:p>
        </w:tc>
      </w:tr>
      <w:tr>
        <w:tc>
          <w:tcPr>
            <w:tcW w:type="dxa" w:w="3360"/>
          </w:tcPr>
          <w:p>
            <w:r>
              <w:t>T7</w:t>
            </w:r>
          </w:p>
        </w:tc>
        <w:tc>
          <w:tcPr>
            <w:tcW w:type="dxa" w:w="3360"/>
          </w:tcPr>
          <w:p>
            <w:r>
              <w:t>Future production provider/payment activation/release gate</w:t>
            </w:r>
          </w:p>
        </w:tc>
        <w:tc>
          <w:tcPr>
            <w:tcW w:type="dxa" w:w="3360"/>
          </w:tcPr>
          <w:p>
            <w:r>
              <w:t>NOT AUTHORIZED</w:t>
            </w:r>
          </w:p>
        </w:tc>
      </w:tr>
    </w:tbl>
    <w:p>
      <w:r>
        <w:t>The project should use TECH-01, TECH-02, … rather than T1, T2, … in subsequent user-facing workflow. Where an older source document contains T1–T7, the legacy labels remain historical traceability only.</w:t>
      </w:r>
    </w:p>
    <w:p>
      <w:pPr>
        <w:pStyle w:val="Heading1"/>
      </w:pPr>
      <w:r>
        <w:t>4. Current Governing Technical Boundaries</w:t>
      </w:r>
    </w:p>
    <w:p>
      <w:pPr>
        <w:pStyle w:val="ListBullet"/>
      </w:pPr>
      <w:r>
        <w:t>Learning Session is the semantic authority; M05 Event remains calendar/presentation/integration context.</w:t>
      </w:r>
    </w:p>
    <w:p>
      <w:pPr>
        <w:pStyle w:val="ListBullet"/>
      </w:pPr>
      <w:r>
        <w:t>Session Enrollment is distinct from M04 Course Enrollment and M05 Event Registration.</w:t>
      </w:r>
    </w:p>
    <w:p>
      <w:pPr>
        <w:pStyle w:val="ListBullet"/>
      </w:pPr>
      <w:r>
        <w:t>Provider Session ID is external infrastructure identity; learning_sessions.id is canonical.</w:t>
      </w:r>
    </w:p>
    <w:p>
      <w:pPr>
        <w:pStyle w:val="ListBullet"/>
      </w:pPr>
      <w:r>
        <w:t>Provider Adapter isolates provider APIs, credentials, events and lifecycle.</w:t>
      </w:r>
    </w:p>
    <w:p>
      <w:pPr>
        <w:pStyle w:val="ListBullet"/>
      </w:pPr>
      <w:r>
        <w:t>Authentication → eligibility/context → authorization → provider access is the access chain.</w:t>
      </w:r>
    </w:p>
    <w:p>
      <w:pPr>
        <w:pStyle w:val="ListBullet"/>
      </w:pPr>
      <w:r>
        <w:t>Provider events are evidence; validation, normalization, correlation and idempotency precede Learning state mutation.</w:t>
      </w:r>
    </w:p>
    <w:p>
      <w:pPr>
        <w:pStyle w:val="ListBullet"/>
      </w:pPr>
      <w:r>
        <w:t>Attendance is owned by RUMAHAGEN policy; provider JOIN does not equal attendance/completion.</w:t>
      </w:r>
    </w:p>
    <w:p>
      <w:pPr>
        <w:pStyle w:val="ListBullet"/>
      </w:pPr>
      <w:r>
        <w:t>Completion is governed and does not directly create LP, competency, credential or Title.</w:t>
      </w:r>
    </w:p>
    <w:p>
      <w:pPr>
        <w:pStyle w:val="ListBullet"/>
      </w:pPr>
      <w:r>
        <w:t>MADCR-049 current user-approved semantic boundary: qualifying Course/Module completion is represented through Learning Activity; Activity is the completion/reward boundary; physical Activity/API remains downstream.</w:t>
      </w:r>
    </w:p>
    <w:p>
      <w:pPr>
        <w:pStyle w:val="ListBullet"/>
      </w:pPr>
      <w:r>
        <w:t>MADCR-053 is governing: Capability + Permission + Scope, with Role as actor grouping; exact physical permission IDs remain downstream.</w:t>
      </w:r>
    </w:p>
    <w:p>
      <w:pPr>
        <w:pStyle w:val="ListBullet"/>
      </w:pPr>
      <w:r>
        <w:t>MADCR-054 is governing: Host and Instructor are separate capabilities; Instructor does not imply Host.</w:t>
      </w:r>
    </w:p>
    <w:p>
      <w:pPr>
        <w:pStyle w:val="ListBullet"/>
      </w:pPr>
      <w:r>
        <w:t>Provider switching preserves canonical Session identity/history; automatic failover remains deferred.</w:t>
      </w:r>
    </w:p>
    <w:p>
      <w:pPr>
        <w:pStyle w:val="Heading1"/>
      </w:pPr>
      <w:r>
        <w:t>5. Execution Readiness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Gate</w:t>
            </w:r>
          </w:p>
        </w:tc>
        <w:tc>
          <w:tcPr>
            <w:tcW w:type="dxa" w:w="2520"/>
            <w:shd w:fill="D9EAF7"/>
          </w:tcPr>
          <w:p>
            <w:r>
              <w:t>Current result</w:t>
            </w:r>
          </w:p>
        </w:tc>
        <w:tc>
          <w:tcPr>
            <w:tcW w:type="dxa" w:w="2520"/>
            <w:shd w:fill="D9EAF7"/>
          </w:tcPr>
          <w:p>
            <w:r>
              <w:t>Blocking?</w:t>
            </w:r>
          </w:p>
        </w:tc>
        <w:tc>
          <w:tcPr>
            <w:tcW w:type="dxa" w:w="2520"/>
            <w:shd w:fill="D9EAF7"/>
          </w:tcPr>
          <w:p>
            <w:r>
              <w:t>Required closure</w:t>
            </w:r>
          </w:p>
        </w:tc>
      </w:tr>
      <w:tr>
        <w:tc>
          <w:tcPr>
            <w:tcW w:type="dxa" w:w="2520"/>
          </w:tcPr>
          <w:p>
            <w:r>
              <w:t>TECH-01 residual semantics</w:t>
            </w:r>
          </w:p>
        </w:tc>
        <w:tc>
          <w:tcPr>
            <w:tcW w:type="dxa" w:w="2520"/>
          </w:tcPr>
          <w:p>
            <w:r>
              <w:t>CLOSED WITH CONTROLLED RESIDUALS</w:t>
            </w:r>
          </w:p>
        </w:tc>
        <w:tc>
          <w:tcPr>
            <w:tcW w:type="dxa" w:w="2520"/>
          </w:tcPr>
          <w:p>
            <w:r>
              <w:t>No for technical design</w:t>
            </w:r>
          </w:p>
        </w:tc>
        <w:tc>
          <w:tcPr>
            <w:tcW w:type="dxa" w:w="2520"/>
          </w:tcPr>
          <w:p>
            <w:r>
              <w:t>Carry attendance/capacity/media policy details.</w:t>
            </w:r>
          </w:p>
        </w:tc>
      </w:tr>
      <w:tr>
        <w:tc>
          <w:tcPr>
            <w:tcW w:type="dxa" w:w="2520"/>
          </w:tcPr>
          <w:p>
            <w:r>
              <w:t>TECH-13 frozen SQL candidate</w:t>
            </w:r>
          </w:p>
        </w:tc>
        <w:tc>
          <w:tcPr>
            <w:tcW w:type="dxa" w:w="2520"/>
          </w:tcPr>
          <w:p>
            <w:r>
              <w:t>PASS / FROZEN</w:t>
            </w:r>
          </w:p>
        </w:tc>
        <w:tc>
          <w:tcPr>
            <w:tcW w:type="dxa" w:w="2520"/>
          </w:tcPr>
          <w:p>
            <w:r>
              <w:t>Yes for runtime execution only</w:t>
            </w:r>
          </w:p>
        </w:tc>
        <w:tc>
          <w:tcPr>
            <w:tcW w:type="dxa" w:w="2520"/>
          </w:tcPr>
          <w:p>
            <w:r>
              <w:t>Use exact candidate; no silent edits.</w:t>
            </w:r>
          </w:p>
        </w:tc>
      </w:tr>
      <w:tr>
        <w:tc>
          <w:tcPr>
            <w:tcW w:type="dxa" w:w="2520"/>
          </w:tcPr>
          <w:p>
            <w:r>
              <w:t>TECH-14 runtime environment</w:t>
            </w:r>
          </w:p>
        </w:tc>
        <w:tc>
          <w:tcPr>
            <w:tcW w:type="dxa" w:w="2520"/>
          </w:tcPr>
          <w:p>
            <w:r>
              <w:t>NOT EXECUTED</w:t>
            </w:r>
          </w:p>
        </w:tc>
        <w:tc>
          <w:tcPr>
            <w:tcW w:type="dxa" w:w="2520"/>
          </w:tcPr>
          <w:p>
            <w:r>
              <w:t>YES</w:t>
            </w:r>
          </w:p>
        </w:tc>
        <w:tc>
          <w:tcPr>
            <w:tcW w:type="dxa" w:w="2520"/>
          </w:tcPr>
          <w:p>
            <w:r>
              <w:t>Provide disposable/staging PostgreSQL and capture evidence.</w:t>
            </w:r>
          </w:p>
        </w:tc>
      </w:tr>
      <w:tr>
        <w:tc>
          <w:tcPr>
            <w:tcW w:type="dxa" w:w="2520"/>
          </w:tcPr>
          <w:p>
            <w:r>
              <w:t>TECH-15-R1 semantic authorization</w:t>
            </w:r>
          </w:p>
        </w:tc>
        <w:tc>
          <w:tcPr>
            <w:tcW w:type="dxa" w:w="2520"/>
          </w:tcPr>
          <w:p>
            <w:r>
              <w:t>PASS</w:t>
            </w:r>
          </w:p>
        </w:tc>
        <w:tc>
          <w:tcPr>
            <w:tcW w:type="dxa" w:w="2520"/>
          </w:tcPr>
          <w:p>
            <w:r>
              <w:t>No</w:t>
            </w:r>
          </w:p>
        </w:tc>
        <w:tc>
          <w:tcPr>
            <w:tcW w:type="dxa" w:w="2520"/>
          </w:tcPr>
          <w:p>
            <w:r>
              <w:t>Use approved MADCR-053/054.</w:t>
            </w:r>
          </w:p>
        </w:tc>
      </w:tr>
      <w:tr>
        <w:tc>
          <w:tcPr>
            <w:tcW w:type="dxa" w:w="2520"/>
          </w:tcPr>
          <w:p>
            <w:r>
              <w:t>Physical permission IDs</w:t>
            </w:r>
          </w:p>
        </w:tc>
        <w:tc>
          <w:tcPr>
            <w:tcW w:type="dxa" w:w="2520"/>
          </w:tcPr>
          <w:p>
            <w:r>
              <w:t>CONTROLLED OPEN</w:t>
            </w:r>
          </w:p>
        </w:tc>
        <w:tc>
          <w:tcPr>
            <w:tcW w:type="dxa" w:w="2520"/>
          </w:tcPr>
          <w:p>
            <w:r>
              <w:t>YES for authorization implementation</w:t>
            </w:r>
          </w:p>
        </w:tc>
        <w:tc>
          <w:tcPr>
            <w:tcW w:type="dxa" w:w="2520"/>
          </w:tcPr>
          <w:p>
            <w:r>
              <w:t>Directly map against actual current catalogue; do not invent IDs.</w:t>
            </w:r>
          </w:p>
        </w:tc>
      </w:tr>
      <w:tr>
        <w:tc>
          <w:tcPr>
            <w:tcW w:type="dxa" w:w="2520"/>
          </w:tcPr>
          <w:p>
            <w:r>
              <w:t>role_permissions mapping</w:t>
            </w:r>
          </w:p>
        </w:tc>
        <w:tc>
          <w:tcPr>
            <w:tcW w:type="dxa" w:w="2520"/>
          </w:tcPr>
          <w:p>
            <w:r>
              <w:t>CONTROLLED OPEN</w:t>
            </w:r>
          </w:p>
        </w:tc>
        <w:tc>
          <w:tcPr>
            <w:tcW w:type="dxa" w:w="2520"/>
          </w:tcPr>
          <w:p>
            <w:r>
              <w:t>YES for final RBAC</w:t>
            </w:r>
          </w:p>
        </w:tc>
        <w:tc>
          <w:tcPr>
            <w:tcW w:type="dxa" w:w="2520"/>
          </w:tcPr>
          <w:p>
            <w:r>
              <w:t>Reconcile capability + permission + scope + actor/role.</w:t>
            </w:r>
          </w:p>
        </w:tc>
      </w:tr>
      <w:tr>
        <w:tc>
          <w:tcPr>
            <w:tcW w:type="dxa" w:w="2520"/>
          </w:tcPr>
          <w:p>
            <w:r>
              <w:t>RLS runtime verification</w:t>
            </w:r>
          </w:p>
        </w:tc>
        <w:tc>
          <w:tcPr>
            <w:tcW w:type="dxa" w:w="2520"/>
          </w:tcPr>
          <w:p>
            <w:r>
              <w:t>NOT EXECUTED</w:t>
            </w:r>
          </w:p>
        </w:tc>
        <w:tc>
          <w:tcPr>
            <w:tcW w:type="dxa" w:w="2520"/>
          </w:tcPr>
          <w:p>
            <w:r>
              <w:t>YES</w:t>
            </w:r>
          </w:p>
        </w:tc>
        <w:tc>
          <w:tcPr>
            <w:tcW w:type="dxa" w:w="2520"/>
          </w:tcPr>
          <w:p>
            <w:r>
              <w:t>Staging test with member/non-member/owner/learner/privileged cases.</w:t>
            </w:r>
          </w:p>
        </w:tc>
      </w:tr>
      <w:tr>
        <w:tc>
          <w:tcPr>
            <w:tcW w:type="dxa" w:w="2520"/>
          </w:tcPr>
          <w:p>
            <w:r>
              <w:t>TECH-16-R1 provider capability</w:t>
            </w:r>
          </w:p>
        </w:tc>
        <w:tc>
          <w:tcPr>
            <w:tcW w:type="dxa" w:w="2520"/>
          </w:tcPr>
          <w:p>
            <w:r>
              <w:t>PASS</w:t>
            </w:r>
          </w:p>
        </w:tc>
        <w:tc>
          <w:tcPr>
            <w:tcW w:type="dxa" w:w="2520"/>
          </w:tcPr>
          <w:p>
            <w:r>
              <w:t>No for architecture</w:t>
            </w:r>
          </w:p>
        </w:tc>
        <w:tc>
          <w:tcPr>
            <w:tcW w:type="dxa" w:w="2520"/>
          </w:tcPr>
          <w:p>
            <w:r>
              <w:t>Provider implementation contracts remain provider gate.</w:t>
            </w:r>
          </w:p>
        </w:tc>
      </w:tr>
      <w:tr>
        <w:tc>
          <w:tcPr>
            <w:tcW w:type="dxa" w:w="2520"/>
          </w:tcPr>
          <w:p>
            <w:r>
              <w:t>Provider production readiness</w:t>
            </w:r>
          </w:p>
        </w:tc>
        <w:tc>
          <w:tcPr>
            <w:tcW w:type="dxa" w:w="2520"/>
          </w:tcPr>
          <w:p>
            <w:r>
              <w:t>OPEN</w:t>
            </w:r>
          </w:p>
        </w:tc>
        <w:tc>
          <w:tcPr>
            <w:tcW w:type="dxa" w:w="2520"/>
          </w:tcPr>
          <w:p>
            <w:r>
              <w:t>YES for production provider activation</w:t>
            </w:r>
          </w:p>
        </w:tc>
        <w:tc>
          <w:tcPr>
            <w:tcW w:type="dxa" w:w="2520"/>
          </w:tcPr>
          <w:p>
            <w:r>
              <w:t>OAuth/scopes/plans/webhooks/recording/operational tests.</w:t>
            </w:r>
          </w:p>
        </w:tc>
      </w:tr>
      <w:tr>
        <w:tc>
          <w:tcPr>
            <w:tcW w:type="dxa" w:w="2520"/>
          </w:tcPr>
          <w:p>
            <w:r>
              <w:t>AEP4-OD-08 automatic failover</w:t>
            </w:r>
          </w:p>
        </w:tc>
        <w:tc>
          <w:tcPr>
            <w:tcW w:type="dxa" w:w="2520"/>
          </w:tcPr>
          <w:p>
            <w:r>
              <w:t>OPEN/DEFERRED</w:t>
            </w:r>
          </w:p>
        </w:tc>
        <w:tc>
          <w:tcPr>
            <w:tcW w:type="dxa" w:w="2520"/>
          </w:tcPr>
          <w:p>
            <w:r>
              <w:t>No for MVP</w:t>
            </w:r>
          </w:p>
        </w:tc>
        <w:tc>
          <w:tcPr>
            <w:tcW w:type="dxa" w:w="2520"/>
          </w:tcPr>
          <w:p>
            <w:r>
              <w:t>Do not implement as mandatory.</w:t>
            </w:r>
          </w:p>
        </w:tc>
      </w:tr>
      <w:tr>
        <w:tc>
          <w:tcPr>
            <w:tcW w:type="dxa" w:w="2520"/>
          </w:tcPr>
          <w:p>
            <w:r>
              <w:t>Recording policy</w:t>
            </w:r>
          </w:p>
        </w:tc>
        <w:tc>
          <w:tcPr>
            <w:tcW w:type="dxa" w:w="2520"/>
          </w:tcPr>
          <w:p>
            <w:r>
              <w:t>CONTROLLED OPEN</w:t>
            </w:r>
          </w:p>
        </w:tc>
        <w:tc>
          <w:tcPr>
            <w:tcW w:type="dxa" w:w="2520"/>
          </w:tcPr>
          <w:p>
            <w:r>
              <w:t>YES for recording release</w:t>
            </w:r>
          </w:p>
        </w:tc>
        <w:tc>
          <w:tcPr>
            <w:tcW w:type="dxa" w:w="2520"/>
          </w:tcPr>
          <w:p>
            <w:r>
              <w:t>Retention/privacy/replay/transcript policy.</w:t>
            </w:r>
          </w:p>
        </w:tc>
      </w:tr>
      <w:tr>
        <w:tc>
          <w:tcPr>
            <w:tcW w:type="dxa" w:w="2520"/>
          </w:tcPr>
          <w:p>
            <w:r>
              <w:t>Attendance parameters</w:t>
            </w:r>
          </w:p>
        </w:tc>
        <w:tc>
          <w:tcPr>
            <w:tcW w:type="dxa" w:w="2520"/>
          </w:tcPr>
          <w:p>
            <w:r>
              <w:t>CONTROLLED OPEN</w:t>
            </w:r>
          </w:p>
        </w:tc>
        <w:tc>
          <w:tcPr>
            <w:tcW w:type="dxa" w:w="2520"/>
          </w:tcPr>
          <w:p>
            <w:r>
              <w:t>YES for final behavior</w:t>
            </w:r>
          </w:p>
        </w:tc>
        <w:tc>
          <w:tcPr>
            <w:tcW w:type="dxa" w:w="2520"/>
          </w:tcPr>
          <w:p>
            <w:r>
              <w:t>Configure; no unresolved constants.</w:t>
            </w:r>
          </w:p>
        </w:tc>
      </w:tr>
      <w:tr>
        <w:tc>
          <w:tcPr>
            <w:tcW w:type="dxa" w:w="2520"/>
          </w:tcPr>
          <w:p>
            <w:r>
              <w:t>Capacity policy</w:t>
            </w:r>
          </w:p>
        </w:tc>
        <w:tc>
          <w:tcPr>
            <w:tcW w:type="dxa" w:w="2520"/>
          </w:tcPr>
          <w:p>
            <w:r>
              <w:t>CONTROLLED OPEN</w:t>
            </w:r>
          </w:p>
        </w:tc>
        <w:tc>
          <w:tcPr>
            <w:tcW w:type="dxa" w:w="2520"/>
          </w:tcPr>
          <w:p>
            <w:r>
              <w:t>YES for capacity enforcement</w:t>
            </w:r>
          </w:p>
        </w:tc>
        <w:tc>
          <w:tcPr>
            <w:tcW w:type="dxa" w:w="2520"/>
          </w:tcPr>
          <w:p>
            <w:r>
              <w:t>Per Session Type; do not reuse M05 event quota.</w:t>
            </w:r>
          </w:p>
        </w:tc>
      </w:tr>
      <w:tr>
        <w:tc>
          <w:tcPr>
            <w:tcW w:type="dxa" w:w="2520"/>
          </w:tcPr>
          <w:p>
            <w:r>
              <w:t>Learning Activity physical handoff</w:t>
            </w:r>
          </w:p>
        </w:tc>
        <w:tc>
          <w:tcPr>
            <w:tcW w:type="dxa" w:w="2520"/>
          </w:tcPr>
          <w:p>
            <w:r>
              <w:t>APPROVED semantic / downstream physical</w:t>
            </w:r>
          </w:p>
        </w:tc>
        <w:tc>
          <w:tcPr>
            <w:tcW w:type="dxa" w:w="2520"/>
          </w:tcPr>
          <w:p>
            <w:r>
              <w:t>YES for completion integration</w:t>
            </w:r>
          </w:p>
        </w:tc>
        <w:tc>
          <w:tcPr>
            <w:tcW w:type="dxa" w:w="2520"/>
          </w:tcPr>
          <w:p>
            <w:r>
              <w:t>Define physical Activity/API contract at owning gate.</w:t>
            </w:r>
          </w:p>
        </w:tc>
      </w:tr>
      <w:tr>
        <w:tc>
          <w:tcPr>
            <w:tcW w:type="dxa" w:w="2520"/>
          </w:tcPr>
          <w:p>
            <w:r>
              <w:t>Production migration authorization</w:t>
            </w:r>
          </w:p>
        </w:tc>
        <w:tc>
          <w:tcPr>
            <w:tcW w:type="dxa" w:w="2520"/>
          </w:tcPr>
          <w:p>
            <w:r>
              <w:t>NOT GRANTED</w:t>
            </w:r>
          </w:p>
        </w:tc>
        <w:tc>
          <w:tcPr>
            <w:tcW w:type="dxa" w:w="2520"/>
          </w:tcPr>
          <w:p>
            <w:r>
              <w:t>YES</w:t>
            </w:r>
          </w:p>
        </w:tc>
        <w:tc>
          <w:tcPr>
            <w:tcW w:type="dxa" w:w="2520"/>
          </w:tcPr>
          <w:p>
            <w:r>
              <w:t>Explicit release authorization after runtime evidence.</w:t>
            </w:r>
          </w:p>
        </w:tc>
      </w:tr>
    </w:tbl>
    <w:p>
      <w:pPr>
        <w:pStyle w:val="Heading1"/>
      </w:pPr>
      <w:r>
        <w:t>6. Frozen Migration Candidate</w:t>
      </w:r>
    </w:p>
    <w:p>
      <w:r>
        <w:t>The TECH-13 SQL candidate remains the frozen migration artifact. TECH-18 does not modify it. The candidate is additive to the M01–M13 baseline and introduces seven Session resources. Existing M04/M05/Organization/Event structures are not repurposed. Any future change to the candidate must produce a new controlled revision and re-enter the verification gate.</w:t>
      </w:r>
    </w:p>
    <w:p>
      <w:pPr>
        <w:pStyle w:val="Heading1"/>
      </w:pPr>
      <w:r>
        <w:t>7. Required Validation Evidence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Validation family</w:t>
            </w:r>
          </w:p>
        </w:tc>
        <w:tc>
          <w:tcPr>
            <w:tcW w:type="dxa" w:w="5040"/>
            <w:shd w:fill="D9EAF7"/>
          </w:tcPr>
          <w:p>
            <w:r>
              <w:t>Minimum evidence</w:t>
            </w:r>
          </w:p>
        </w:tc>
      </w:tr>
      <w:tr>
        <w:tc>
          <w:tcPr>
            <w:tcW w:type="dxa" w:w="5040"/>
          </w:tcPr>
          <w:p>
            <w:r>
              <w:t>Schema/FK</w:t>
            </w:r>
          </w:p>
        </w:tc>
        <w:tc>
          <w:tcPr>
            <w:tcW w:type="dxa" w:w="5040"/>
          </w:tcPr>
          <w:p>
            <w:r>
              <w:t>Seven resources created; FK/check/index constraints pass.</w:t>
            </w:r>
          </w:p>
        </w:tc>
      </w:tr>
      <w:tr>
        <w:tc>
          <w:tcPr>
            <w:tcW w:type="dxa" w:w="5040"/>
          </w:tcPr>
          <w:p>
            <w:r>
              <w:t>Lifecycle</w:t>
            </w:r>
          </w:p>
        </w:tc>
        <w:tc>
          <w:tcPr>
            <w:tcW w:type="dxa" w:w="5040"/>
          </w:tcPr>
          <w:p>
            <w:r>
              <w:t>Session lifecycle and Session Enrollment lifecycle remain distinct; learner cannot self-promote status.</w:t>
            </w:r>
          </w:p>
        </w:tc>
      </w:tr>
      <w:tr>
        <w:tc>
          <w:tcPr>
            <w:tcW w:type="dxa" w:w="5040"/>
          </w:tcPr>
          <w:p>
            <w:r>
              <w:t>Visibility</w:t>
            </w:r>
          </w:p>
        </w:tc>
        <w:tc>
          <w:tcPr>
            <w:tcW w:type="dxa" w:w="5040"/>
          </w:tcPr>
          <w:p>
            <w:r>
              <w:t>PUBLIC/ORGANIZATION/PARTNER/PRIVATE behavior matches approved semantic model and authorization context.</w:t>
            </w:r>
          </w:p>
        </w:tc>
      </w:tr>
      <w:tr>
        <w:tc>
          <w:tcPr>
            <w:tcW w:type="dxa" w:w="5040"/>
          </w:tcPr>
          <w:p>
            <w:r>
              <w:t>Organization scope</w:t>
            </w:r>
          </w:p>
        </w:tc>
        <w:tc>
          <w:tcPr>
            <w:tcW w:type="dxa" w:w="5040"/>
          </w:tcPr>
          <w:p>
            <w:r>
              <w:t>Non-member cannot gain access by supplying organization_id.</w:t>
            </w:r>
          </w:p>
        </w:tc>
      </w:tr>
      <w:tr>
        <w:tc>
          <w:tcPr>
            <w:tcW w:type="dxa" w:w="5040"/>
          </w:tcPr>
          <w:p>
            <w:r>
              <w:t>Private access</w:t>
            </w:r>
          </w:p>
        </w:tc>
        <w:tc>
          <w:tcPr>
            <w:tcW w:type="dxa" w:w="5040"/>
          </w:tcPr>
          <w:p>
            <w:r>
              <w:t>Authentication alone does not grant PRIVATE access.</w:t>
            </w:r>
          </w:p>
        </w:tc>
      </w:tr>
      <w:tr>
        <w:tc>
          <w:tcPr>
            <w:tcW w:type="dxa" w:w="5040"/>
          </w:tcPr>
          <w:p>
            <w:r>
              <w:t>Provider binding</w:t>
            </w:r>
          </w:p>
        </w:tc>
        <w:tc>
          <w:tcPr>
            <w:tcW w:type="dxa" w:w="5040"/>
          </w:tcPr>
          <w:p>
            <w:r>
              <w:t>At most one active/pending binding per Session; replacement preserves history and Session identity.</w:t>
            </w:r>
          </w:p>
        </w:tc>
      </w:tr>
      <w:tr>
        <w:tc>
          <w:tcPr>
            <w:tcW w:type="dxa" w:w="5040"/>
          </w:tcPr>
          <w:p>
            <w:r>
              <w:t>Evidence</w:t>
            </w:r>
          </w:p>
        </w:tc>
        <w:tc>
          <w:tcPr>
            <w:tcW w:type="dxa" w:w="5040"/>
          </w:tcPr>
          <w:p>
            <w:r>
              <w:t>Duplicate/out-of-order provider events are idempotently handled.</w:t>
            </w:r>
          </w:p>
        </w:tc>
      </w:tr>
      <w:tr>
        <w:tc>
          <w:tcPr>
            <w:tcW w:type="dxa" w:w="5040"/>
          </w:tcPr>
          <w:p>
            <w:r>
              <w:t>Attendance/completion</w:t>
            </w:r>
          </w:p>
        </w:tc>
        <w:tc>
          <w:tcPr>
            <w:tcW w:type="dxa" w:w="5040"/>
          </w:tcPr>
          <w:p>
            <w:r>
              <w:t>Provider evidence does not directly establish completion; governed evaluation is reconstructable.</w:t>
            </w:r>
          </w:p>
        </w:tc>
      </w:tr>
      <w:tr>
        <w:tc>
          <w:tcPr>
            <w:tcW w:type="dxa" w:w="5040"/>
          </w:tcPr>
          <w:p>
            <w:r>
              <w:t>Artifact</w:t>
            </w:r>
          </w:p>
        </w:tc>
        <w:tc>
          <w:tcPr>
            <w:tcW w:type="dxa" w:w="5040"/>
          </w:tcPr>
          <w:p>
            <w:r>
              <w:t>Artifact access policy is explicit for owner/organization/enrolled learner before recording release.</w:t>
            </w:r>
          </w:p>
        </w:tc>
      </w:tr>
      <w:tr>
        <w:tc>
          <w:tcPr>
            <w:tcW w:type="dxa" w:w="5040"/>
          </w:tcPr>
          <w:p>
            <w:r>
              <w:t>Legacy isolation</w:t>
            </w:r>
          </w:p>
        </w:tc>
        <w:tc>
          <w:tcPr>
            <w:tcW w:type="dxa" w:w="5040"/>
          </w:tcPr>
          <w:p>
            <w:r>
              <w:t>M04 enrollments and M05 event_registrations remain unchanged.</w:t>
            </w:r>
          </w:p>
        </w:tc>
      </w:tr>
      <w:tr>
        <w:tc>
          <w:tcPr>
            <w:tcW w:type="dxa" w:w="5040"/>
          </w:tcPr>
          <w:p>
            <w:r>
              <w:t>Rollback</w:t>
            </w:r>
          </w:p>
        </w:tc>
        <w:tc>
          <w:tcPr>
            <w:tcW w:type="dxa" w:w="5040"/>
          </w:tcPr>
          <w:p>
            <w:r>
              <w:t>New resources can be removed in reverse dependency order without altering legacy rows.</w:t>
            </w:r>
          </w:p>
        </w:tc>
      </w:tr>
      <w:tr>
        <w:tc>
          <w:tcPr>
            <w:tcW w:type="dxa" w:w="5040"/>
          </w:tcPr>
          <w:p>
            <w:r>
              <w:t>Performance</w:t>
            </w:r>
          </w:p>
        </w:tc>
        <w:tc>
          <w:tcPr>
            <w:tcW w:type="dxa" w:w="5040"/>
          </w:tcPr>
          <w:p>
            <w:r>
              <w:t>Migration duration/lock impact recorded in staging.</w:t>
            </w:r>
          </w:p>
        </w:tc>
      </w:tr>
    </w:tbl>
    <w:p>
      <w:pPr>
        <w:pStyle w:val="Heading1"/>
      </w:pPr>
      <w:r>
        <w:t>8. Rollback / Safety</w:t>
      </w:r>
    </w:p>
    <w:p>
      <w:pPr>
        <w:pStyle w:val="ListBullet"/>
      </w:pPr>
      <w:r>
        <w:t>Disable Session APIs/feature flag before rollback.</w:t>
      </w:r>
    </w:p>
    <w:p>
      <w:pPr>
        <w:pStyle w:val="ListBullet"/>
      </w:pPr>
      <w:r>
        <w:t>Stop provider ingestion into new Session resources.</w:t>
      </w:r>
    </w:p>
    <w:p>
      <w:pPr>
        <w:pStyle w:val="ListBullet"/>
      </w:pPr>
      <w:r>
        <w:t>Retain/export any staging/non-production evidence needed for audit.</w:t>
      </w:r>
    </w:p>
    <w:p>
      <w:pPr>
        <w:pStyle w:val="ListBullet"/>
      </w:pPr>
      <w:r>
        <w:t>Remove new RLS policies in reverse dependency order.</w:t>
      </w:r>
    </w:p>
    <w:p>
      <w:pPr>
        <w:pStyle w:val="ListBullet"/>
      </w:pPr>
      <w:r>
        <w:t>Drop child Session tables before learning_sessions.</w:t>
      </w:r>
    </w:p>
    <w:p>
      <w:pPr>
        <w:pStyle w:val="ListBullet"/>
      </w:pPr>
      <w:r>
        <w:t>Do not alter M04/M05/Organization/Event legacy rows.</w:t>
      </w:r>
    </w:p>
    <w:p>
      <w:pPr>
        <w:pStyle w:val="ListBullet"/>
      </w:pPr>
      <w:r>
        <w:t>Run baseline smoke tests after rollback.</w:t>
      </w:r>
    </w:p>
    <w:p>
      <w:pPr>
        <w:pStyle w:val="Heading1"/>
      </w:pPr>
      <w:r>
        <w:t>9. Authorization Decision</w:t>
      </w:r>
    </w:p>
    <w:p>
      <w:r>
        <w:t>TECH-18 does not authorize production execution. It authorizes progression into the remaining controlled technical gates. The project is READY FOR CONTROLLED TECHNICAL DESIGN and staging preparation, but NOT READY FOR PHYSICAL PRODUCTION EXECUTION.</w:t>
      </w:r>
    </w:p>
    <w:p>
      <w:pPr>
        <w:pStyle w:val="Heading1"/>
      </w:pPr>
      <w:r>
        <w:t>10. Open / Controlled Residual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Residual</w:t>
            </w:r>
          </w:p>
        </w:tc>
        <w:tc>
          <w:tcPr>
            <w:tcW w:type="dxa" w:w="3360"/>
            <w:shd w:fill="D9EAF7"/>
          </w:tcPr>
          <w:p>
            <w:r>
              <w:t>Owner/gate</w:t>
            </w:r>
          </w:p>
        </w:tc>
        <w:tc>
          <w:tcPr>
            <w:tcW w:type="dxa" w:w="3360"/>
            <w:shd w:fill="D9EAF7"/>
          </w:tcPr>
          <w:p>
            <w:r>
              <w:t>State</w:t>
            </w:r>
          </w:p>
        </w:tc>
      </w:tr>
      <w:tr>
        <w:tc>
          <w:tcPr>
            <w:tcW w:type="dxa" w:w="3360"/>
          </w:tcPr>
          <w:p>
            <w:r>
              <w:t>Exact permission IDs + role_permissions</w:t>
            </w:r>
          </w:p>
        </w:tc>
        <w:tc>
          <w:tcPr>
            <w:tcW w:type="dxa" w:w="3360"/>
          </w:tcPr>
          <w:p>
            <w:r>
              <w:t>Authorization/RBAC gate</w:t>
            </w:r>
          </w:p>
        </w:tc>
        <w:tc>
          <w:tcPr>
            <w:tcW w:type="dxa" w:w="3360"/>
          </w:tcPr>
          <w:p>
            <w:r>
              <w:t>CONTROLLED OPEN</w:t>
            </w:r>
          </w:p>
        </w:tc>
      </w:tr>
      <w:tr>
        <w:tc>
          <w:tcPr>
            <w:tcW w:type="dxa" w:w="3360"/>
          </w:tcPr>
          <w:p>
            <w:r>
              <w:t>RLS runtime behavior</w:t>
            </w:r>
          </w:p>
        </w:tc>
        <w:tc>
          <w:tcPr>
            <w:tcW w:type="dxa" w:w="3360"/>
          </w:tcPr>
          <w:p>
            <w:r>
              <w:t>Staging runtime gate</w:t>
            </w:r>
          </w:p>
        </w:tc>
        <w:tc>
          <w:tcPr>
            <w:tcW w:type="dxa" w:w="3360"/>
          </w:tcPr>
          <w:p>
            <w:r>
              <w:t>OPEN</w:t>
            </w:r>
          </w:p>
        </w:tc>
      </w:tr>
      <w:tr>
        <w:tc>
          <w:tcPr>
            <w:tcW w:type="dxa" w:w="3360"/>
          </w:tcPr>
          <w:p>
            <w:r>
              <w:t>Attendance numeric/configuration parameters</w:t>
            </w:r>
          </w:p>
        </w:tc>
        <w:tc>
          <w:tcPr>
            <w:tcW w:type="dxa" w:w="3360"/>
          </w:tcPr>
          <w:p>
            <w:r>
              <w:t>Business Rule/Configuration gate</w:t>
            </w:r>
          </w:p>
        </w:tc>
        <w:tc>
          <w:tcPr>
            <w:tcW w:type="dxa" w:w="3360"/>
          </w:tcPr>
          <w:p>
            <w:r>
              <w:t>OPEN</w:t>
            </w:r>
          </w:p>
        </w:tc>
      </w:tr>
      <w:tr>
        <w:tc>
          <w:tcPr>
            <w:tcW w:type="dxa" w:w="3360"/>
          </w:tcPr>
          <w:p>
            <w:r>
              <w:t>Capacity exact fields/default/enforcement</w:t>
            </w:r>
          </w:p>
        </w:tc>
        <w:tc>
          <w:tcPr>
            <w:tcW w:type="dxa" w:w="3360"/>
          </w:tcPr>
          <w:p>
            <w:r>
              <w:t>Session policy/physical design gate</w:t>
            </w:r>
          </w:p>
        </w:tc>
        <w:tc>
          <w:tcPr>
            <w:tcW w:type="dxa" w:w="3360"/>
          </w:tcPr>
          <w:p>
            <w:r>
              <w:t>OPEN</w:t>
            </w:r>
          </w:p>
        </w:tc>
      </w:tr>
      <w:tr>
        <w:tc>
          <w:tcPr>
            <w:tcW w:type="dxa" w:w="3360"/>
          </w:tcPr>
          <w:p>
            <w:r>
              <w:t>Recording retention/privacy/replay/transcript</w:t>
            </w:r>
          </w:p>
        </w:tc>
        <w:tc>
          <w:tcPr>
            <w:tcW w:type="dxa" w:w="3360"/>
          </w:tcPr>
          <w:p>
            <w:r>
              <w:t>Media/product policy gate</w:t>
            </w:r>
          </w:p>
        </w:tc>
        <w:tc>
          <w:tcPr>
            <w:tcW w:type="dxa" w:w="3360"/>
          </w:tcPr>
          <w:p>
            <w:r>
              <w:t>OPEN</w:t>
            </w:r>
          </w:p>
        </w:tc>
      </w:tr>
      <w:tr>
        <w:tc>
          <w:tcPr>
            <w:tcW w:type="dxa" w:w="3360"/>
          </w:tcPr>
          <w:p>
            <w:r>
              <w:t>Provider OAuth/scopes/webhook exact contracts</w:t>
            </w:r>
          </w:p>
        </w:tc>
        <w:tc>
          <w:tcPr>
            <w:tcW w:type="dxa" w:w="3360"/>
          </w:tcPr>
          <w:p>
            <w:r>
              <w:t>Provider implementation gate</w:t>
            </w:r>
          </w:p>
        </w:tc>
        <w:tc>
          <w:tcPr>
            <w:tcW w:type="dxa" w:w="3360"/>
          </w:tcPr>
          <w:p>
            <w:r>
              <w:t>OPEN</w:t>
            </w:r>
          </w:p>
        </w:tc>
      </w:tr>
      <w:tr>
        <w:tc>
          <w:tcPr>
            <w:tcW w:type="dxa" w:w="3360"/>
          </w:tcPr>
          <w:p>
            <w:r>
              <w:t>Provider production account/binding</w:t>
            </w:r>
          </w:p>
        </w:tc>
        <w:tc>
          <w:tcPr>
            <w:tcW w:type="dxa" w:w="3360"/>
          </w:tcPr>
          <w:p>
            <w:r>
              <w:t>Provider production gate</w:t>
            </w:r>
          </w:p>
        </w:tc>
        <w:tc>
          <w:tcPr>
            <w:tcW w:type="dxa" w:w="3360"/>
          </w:tcPr>
          <w:p>
            <w:r>
              <w:t>NOT AUTHORIZED</w:t>
            </w:r>
          </w:p>
        </w:tc>
      </w:tr>
      <w:tr>
        <w:tc>
          <w:tcPr>
            <w:tcW w:type="dxa" w:w="3360"/>
          </w:tcPr>
          <w:p>
            <w:r>
              <w:t>Automatic provider failover</w:t>
            </w:r>
          </w:p>
        </w:tc>
        <w:tc>
          <w:tcPr>
            <w:tcW w:type="dxa" w:w="3360"/>
          </w:tcPr>
          <w:p>
            <w:r>
              <w:t>AEP4-OD-08</w:t>
            </w:r>
          </w:p>
        </w:tc>
        <w:tc>
          <w:tcPr>
            <w:tcW w:type="dxa" w:w="3360"/>
          </w:tcPr>
          <w:p>
            <w:r>
              <w:t>OPEN/DEFERRED</w:t>
            </w:r>
          </w:p>
        </w:tc>
      </w:tr>
      <w:tr>
        <w:tc>
          <w:tcPr>
            <w:tcW w:type="dxa" w:w="3360"/>
          </w:tcPr>
          <w:p>
            <w:r>
              <w:t>Learning Activity physical contract</w:t>
            </w:r>
          </w:p>
        </w:tc>
        <w:tc>
          <w:tcPr>
            <w:tcW w:type="dxa" w:w="3360"/>
          </w:tcPr>
          <w:p>
            <w:r>
              <w:t>Learning Activity owning gate</w:t>
            </w:r>
          </w:p>
        </w:tc>
        <w:tc>
          <w:tcPr>
            <w:tcW w:type="dxa" w:w="3360"/>
          </w:tcPr>
          <w:p>
            <w:r>
              <w:t>DOWNSTREAM</w:t>
            </w:r>
          </w:p>
        </w:tc>
      </w:tr>
      <w:tr>
        <w:tc>
          <w:tcPr>
            <w:tcW w:type="dxa" w:w="3360"/>
          </w:tcPr>
          <w:p>
            <w:r>
              <w:t>AEP3 physical authority/scope decisions</w:t>
            </w:r>
          </w:p>
        </w:tc>
        <w:tc>
          <w:tcPr>
            <w:tcW w:type="dxa" w:w="3360"/>
          </w:tcPr>
          <w:p>
            <w:r>
              <w:t>AEP3 gate</w:t>
            </w:r>
          </w:p>
        </w:tc>
        <w:tc>
          <w:tcPr>
            <w:tcW w:type="dxa" w:w="3360"/>
          </w:tcPr>
          <w:p>
            <w:r>
              <w:t>SEPARATE / NOT CLOSED HERE</w:t>
            </w:r>
          </w:p>
        </w:tc>
      </w:tr>
    </w:tbl>
    <w:p>
      <w:pPr>
        <w:pStyle w:val="Heading1"/>
      </w:pPr>
      <w:r>
        <w:t>11. Next Controlled Step — TECH-19</w:t>
      </w:r>
    </w:p>
    <w:p>
      <w:r>
        <w:t>TECH-19 — Physical Authorization &amp; Scope Design Package. Reconcile the approved MADCR-053/054 semantics against the actual current permission catalogue when the exact catalogue rows are directly retrievable, define effective authorization evaluation (platform permission first, domain scope second), finalize Session RLS policy shape, and produce a permission/RLS verification matrix. Do not invent permission IDs and do not perform production migration.</w:t>
      </w:r>
    </w:p>
    <w:p>
      <w:pPr>
        <w:pStyle w:val="Heading1"/>
      </w:pPr>
      <w:r>
        <w:t>12. User Open Decision</w:t>
      </w:r>
    </w:p>
    <w:p>
      <w:r>
        <w:t>No new user Open Decision is required at TECH-18. If TECH-19 discovers that the actual permission catalogue cannot support the approved taxonomy without a semantic change, execution must stop and a bounded governance decision must be raised. Otherwise the work remains implementation-level.</w:t>
      </w:r>
    </w:p>
    <w:p>
      <w:pPr>
        <w:pStyle w:val="Heading1"/>
      </w:pPr>
      <w:r>
        <w:t>13. Gate Result</w:t>
      </w:r>
    </w:p>
    <w:p>
      <w:r>
        <w:t>TECH-18 = READY FOR CONTROLLED TECHNICAL DESIGN / EXECUTION GATES; NOT AUTHORIZED FOR PRODUCTION EXECUTION. This is the consolidated execution-readiness state. The next work should close physical authorization/RLS design, then runtime staging, then final execution authorization. No migration is executed by this artifact.</w:t>
      </w:r>
    </w:p>
    <w:p>
      <w:pPr>
        <w:pStyle w:val="Heading1"/>
      </w:pPr>
      <w:r>
        <w:t>14. Traceability</w:t>
      </w:r>
    </w:p>
    <w:p>
      <w:pPr>
        <w:pStyle w:val="ListBullet"/>
      </w:pPr>
      <w:r>
        <w:t>RUMAHAGEN-TECHNICAL-EXECUTION-AUTHORIZATION-PACKAGE-v1.0.</w:t>
      </w:r>
    </w:p>
    <w:p>
      <w:pPr>
        <w:pStyle w:val="ListBullet"/>
      </w:pPr>
      <w:r>
        <w:t>RUMAHAGEN-TECH-01-INDEPENDENT-TECHNICAL-PRODUCT-RESIDUAL-CLOSURE-v1.0.</w:t>
      </w:r>
    </w:p>
    <w:p>
      <w:pPr>
        <w:pStyle w:val="ListBullet"/>
      </w:pPr>
      <w:r>
        <w:t>RUMAHAGEN-TECH-13-FINAL-MIGRATION-CANDIDATE-AUTHORIZATION-GATE-v1.0.</w:t>
      </w:r>
    </w:p>
    <w:p>
      <w:pPr>
        <w:pStyle w:val="ListBullet"/>
      </w:pPr>
      <w:r>
        <w:t>RUMAHAGEN-TECH-14-STAGING-RUNTIME-VERIFICATION-READINESS-v1.0.</w:t>
      </w:r>
    </w:p>
    <w:p>
      <w:pPr>
        <w:pStyle w:val="ListBullet"/>
      </w:pPr>
      <w:r>
        <w:t>RUMAHAGEN-TECH-15-R1-PERMISSION-CATALOGUE-RECONCILIATION-v1.0.</w:t>
      </w:r>
    </w:p>
    <w:p>
      <w:pPr>
        <w:pStyle w:val="ListBullet"/>
      </w:pPr>
      <w:r>
        <w:t>RUMAHAGEN-TECH-16-R1-PROVIDER-CAPABILITY-VERIFICATION-v1.0.</w:t>
      </w:r>
    </w:p>
    <w:p>
      <w:pPr>
        <w:pStyle w:val="ListBullet"/>
      </w:pPr>
      <w:r>
        <w:t>RUMAHAGEN-TECH-17-SESSION-TECHNICAL-RESIDUAL-CLOSURE-v1.0.</w:t>
      </w:r>
    </w:p>
    <w:p>
      <w:pPr>
        <w:pStyle w:val="ListBullet"/>
      </w:pPr>
      <w:r>
        <w:t>RUMAHAGEN-TECH-11/12 migration verification chain.</w:t>
      </w:r>
    </w:p>
    <w:p>
      <w:pPr>
        <w:pStyle w:val="ListBullet"/>
      </w:pPr>
      <w:r>
        <w:t>RUMAHAGEN-CROSS-AEP-STEP-02-ARCHITECTURE-DELTA-DEPENDENCY-SPECIFICATION-v1.0.</w:t>
      </w:r>
    </w:p>
    <w:p>
      <w:pPr>
        <w:pStyle w:val="ListBullet"/>
      </w:pPr>
      <w:r>
        <w:t>RUMAHAGEN_AEP_SYNCHRONIZATION_EXECUTION_LOCK_v1.0.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