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TECH-19-R1</w:t>
      </w:r>
    </w:p>
    <w:p>
      <w:pPr>
        <w:jc w:val="center"/>
      </w:pPr>
      <w:r>
        <w:rPr>
          <w:i/>
        </w:rPr>
        <w:t>Corrected Physical Authorization, Scope &amp; RLS Design Package</w:t>
      </w:r>
    </w:p>
    <w:p>
      <w:r>
        <w:rPr>
          <w:b/>
        </w:rPr>
        <w:t xml:space="preserve">Status: </w:t>
      </w:r>
      <w:r>
        <w:t>PASS WITH CONTROLLED EVIDENCE GAP — PHYSICAL RELATIONSHIPS CLOSED; EXACT PERMISSION CATALOGUE STILL UNVERIFIED</w:t>
      </w:r>
    </w:p>
    <w:p>
      <w:pPr>
        <w:pStyle w:val="Heading1"/>
      </w:pPr>
      <w:r>
        <w:t>1. Correction Trigger</w:t>
      </w:r>
    </w:p>
    <w:p>
      <w:r>
        <w:t>TECH-19 v1.0 is corrected after the project knowledge refresh identified a stale residual. TECH-09 and TECH-10 already closed the physical Session relationship recommendations. TECH-19 v1.0 incorrectly carried Organization cardinality as CONTROLLED OPEN. This R1 withdraws that stale statement.</w:t>
      </w:r>
    </w:p>
    <w:p>
      <w:r>
        <w:t>No semantic governance decision is reopened. No new user approval is required. The correction is evidence-driven and uses the later physical design artifacts as the current physical candidate.</w:t>
      </w:r>
    </w:p>
    <w:p>
      <w:pPr>
        <w:pStyle w:val="Heading1"/>
      </w:pPr>
      <w:r>
        <w:t>2. Governing Physical Relationship State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Relationship</w:t>
            </w:r>
          </w:p>
        </w:tc>
        <w:tc>
          <w:tcPr>
            <w:tcW w:type="dxa" w:w="3360"/>
            <w:shd w:fill="D9EAF7"/>
          </w:tcPr>
          <w:p>
            <w:r>
              <w:t>Current physical decision</w:t>
            </w:r>
          </w:p>
        </w:tc>
        <w:tc>
          <w:tcPr>
            <w:tcW w:type="dxa" w:w="3360"/>
            <w:shd w:fill="D9EAF7"/>
          </w:tcPr>
          <w:p>
            <w:r>
              <w:t>Implementation implication</w:t>
            </w:r>
          </w:p>
        </w:tc>
      </w:tr>
      <w:tr>
        <w:tc>
          <w:tcPr>
            <w:tcW w:type="dxa" w:w="3360"/>
          </w:tcPr>
          <w:p>
            <w:r>
              <w:t>Learning Session ↔ Organization</w:t>
            </w:r>
          </w:p>
        </w:tc>
        <w:tc>
          <w:tcPr>
            <w:tcW w:type="dxa" w:w="3360"/>
          </w:tcPr>
          <w:p>
            <w:r>
              <w:t>CLOSED — 0..1 nullable organization_id → organizations.id</w:t>
            </w:r>
          </w:p>
        </w:tc>
        <w:tc>
          <w:tcPr>
            <w:tcW w:type="dxa" w:w="3360"/>
          </w:tcPr>
          <w:p>
            <w:r>
              <w:t>Use nullable FK; required when visibility=ORGANIZATION.</w:t>
            </w:r>
          </w:p>
        </w:tc>
      </w:tr>
      <w:tr>
        <w:tc>
          <w:tcPr>
            <w:tcW w:type="dxa" w:w="3360"/>
          </w:tcPr>
          <w:p>
            <w:r>
              <w:t>Learning Session ↔ Partner</w:t>
            </w:r>
          </w:p>
        </w:tc>
        <w:tc>
          <w:tcPr>
            <w:tcW w:type="dxa" w:w="3360"/>
          </w:tcPr>
          <w:p>
            <w:r>
              <w:t>CLOSED FOR MVP — no physical relationship</w:t>
            </w:r>
          </w:p>
        </w:tc>
        <w:tc>
          <w:tcPr>
            <w:tcW w:type="dxa" w:w="3360"/>
          </w:tcPr>
          <w:p>
            <w:r>
              <w:t>No partner_id/pivot in Session MVP.</w:t>
            </w:r>
          </w:p>
        </w:tc>
      </w:tr>
      <w:tr>
        <w:tc>
          <w:tcPr>
            <w:tcW w:type="dxa" w:w="3360"/>
          </w:tcPr>
          <w:p>
            <w:r>
              <w:t>Learning Session ↔ PRIVATE audience</w:t>
            </w:r>
          </w:p>
        </w:tc>
        <w:tc>
          <w:tcPr>
            <w:tcW w:type="dxa" w:w="3360"/>
          </w:tcPr>
          <w:p>
            <w:r>
              <w:t>CLOSED FOR MVP — no dedicated audience table</w:t>
            </w:r>
          </w:p>
        </w:tc>
        <w:tc>
          <w:tcPr>
            <w:tcW w:type="dxa" w:w="3360"/>
          </w:tcPr>
          <w:p>
            <w:r>
              <w:t>Use existing authorization/enrollment context; future extension only if separately approved.</w:t>
            </w:r>
          </w:p>
        </w:tc>
      </w:tr>
      <w:tr>
        <w:tc>
          <w:tcPr>
            <w:tcW w:type="dxa" w:w="3360"/>
          </w:tcPr>
          <w:p>
            <w:r>
              <w:t>Learning Session ↔ Event</w:t>
            </w:r>
          </w:p>
        </w:tc>
        <w:tc>
          <w:tcPr>
            <w:tcW w:type="dxa" w:w="3360"/>
          </w:tcPr>
          <w:p>
            <w:r>
              <w:t>CLOSED — 0..1 canonical Event via nullable event_id → events.id</w:t>
            </w:r>
          </w:p>
        </w:tc>
        <w:tc>
          <w:tcPr>
            <w:tcW w:type="dxa" w:w="3360"/>
          </w:tcPr>
          <w:p>
            <w:r>
              <w:t>Event remains optional discovery/calendar context; never Session authority.</w:t>
            </w:r>
          </w:p>
        </w:tc>
      </w:tr>
      <w:tr>
        <w:tc>
          <w:tcPr>
            <w:tcW w:type="dxa" w:w="3360"/>
          </w:tcPr>
          <w:p>
            <w:r>
              <w:t>Learning Session ↔ Course</w:t>
            </w:r>
          </w:p>
        </w:tc>
        <w:tc>
          <w:tcPr>
            <w:tcW w:type="dxa" w:w="3360"/>
          </w:tcPr>
          <w:p>
            <w:r>
              <w:t>Optional logical integration; physical cardinality/API downstream if product requires it</w:t>
            </w:r>
          </w:p>
        </w:tc>
        <w:tc>
          <w:tcPr>
            <w:tcW w:type="dxa" w:w="3360"/>
          </w:tcPr>
          <w:p>
            <w:r>
              <w:t>Do not invent physical coupling beyond evidence.</w:t>
            </w:r>
          </w:p>
        </w:tc>
      </w:tr>
    </w:tbl>
    <w:p>
      <w:pPr>
        <w:pStyle w:val="Heading1"/>
      </w:pPr>
      <w:r>
        <w:t>3. Governing Authorization Inputs</w:t>
      </w:r>
    </w:p>
    <w:p>
      <w:pPr>
        <w:pStyle w:val="ListBullet"/>
      </w:pPr>
      <w:r>
        <w:t>MADCR-053: Capability + Permission + Scope; Role is actor grouping; exact permission IDs remain downstream.</w:t>
      </w:r>
    </w:p>
    <w:p>
      <w:pPr>
        <w:pStyle w:val="ListBullet"/>
      </w:pPr>
      <w:r>
        <w:t>MADCR-054: Host and Instructor are separate capabilities; neither implies the other.</w:t>
      </w:r>
    </w:p>
    <w:p>
      <w:pPr>
        <w:pStyle w:val="ListBullet"/>
      </w:pPr>
      <w:r>
        <w:t>Platform granted_scope remains own/all/none.</w:t>
      </w:r>
    </w:p>
    <w:p>
      <w:pPr>
        <w:pStyle w:val="ListBullet"/>
      </w:pPr>
      <w:r>
        <w:t>Organization/Partner authority is second-layer domain scope, not a fourth platform scope type.</w:t>
      </w:r>
    </w:p>
    <w:p>
      <w:pPr>
        <w:pStyle w:val="ListBullet"/>
      </w:pPr>
      <w:r>
        <w:t>Visibility is PUBLIC / ORGANIZATION / PARTNER / PRIVATE and does not itself grant mutation authority.</w:t>
      </w:r>
    </w:p>
    <w:p>
      <w:pPr>
        <w:pStyle w:val="ListBullet"/>
      </w:pPr>
      <w:r>
        <w:t>Commercial Entitlement remains separate from RBAC and may participate in access activation.</w:t>
      </w:r>
    </w:p>
    <w:p>
      <w:pPr>
        <w:pStyle w:val="ListBullet"/>
      </w:pPr>
      <w:r>
        <w:t>Provider access is issued only after authentication, eligibility/context and authorization.</w:t>
      </w:r>
    </w:p>
    <w:p>
      <w:pPr>
        <w:pStyle w:val="ListBullet"/>
      </w:pPr>
      <w:r>
        <w:t>Provider external Session ID is not authorization proof.</w:t>
      </w:r>
    </w:p>
    <w:p>
      <w:pPr>
        <w:pStyle w:val="Heading1"/>
      </w:pPr>
      <w:r>
        <w:t>4. Physical Authorization Evaluation</w:t>
      </w:r>
    </w:p>
    <w:p>
      <w:pPr>
        <w:pStyle w:val="ListNumber"/>
      </w:pPr>
      <w:r>
        <w:t>Authenticate actor.</w:t>
      </w:r>
    </w:p>
    <w:p>
      <w:pPr>
        <w:pStyle w:val="ListNumber"/>
      </w:pPr>
      <w:r>
        <w:t>Resolve eligibility and domain context.</w:t>
      </w:r>
    </w:p>
    <w:p>
      <w:pPr>
        <w:pStyle w:val="ListNumber"/>
      </w:pPr>
      <w:r>
        <w:t>Resolve platform role/permission/capability.</w:t>
      </w:r>
    </w:p>
    <w:p>
      <w:pPr>
        <w:pStyle w:val="ListNumber"/>
      </w:pPr>
      <w:r>
        <w:t>Evaluate granted_scope against target resource.</w:t>
      </w:r>
    </w:p>
    <w:p>
      <w:pPr>
        <w:pStyle w:val="ListNumber"/>
      </w:pPr>
      <w:r>
        <w:t>Apply hard ownership rules where applicable.</w:t>
      </w:r>
    </w:p>
    <w:p>
      <w:pPr>
        <w:pStyle w:val="ListNumber"/>
      </w:pPr>
      <w:r>
        <w:t>Evaluate visibility and authoritative Organization/Partner/resource context.</w:t>
      </w:r>
    </w:p>
    <w:p>
      <w:pPr>
        <w:pStyle w:val="ListNumber"/>
      </w:pPr>
      <w:r>
        <w:t>Evaluate Commercial Entitlement where the Session is paid.</w:t>
      </w:r>
    </w:p>
    <w:p>
      <w:pPr>
        <w:pStyle w:val="ListNumber"/>
      </w:pPr>
      <w:r>
        <w:t>Apply database/RLS enforcement.</w:t>
      </w:r>
    </w:p>
    <w:p>
      <w:pPr>
        <w:pStyle w:val="ListNumber"/>
      </w:pPr>
      <w:r>
        <w:t>Only after authorization succeeds, issue provider access or provider-facing operation.</w:t>
      </w:r>
    </w:p>
    <w:p>
      <w:pPr>
        <w:pStyle w:val="Heading1"/>
      </w:pPr>
      <w:r>
        <w:t>5. Session Physical Scope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Visibility</w:t>
            </w:r>
          </w:p>
        </w:tc>
        <w:tc>
          <w:tcPr>
            <w:tcW w:type="dxa" w:w="3360"/>
            <w:shd w:fill="D9EAF7"/>
          </w:tcPr>
          <w:p>
            <w:r>
              <w:t>Required physical context</w:t>
            </w:r>
          </w:p>
        </w:tc>
        <w:tc>
          <w:tcPr>
            <w:tcW w:type="dxa" w:w="3360"/>
            <w:shd w:fill="D9EAF7"/>
          </w:tcPr>
          <w:p>
            <w:r>
              <w:t>Expected enforcement</w:t>
            </w:r>
          </w:p>
        </w:tc>
      </w:tr>
      <w:tr>
        <w:tc>
          <w:tcPr>
            <w:tcW w:type="dxa" w:w="3360"/>
          </w:tcPr>
          <w:p>
            <w:r>
              <w:t>PUBLIC</w:t>
            </w:r>
          </w:p>
        </w:tc>
        <w:tc>
          <w:tcPr>
            <w:tcW w:type="dxa" w:w="3360"/>
          </w:tcPr>
          <w:p>
            <w:r>
              <w:t>Session visibility + applicable permission</w:t>
            </w:r>
          </w:p>
        </w:tc>
        <w:tc>
          <w:tcPr>
            <w:tcW w:type="dxa" w:w="3360"/>
          </w:tcPr>
          <w:p>
            <w:r>
              <w:t>Public read may be allowed by policy; mutation still requires permission.</w:t>
            </w:r>
          </w:p>
        </w:tc>
      </w:tr>
      <w:tr>
        <w:tc>
          <w:tcPr>
            <w:tcW w:type="dxa" w:w="3360"/>
          </w:tcPr>
          <w:p>
            <w:r>
              <w:t>ORGANIZATION</w:t>
            </w:r>
          </w:p>
        </w:tc>
        <w:tc>
          <w:tcPr>
            <w:tcW w:type="dxa" w:w="3360"/>
          </w:tcPr>
          <w:p>
            <w:r>
              <w:t>learning_sessions.organization_id + authoritative organization membership/authority</w:t>
            </w:r>
          </w:p>
        </w:tc>
        <w:tc>
          <w:tcPr>
            <w:tcW w:type="dxa" w:w="3360"/>
          </w:tcPr>
          <w:p>
            <w:r>
              <w:t>RBAC first, then organization scope/RLS.</w:t>
            </w:r>
          </w:p>
        </w:tc>
      </w:tr>
      <w:tr>
        <w:tc>
          <w:tcPr>
            <w:tcW w:type="dxa" w:w="3360"/>
          </w:tcPr>
          <w:p>
            <w:r>
              <w:t>PARTNER</w:t>
            </w:r>
          </w:p>
        </w:tc>
        <w:tc>
          <w:tcPr>
            <w:tcW w:type="dxa" w:w="3360"/>
          </w:tcPr>
          <w:p>
            <w:r>
              <w:t>No physical Partner relation in MVP</w:t>
            </w:r>
          </w:p>
        </w:tc>
        <w:tc>
          <w:tcPr>
            <w:tcW w:type="dxa" w:w="3360"/>
          </w:tcPr>
          <w:p>
            <w:r>
              <w:t>No resolved partner-specific physical access path in MVP; do not invent one.</w:t>
            </w:r>
          </w:p>
        </w:tc>
      </w:tr>
      <w:tr>
        <w:tc>
          <w:tcPr>
            <w:tcW w:type="dxa" w:w="3360"/>
          </w:tcPr>
          <w:p>
            <w:r>
              <w:t>PRIVATE</w:t>
            </w:r>
          </w:p>
        </w:tc>
        <w:tc>
          <w:tcPr>
            <w:tcW w:type="dxa" w:w="3360"/>
          </w:tcPr>
          <w:p>
            <w:r>
              <w:t>Existing authorization/enrollment context; no audience table in MVP</w:t>
            </w:r>
          </w:p>
        </w:tc>
        <w:tc>
          <w:tcPr>
            <w:tcW w:type="dxa" w:w="3360"/>
          </w:tcPr>
          <w:p>
            <w:r>
              <w:t>Explicit eligibility/resource access; authentication alone insufficient.</w:t>
            </w:r>
          </w:p>
        </w:tc>
      </w:tr>
    </w:tbl>
    <w:p>
      <w:pPr>
        <w:pStyle w:val="Heading1"/>
      </w:pPr>
      <w:r>
        <w:t>6. RLS Design Boundary</w:t>
      </w:r>
    </w:p>
    <w:p>
      <w:pPr>
        <w:pStyle w:val="ListBullet"/>
      </w:pPr>
      <w:r>
        <w:t>RLS enforces effective data scope; it does not create new capabilities.</w:t>
      </w:r>
    </w:p>
    <w:p>
      <w:pPr>
        <w:pStyle w:val="ListBullet"/>
      </w:pPr>
      <w:r>
        <w:t>Client-supplied organization_id/resource_id is never authorization proof.</w:t>
      </w:r>
    </w:p>
    <w:p>
      <w:pPr>
        <w:pStyle w:val="ListBullet"/>
      </w:pPr>
      <w:r>
        <w:t>ORGANIZATION visibility requires authoritative membership/authority against learning_sessions.organization_id.</w:t>
      </w:r>
    </w:p>
    <w:p>
      <w:pPr>
        <w:pStyle w:val="ListBullet"/>
      </w:pPr>
      <w:r>
        <w:t>PRIVATE reads require explicit resource/enrollment/authorization context.</w:t>
      </w:r>
    </w:p>
    <w:p>
      <w:pPr>
        <w:pStyle w:val="ListBullet"/>
      </w:pPr>
      <w:r>
        <w:t>Hard ownership cannot be bypassed merely by granted_scope=all where the governing rule makes ownership non-bypassable.</w:t>
      </w:r>
    </w:p>
    <w:p>
      <w:pPr>
        <w:pStyle w:val="ListBullet"/>
      </w:pPr>
      <w:r>
        <w:t>Learners may create/read own PENDING enrollment where enabled, but may not genericly mutate enrollment status.</w:t>
      </w:r>
    </w:p>
    <w:p>
      <w:pPr>
        <w:pStyle w:val="ListBullet"/>
      </w:pPr>
      <w:r>
        <w:t>Provider binding writes require explicit privileged capability.</w:t>
      </w:r>
    </w:p>
    <w:p>
      <w:pPr>
        <w:pStyle w:val="ListBullet"/>
      </w:pPr>
      <w:r>
        <w:t>Participation evidence, attendance evaluations and completion outcomes require controlled write paths; they are not generic profile/configuration data.</w:t>
      </w:r>
    </w:p>
    <w:p>
      <w:pPr>
        <w:pStyle w:val="ListBullet"/>
      </w:pPr>
      <w:r>
        <w:t>RLS is the second enforcement layer after application authorization.</w:t>
      </w:r>
    </w:p>
    <w:p>
      <w:pPr>
        <w:pStyle w:val="Heading1"/>
      </w:pPr>
      <w:r>
        <w:t>7. Required Authorization Test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Scenario</w:t>
            </w:r>
          </w:p>
        </w:tc>
        <w:tc>
          <w:tcPr>
            <w:tcW w:type="dxa" w:w="3360"/>
            <w:shd w:fill="D9EAF7"/>
          </w:tcPr>
          <w:p>
            <w:r>
              <w:t>Expected</w:t>
            </w:r>
          </w:p>
        </w:tc>
        <w:tc>
          <w:tcPr>
            <w:tcW w:type="dxa" w:w="3360"/>
            <w:shd w:fill="D9EAF7"/>
          </w:tcPr>
          <w:p>
            <w:r>
              <w:t>Primary control</w:t>
            </w:r>
          </w:p>
        </w:tc>
      </w:tr>
      <w:tr>
        <w:tc>
          <w:tcPr>
            <w:tcW w:type="dxa" w:w="3360"/>
          </w:tcPr>
          <w:p>
            <w:r>
              <w:t>PUBLIC Session read</w:t>
            </w:r>
          </w:p>
        </w:tc>
        <w:tc>
          <w:tcPr>
            <w:tcW w:type="dxa" w:w="3360"/>
          </w:tcPr>
          <w:p>
            <w:r>
              <w:t>ALLOW when visibility/read policy permits</w:t>
            </w:r>
          </w:p>
        </w:tc>
        <w:tc>
          <w:tcPr>
            <w:tcW w:type="dxa" w:w="3360"/>
          </w:tcPr>
          <w:p>
            <w:r>
              <w:t>Session read + visibility</w:t>
            </w:r>
          </w:p>
        </w:tc>
      </w:tr>
      <w:tr>
        <w:tc>
          <w:tcPr>
            <w:tcW w:type="dxa" w:w="3360"/>
          </w:tcPr>
          <w:p>
            <w:r>
              <w:t>PUBLIC Session mutation without permission</w:t>
            </w:r>
          </w:p>
        </w:tc>
        <w:tc>
          <w:tcPr>
            <w:tcW w:type="dxa" w:w="3360"/>
          </w:tcPr>
          <w:p>
            <w:r>
              <w:t>DENY</w:t>
            </w:r>
          </w:p>
        </w:tc>
        <w:tc>
          <w:tcPr>
            <w:tcW w:type="dxa" w:w="3360"/>
          </w:tcPr>
          <w:p>
            <w:r>
              <w:t>Platform permission</w:t>
            </w:r>
          </w:p>
        </w:tc>
      </w:tr>
      <w:tr>
        <w:tc>
          <w:tcPr>
            <w:tcW w:type="dxa" w:w="3360"/>
          </w:tcPr>
          <w:p>
            <w:r>
              <w:t>ORGANIZATION Session read by active member</w:t>
            </w:r>
          </w:p>
        </w:tc>
        <w:tc>
          <w:tcPr>
            <w:tcW w:type="dxa" w:w="3360"/>
          </w:tcPr>
          <w:p>
            <w:r>
              <w:t>ALLOW when permission + membership match</w:t>
            </w:r>
          </w:p>
        </w:tc>
        <w:tc>
          <w:tcPr>
            <w:tcW w:type="dxa" w:w="3360"/>
          </w:tcPr>
          <w:p>
            <w:r>
              <w:t>RBAC + organization scope/RLS</w:t>
            </w:r>
          </w:p>
        </w:tc>
      </w:tr>
      <w:tr>
        <w:tc>
          <w:tcPr>
            <w:tcW w:type="dxa" w:w="3360"/>
          </w:tcPr>
          <w:p>
            <w:r>
              <w:t>ORGANIZATION Session read by non-member</w:t>
            </w:r>
          </w:p>
        </w:tc>
        <w:tc>
          <w:tcPr>
            <w:tcW w:type="dxa" w:w="3360"/>
          </w:tcPr>
          <w:p>
            <w:r>
              <w:t>DENY</w:t>
            </w:r>
          </w:p>
        </w:tc>
        <w:tc>
          <w:tcPr>
            <w:tcW w:type="dxa" w:w="3360"/>
          </w:tcPr>
          <w:p>
            <w:r>
              <w:t>Organization authority/RLS</w:t>
            </w:r>
          </w:p>
        </w:tc>
      </w:tr>
      <w:tr>
        <w:tc>
          <w:tcPr>
            <w:tcW w:type="dxa" w:w="3360"/>
          </w:tcPr>
          <w:p>
            <w:r>
              <w:t>ORGANIZATION Session manage without manage capability</w:t>
            </w:r>
          </w:p>
        </w:tc>
        <w:tc>
          <w:tcPr>
            <w:tcW w:type="dxa" w:w="3360"/>
          </w:tcPr>
          <w:p>
            <w:r>
              <w:t>DENY</w:t>
            </w:r>
          </w:p>
        </w:tc>
        <w:tc>
          <w:tcPr>
            <w:tcW w:type="dxa" w:w="3360"/>
          </w:tcPr>
          <w:p>
            <w:r>
              <w:t>RBAC</w:t>
            </w:r>
          </w:p>
        </w:tc>
      </w:tr>
      <w:tr>
        <w:tc>
          <w:tcPr>
            <w:tcW w:type="dxa" w:w="3360"/>
          </w:tcPr>
          <w:p>
            <w:r>
              <w:t>PRIVATE Session read by unrelated authenticated actor</w:t>
            </w:r>
          </w:p>
        </w:tc>
        <w:tc>
          <w:tcPr>
            <w:tcW w:type="dxa" w:w="3360"/>
          </w:tcPr>
          <w:p>
            <w:r>
              <w:t>DENY</w:t>
            </w:r>
          </w:p>
        </w:tc>
        <w:tc>
          <w:tcPr>
            <w:tcW w:type="dxa" w:w="3360"/>
          </w:tcPr>
          <w:p>
            <w:r>
              <w:t>Explicit resource/enrollment authorization</w:t>
            </w:r>
          </w:p>
        </w:tc>
      </w:tr>
      <w:tr>
        <w:tc>
          <w:tcPr>
            <w:tcW w:type="dxa" w:w="3360"/>
          </w:tcPr>
          <w:p>
            <w:r>
              <w:t>Learner creates own PENDING enrollment</w:t>
            </w:r>
          </w:p>
        </w:tc>
        <w:tc>
          <w:tcPr>
            <w:tcW w:type="dxa" w:w="3360"/>
          </w:tcPr>
          <w:p>
            <w:r>
              <w:t>ALLOW when enrollment flow enabled</w:t>
            </w:r>
          </w:p>
        </w:tc>
        <w:tc>
          <w:tcPr>
            <w:tcW w:type="dxa" w:w="3360"/>
          </w:tcPr>
          <w:p>
            <w:r>
              <w:t>Own enrollment capability</w:t>
            </w:r>
          </w:p>
        </w:tc>
      </w:tr>
      <w:tr>
        <w:tc>
          <w:tcPr>
            <w:tcW w:type="dxa" w:w="3360"/>
          </w:tcPr>
          <w:p>
            <w:r>
              <w:t>Learner changes PENDING → ACTIVE/COMPLETED</w:t>
            </w:r>
          </w:p>
        </w:tc>
        <w:tc>
          <w:tcPr>
            <w:tcW w:type="dxa" w:w="3360"/>
          </w:tcPr>
          <w:p>
            <w:r>
              <w:t>DENY</w:t>
            </w:r>
          </w:p>
        </w:tc>
        <w:tc>
          <w:tcPr>
            <w:tcW w:type="dxa" w:w="3360"/>
          </w:tcPr>
          <w:p>
            <w:r>
              <w:t>Server/governed lifecycle</w:t>
            </w:r>
          </w:p>
        </w:tc>
      </w:tr>
      <w:tr>
        <w:tc>
          <w:tcPr>
            <w:tcW w:type="dxa" w:w="3360"/>
          </w:tcPr>
          <w:p>
            <w:r>
              <w:t>Instructor manages assigned Session</w:t>
            </w:r>
          </w:p>
        </w:tc>
        <w:tc>
          <w:tcPr>
            <w:tcW w:type="dxa" w:w="3360"/>
          </w:tcPr>
          <w:p>
            <w:r>
              <w:t>ALLOW when Instructor capability + resource scope</w:t>
            </w:r>
          </w:p>
        </w:tc>
        <w:tc>
          <w:tcPr>
            <w:tcW w:type="dxa" w:w="3360"/>
          </w:tcPr>
          <w:p>
            <w:r>
              <w:t>RBAC + resource scope</w:t>
            </w:r>
          </w:p>
        </w:tc>
      </w:tr>
      <w:tr>
        <w:tc>
          <w:tcPr>
            <w:tcW w:type="dxa" w:w="3360"/>
          </w:tcPr>
          <w:p>
            <w:r>
              <w:t>Instructor switches provider without binding capability</w:t>
            </w:r>
          </w:p>
        </w:tc>
        <w:tc>
          <w:tcPr>
            <w:tcW w:type="dxa" w:w="3360"/>
          </w:tcPr>
          <w:p>
            <w:r>
              <w:t>DENY</w:t>
            </w:r>
          </w:p>
        </w:tc>
        <w:tc>
          <w:tcPr>
            <w:tcW w:type="dxa" w:w="3360"/>
          </w:tcPr>
          <w:p>
            <w:r>
              <w:t>Provider-binding capability</w:t>
            </w:r>
          </w:p>
        </w:tc>
      </w:tr>
      <w:tr>
        <w:tc>
          <w:tcPr>
            <w:tcW w:type="dxa" w:w="3360"/>
          </w:tcPr>
          <w:p>
            <w:r>
              <w:t>Host performs Instructor-only operation</w:t>
            </w:r>
          </w:p>
        </w:tc>
        <w:tc>
          <w:tcPr>
            <w:tcW w:type="dxa" w:w="3360"/>
          </w:tcPr>
          <w:p>
            <w:r>
              <w:t>DENY unless Instructor capability also granted</w:t>
            </w:r>
          </w:p>
        </w:tc>
        <w:tc>
          <w:tcPr>
            <w:tcW w:type="dxa" w:w="3360"/>
          </w:tcPr>
          <w:p>
            <w:r>
              <w:t>Host ≠ Instructor</w:t>
            </w:r>
          </w:p>
        </w:tc>
      </w:tr>
      <w:tr>
        <w:tc>
          <w:tcPr>
            <w:tcW w:type="dxa" w:w="3360"/>
          </w:tcPr>
          <w:p>
            <w:r>
              <w:t>Agent reads another user's attendance</w:t>
            </w:r>
          </w:p>
        </w:tc>
        <w:tc>
          <w:tcPr>
            <w:tcW w:type="dxa" w:w="3360"/>
          </w:tcPr>
          <w:p>
            <w:r>
              <w:t>DENY</w:t>
            </w:r>
          </w:p>
        </w:tc>
        <w:tc>
          <w:tcPr>
            <w:tcW w:type="dxa" w:w="3360"/>
          </w:tcPr>
          <w:p>
            <w:r>
              <w:t>Own/resource scope + RLS</w:t>
            </w:r>
          </w:p>
        </w:tc>
      </w:tr>
      <w:tr>
        <w:tc>
          <w:tcPr>
            <w:tcW w:type="dxa" w:w="3360"/>
          </w:tcPr>
          <w:p>
            <w:r>
              <w:t>Paid Session without required entitlement</w:t>
            </w:r>
          </w:p>
        </w:tc>
        <w:tc>
          <w:tcPr>
            <w:tcW w:type="dxa" w:w="3360"/>
          </w:tcPr>
          <w:p>
            <w:r>
              <w:t>DENY / remain inactive per access policy</w:t>
            </w:r>
          </w:p>
        </w:tc>
        <w:tc>
          <w:tcPr>
            <w:tcW w:type="dxa" w:w="3360"/>
          </w:tcPr>
          <w:p>
            <w:r>
              <w:t>Commercial Entitlement</w:t>
            </w:r>
          </w:p>
        </w:tc>
      </w:tr>
      <w:tr>
        <w:tc>
          <w:tcPr>
            <w:tcW w:type="dxa" w:w="3360"/>
          </w:tcPr>
          <w:p>
            <w:r>
              <w:t>Client supplies organization_id to gain access</w:t>
            </w:r>
          </w:p>
        </w:tc>
        <w:tc>
          <w:tcPr>
            <w:tcW w:type="dxa" w:w="3360"/>
          </w:tcPr>
          <w:p>
            <w:r>
              <w:t>DENY</w:t>
            </w:r>
          </w:p>
        </w:tc>
        <w:tc>
          <w:tcPr>
            <w:tcW w:type="dxa" w:w="3360"/>
          </w:tcPr>
          <w:p>
            <w:r>
              <w:t>Server-side organization context</w:t>
            </w:r>
          </w:p>
        </w:tc>
      </w:tr>
      <w:tr>
        <w:tc>
          <w:tcPr>
            <w:tcW w:type="dxa" w:w="3360"/>
          </w:tcPr>
          <w:p>
            <w:r>
              <w:t>Provider external ID supplied as authorization proof</w:t>
            </w:r>
          </w:p>
        </w:tc>
        <w:tc>
          <w:tcPr>
            <w:tcW w:type="dxa" w:w="3360"/>
          </w:tcPr>
          <w:p>
            <w:r>
              <w:t>DENY</w:t>
            </w:r>
          </w:p>
        </w:tc>
        <w:tc>
          <w:tcPr>
            <w:tcW w:type="dxa" w:w="3360"/>
          </w:tcPr>
          <w:p>
            <w:r>
              <w:t>Provider ID ≠ authorization</w:t>
            </w:r>
          </w:p>
        </w:tc>
      </w:tr>
    </w:tbl>
    <w:p>
      <w:pPr>
        <w:pStyle w:val="Heading1"/>
      </w:pPr>
      <w:r>
        <w:t>8. Physical Permission Catalogue</w:t>
      </w:r>
    </w:p>
    <w:p>
      <w:r>
        <w:t>Exact permission IDs and role_permissions rows remain CONTROLLED OPEN. TECH-04 and TECH-15-R1 establish that the source corpus has not surfaced the exact catalogue rows required for legitimate ID-by-ID mapping. Conceptual Session capability families must not be promoted into physical IDs without direct catalogue evidence.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Semantic family</w:t>
            </w:r>
          </w:p>
        </w:tc>
        <w:tc>
          <w:tcPr>
            <w:tcW w:type="dxa" w:w="5040"/>
            <w:shd w:fill="D9EAF7"/>
          </w:tcPr>
          <w:p>
            <w:r>
              <w:t>Physical ID state</w:t>
            </w:r>
          </w:p>
        </w:tc>
      </w:tr>
      <w:tr>
        <w:tc>
          <w:tcPr>
            <w:tcW w:type="dxa" w:w="5040"/>
          </w:tcPr>
          <w:p>
            <w:r>
              <w:t>Session read</w:t>
            </w:r>
          </w:p>
        </w:tc>
        <w:tc>
          <w:tcPr>
            <w:tcW w:type="dxa" w:w="5040"/>
          </w:tcPr>
          <w:p>
            <w:r>
              <w:t>NOT MAPPED</w:t>
            </w:r>
          </w:p>
        </w:tc>
      </w:tr>
      <w:tr>
        <w:tc>
          <w:tcPr>
            <w:tcW w:type="dxa" w:w="5040"/>
          </w:tcPr>
          <w:p>
            <w:r>
              <w:t>Session manage</w:t>
            </w:r>
          </w:p>
        </w:tc>
        <w:tc>
          <w:tcPr>
            <w:tcW w:type="dxa" w:w="5040"/>
          </w:tcPr>
          <w:p>
            <w:r>
              <w:t>NOT MAPPED</w:t>
            </w:r>
          </w:p>
        </w:tc>
      </w:tr>
      <w:tr>
        <w:tc>
          <w:tcPr>
            <w:tcW w:type="dxa" w:w="5040"/>
          </w:tcPr>
          <w:p>
            <w:r>
              <w:t>Session lifecycle</w:t>
            </w:r>
          </w:p>
        </w:tc>
        <w:tc>
          <w:tcPr>
            <w:tcW w:type="dxa" w:w="5040"/>
          </w:tcPr>
          <w:p>
            <w:r>
              <w:t>NOT MAPPED</w:t>
            </w:r>
          </w:p>
        </w:tc>
      </w:tr>
      <w:tr>
        <w:tc>
          <w:tcPr>
            <w:tcW w:type="dxa" w:w="5040"/>
          </w:tcPr>
          <w:p>
            <w:r>
              <w:t>Session enrollment create/read</w:t>
            </w:r>
          </w:p>
        </w:tc>
        <w:tc>
          <w:tcPr>
            <w:tcW w:type="dxa" w:w="5040"/>
          </w:tcPr>
          <w:p>
            <w:r>
              <w:t>NOT MAPPED</w:t>
            </w:r>
          </w:p>
        </w:tc>
      </w:tr>
      <w:tr>
        <w:tc>
          <w:tcPr>
            <w:tcW w:type="dxa" w:w="5040"/>
          </w:tcPr>
          <w:p>
            <w:r>
              <w:t>Session access/join</w:t>
            </w:r>
          </w:p>
        </w:tc>
        <w:tc>
          <w:tcPr>
            <w:tcW w:type="dxa" w:w="5040"/>
          </w:tcPr>
          <w:p>
            <w:r>
              <w:t>NOT MAPPED</w:t>
            </w:r>
          </w:p>
        </w:tc>
      </w:tr>
      <w:tr>
        <w:tc>
          <w:tcPr>
            <w:tcW w:type="dxa" w:w="5040"/>
          </w:tcPr>
          <w:p>
            <w:r>
              <w:t>Provider binding manage</w:t>
            </w:r>
          </w:p>
        </w:tc>
        <w:tc>
          <w:tcPr>
            <w:tcW w:type="dxa" w:w="5040"/>
          </w:tcPr>
          <w:p>
            <w:r>
              <w:t>NOT MAPPED</w:t>
            </w:r>
          </w:p>
        </w:tc>
      </w:tr>
      <w:tr>
        <w:tc>
          <w:tcPr>
            <w:tcW w:type="dxa" w:w="5040"/>
          </w:tcPr>
          <w:p>
            <w:r>
              <w:t>Participation evidence read</w:t>
            </w:r>
          </w:p>
        </w:tc>
        <w:tc>
          <w:tcPr>
            <w:tcW w:type="dxa" w:w="5040"/>
          </w:tcPr>
          <w:p>
            <w:r>
              <w:t>NOT MAPPED</w:t>
            </w:r>
          </w:p>
        </w:tc>
      </w:tr>
      <w:tr>
        <w:tc>
          <w:tcPr>
            <w:tcW w:type="dxa" w:w="5040"/>
          </w:tcPr>
          <w:p>
            <w:r>
              <w:t>Attendance review</w:t>
            </w:r>
          </w:p>
        </w:tc>
        <w:tc>
          <w:tcPr>
            <w:tcW w:type="dxa" w:w="5040"/>
          </w:tcPr>
          <w:p>
            <w:r>
              <w:t>NOT MAPPED</w:t>
            </w:r>
          </w:p>
        </w:tc>
      </w:tr>
      <w:tr>
        <w:tc>
          <w:tcPr>
            <w:tcW w:type="dxa" w:w="5040"/>
          </w:tcPr>
          <w:p>
            <w:r>
              <w:t>Completion evaluate</w:t>
            </w:r>
          </w:p>
        </w:tc>
        <w:tc>
          <w:tcPr>
            <w:tcW w:type="dxa" w:w="5040"/>
          </w:tcPr>
          <w:p>
            <w:r>
              <w:t>NOT MAPPED</w:t>
            </w:r>
          </w:p>
        </w:tc>
      </w:tr>
      <w:tr>
        <w:tc>
          <w:tcPr>
            <w:tcW w:type="dxa" w:w="5040"/>
          </w:tcPr>
          <w:p>
            <w:r>
              <w:t>Recording/artifact read/manage</w:t>
            </w:r>
          </w:p>
        </w:tc>
        <w:tc>
          <w:tcPr>
            <w:tcW w:type="dxa" w:w="5040"/>
          </w:tcPr>
          <w:p>
            <w:r>
              <w:t>NOT MAPPED</w:t>
            </w:r>
          </w:p>
        </w:tc>
      </w:tr>
      <w:tr>
        <w:tc>
          <w:tcPr>
            <w:tcW w:type="dxa" w:w="5040"/>
          </w:tcPr>
          <w:p>
            <w:r>
              <w:t>Visibility manage</w:t>
            </w:r>
          </w:p>
        </w:tc>
        <w:tc>
          <w:tcPr>
            <w:tcW w:type="dxa" w:w="5040"/>
          </w:tcPr>
          <w:p>
            <w:r>
              <w:t>NOT MAPPED</w:t>
            </w:r>
          </w:p>
        </w:tc>
      </w:tr>
      <w:tr>
        <w:tc>
          <w:tcPr>
            <w:tcW w:type="dxa" w:w="5040"/>
          </w:tcPr>
          <w:p>
            <w:r>
              <w:t>Host operation</w:t>
            </w:r>
          </w:p>
        </w:tc>
        <w:tc>
          <w:tcPr>
            <w:tcW w:type="dxa" w:w="5040"/>
          </w:tcPr>
          <w:p>
            <w:r>
              <w:t>NOT MAPPED</w:t>
            </w:r>
          </w:p>
        </w:tc>
      </w:tr>
      <w:tr>
        <w:tc>
          <w:tcPr>
            <w:tcW w:type="dxa" w:w="5040"/>
          </w:tcPr>
          <w:p>
            <w:r>
              <w:t>Instructor operation</w:t>
            </w:r>
          </w:p>
        </w:tc>
        <w:tc>
          <w:tcPr>
            <w:tcW w:type="dxa" w:w="5040"/>
          </w:tcPr>
          <w:p>
            <w:r>
              <w:t>NOT MAPPED</w:t>
            </w:r>
          </w:p>
        </w:tc>
      </w:tr>
    </w:tbl>
    <w:p>
      <w:pPr>
        <w:pStyle w:val="Heading1"/>
      </w:pPr>
      <w:r>
        <w:t>9. Migration Candidate Alignment</w:t>
      </w:r>
    </w:p>
    <w:p>
      <w:r>
        <w:t>The frozen TECH-13/TECH-11 candidate already reflects the corrected physical relationship model: nullable organization_id, nullable event_id, no Partner relation and no private-audience table. TECH-14 confirms these properties in static pre-flight. TECH-12 additionally identified remediation items that must be reflected in the final execution candidate.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TECH-12 finding</w:t>
            </w:r>
          </w:p>
        </w:tc>
        <w:tc>
          <w:tcPr>
            <w:tcW w:type="dxa" w:w="5040"/>
            <w:shd w:fill="D9EAF7"/>
          </w:tcPr>
          <w:p>
            <w:r>
              <w:t>Current treatment</w:t>
            </w:r>
          </w:p>
        </w:tc>
      </w:tr>
      <w:tr>
        <w:tc>
          <w:tcPr>
            <w:tcW w:type="dxa" w:w="5040"/>
          </w:tcPr>
          <w:p>
            <w:r>
              <w:t>T12-01 learner can mutate enrollment lifecycle</w:t>
            </w:r>
          </w:p>
        </w:tc>
        <w:tc>
          <w:tcPr>
            <w:tcW w:type="dxa" w:w="5040"/>
          </w:tcPr>
          <w:p>
            <w:r>
              <w:t>MUST FIX before execution; server-controlled status only.</w:t>
            </w:r>
          </w:p>
        </w:tc>
      </w:tr>
      <w:tr>
        <w:tc>
          <w:tcPr>
            <w:tcW w:type="dxa" w:w="5040"/>
          </w:tcPr>
          <w:p>
            <w:r>
              <w:t>T12-02 owner can bind Session to Organization without membership check</w:t>
            </w:r>
          </w:p>
        </w:tc>
        <w:tc>
          <w:tcPr>
            <w:tcW w:type="dxa" w:w="5040"/>
          </w:tcPr>
          <w:p>
            <w:r>
              <w:t>MUST FIX; organization membership/authority check required.</w:t>
            </w:r>
          </w:p>
        </w:tc>
      </w:tr>
      <w:tr>
        <w:tc>
          <w:tcPr>
            <w:tcW w:type="dxa" w:w="5040"/>
          </w:tcPr>
          <w:p>
            <w:r>
              <w:t>T12-03 provider binding lacks active uniqueness</w:t>
            </w:r>
          </w:p>
        </w:tc>
        <w:tc>
          <w:tcPr>
            <w:tcW w:type="dxa" w:w="5040"/>
          </w:tcPr>
          <w:p>
            <w:r>
              <w:t>MUST FIX; enforce one active/pending binding per Session.</w:t>
            </w:r>
          </w:p>
        </w:tc>
      </w:tr>
      <w:tr>
        <w:tc>
          <w:tcPr>
            <w:tcW w:type="dxa" w:w="5040"/>
          </w:tcPr>
          <w:p>
            <w:r>
              <w:t>T12-04 non-idempotent ALTER/CREATE POLICY behavior</w:t>
            </w:r>
          </w:p>
        </w:tc>
        <w:tc>
          <w:tcPr>
            <w:tcW w:type="dxa" w:w="5040"/>
          </w:tcPr>
          <w:p>
            <w:r>
              <w:t>MUST FIX for controlled rerun/review safety.</w:t>
            </w:r>
          </w:p>
        </w:tc>
      </w:tr>
      <w:tr>
        <w:tc>
          <w:tcPr>
            <w:tcW w:type="dxa" w:w="5040"/>
          </w:tcPr>
          <w:p>
            <w:r>
              <w:t>T12-05 duplicate PENDING policy vs documented active uniqueness</w:t>
            </w:r>
          </w:p>
        </w:tc>
        <w:tc>
          <w:tcPr>
            <w:tcW w:type="dxa" w:w="5040"/>
          </w:tcPr>
          <w:p>
            <w:r>
              <w:t>KEEP MVP simple only after explicit implementation rule is recorded; do not silently contradict the chosen lifecycle.</w:t>
            </w:r>
          </w:p>
        </w:tc>
      </w:tr>
      <w:tr>
        <w:tc>
          <w:tcPr>
            <w:tcW w:type="dxa" w:w="5040"/>
          </w:tcPr>
          <w:p>
            <w:r>
              <w:t>T12-06 PARTNER visibility lacks physical partner relation</w:t>
            </w:r>
          </w:p>
        </w:tc>
        <w:tc>
          <w:tcPr>
            <w:tcW w:type="dxa" w:w="5040"/>
          </w:tcPr>
          <w:p>
            <w:r>
              <w:t>ACCEPTED MVP LIMITATION; do not invent Partner relation.</w:t>
            </w:r>
          </w:p>
        </w:tc>
      </w:tr>
    </w:tbl>
    <w:p>
      <w:pPr>
        <w:pStyle w:val="Heading1"/>
      </w:pPr>
      <w:r>
        <w:t>10. Remaining Controlled Residuals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Residual</w:t>
            </w:r>
          </w:p>
        </w:tc>
        <w:tc>
          <w:tcPr>
            <w:tcW w:type="dxa" w:w="3360"/>
            <w:shd w:fill="D9EAF7"/>
          </w:tcPr>
          <w:p>
            <w:r>
              <w:t>Status</w:t>
            </w:r>
          </w:p>
        </w:tc>
        <w:tc>
          <w:tcPr>
            <w:tcW w:type="dxa" w:w="3360"/>
            <w:shd w:fill="D9EAF7"/>
          </w:tcPr>
          <w:p>
            <w:r>
              <w:t>Next gate</w:t>
            </w:r>
          </w:p>
        </w:tc>
      </w:tr>
      <w:tr>
        <w:tc>
          <w:tcPr>
            <w:tcW w:type="dxa" w:w="3360"/>
          </w:tcPr>
          <w:p>
            <w:r>
              <w:t>Exact permission IDs / role_permissions</w:t>
            </w:r>
          </w:p>
        </w:tc>
        <w:tc>
          <w:tcPr>
            <w:tcW w:type="dxa" w:w="3360"/>
          </w:tcPr>
          <w:p>
            <w:r>
              <w:t>CONTROLLED OPEN</w:t>
            </w:r>
          </w:p>
        </w:tc>
        <w:tc>
          <w:tcPr>
            <w:tcW w:type="dxa" w:w="3360"/>
          </w:tcPr>
          <w:p>
            <w:r>
              <w:t>Direct catalogue evidence</w:t>
            </w:r>
          </w:p>
        </w:tc>
      </w:tr>
      <w:tr>
        <w:tc>
          <w:tcPr>
            <w:tcW w:type="dxa" w:w="3360"/>
          </w:tcPr>
          <w:p>
            <w:r>
              <w:t>Final RLS SQL</w:t>
            </w:r>
          </w:p>
        </w:tc>
        <w:tc>
          <w:tcPr>
            <w:tcW w:type="dxa" w:w="3360"/>
          </w:tcPr>
          <w:p>
            <w:r>
              <w:t>DEFERRED until permission + physical policy reconciliation</w:t>
            </w:r>
          </w:p>
        </w:tc>
        <w:tc>
          <w:tcPr>
            <w:tcW w:type="dxa" w:w="3360"/>
          </w:tcPr>
          <w:p>
            <w:r>
              <w:t>Execution candidate revision</w:t>
            </w:r>
          </w:p>
        </w:tc>
      </w:tr>
      <w:tr>
        <w:tc>
          <w:tcPr>
            <w:tcW w:type="dxa" w:w="3360"/>
          </w:tcPr>
          <w:p>
            <w:r>
              <w:t>PostgreSQL runtime</w:t>
            </w:r>
          </w:p>
        </w:tc>
        <w:tc>
          <w:tcPr>
            <w:tcW w:type="dxa" w:w="3360"/>
          </w:tcPr>
          <w:p>
            <w:r>
              <w:t>OPEN</w:t>
            </w:r>
          </w:p>
        </w:tc>
        <w:tc>
          <w:tcPr>
            <w:tcW w:type="dxa" w:w="3360"/>
          </w:tcPr>
          <w:p>
            <w:r>
              <w:t>Staging environment</w:t>
            </w:r>
          </w:p>
        </w:tc>
      </w:tr>
      <w:tr>
        <w:tc>
          <w:tcPr>
            <w:tcW w:type="dxa" w:w="3360"/>
          </w:tcPr>
          <w:p>
            <w:r>
              <w:t>Attendance numeric thresholds/exceptions</w:t>
            </w:r>
          </w:p>
        </w:tc>
        <w:tc>
          <w:tcPr>
            <w:tcW w:type="dxa" w:w="3360"/>
          </w:tcPr>
          <w:p>
            <w:r>
              <w:t>OPEN</w:t>
            </w:r>
          </w:p>
        </w:tc>
        <w:tc>
          <w:tcPr>
            <w:tcW w:type="dxa" w:w="3360"/>
          </w:tcPr>
          <w:p>
            <w:r>
              <w:t>Business Rule/configuration</w:t>
            </w:r>
          </w:p>
        </w:tc>
      </w:tr>
      <w:tr>
        <w:tc>
          <w:tcPr>
            <w:tcW w:type="dxa" w:w="3360"/>
          </w:tcPr>
          <w:p>
            <w:r>
              <w:t>Capacity exact physical enforcement</w:t>
            </w:r>
          </w:p>
        </w:tc>
        <w:tc>
          <w:tcPr>
            <w:tcW w:type="dxa" w:w="3360"/>
          </w:tcPr>
          <w:p>
            <w:r>
              <w:t>OPEN</w:t>
            </w:r>
          </w:p>
        </w:tc>
        <w:tc>
          <w:tcPr>
            <w:tcW w:type="dxa" w:w="3360"/>
          </w:tcPr>
          <w:p>
            <w:r>
              <w:t>Session policy/implementation</w:t>
            </w:r>
          </w:p>
        </w:tc>
      </w:tr>
      <w:tr>
        <w:tc>
          <w:tcPr>
            <w:tcW w:type="dxa" w:w="3360"/>
          </w:tcPr>
          <w:p>
            <w:r>
              <w:t>Recording retention/privacy/replay/transcript</w:t>
            </w:r>
          </w:p>
        </w:tc>
        <w:tc>
          <w:tcPr>
            <w:tcW w:type="dxa" w:w="3360"/>
          </w:tcPr>
          <w:p>
            <w:r>
              <w:t>OPEN</w:t>
            </w:r>
          </w:p>
        </w:tc>
        <w:tc>
          <w:tcPr>
            <w:tcW w:type="dxa" w:w="3360"/>
          </w:tcPr>
          <w:p>
            <w:r>
              <w:t>Media policy</w:t>
            </w:r>
          </w:p>
        </w:tc>
      </w:tr>
      <w:tr>
        <w:tc>
          <w:tcPr>
            <w:tcW w:type="dxa" w:w="3360"/>
          </w:tcPr>
          <w:p>
            <w:r>
              <w:t>Provider OAuth/scopes/webhooks/plans</w:t>
            </w:r>
          </w:p>
        </w:tc>
        <w:tc>
          <w:tcPr>
            <w:tcW w:type="dxa" w:w="3360"/>
          </w:tcPr>
          <w:p>
            <w:r>
              <w:t>OPEN</w:t>
            </w:r>
          </w:p>
        </w:tc>
        <w:tc>
          <w:tcPr>
            <w:tcW w:type="dxa" w:w="3360"/>
          </w:tcPr>
          <w:p>
            <w:r>
              <w:t>Provider implementation</w:t>
            </w:r>
          </w:p>
        </w:tc>
      </w:tr>
      <w:tr>
        <w:tc>
          <w:tcPr>
            <w:tcW w:type="dxa" w:w="3360"/>
          </w:tcPr>
          <w:p>
            <w:r>
              <w:t>Automatic provider failover</w:t>
            </w:r>
          </w:p>
        </w:tc>
        <w:tc>
          <w:tcPr>
            <w:tcW w:type="dxa" w:w="3360"/>
          </w:tcPr>
          <w:p>
            <w:r>
              <w:t>OPEN / DEFERRED</w:t>
            </w:r>
          </w:p>
        </w:tc>
        <w:tc>
          <w:tcPr>
            <w:tcW w:type="dxa" w:w="3360"/>
          </w:tcPr>
          <w:p>
            <w:r>
              <w:t>AEP4-OD-08</w:t>
            </w:r>
          </w:p>
        </w:tc>
      </w:tr>
      <w:tr>
        <w:tc>
          <w:tcPr>
            <w:tcW w:type="dxa" w:w="3360"/>
          </w:tcPr>
          <w:p>
            <w:r>
              <w:t>Learning Activity physical Activity/API contract</w:t>
            </w:r>
          </w:p>
        </w:tc>
        <w:tc>
          <w:tcPr>
            <w:tcW w:type="dxa" w:w="3360"/>
          </w:tcPr>
          <w:p>
            <w:r>
              <w:t>DOWNSTREAM</w:t>
            </w:r>
          </w:p>
        </w:tc>
        <w:tc>
          <w:tcPr>
            <w:tcW w:type="dxa" w:w="3360"/>
          </w:tcPr>
          <w:p>
            <w:r>
              <w:t>Learning Activity owning gate</w:t>
            </w:r>
          </w:p>
        </w:tc>
      </w:tr>
    </w:tbl>
    <w:p>
      <w:pPr>
        <w:pStyle w:val="Heading1"/>
      </w:pPr>
      <w:r>
        <w:t>11. Gate Result</w:t>
      </w:r>
    </w:p>
    <w:p>
      <w:r>
        <w:t>TECH-19-R1 = PASS WITH CONTROLLED EVIDENCE GAP. The stale Organization-cardinality residual is closed and withdrawn. Partner and Private-audience physical boundaries are also treated according to the later approved MVP physical candidate. The only material authorization evidence gap at this gate is the exact physical permission catalogue mapping, plus the runtime and policy gates that cannot be verified without their required environments/evidence.</w:t>
      </w:r>
    </w:p>
    <w:p>
      <w:pPr>
        <w:pStyle w:val="Heading1"/>
      </w:pPr>
      <w:r>
        <w:t>12. No User Open Decision</w:t>
      </w:r>
    </w:p>
    <w:p>
      <w:r>
        <w:t>No new user decision is requested. The remaining items are evidence, implementation, configuration or runtime gates. If exact permission catalogue evidence later reveals that the approved MADCR-053 taxonomy cannot be represented without changing its semantic meaning, then a bounded governance decision must be raised before implementation.</w:t>
      </w:r>
    </w:p>
    <w:p>
      <w:pPr>
        <w:pStyle w:val="Heading1"/>
      </w:pPr>
      <w:r>
        <w:t>13. Next Step — TECH-20</w:t>
      </w:r>
    </w:p>
    <w:p>
      <w:r>
        <w:t>TECH-20 should now focus narrowly on physical authorization closure: recover/inspect the exact current permission catalogue, map semantic Session capability families to existing/new physical permission rows without invention, define role_permissions direction, reconcile the corrected RLS policies against the existing M10/M12 conventions, and produce the controlled final authorization/RLS execution candidate. Do not reopen Organization/Event/Partner/Private relationship decisions.</w:t>
      </w:r>
    </w:p>
    <w:p>
      <w:pPr>
        <w:pStyle w:val="Heading1"/>
      </w:pPr>
      <w:r>
        <w:t>14. Traceability</w:t>
      </w:r>
    </w:p>
    <w:p>
      <w:pPr>
        <w:pStyle w:val="ListBullet"/>
      </w:pPr>
      <w:r>
        <w:t>TECH-04 Permission Catalogue / Scope Reconciliation.</w:t>
      </w:r>
    </w:p>
    <w:p>
      <w:pPr>
        <w:pStyle w:val="ListBullet"/>
      </w:pPr>
      <w:r>
        <w:t>TECH-05 Authorization Scope &amp; RLS Design Readiness.</w:t>
      </w:r>
    </w:p>
    <w:p>
      <w:pPr>
        <w:pStyle w:val="ListBullet"/>
      </w:pPr>
      <w:r>
        <w:t>TECH-09 Physical ERD / Schema Delta Specification.</w:t>
      </w:r>
    </w:p>
    <w:p>
      <w:pPr>
        <w:pStyle w:val="ListBullet"/>
      </w:pPr>
      <w:r>
        <w:t>TECH-10 Physical Database / Migration Readiness.</w:t>
      </w:r>
    </w:p>
    <w:p>
      <w:pPr>
        <w:pStyle w:val="ListBullet"/>
      </w:pPr>
      <w:r>
        <w:t>TECH-11 Migration Specification &amp; Verification Package.</w:t>
      </w:r>
    </w:p>
    <w:p>
      <w:pPr>
        <w:pStyle w:val="ListBullet"/>
      </w:pPr>
      <w:r>
        <w:t>TECH-12 Migration Verification / Dry-Run Review.</w:t>
      </w:r>
    </w:p>
    <w:p>
      <w:pPr>
        <w:pStyle w:val="ListBullet"/>
      </w:pPr>
      <w:r>
        <w:t>TECH-14 Staging Runtime Verification Readiness.</w:t>
      </w:r>
    </w:p>
    <w:p>
      <w:pPr>
        <w:pStyle w:val="ListBullet"/>
      </w:pPr>
      <w:r>
        <w:t>TECH-15-R1 Permission Catalogue Reconciliation.</w:t>
      </w:r>
    </w:p>
    <w:p>
      <w:pPr>
        <w:pStyle w:val="ListBullet"/>
      </w:pPr>
      <w:r>
        <w:t>TECH-18 Technical Execution Authorization Consolidation.</w:t>
      </w:r>
    </w:p>
    <w:p>
      <w:pPr>
        <w:pStyle w:val="ListBullet"/>
      </w:pPr>
      <w:r>
        <w:t>Project Knowledge Refresh Current State v1.0.</w:t>
      </w:r>
    </w:p>
    <w:p>
      <w:pPr>
        <w:pStyle w:val="ListBullet"/>
      </w:pPr>
      <w:r>
        <w:t>MADCR-053 Formal Decision &amp; Closure.</w:t>
      </w:r>
    </w:p>
    <w:p>
      <w:pPr>
        <w:pStyle w:val="ListBullet"/>
      </w:pPr>
      <w:r>
        <w:t>MADCR-054 Formal Decision &amp; Closure.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