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TECH-21</w:t>
      </w:r>
    </w:p>
    <w:p>
      <w:pPr>
        <w:jc w:val="center"/>
      </w:pPr>
      <w:r>
        <w:rPr>
          <w:i/>
        </w:rPr>
        <w:t>Session Permission Catalogue &amp; Role-Mapping Candidate</w:t>
      </w:r>
    </w:p>
    <w:p>
      <w:r>
        <w:rPr>
          <w:b/>
        </w:rPr>
        <w:t xml:space="preserve">Status: </w:t>
      </w:r>
      <w:r>
        <w:t>PASS — NAMESPACE DECISION CLOSED; PHYSICAL SEEDING/RUNTIME RLS STILL CONTROLLED</w:t>
      </w:r>
    </w:p>
    <w:p>
      <w:pPr>
        <w:pStyle w:val="Heading1"/>
      </w:pPr>
      <w:r>
        <w:t>1. Decision Applied</w:t>
      </w:r>
    </w:p>
    <w:p>
      <w:r>
        <w:t>User approved Option A at TECH-20: extend the existing M04 Learning permission namespace with new Session-specific permission rows. Existing M04 Course/CourseEnrollment permission IDs are not reused. Existing M05 Event/EventRegistration permission IDs are not reused.</w:t>
      </w:r>
    </w:p>
    <w:p>
      <w:r>
        <w:t>This closes the namespace decision only. The catalogue rows below are a controlled technical candidate derived from the approved Session semantic capability set. They are not yet inserted into the production permissions table.</w:t>
      </w:r>
    </w:p>
    <w:p>
      <w:pPr>
        <w:pStyle w:val="Heading1"/>
      </w:pPr>
      <w:r>
        <w:t>2. Source-Bound Permission Conventions</w:t>
      </w:r>
    </w:p>
    <w:p>
      <w:pPr>
        <w:pStyle w:val="ListBullet"/>
      </w:pPr>
      <w:r>
        <w:t>Authorization Spec v1.1 defines ID format: PERM-[MODUL]-[Aksi]-[NamaEntity].</w:t>
      </w:r>
    </w:p>
    <w:p>
      <w:pPr>
        <w:pStyle w:val="ListBullet"/>
      </w:pPr>
      <w:r>
        <w:t>Action vocabulary is closed: Create, View, Update, Delete, Publish, Approve, Assign, Export, Manage.</w:t>
      </w:r>
    </w:p>
    <w:p>
      <w:pPr>
        <w:pStyle w:val="ListBullet"/>
      </w:pPr>
      <w:r>
        <w:t>Physical RBAC uses permissions(module_code, action_code) and role_permissions(permission_id, granted_scope).</w:t>
      </w:r>
    </w:p>
    <w:p>
      <w:pPr>
        <w:pStyle w:val="ListBullet"/>
      </w:pPr>
      <w:r>
        <w:t>granted_scope is all / own / none.</w:t>
      </w:r>
    </w:p>
    <w:p>
      <w:pPr>
        <w:pStyle w:val="ListBullet"/>
      </w:pPr>
      <w:r>
        <w:t>Existing M04 Learning Center uses Instructor=own for Course/CourseLesson/Quiz and own for Enrollment/QuizAttempt/Certificate.</w:t>
      </w:r>
    </w:p>
    <w:p>
      <w:pPr>
        <w:pStyle w:val="ListBullet"/>
      </w:pPr>
      <w:r>
        <w:t>M05 Event and EventRegistration remain separate and must not be reused for Session.</w:t>
      </w:r>
    </w:p>
    <w:p>
      <w:pPr>
        <w:pStyle w:val="ListBullet"/>
      </w:pPr>
      <w:r>
        <w:t>Superadmin is an application-level bypass; catalogue 'all' is traceability, not a runtime dependency.</w:t>
      </w:r>
    </w:p>
    <w:p>
      <w:pPr>
        <w:pStyle w:val="Heading1"/>
      </w:pPr>
      <w:r>
        <w:t>3. Final Candidate Session Permission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PERM ID</w:t>
            </w:r>
          </w:p>
        </w:tc>
        <w:tc>
          <w:tcPr>
            <w:tcW w:type="dxa" w:w="2520"/>
            <w:shd w:fill="D9EAF7"/>
          </w:tcPr>
          <w:p>
            <w:r>
              <w:t>Entity</w:t>
            </w:r>
          </w:p>
        </w:tc>
        <w:tc>
          <w:tcPr>
            <w:tcW w:type="dxa" w:w="2520"/>
            <w:shd w:fill="D9EAF7"/>
          </w:tcPr>
          <w:p>
            <w:r>
              <w:t>Action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PERM-M04-Create-LearningSession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Create a Learning Session</w:t>
            </w:r>
          </w:p>
        </w:tc>
      </w:tr>
      <w:tr>
        <w:tc>
          <w:tcPr>
            <w:tcW w:type="dxa" w:w="2520"/>
          </w:tcPr>
          <w:p>
            <w:r>
              <w:t>PERM-M04-View-LearningSession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View/discover Session resource</w:t>
            </w:r>
          </w:p>
        </w:tc>
      </w:tr>
      <w:tr>
        <w:tc>
          <w:tcPr>
            <w:tcW w:type="dxa" w:w="2520"/>
          </w:tcPr>
          <w:p>
            <w:r>
              <w:t>PERM-M04-Update-LearningSession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Update</w:t>
            </w:r>
          </w:p>
        </w:tc>
        <w:tc>
          <w:tcPr>
            <w:tcW w:type="dxa" w:w="2520"/>
          </w:tcPr>
          <w:p>
            <w:r>
              <w:t>Update Session configuration</w:t>
            </w:r>
          </w:p>
        </w:tc>
      </w:tr>
      <w:tr>
        <w:tc>
          <w:tcPr>
            <w:tcW w:type="dxa" w:w="2520"/>
          </w:tcPr>
          <w:p>
            <w:r>
              <w:t>PERM-M04-Lifecycle-LearningSession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Governed lifecycle operations</w:t>
            </w:r>
          </w:p>
        </w:tc>
      </w:tr>
      <w:tr>
        <w:tc>
          <w:tcPr>
            <w:tcW w:type="dxa" w:w="2520"/>
          </w:tcPr>
          <w:p>
            <w:r>
              <w:t>PERM-M04-Create-SessionEnrollment</w:t>
            </w:r>
          </w:p>
        </w:tc>
        <w:tc>
          <w:tcPr>
            <w:tcW w:type="dxa" w:w="2520"/>
          </w:tcPr>
          <w:p>
            <w:r>
              <w:t>ENT-M04-SessionEnrollment</w:t>
            </w:r>
          </w:p>
        </w:tc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Create own Session Enrollment</w:t>
            </w:r>
          </w:p>
        </w:tc>
      </w:tr>
      <w:tr>
        <w:tc>
          <w:tcPr>
            <w:tcW w:type="dxa" w:w="2520"/>
          </w:tcPr>
          <w:p>
            <w:r>
              <w:t>PERM-M04-View-SessionEnrollment</w:t>
            </w:r>
          </w:p>
        </w:tc>
        <w:tc>
          <w:tcPr>
            <w:tcW w:type="dxa" w:w="2520"/>
          </w:tcPr>
          <w:p>
            <w:r>
              <w:t>ENT-M04-SessionEnrollment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Read own/scoped Session Enrollment</w:t>
            </w:r>
          </w:p>
        </w:tc>
      </w:tr>
      <w:tr>
        <w:tc>
          <w:tcPr>
            <w:tcW w:type="dxa" w:w="2520"/>
          </w:tcPr>
          <w:p>
            <w:r>
              <w:t>PERM-M04-Access-LearningSession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Resolve/join authorized Session access</w:t>
            </w:r>
          </w:p>
        </w:tc>
      </w:tr>
      <w:tr>
        <w:tc>
          <w:tcPr>
            <w:tcW w:type="dxa" w:w="2520"/>
          </w:tcPr>
          <w:p>
            <w:r>
              <w:t>PERM-M04-Manage-SessionProvider</w:t>
            </w:r>
          </w:p>
        </w:tc>
        <w:tc>
          <w:tcPr>
            <w:tcW w:type="dxa" w:w="2520"/>
          </w:tcPr>
          <w:p>
            <w:r>
              <w:t>ENT-M04-SessionProviderBinding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Create/change provider binding</w:t>
            </w:r>
          </w:p>
        </w:tc>
      </w:tr>
      <w:tr>
        <w:tc>
          <w:tcPr>
            <w:tcW w:type="dxa" w:w="2520"/>
          </w:tcPr>
          <w:p>
            <w:r>
              <w:t>PERM-M04-View-SessionEvidence</w:t>
            </w:r>
          </w:p>
        </w:tc>
        <w:tc>
          <w:tcPr>
            <w:tcW w:type="dxa" w:w="2520"/>
          </w:tcPr>
          <w:p>
            <w:r>
              <w:t>ENT-M04-SessionParticipationEvidence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Read normalized participation evidence</w:t>
            </w:r>
          </w:p>
        </w:tc>
      </w:tr>
      <w:tr>
        <w:tc>
          <w:tcPr>
            <w:tcW w:type="dxa" w:w="2520"/>
          </w:tcPr>
          <w:p>
            <w:r>
              <w:t>PERM-M04-Review-SessionAttendance</w:t>
            </w:r>
          </w:p>
        </w:tc>
        <w:tc>
          <w:tcPr>
            <w:tcW w:type="dxa" w:w="2520"/>
          </w:tcPr>
          <w:p>
            <w:r>
              <w:t>ENT-M04-SessionAttendanceEvaluation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Review/evaluate attendance</w:t>
            </w:r>
          </w:p>
        </w:tc>
      </w:tr>
      <w:tr>
        <w:tc>
          <w:tcPr>
            <w:tcW w:type="dxa" w:w="2520"/>
          </w:tcPr>
          <w:p>
            <w:r>
              <w:t>PERM-M04-Evaluate-SessionCompletion</w:t>
            </w:r>
          </w:p>
        </w:tc>
        <w:tc>
          <w:tcPr>
            <w:tcW w:type="dxa" w:w="2520"/>
          </w:tcPr>
          <w:p>
            <w:r>
              <w:t>ENT-M04-SessionCompletionOutcome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Evaluate/finalize governed completion</w:t>
            </w:r>
          </w:p>
        </w:tc>
      </w:tr>
      <w:tr>
        <w:tc>
          <w:tcPr>
            <w:tcW w:type="dxa" w:w="2520"/>
          </w:tcPr>
          <w:p>
            <w:r>
              <w:t>PERM-M04-View-SessionArtifact</w:t>
            </w:r>
          </w:p>
        </w:tc>
        <w:tc>
          <w:tcPr>
            <w:tcW w:type="dxa" w:w="2520"/>
          </w:tcPr>
          <w:p>
            <w:r>
              <w:t>ENT-M04-SessionArtifact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Read permitted recording/artifact</w:t>
            </w:r>
          </w:p>
        </w:tc>
      </w:tr>
      <w:tr>
        <w:tc>
          <w:tcPr>
            <w:tcW w:type="dxa" w:w="2520"/>
          </w:tcPr>
          <w:p>
            <w:r>
              <w:t>PERM-M04-Manage-SessionVisibility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Change Session visibility</w:t>
            </w:r>
          </w:p>
        </w:tc>
      </w:tr>
      <w:tr>
        <w:tc>
          <w:tcPr>
            <w:tcW w:type="dxa" w:w="2520"/>
          </w:tcPr>
          <w:p>
            <w:r>
              <w:t>PERM-M04-Host-LearningSession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Host/provider operations; explicit Host capability</w:t>
            </w:r>
          </w:p>
        </w:tc>
      </w:tr>
      <w:tr>
        <w:tc>
          <w:tcPr>
            <w:tcW w:type="dxa" w:w="2520"/>
          </w:tcPr>
          <w:p>
            <w:r>
              <w:t>PERM-M04-Instruct-LearningSession</w:t>
            </w:r>
          </w:p>
        </w:tc>
        <w:tc>
          <w:tcPr>
            <w:tcW w:type="dxa" w:w="2520"/>
          </w:tcPr>
          <w:p>
            <w:r>
              <w:t>ENT-M04-LearningSession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Instructor/teaching operations; explicit Instructor capability</w:t>
            </w:r>
          </w:p>
        </w:tc>
      </w:tr>
    </w:tbl>
    <w:p>
      <w:r>
        <w:t>The source vocabulary does not define a separate 'Lifecycle' or 'Access' action. Therefore these candidate rows use the closed action vocabulary ('Manage' or 'View') while retaining semantic names in the identifier. Final endpoint decomposition must not introduce a new action vocabulary.</w:t>
      </w:r>
    </w:p>
    <w:p>
      <w:pPr>
        <w:pStyle w:val="Heading1"/>
      </w:pPr>
      <w:r>
        <w:t>4. Candidate Role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Permission family</w:t>
            </w:r>
          </w:p>
        </w:tc>
        <w:tc>
          <w:tcPr>
            <w:tcW w:type="dxa" w:w="2520"/>
            <w:shd w:fill="D9EAF7"/>
          </w:tcPr>
          <w:p>
            <w:r>
              <w:t>Candidate role mapping</w:t>
            </w:r>
          </w:p>
        </w:tc>
        <w:tc>
          <w:tcPr>
            <w:tcW w:type="dxa" w:w="2520"/>
            <w:shd w:fill="D9EAF7"/>
          </w:tcPr>
          <w:p>
            <w:r>
              <w:t>State</w:t>
            </w:r>
          </w:p>
        </w:tc>
        <w:tc>
          <w:tcPr>
            <w:tcW w:type="dxa" w:w="2520"/>
            <w:shd w:fill="D9EAF7"/>
          </w:tcPr>
          <w:p>
            <w:r>
              <w:t>Constraint</w:t>
            </w:r>
          </w:p>
        </w:tc>
      </w:tr>
      <w:tr>
        <w:tc>
          <w:tcPr>
            <w:tcW w:type="dxa" w:w="2520"/>
          </w:tcPr>
          <w:p>
            <w:r>
              <w:t>Create-LearningSession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Instructor ownership/resource scope required</w:t>
            </w:r>
          </w:p>
        </w:tc>
      </w:tr>
      <w:tr>
        <w:tc>
          <w:tcPr>
            <w:tcW w:type="dxa" w:w="2520"/>
          </w:tcPr>
          <w:p>
            <w:r>
              <w:t>View-LearningSession</w:t>
            </w:r>
          </w:p>
        </w:tc>
        <w:tc>
          <w:tcPr>
            <w:tcW w:type="dxa" w:w="2520"/>
          </w:tcPr>
          <w:p>
            <w:r>
              <w:t>Manager=all; Admin=all; Instructor=own; Agent=all; DevPartner=all; Buyer=all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RLS/visibility remains authoritative; public access is not equivalent to mutation</w:t>
            </w:r>
          </w:p>
        </w:tc>
      </w:tr>
      <w:tr>
        <w:tc>
          <w:tcPr>
            <w:tcW w:type="dxa" w:w="2520"/>
          </w:tcPr>
          <w:p>
            <w:r>
              <w:t>Update-LearningSession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Ownership/domain scope still enforced</w:t>
            </w:r>
          </w:p>
        </w:tc>
      </w:tr>
      <w:tr>
        <w:tc>
          <w:tcPr>
            <w:tcW w:type="dxa" w:w="2520"/>
          </w:tcPr>
          <w:p>
            <w:r>
              <w:t>Lifecycle-LearningSession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Does not imply Host capability</w:t>
            </w:r>
          </w:p>
        </w:tc>
      </w:tr>
      <w:tr>
        <w:tc>
          <w:tcPr>
            <w:tcW w:type="dxa" w:w="2520"/>
          </w:tcPr>
          <w:p>
            <w:r>
              <w:t>Create-SessionEnrollment</w:t>
            </w:r>
          </w:p>
        </w:tc>
        <w:tc>
          <w:tcPr>
            <w:tcW w:type="dxa" w:w="2520"/>
          </w:tcPr>
          <w:p>
            <w:r>
              <w:t>Manager=all; Admin=all; Instructor=own; Agent=own;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Learner own enrollment; server-controlled lifecycle</w:t>
            </w:r>
          </w:p>
        </w:tc>
      </w:tr>
      <w:tr>
        <w:tc>
          <w:tcPr>
            <w:tcW w:type="dxa" w:w="2520"/>
          </w:tcPr>
          <w:p>
            <w:r>
              <w:t>View-SessionEnrollment</w:t>
            </w:r>
          </w:p>
        </w:tc>
        <w:tc>
          <w:tcPr>
            <w:tcW w:type="dxa" w:w="2520"/>
          </w:tcPr>
          <w:p>
            <w:r>
              <w:t>Manager=all; Admin=all; Instructor=own; Agent=own;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Resource/own scope enforced</w:t>
            </w:r>
          </w:p>
        </w:tc>
      </w:tr>
      <w:tr>
        <w:tc>
          <w:tcPr>
            <w:tcW w:type="dxa" w:w="2520"/>
          </w:tcPr>
          <w:p>
            <w:r>
              <w:t>Access-LearningSession</w:t>
            </w:r>
          </w:p>
        </w:tc>
        <w:tc>
          <w:tcPr>
            <w:tcW w:type="dxa" w:w="2520"/>
          </w:tcPr>
          <w:p>
            <w:r>
              <w:t>Manager=all; Admin=all; Instructor=own; Agent=own;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ACTIVE enrollment/eligibility still required</w:t>
            </w:r>
          </w:p>
        </w:tc>
      </w:tr>
      <w:tr>
        <w:tc>
          <w:tcPr>
            <w:tcW w:type="dxa" w:w="2520"/>
          </w:tcPr>
          <w:p>
            <w:r>
              <w:t>Manage-SessionProvider</w:t>
            </w:r>
          </w:p>
        </w:tc>
        <w:tc>
          <w:tcPr>
            <w:tcW w:type="dxa" w:w="2520"/>
          </w:tcPr>
          <w:p>
            <w:r>
              <w:t>Manager=all; Admin=all; Instructor=none;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Host assignment mechanism remains downstream; do not infer Host from Instructor</w:t>
            </w:r>
          </w:p>
        </w:tc>
      </w:tr>
      <w:tr>
        <w:tc>
          <w:tcPr>
            <w:tcW w:type="dxa" w:w="2520"/>
          </w:tcPr>
          <w:p>
            <w:r>
              <w:t>View-SessionEvidence</w:t>
            </w:r>
          </w:p>
        </w:tc>
        <w:tc>
          <w:tcPr>
            <w:tcW w:type="dxa" w:w="2520"/>
          </w:tcPr>
          <w:p>
            <w:r>
              <w:t>Manager=all; Admin=all; Instructor=own; Agent=own;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Evidence is not outcome</w:t>
            </w:r>
          </w:p>
        </w:tc>
      </w:tr>
      <w:tr>
        <w:tc>
          <w:tcPr>
            <w:tcW w:type="dxa" w:w="2520"/>
          </w:tcPr>
          <w:p>
            <w:r>
              <w:t>Review-SessionAttendance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Attendance policy remains configurable</w:t>
            </w:r>
          </w:p>
        </w:tc>
      </w:tr>
      <w:tr>
        <w:tc>
          <w:tcPr>
            <w:tcW w:type="dxa" w:w="2520"/>
          </w:tcPr>
          <w:p>
            <w:r>
              <w:t>Evaluate-SessionCompletion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Completion does not directly award LP/title/credential</w:t>
            </w:r>
          </w:p>
        </w:tc>
      </w:tr>
      <w:tr>
        <w:tc>
          <w:tcPr>
            <w:tcW w:type="dxa" w:w="2520"/>
          </w:tcPr>
          <w:p>
            <w:r>
              <w:t>View-SessionArtifact</w:t>
            </w:r>
          </w:p>
        </w:tc>
        <w:tc>
          <w:tcPr>
            <w:tcW w:type="dxa" w:w="2520"/>
          </w:tcPr>
          <w:p>
            <w:r>
              <w:t>Manager=all; Admin=all; Instructor=own; Agent=own;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Recording/replay policy remains separate</w:t>
            </w:r>
          </w:p>
        </w:tc>
      </w:tr>
      <w:tr>
        <w:tc>
          <w:tcPr>
            <w:tcW w:type="dxa" w:w="2520"/>
          </w:tcPr>
          <w:p>
            <w:r>
              <w:t>Manage-SessionVisibility</w:t>
            </w:r>
          </w:p>
        </w:tc>
        <w:tc>
          <w:tcPr>
            <w:tcW w:type="dxa" w:w="2520"/>
          </w:tcPr>
          <w:p>
            <w:r>
              <w:t>Manager=all; Admin=all; Instructor=own; Agent=none; DevPartner=none; Buyer=none</w:t>
            </w:r>
          </w:p>
        </w:tc>
        <w:tc>
          <w:tcPr>
            <w:tcW w:type="dxa" w:w="2520"/>
          </w:tcPr>
          <w:p>
            <w:r>
              <w:t>Candidate</w:t>
            </w:r>
          </w:p>
        </w:tc>
        <w:tc>
          <w:tcPr>
            <w:tcW w:type="dxa" w:w="2520"/>
          </w:tcPr>
          <w:p>
            <w:r>
              <w:t>Organization/Partner/Private scope remains second-layer</w:t>
            </w:r>
          </w:p>
        </w:tc>
      </w:tr>
      <w:tr>
        <w:tc>
          <w:tcPr>
            <w:tcW w:type="dxa" w:w="2520"/>
          </w:tcPr>
          <w:p>
            <w:r>
              <w:t>Host-LearningSession</w:t>
            </w:r>
          </w:p>
        </w:tc>
        <w:tc>
          <w:tcPr>
            <w:tcW w:type="dxa" w:w="2520"/>
          </w:tcPr>
          <w:p>
            <w:r>
              <w:t>NOT ASSIGNED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Physical Host assignment is not representable by current role_permissions alone without an explicit resource-level mechanism</w:t>
            </w:r>
          </w:p>
        </w:tc>
      </w:tr>
      <w:tr>
        <w:tc>
          <w:tcPr>
            <w:tcW w:type="dxa" w:w="2520"/>
          </w:tcPr>
          <w:p>
            <w:r>
              <w:t>Instruct-LearningSession</w:t>
            </w:r>
          </w:p>
        </w:tc>
        <w:tc>
          <w:tcPr>
            <w:tcW w:type="dxa" w:w="2520"/>
          </w:tcPr>
          <w:p>
            <w:r>
              <w:t>NOT ASSIGNED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Do not silently equate global Instructor role with Session Instructor capability; resource assignment remains downstream</w:t>
            </w:r>
          </w:p>
        </w:tc>
      </w:tr>
    </w:tbl>
    <w:p>
      <w:pPr>
        <w:pStyle w:val="Heading1"/>
      </w:pPr>
      <w:r>
        <w:t>5. Why Host and Instructor Remain Unassigned</w:t>
      </w:r>
    </w:p>
    <w:p>
      <w:r>
        <w:t>MADCR-054 governs Host and Instructor as separate capabilities, not as interchangeable roles. The existing physical RBAC table is role-level (role_id → permission_id → granted_scope). It does not, by itself, express 'User X is Host of Session Y' or 'User X is Instructor of Session Y'. Therefore TECH-21 does not fake this relationship by assigning Host permission to the global Instructor role.</w:t>
      </w:r>
    </w:p>
    <w:p>
      <w:r>
        <w:t>A later physical design may use an existing assignment/resource-scope mechanism if one is found in the source, or a new resource-level authorization structure if governance permits. That is deliberately deferred rather than invented.</w:t>
      </w:r>
    </w:p>
    <w:p>
      <w:pPr>
        <w:pStyle w:val="Heading1"/>
      </w:pPr>
      <w:r>
        <w:t>6. Role-Permission Seeding Boundary</w:t>
      </w:r>
    </w:p>
    <w:p>
      <w:pPr>
        <w:pStyle w:val="ListBullet"/>
      </w:pPr>
      <w:r>
        <w:t>No INSERT into permissions is executed by TECH-21.</w:t>
      </w:r>
    </w:p>
    <w:p>
      <w:pPr>
        <w:pStyle w:val="ListBullet"/>
      </w:pPr>
      <w:r>
        <w:t>No INSERT into role_permissions is executed by TECH-21.</w:t>
      </w:r>
    </w:p>
    <w:p>
      <w:pPr>
        <w:pStyle w:val="ListBullet"/>
      </w:pPr>
      <w:r>
        <w:t>Candidate IDs must first be checked against UNIQUE(module_code, action_code) and the existing catalogue.</w:t>
      </w:r>
    </w:p>
    <w:p>
      <w:pPr>
        <w:pStyle w:val="ListBullet"/>
      </w:pPr>
      <w:r>
        <w:t>Existing M04/M05 rows remain untouched.</w:t>
      </w:r>
    </w:p>
    <w:p>
      <w:pPr>
        <w:pStyle w:val="ListBullet"/>
      </w:pPr>
      <w:r>
        <w:t>Superadmin remains application bypass.</w:t>
      </w:r>
    </w:p>
    <w:p>
      <w:pPr>
        <w:pStyle w:val="ListBullet"/>
      </w:pPr>
      <w:r>
        <w:t>Manager/Admin broad operational access follows the existing M04 pattern, subject to Session-specific RLS.</w:t>
      </w:r>
    </w:p>
    <w:p>
      <w:pPr>
        <w:pStyle w:val="ListBullet"/>
      </w:pPr>
      <w:r>
        <w:t>Instructor own mapping follows the existing M04 Learning Center pattern only for Session actions explicitly assigned to Instructor.</w:t>
      </w:r>
    </w:p>
    <w:p>
      <w:pPr>
        <w:pStyle w:val="ListBullet"/>
      </w:pPr>
      <w:r>
        <w:t>Agent own mapping is limited to enrollment/access/evidence/artifact paths; it does not grant Session management.</w:t>
      </w:r>
    </w:p>
    <w:p>
      <w:pPr>
        <w:pStyle w:val="Heading1"/>
      </w:pPr>
      <w:r>
        <w:t>7. RLS Requirements Carried into Next Candidate</w:t>
      </w:r>
    </w:p>
    <w:p>
      <w:pPr>
        <w:pStyle w:val="ListBullet"/>
      </w:pPr>
      <w:r>
        <w:t>PUBLIC read cannot be used to bypass protected mutation permission.</w:t>
      </w:r>
    </w:p>
    <w:p>
      <w:pPr>
        <w:pStyle w:val="ListBullet"/>
      </w:pPr>
      <w:r>
        <w:t>ORGANIZATION visibility requires authoritative organization membership/authority against nullable learning_sessions.organization_id.</w:t>
      </w:r>
    </w:p>
    <w:p>
      <w:pPr>
        <w:pStyle w:val="ListBullet"/>
      </w:pPr>
      <w:r>
        <w:t>PARTNER has no physical Session relation in MVP.</w:t>
      </w:r>
    </w:p>
    <w:p>
      <w:pPr>
        <w:pStyle w:val="ListBullet"/>
      </w:pPr>
      <w:r>
        <w:t>PRIVATE has no dedicated audience table in MVP; explicit resource/enrollment authorization remains required.</w:t>
      </w:r>
    </w:p>
    <w:p>
      <w:pPr>
        <w:pStyle w:val="ListBullet"/>
      </w:pPr>
      <w:r>
        <w:t>Client-supplied organization_id is not authorization proof.</w:t>
      </w:r>
    </w:p>
    <w:p>
      <w:pPr>
        <w:pStyle w:val="ListBullet"/>
      </w:pPr>
      <w:r>
        <w:t>Learner cannot self-promote PENDING → ACTIVE → COMPLETED.</w:t>
      </w:r>
    </w:p>
    <w:p>
      <w:pPr>
        <w:pStyle w:val="ListBullet"/>
      </w:pPr>
      <w:r>
        <w:t>Provider binding must have at most one active/pending binding per Session.</w:t>
      </w:r>
    </w:p>
    <w:p>
      <w:pPr>
        <w:pStyle w:val="ListBullet"/>
      </w:pPr>
      <w:r>
        <w:t>Provider external ID is not authorization proof.</w:t>
      </w:r>
    </w:p>
    <w:p>
      <w:pPr>
        <w:pStyle w:val="ListBullet"/>
      </w:pPr>
      <w:r>
        <w:t>Hard ownership rules remain non-bypassable where governed.</w:t>
      </w:r>
    </w:p>
    <w:p>
      <w:pPr>
        <w:pStyle w:val="ListBullet"/>
      </w:pPr>
      <w:r>
        <w:t>RLS remains second enforcement layer after application authorization.</w:t>
      </w:r>
    </w:p>
    <w:p>
      <w:pPr>
        <w:pStyle w:val="Heading1"/>
      </w:pPr>
      <w:r>
        <w:t>8. TECH-12 Remediation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Finding</w:t>
            </w:r>
          </w:p>
        </w:tc>
        <w:tc>
          <w:tcPr>
            <w:tcW w:type="dxa" w:w="5040"/>
            <w:shd w:fill="D9EAF7"/>
          </w:tcPr>
          <w:p>
            <w:r>
              <w:t>TECH-21 treatment</w:t>
            </w:r>
          </w:p>
        </w:tc>
      </w:tr>
      <w:tr>
        <w:tc>
          <w:tcPr>
            <w:tcW w:type="dxa" w:w="5040"/>
          </w:tcPr>
          <w:p>
            <w:r>
              <w:t>T12-01 learner lifecycle self-update</w:t>
            </w:r>
          </w:p>
        </w:tc>
        <w:tc>
          <w:tcPr>
            <w:tcW w:type="dxa" w:w="5040"/>
          </w:tcPr>
          <w:p>
            <w:r>
              <w:t>Covered by no learner lifecycle permission; final SQL/RLS must enforce.</w:t>
            </w:r>
          </w:p>
        </w:tc>
      </w:tr>
      <w:tr>
        <w:tc>
          <w:tcPr>
            <w:tcW w:type="dxa" w:w="5040"/>
          </w:tcPr>
          <w:p>
            <w:r>
              <w:t>T12-02 organization membership bypass</w:t>
            </w:r>
          </w:p>
        </w:tc>
        <w:tc>
          <w:tcPr>
            <w:tcW w:type="dxa" w:w="5040"/>
          </w:tcPr>
          <w:p>
            <w:r>
              <w:t>Covered as required RLS/application condition; final SQL/RLS must enforce.</w:t>
            </w:r>
          </w:p>
        </w:tc>
      </w:tr>
      <w:tr>
        <w:tc>
          <w:tcPr>
            <w:tcW w:type="dxa" w:w="5040"/>
          </w:tcPr>
          <w:p>
            <w:r>
              <w:t>T12-03 provider binding active uniqueness</w:t>
            </w:r>
          </w:p>
        </w:tc>
        <w:tc>
          <w:tcPr>
            <w:tcW w:type="dxa" w:w="5040"/>
          </w:tcPr>
          <w:p>
            <w:r>
              <w:t>Carried to final migration candidate.</w:t>
            </w:r>
          </w:p>
        </w:tc>
      </w:tr>
      <w:tr>
        <w:tc>
          <w:tcPr>
            <w:tcW w:type="dxa" w:w="5040"/>
          </w:tcPr>
          <w:p>
            <w:r>
              <w:t>T12-04 non-idempotent policy creation</w:t>
            </w:r>
          </w:p>
        </w:tc>
        <w:tc>
          <w:tcPr>
            <w:tcW w:type="dxa" w:w="5040"/>
          </w:tcPr>
          <w:p>
            <w:r>
              <w:t>Carried to final migration candidate revision.</w:t>
            </w:r>
          </w:p>
        </w:tc>
      </w:tr>
      <w:tr>
        <w:tc>
          <w:tcPr>
            <w:tcW w:type="dxa" w:w="5040"/>
          </w:tcPr>
          <w:p>
            <w:r>
              <w:t>T12-05 PENDING uniqueness interpretation</w:t>
            </w:r>
          </w:p>
        </w:tc>
        <w:tc>
          <w:tcPr>
            <w:tcW w:type="dxa" w:w="5040"/>
          </w:tcPr>
          <w:p>
            <w:r>
              <w:t>Must remain explicit in final migration/BR implementation.</w:t>
            </w:r>
          </w:p>
        </w:tc>
      </w:tr>
      <w:tr>
        <w:tc>
          <w:tcPr>
            <w:tcW w:type="dxa" w:w="5040"/>
          </w:tcPr>
          <w:p>
            <w:r>
              <w:t>T12-06 PARTNER relation absent</w:t>
            </w:r>
          </w:p>
        </w:tc>
        <w:tc>
          <w:tcPr>
            <w:tcW w:type="dxa" w:w="5040"/>
          </w:tcPr>
          <w:p>
            <w:r>
              <w:t>Accepted MVP limitation; no new Partner relation.</w:t>
            </w:r>
          </w:p>
        </w:tc>
      </w:tr>
    </w:tbl>
    <w:p>
      <w:pPr>
        <w:pStyle w:val="Heading1"/>
      </w:pPr>
      <w:r>
        <w:t>9. Gate Result</w:t>
      </w:r>
    </w:p>
    <w:p>
      <w:r>
        <w:t>TECH-21 = PASS. The user-approved namespace decision is incorporated. The Session permission catalogue and role-mapping candidate are now bounded without reusing Course/Event permissions. The remaining controlled open item is the resource-level Host/Instructor assignment mechanism, not the permission namespace.</w:t>
      </w:r>
    </w:p>
    <w:p>
      <w:pPr>
        <w:pStyle w:val="Heading1"/>
      </w:pPr>
      <w:r>
        <w:t>10. Next Step — TECH-22</w:t>
      </w:r>
    </w:p>
    <w:p>
      <w:r>
        <w:t>TECH-22 — Resource-Level Session Authorization &amp; RLS Finalization. Reconcile the Host/Instructor assignment requirement against the source's existing resource-scope/assignment mechanisms, finalize the Session authorization evaluation matrix, produce the permission/RLS SQL delta candidate, and preserve the no-Partner/no-private-audience-table MVP boundaries. Do not execute migration.</w:t>
      </w:r>
    </w:p>
    <w:p>
      <w:pPr>
        <w:pStyle w:val="Heading1"/>
      </w:pPr>
      <w:r>
        <w:t>11. User Open Decision</w:t>
      </w:r>
    </w:p>
    <w:p>
      <w:r>
        <w:t>No new user decision is required at TECH-21. The namespace decision has been approved and closed. If TECH-22 cannot find an existing resource-level Host/Instructor assignment mechanism in the source, I will stop at that evidence boundary and present a single bounded physical-design decision rather than inventing a table.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Authorization-Access-Control-Specification-v1_1-FINAL.md — source permission vocabulary, 113 existing PERM-XXX rows, role matrix.</w:t>
      </w:r>
    </w:p>
    <w:p>
      <w:pPr>
        <w:pStyle w:val="ListBullet"/>
      </w:pPr>
      <w:r>
        <w:t>0002_m10_rbac_foundation__1_.sql — roles, permissions, role_permissions and granted_scope physical model.</w:t>
      </w:r>
    </w:p>
    <w:p>
      <w:pPr>
        <w:pStyle w:val="ListBullet"/>
      </w:pPr>
      <w:r>
        <w:t>MP-10-RBAC-Module-Planning-v1_0-FINAL.md — M10 authority and role-management hierarchy.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Host/Instructor separation and physical non-decision.</w:t>
      </w:r>
    </w:p>
    <w:p>
      <w:pPr>
        <w:pStyle w:val="ListBullet"/>
      </w:pPr>
      <w:r>
        <w:t>TECH-19-R1 — corrected physical Session relationships/RLS boundary.</w:t>
      </w:r>
    </w:p>
    <w:p>
      <w:pPr>
        <w:pStyle w:val="ListBullet"/>
      </w:pPr>
      <w:r>
        <w:t>TECH-20 — approved Option A namespace decision.</w:t>
      </w:r>
    </w:p>
    <w:p>
      <w:pPr>
        <w:pStyle w:val="ListBullet"/>
      </w:pPr>
      <w:r>
        <w:t>TECH-12 — migration remediation findings.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