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RUMAHAGEN — TECH-29</w:t>
        <w:br/>
        <w:t>STAGING AUTHORIZATION RUNTIME VERIFICATION</w:t>
      </w:r>
    </w:p>
    <w:p>
      <w:pPr>
        <w:jc w:val="center"/>
      </w:pPr>
      <w:r>
        <w:rPr>
          <w:i/>
        </w:rPr>
        <w:t>Version 1.0 | Step 29 History Artifact | Pre-Runtime / Environment Gate</w:t>
      </w:r>
    </w:p>
    <w:p>
      <w:pPr>
        <w:pStyle w:val="Heading1"/>
      </w:pPr>
      <w:r>
        <w:t>1. Purpose</w:t>
      </w:r>
    </w:p>
    <w:p>
      <w:r>
        <w:t>Artifact ini merekam awal resmi TECH-29 setelah TECH-28. TECH-29 berfungsi sebagai runtime verification gate terhadap frozen authorization seed, Learning Session assignment, RLS candidate, dan authorization boundaries yang telah ditetapkan pada tahap sebelumnya. Artifact ini dibuat sebelum runtime execution agar setiap langkah dan status memiliki history yang dapat dirujuk kembali.</w:t>
      </w:r>
    </w:p>
    <w:p>
      <w:pPr>
        <w:pStyle w:val="Heading1"/>
      </w:pPr>
      <w:r>
        <w:t>2. Current Starting State</w:t>
      </w:r>
    </w:p>
    <w:p>
      <w:r>
        <w:t>Pada saat TECH-29 dimulai, pengguna telah membuat akun/project Supabase untuk RumahAgen. Project tersebut masih kosong, belum dihubungkan atau dikonfigurasi ke Bolt, ChatGPT, maupun aplikasi RumahAgen. Project baru terhubung ke GitHub.</w:t>
      </w:r>
    </w:p>
    <w:p>
      <w:r>
        <w:t>Status environment: STAGING NOT YET ESTABLISHED. Supabase project yang kosong diklasifikasikan sebagai provisioned/uninitialized environment, bukan staging runtime yang siap diuji.</w:t>
      </w:r>
    </w:p>
    <w:p>
      <w:pPr>
        <w:pStyle w:val="Heading1"/>
      </w:pPr>
      <w:r>
        <w:t>3. Governance Inheritance</w:t>
      </w:r>
    </w:p>
    <w:p>
      <w:pPr>
        <w:pStyle w:val="ListBullet"/>
      </w:pPr>
      <w:r>
        <w:t>MADCR-049 tetap APPROVED/GOVERNING: Course/Module completion diperlakukan sebagai Learning Activity instance/type; Activity menjadi canonical completion/reward boundary; Course tetap content/product structure.</w:t>
      </w:r>
    </w:p>
    <w:p>
      <w:pPr>
        <w:pStyle w:val="ListBullet"/>
      </w:pPr>
      <w:r>
        <w:t>MADCR-053 tetap APPROVED/GOVERNING: authorization menggunakan Capability + Permission + Scope; Role merupakan actor grouping; Commercial Entitlement dan Qualification/Awarding Authority tetap terpisah.</w:t>
      </w:r>
    </w:p>
    <w:p>
      <w:pPr>
        <w:pStyle w:val="ListBullet"/>
      </w:pPr>
      <w:r>
        <w:t>MADCR-054 tetap APPROVED/GOVERNING: Host dan Instructor merupakan capability terpisah; Instructor tidak otomatis Host; satu actor dapat memiliki keduanya hanya melalui explicit authorization.</w:t>
      </w:r>
    </w:p>
    <w:p>
      <w:pPr>
        <w:pStyle w:val="ListBullet"/>
      </w:pPr>
      <w:r>
        <w:t>TECH-28 Option A tetap menjadi mapping Instructor: Session learning permission family pada own scope, tanpa otomatis memperoleh Host atau assignment-management authority.</w:t>
      </w:r>
    </w:p>
    <w:p>
      <w:pPr>
        <w:pStyle w:val="ListBullet"/>
      </w:pPr>
      <w:r>
        <w:t>Physical Session relationship decisions tidak dibuka kembali pada TECH-29.</w:t>
      </w:r>
    </w:p>
    <w:p>
      <w:pPr>
        <w:pStyle w:val="ListBullet"/>
      </w:pPr>
      <w:r>
        <w:t>Production migration dan production authorization tetap NOT AUTHORIZED.</w:t>
      </w:r>
    </w:p>
    <w:p>
      <w:pPr>
        <w:pStyle w:val="Heading1"/>
      </w:pPr>
      <w:r>
        <w:t>4. TECH-29 Scope</w:t>
      </w:r>
    </w:p>
    <w:p>
      <w:pPr>
        <w:pStyle w:val="ListBullet"/>
      </w:pPr>
      <w:r>
        <w:t>Seed integrity verification.</w:t>
      </w:r>
    </w:p>
    <w:p>
      <w:pPr>
        <w:pStyle w:val="ListBullet"/>
      </w:pPr>
      <w:r>
        <w:t>Role-permission mapping verification.</w:t>
      </w:r>
    </w:p>
    <w:p>
      <w:pPr>
        <w:pStyle w:val="ListBullet"/>
      </w:pPr>
      <w:r>
        <w:t>Learning Session assignment integrity.</w:t>
      </w:r>
    </w:p>
    <w:p>
      <w:pPr>
        <w:pStyle w:val="ListBullet"/>
      </w:pPr>
      <w:r>
        <w:t>Host/Instructor separation.</w:t>
      </w:r>
    </w:p>
    <w:p>
      <w:pPr>
        <w:pStyle w:val="ListBullet"/>
      </w:pPr>
      <w:r>
        <w:t>Assignment mutation authorization.</w:t>
      </w:r>
    </w:p>
    <w:p>
      <w:pPr>
        <w:pStyle w:val="ListBullet"/>
      </w:pPr>
      <w:r>
        <w:t>Organization and visibility boundary.</w:t>
      </w:r>
    </w:p>
    <w:p>
      <w:pPr>
        <w:pStyle w:val="ListBullet"/>
      </w:pPr>
      <w:r>
        <w:t>Learner lifecycle protection.</w:t>
      </w:r>
    </w:p>
    <w:p>
      <w:pPr>
        <w:pStyle w:val="ListBullet"/>
      </w:pPr>
      <w:r>
        <w:t>Provider operation authorization boundary.</w:t>
      </w:r>
    </w:p>
    <w:p>
      <w:pPr>
        <w:pStyle w:val="ListBullet"/>
      </w:pPr>
      <w:r>
        <w:t>RLS second-layer enforcement.</w:t>
      </w:r>
    </w:p>
    <w:p>
      <w:pPr>
        <w:pStyle w:val="ListBullet"/>
      </w:pPr>
      <w:r>
        <w:t>Negative authorization cases.</w:t>
      </w:r>
    </w:p>
    <w:p>
      <w:pPr>
        <w:pStyle w:val="ListBullet"/>
      </w:pPr>
      <w:r>
        <w:t>Static-to-runtime discrepancy detection.</w:t>
      </w:r>
    </w:p>
    <w:p>
      <w:pPr>
        <w:pStyle w:val="ListBullet"/>
      </w:pPr>
      <w:r>
        <w:t>Evidence capture and final PASS/BLOCKED determination.</w:t>
      </w:r>
    </w:p>
    <w:p>
      <w:pPr>
        <w:pStyle w:val="Heading1"/>
      </w:pPr>
      <w:r>
        <w:t>5. Frozen Physical Authorization Baseline</w:t>
      </w:r>
    </w:p>
    <w:p>
      <w:r>
        <w:t>Resource capability tetap berada pada learning_session_assignments. Assignment menggunakan session_id, actor_id, capability HOST|INSTRUCTOR, dan lifecycle status ACTIVE|REVOKED. Active duplicate assignment pada kombinasi session_id, actor_id, capability tidak diperbolehkan.</w:t>
      </w:r>
    </w:p>
    <w:p>
      <w:r>
        <w:t>Role permission tidak menggantikan resource assignment. Instructor role tidak otomatis berarti Instructor capability pada Session tertentu. Host dan Instructor tetap dipisahkan.</w:t>
      </w:r>
    </w:p>
    <w:p>
      <w:pPr>
        <w:pStyle w:val="Heading1"/>
      </w:pPr>
      <w:r>
        <w:t>6. Runtime Test Families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Family</w:t>
            </w:r>
          </w:p>
        </w:tc>
        <w:tc>
          <w:tcPr>
            <w:tcW w:type="dxa" w:w="2880"/>
          </w:tcPr>
          <w:p>
            <w:r>
              <w:t>Verification</w:t>
            </w:r>
          </w:p>
        </w:tc>
        <w:tc>
          <w:tcPr>
            <w:tcW w:type="dxa" w:w="2880"/>
          </w:tcPr>
          <w:p>
            <w:r>
              <w:t>Expected</w:t>
            </w:r>
          </w:p>
        </w:tc>
      </w:tr>
      <w:tr>
        <w:tc>
          <w:tcPr>
            <w:tcW w:type="dxa" w:w="2880"/>
          </w:tcPr>
          <w:p>
            <w:r>
              <w:t>A — Seed Integrity</w:t>
            </w:r>
          </w:p>
        </w:tc>
        <w:tc>
          <w:tcPr>
            <w:tcW w:type="dxa" w:w="2880"/>
          </w:tcPr>
          <w:p>
            <w:r>
              <w:t>Permission rows, duplicate prevention, role mappings, scopes</w:t>
            </w:r>
          </w:p>
        </w:tc>
        <w:tc>
          <w:tcPr>
            <w:tcW w:type="dxa" w:w="2880"/>
          </w:tcPr>
          <w:p>
            <w:r>
              <w:t>PASS</w:t>
            </w:r>
          </w:p>
        </w:tc>
      </w:tr>
      <w:tr>
        <w:tc>
          <w:tcPr>
            <w:tcW w:type="dxa" w:w="2880"/>
          </w:tcPr>
          <w:p>
            <w:r>
              <w:t>B — Assignment Integrity</w:t>
            </w:r>
          </w:p>
        </w:tc>
        <w:tc>
          <w:tcPr>
            <w:tcW w:type="dxa" w:w="2880"/>
          </w:tcPr>
          <w:p>
            <w:r>
              <w:t>Create, duplicate, revoke, invalid capability/status</w:t>
            </w:r>
          </w:p>
        </w:tc>
        <w:tc>
          <w:tcPr>
            <w:tcW w:type="dxa" w:w="2880"/>
          </w:tcPr>
          <w:p>
            <w:r>
              <w:t>PASS</w:t>
            </w:r>
          </w:p>
        </w:tc>
      </w:tr>
      <w:tr>
        <w:tc>
          <w:tcPr>
            <w:tcW w:type="dxa" w:w="2880"/>
          </w:tcPr>
          <w:p>
            <w:r>
              <w:t>C — Host/Instructor</w:t>
            </w:r>
          </w:p>
        </w:tc>
        <w:tc>
          <w:tcPr>
            <w:tcW w:type="dxa" w:w="2880"/>
          </w:tcPr>
          <w:p>
            <w:r>
              <w:t>Role vs assignment separation and dual capability</w:t>
            </w:r>
          </w:p>
        </w:tc>
        <w:tc>
          <w:tcPr>
            <w:tcW w:type="dxa" w:w="2880"/>
          </w:tcPr>
          <w:p>
            <w:r>
              <w:t>PASS</w:t>
            </w:r>
          </w:p>
        </w:tc>
      </w:tr>
      <w:tr>
        <w:tc>
          <w:tcPr>
            <w:tcW w:type="dxa" w:w="2880"/>
          </w:tcPr>
          <w:p>
            <w:r>
              <w:t>D — Assignment Mutation</w:t>
            </w:r>
          </w:p>
        </w:tc>
        <w:tc>
          <w:tcPr>
            <w:tcW w:type="dxa" w:w="2880"/>
          </w:tcPr>
          <w:p>
            <w:r>
              <w:t>Assign permission vs resource capability</w:t>
            </w:r>
          </w:p>
        </w:tc>
        <w:tc>
          <w:tcPr>
            <w:tcW w:type="dxa" w:w="2880"/>
          </w:tcPr>
          <w:p>
            <w:r>
              <w:t>PASS</w:t>
            </w:r>
          </w:p>
        </w:tc>
      </w:tr>
      <w:tr>
        <w:tc>
          <w:tcPr>
            <w:tcW w:type="dxa" w:w="2880"/>
          </w:tcPr>
          <w:p>
            <w:r>
              <w:t>E — Visibility/Organization</w:t>
            </w:r>
          </w:p>
        </w:tc>
        <w:tc>
          <w:tcPr>
            <w:tcW w:type="dxa" w:w="2880"/>
          </w:tcPr>
          <w:p>
            <w:r>
              <w:t>PUBLIC/ORGANIZATION/PARTNER/PRIVATE boundaries</w:t>
            </w:r>
          </w:p>
        </w:tc>
        <w:tc>
          <w:tcPr>
            <w:tcW w:type="dxa" w:w="2880"/>
          </w:tcPr>
          <w:p>
            <w:r>
              <w:t>PASS</w:t>
            </w:r>
          </w:p>
        </w:tc>
      </w:tr>
      <w:tr>
        <w:tc>
          <w:tcPr>
            <w:tcW w:type="dxa" w:w="2880"/>
          </w:tcPr>
          <w:p>
            <w:r>
              <w:t>F — Learner Lifecycle</w:t>
            </w:r>
          </w:p>
        </w:tc>
        <w:tc>
          <w:tcPr>
            <w:tcW w:type="dxa" w:w="2880"/>
          </w:tcPr>
          <w:p>
            <w:r>
              <w:t>Enrollment ownership and lifecycle mutation protection</w:t>
            </w:r>
          </w:p>
        </w:tc>
        <w:tc>
          <w:tcPr>
            <w:tcW w:type="dxa" w:w="2880"/>
          </w:tcPr>
          <w:p>
            <w:r>
              <w:t>PASS</w:t>
            </w:r>
          </w:p>
        </w:tc>
      </w:tr>
      <w:tr>
        <w:tc>
          <w:tcPr>
            <w:tcW w:type="dxa" w:w="2880"/>
          </w:tcPr>
          <w:p>
            <w:r>
              <w:t>G — Provider</w:t>
            </w:r>
          </w:p>
        </w:tc>
        <w:tc>
          <w:tcPr>
            <w:tcW w:type="dxa" w:w="2880"/>
          </w:tcPr>
          <w:p>
            <w:r>
              <w:t>Provider mutation authorization</w:t>
            </w:r>
          </w:p>
        </w:tc>
        <w:tc>
          <w:tcPr>
            <w:tcW w:type="dxa" w:w="2880"/>
          </w:tcPr>
          <w:p>
            <w:r>
              <w:t>PASS</w:t>
            </w:r>
          </w:p>
        </w:tc>
      </w:tr>
      <w:tr>
        <w:tc>
          <w:tcPr>
            <w:tcW w:type="dxa" w:w="2880"/>
          </w:tcPr>
          <w:p>
            <w:r>
              <w:t>H — RLS</w:t>
            </w:r>
          </w:p>
        </w:tc>
        <w:tc>
          <w:tcPr>
            <w:tcW w:type="dxa" w:w="2880"/>
          </w:tcPr>
          <w:p>
            <w:r>
              <w:t>Database-level enforcement independent of application claims</w:t>
            </w:r>
          </w:p>
        </w:tc>
        <w:tc>
          <w:tcPr>
            <w:tcW w:type="dxa" w:w="2880"/>
          </w:tcPr>
          <w:p>
            <w:r>
              <w:t>PASS</w:t>
            </w:r>
          </w:p>
        </w:tc>
      </w:tr>
    </w:tbl>
    <w:p>
      <w:pPr>
        <w:pStyle w:val="Heading1"/>
      </w:pPr>
      <w:r>
        <w:t>7. Environment Gate</w:t>
      </w:r>
    </w:p>
    <w:p>
      <w:r>
        <w:t>TECH-29 runtime PASS tidak boleh diklaim hanya berdasarkan static SQL review. Runtime verification membutuhkan PostgreSQL/Supabase environment yang benar-benar dapat menjalankan migration, seed, RLS policy, fixture, dan negative test.</w:t>
      </w:r>
    </w:p>
    <w:p>
      <w:r>
        <w:t>Kondisi saat artifact ini dibuat: Supabase project tersedia tetapi masih kosong. Karena itu runtime execution belum dilakukan dan TECH-29 tidak boleh dinyatakan PASS.</w:t>
      </w:r>
    </w:p>
    <w:p>
      <w:pPr>
        <w:pStyle w:val="Heading1"/>
      </w:pPr>
      <w:r>
        <w:t>8. TECH-29A — Next Controlled Step</w:t>
      </w:r>
    </w:p>
    <w:p>
      <w:pPr>
        <w:pStyle w:val="ListBullet"/>
      </w:pPr>
      <w:r>
        <w:t>Identify canonical migration package from the reconciled RumahAgen corpus.</w:t>
      </w:r>
    </w:p>
    <w:p>
      <w:pPr>
        <w:pStyle w:val="ListBullet"/>
      </w:pPr>
      <w:r>
        <w:t>Identify frozen authorization seed candidate.</w:t>
      </w:r>
    </w:p>
    <w:p>
      <w:pPr>
        <w:pStyle w:val="ListBullet"/>
      </w:pPr>
      <w:r>
        <w:t>Identify Session assignment migration and RLS candidate.</w:t>
      </w:r>
    </w:p>
    <w:p>
      <w:pPr>
        <w:pStyle w:val="ListBullet"/>
      </w:pPr>
      <w:r>
        <w:t>Define execution order for the disposable/staging environment.</w:t>
      </w:r>
    </w:p>
    <w:p>
      <w:pPr>
        <w:pStyle w:val="ListBullet"/>
      </w:pPr>
      <w:r>
        <w:t>Define controlled fixtures and negative-test actors.</w:t>
      </w:r>
    </w:p>
    <w:p>
      <w:pPr>
        <w:pStyle w:val="ListBullet"/>
      </w:pPr>
      <w:r>
        <w:t>Prepare Supabase as a non-production runtime only after the candidate package is frozen.</w:t>
      </w:r>
    </w:p>
    <w:p>
      <w:pPr>
        <w:pStyle w:val="ListBullet"/>
      </w:pPr>
      <w:r>
        <w:t>Do not connect the environment to production application traffic before the runtime gate is passed.</w:t>
      </w:r>
    </w:p>
    <w:p>
      <w:pPr>
        <w:pStyle w:val="Heading1"/>
      </w:pPr>
      <w:r>
        <w:t>9. Non-Negotiable Controls</w:t>
      </w:r>
    </w:p>
    <w:p>
      <w:pPr>
        <w:pStyle w:val="ListBullet"/>
      </w:pPr>
      <w:r>
        <w:t>Do not invent new authorization decisions during TECH-29.</w:t>
      </w:r>
    </w:p>
    <w:p>
      <w:pPr>
        <w:pStyle w:val="ListBullet"/>
      </w:pPr>
      <w:r>
        <w:t>Do not reopen approved MADCR/ADR decisions without explicit evidence.</w:t>
      </w:r>
    </w:p>
    <w:p>
      <w:pPr>
        <w:pStyle w:val="ListBullet"/>
      </w:pPr>
      <w:r>
        <w:t>Do not treat GitHub connection as evidence of staging readiness.</w:t>
      </w:r>
    </w:p>
    <w:p>
      <w:pPr>
        <w:pStyle w:val="ListBullet"/>
      </w:pPr>
      <w:r>
        <w:t>Do not use production data for the authorization verification.</w:t>
      </w:r>
    </w:p>
    <w:p>
      <w:pPr>
        <w:pStyle w:val="ListBullet"/>
      </w:pPr>
      <w:r>
        <w:t>Do not claim RLS PASS without actual database execution evidence.</w:t>
      </w:r>
    </w:p>
    <w:p>
      <w:pPr>
        <w:pStyle w:val="ListBullet"/>
      </w:pPr>
      <w:r>
        <w:t>Do not run uncontrolled/manual migrations that obscure artifact provenance.</w:t>
      </w:r>
    </w:p>
    <w:p>
      <w:pPr>
        <w:pStyle w:val="ListBullet"/>
      </w:pPr>
      <w:r>
        <w:t>Do not authorize production migration from this artifact.</w:t>
      </w:r>
    </w:p>
    <w:p>
      <w:pPr>
        <w:pStyle w:val="Heading1"/>
      </w:pPr>
      <w:r>
        <w:t>10. Current Gate Status</w:t>
      </w:r>
    </w:p>
    <w:tbl>
      <w:tblPr>
        <w:tblStyle w:val="TableGrid"/>
        <w:tblW w:type="auto" w:w="0"/>
        <w:jc w:val="center"/>
        <w:tblLook w:firstColumn="1" w:firstRow="1" w:lastColumn="0" w:lastRow="0" w:noHBand="0" w:noVBand="1" w:val="04A0"/>
      </w:tblPr>
      <w:tblGrid>
        <w:gridCol w:w="4320"/>
        <w:gridCol w:w="4320"/>
      </w:tblGrid>
      <w:tr>
        <w:tc>
          <w:tcPr>
            <w:tcW w:type="dxa" w:w="4320"/>
          </w:tcPr>
          <w:p>
            <w:r>
              <w:t>Gate</w:t>
            </w:r>
          </w:p>
        </w:tc>
        <w:tc>
          <w:tcPr>
            <w:tcW w:type="dxa" w:w="4320"/>
          </w:tcPr>
          <w:p>
            <w:r>
              <w:t>Status</w:t>
            </w:r>
          </w:p>
        </w:tc>
      </w:tr>
      <w:tr>
        <w:tc>
          <w:tcPr>
            <w:tcW w:type="dxa" w:w="4320"/>
          </w:tcPr>
          <w:p>
            <w:r>
              <w:t>TECH-28 inheritance</w:t>
            </w:r>
          </w:p>
        </w:tc>
        <w:tc>
          <w:tcPr>
            <w:tcW w:type="dxa" w:w="4320"/>
          </w:tcPr>
          <w:p>
            <w:r>
              <w:t>PASS</w:t>
            </w:r>
          </w:p>
        </w:tc>
      </w:tr>
      <w:tr>
        <w:tc>
          <w:tcPr>
            <w:tcW w:type="dxa" w:w="4320"/>
          </w:tcPr>
          <w:p>
            <w:r>
              <w:t>Frozen authorization design</w:t>
            </w:r>
          </w:p>
        </w:tc>
        <w:tc>
          <w:tcPr>
            <w:tcW w:type="dxa" w:w="4320"/>
          </w:tcPr>
          <w:p>
            <w:r>
              <w:t>PASS</w:t>
            </w:r>
          </w:p>
        </w:tc>
      </w:tr>
      <w:tr>
        <w:tc>
          <w:tcPr>
            <w:tcW w:type="dxa" w:w="4320"/>
          </w:tcPr>
          <w:p>
            <w:r>
              <w:t>Frozen Session assignment design</w:t>
            </w:r>
          </w:p>
        </w:tc>
        <w:tc>
          <w:tcPr>
            <w:tcW w:type="dxa" w:w="4320"/>
          </w:tcPr>
          <w:p>
            <w:r>
              <w:t>PASS</w:t>
            </w:r>
          </w:p>
        </w:tc>
      </w:tr>
      <w:tr>
        <w:tc>
          <w:tcPr>
            <w:tcW w:type="dxa" w:w="4320"/>
          </w:tcPr>
          <w:p>
            <w:r>
              <w:t>RLS candidate</w:t>
            </w:r>
          </w:p>
        </w:tc>
        <w:tc>
          <w:tcPr>
            <w:tcW w:type="dxa" w:w="4320"/>
          </w:tcPr>
          <w:p>
            <w:r>
              <w:t>READY FOR RUNTIME</w:t>
            </w:r>
          </w:p>
        </w:tc>
      </w:tr>
      <w:tr>
        <w:tc>
          <w:tcPr>
            <w:tcW w:type="dxa" w:w="4320"/>
          </w:tcPr>
          <w:p>
            <w:r>
              <w:t>Supabase project</w:t>
            </w:r>
          </w:p>
        </w:tc>
        <w:tc>
          <w:tcPr>
            <w:tcW w:type="dxa" w:w="4320"/>
          </w:tcPr>
          <w:p>
            <w:r>
              <w:t>PROVISIONED / EMPTY</w:t>
            </w:r>
          </w:p>
        </w:tc>
      </w:tr>
      <w:tr>
        <w:tc>
          <w:tcPr>
            <w:tcW w:type="dxa" w:w="4320"/>
          </w:tcPr>
          <w:p>
            <w:r>
              <w:t>Staging environment</w:t>
            </w:r>
          </w:p>
        </w:tc>
        <w:tc>
          <w:tcPr>
            <w:tcW w:type="dxa" w:w="4320"/>
          </w:tcPr>
          <w:p>
            <w:r>
              <w:t>NOT YET ESTABLISHED</w:t>
            </w:r>
          </w:p>
        </w:tc>
      </w:tr>
      <w:tr>
        <w:tc>
          <w:tcPr>
            <w:tcW w:type="dxa" w:w="4320"/>
          </w:tcPr>
          <w:p>
            <w:r>
              <w:t>Runtime PostgreSQL verification</w:t>
            </w:r>
          </w:p>
        </w:tc>
        <w:tc>
          <w:tcPr>
            <w:tcW w:type="dxa" w:w="4320"/>
          </w:tcPr>
          <w:p>
            <w:r>
              <w:t>BLOCKED — ENVIRONMENT</w:t>
            </w:r>
          </w:p>
        </w:tc>
      </w:tr>
      <w:tr>
        <w:tc>
          <w:tcPr>
            <w:tcW w:type="dxa" w:w="4320"/>
          </w:tcPr>
          <w:p>
            <w:r>
              <w:t>Production authorization</w:t>
            </w:r>
          </w:p>
        </w:tc>
        <w:tc>
          <w:tcPr>
            <w:tcW w:type="dxa" w:w="4320"/>
          </w:tcPr>
          <w:p>
            <w:r>
              <w:t>NOT AUTHORIZED</w:t>
            </w:r>
          </w:p>
        </w:tc>
      </w:tr>
    </w:tbl>
    <w:p>
      <w:pPr>
        <w:pStyle w:val="Heading1"/>
      </w:pPr>
      <w:r>
        <w:t>11. Decision / Open Question</w:t>
      </w:r>
    </w:p>
    <w:p>
      <w:r>
        <w:t>Tidak ada open architecture decision baru pada awal TECH-29. Satu dependency yang tersisa adalah environment gate: Supabase kosong harus dipersiapkan sebagai controlled non-production runtime sebelum runtime verification dapat dilakukan.</w:t>
      </w:r>
    </w:p>
    <w:p>
      <w:pPr>
        <w:pStyle w:val="Heading1"/>
      </w:pPr>
      <w:r>
        <w:t>12. Continuity Statement</w:t>
      </w:r>
    </w:p>
    <w:p>
      <w:r>
        <w:t>Jika proses terputus, lanjutkan dari TECH-29A — Supabase Staging Environment Preparation. Jangan mengulang TECH-01 sampai TECH-28 dan jangan menganggap Supabase project yang kosong sebagai staging. Setelah environment siap, lanjutkan runtime test families A–H dan simpan evidence setiap hasil sebagai artifact terpisah.</w:t>
      </w:r>
    </w:p>
    <w:p>
      <w:pPr>
        <w:pStyle w:val="Heading1"/>
      </w:pPr>
      <w:r>
        <w:t>13. Source / Evidence Basis</w:t>
      </w:r>
    </w:p>
    <w:p>
      <w:pPr>
        <w:pStyle w:val="ListBullet"/>
      </w:pPr>
      <w:r>
        <w:t>RUMAHAGEN — PROJECT KNOWLEDGE REFRESH Final Reconciliation v1.0.</w:t>
      </w:r>
    </w:p>
    <w:p>
      <w:pPr>
        <w:pStyle w:val="ListBullet"/>
      </w:pPr>
      <w:r>
        <w:t>RUMAHAGEN — AEP SYNCHRONIZATION EXECUTION LOCK v1.0.</w:t>
      </w:r>
    </w:p>
    <w:p>
      <w:pPr>
        <w:pStyle w:val="ListBullet"/>
      </w:pPr>
      <w:r>
        <w:t>TECH-23 / TECH-24 / TECH-25 / TECH-26 / TECH-27 / TECH-28 artifacts in the reconciled project corpus.</w:t>
      </w:r>
    </w:p>
    <w:p>
      <w:pPr>
        <w:pStyle w:val="ListBullet"/>
      </w:pPr>
      <w:r>
        <w:t>Current user-provided environment state as recorded at TECH-29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