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RUMAHAGEN — Cross-AEP Consolidation</w:t>
      </w:r>
    </w:p>
    <w:p>
      <w:pPr>
        <w:jc w:val="center"/>
      </w:pPr>
      <w:r>
        <w:rPr>
          <w:b/>
          <w:sz w:val="24"/>
        </w:rPr>
        <w:t>STEP 01 — Canonical Cross-AEP Consolidation Matrix &amp; Conflict / Overlap / Reconciliation Register</w:t>
      </w:r>
    </w:p>
    <w:p>
      <w:pPr>
        <w:jc w:val="center"/>
      </w:pPr>
      <w:r>
        <w:rPr>
          <w:i/>
        </w:rPr>
        <w:t>Version 1.0 | Date: 2026-08-16 | Status: COMPLETED — STEP 01 GATE</w:t>
      </w:r>
    </w:p>
    <w:p>
      <w:pPr>
        <w:pStyle w:val="Heading1"/>
      </w:pPr>
      <w:r>
        <w:t>1. Purpose</w:t>
      </w:r>
    </w:p>
    <w:p>
      <w:r>
        <w:t>This artifact is the first controlled step of the post-AEP4 Cross-AEP Consolidation phase. It reconciles the four completed AEP packages at semantic/governance level before any project-wide technical baseline is rewritten. It identifies canonical authority, cross-AEP handoffs, overlaps, potential conflicts, controlled residuals, and items that must travel into the next synchronization gate.</w:t>
      </w:r>
    </w:p>
    <w:p>
      <w:pPr>
        <w:pStyle w:val="Heading1"/>
      </w:pPr>
      <w:r>
        <w:t>2. Governing Execution Boundary</w:t>
      </w:r>
    </w:p>
    <w:p>
      <w:pPr>
        <w:pStyle w:val="ListBullet"/>
      </w:pPr>
      <w:r>
        <w:t>Locked sequence: AEP #1 Commercial/Payment → AEP #2 Learning Economy → AEP #3 Title/Awarding → AEP #4 Learning Session.</w:t>
      </w:r>
    </w:p>
    <w:p>
      <w:pPr>
        <w:pStyle w:val="ListBullet"/>
      </w:pPr>
      <w:r>
        <w:t>Global project-wide technical/governance synchronization occurs only after all four AEPs and Cross-AEP Consolidation.</w:t>
      </w:r>
    </w:p>
    <w:p>
      <w:pPr>
        <w:pStyle w:val="ListBullet"/>
      </w:pPr>
      <w:r>
        <w:t>Approved MADCR/ADR decisions remain governing within their explicit boundaries and are not reopened by consolidation.</w:t>
      </w:r>
    </w:p>
    <w:p>
      <w:pPr>
        <w:pStyle w:val="ListBullet"/>
      </w:pPr>
      <w:r>
        <w:t>AEP artifacts are synchronization/impact artifacts; they do not silently become implementation authority.</w:t>
      </w:r>
    </w:p>
    <w:p>
      <w:pPr>
        <w:pStyle w:val="ListBullet"/>
      </w:pPr>
      <w:r>
        <w:t>Physical ERD/schema/API/RBAC/migration changes remain downstream of the applicable governance and global synchronization gates.</w:t>
      </w:r>
    </w:p>
    <w:p>
      <w:pPr>
        <w:pStyle w:val="ListBullet"/>
      </w:pPr>
      <w:r>
        <w:t>Residuals are carried forward explicitly; no open decision is silently closed by architectural inference.</w:t>
      </w:r>
    </w:p>
    <w:p>
      <w:pPr>
        <w:pStyle w:val="Heading1"/>
      </w:pPr>
      <w:r>
        <w:t>3. AEP Completion Baseline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AEP</w:t>
            </w:r>
          </w:p>
        </w:tc>
        <w:tc>
          <w:tcPr>
            <w:tcW w:type="dxa" w:w="2556"/>
          </w:tcPr>
          <w:p>
            <w:r>
              <w:t>Domain</w:t>
            </w:r>
          </w:p>
        </w:tc>
        <w:tc>
          <w:tcPr>
            <w:tcW w:type="dxa" w:w="2556"/>
          </w:tcPr>
          <w:p>
            <w:r>
              <w:t>Current Gate State</w:t>
            </w:r>
          </w:p>
        </w:tc>
        <w:tc>
          <w:tcPr>
            <w:tcW w:type="dxa" w:w="2556"/>
          </w:tcPr>
          <w:p>
            <w:r>
              <w:t>Consolidation Treatment</w:t>
            </w:r>
          </w:p>
        </w:tc>
      </w:tr>
      <w:tr>
        <w:tc>
          <w:tcPr>
            <w:tcW w:type="dxa" w:w="2556"/>
          </w:tcPr>
          <w:p>
            <w:r>
              <w:t>AEP #1</w:t>
            </w:r>
          </w:p>
        </w:tc>
        <w:tc>
          <w:tcPr>
            <w:tcW w:type="dxa" w:w="2556"/>
          </w:tcPr>
          <w:p>
            <w:r>
              <w:t>Monetization / Commercial + Payment</w:t>
            </w:r>
          </w:p>
        </w:tc>
        <w:tc>
          <w:tcPr>
            <w:tcW w:type="dxa" w:w="2556"/>
          </w:tcPr>
          <w:p>
            <w:r>
              <w:t>CONDITIONALLY COMPLETE</w:t>
            </w:r>
          </w:p>
        </w:tc>
        <w:tc>
          <w:tcPr>
            <w:tcW w:type="dxa" w:w="2556"/>
          </w:tcPr>
          <w:p>
            <w:r>
              <w:t>Accept as domain baseline; carry OPEN-C01, MBR-COM-001–013 evidence gap, and downstream implementation details.</w:t>
            </w:r>
          </w:p>
        </w:tc>
      </w:tr>
      <w:tr>
        <w:tc>
          <w:tcPr>
            <w:tcW w:type="dxa" w:w="2556"/>
          </w:tcPr>
          <w:p>
            <w:r>
              <w:t>AEP #2</w:t>
            </w:r>
          </w:p>
        </w:tc>
        <w:tc>
          <w:tcPr>
            <w:tcW w:type="dxa" w:w="2556"/>
          </w:tcPr>
          <w:p>
            <w:r>
              <w:t>Learning Economy</w:t>
            </w:r>
          </w:p>
        </w:tc>
        <w:tc>
          <w:tcPr>
            <w:tcW w:type="dxa" w:w="2556"/>
          </w:tcPr>
          <w:p>
            <w:r>
              <w:t>PASS WITH CONTROLLED RESIDUALS</w:t>
            </w:r>
          </w:p>
        </w:tc>
        <w:tc>
          <w:tcPr>
            <w:tcW w:type="dxa" w:w="2556"/>
          </w:tcPr>
          <w:p>
            <w:r>
              <w:t>Accept as Learning Economy baseline; carry MADCR-049 and preserve Payment/Awarding boundaries.</w:t>
            </w:r>
          </w:p>
        </w:tc>
      </w:tr>
      <w:tr>
        <w:tc>
          <w:tcPr>
            <w:tcW w:type="dxa" w:w="2556"/>
          </w:tcPr>
          <w:p>
            <w:r>
              <w:t>AEP #3</w:t>
            </w:r>
          </w:p>
        </w:tc>
        <w:tc>
          <w:tcPr>
            <w:tcW w:type="dxa" w:w="2556"/>
          </w:tcPr>
          <w:p>
            <w:r>
              <w:t>Title / Awarding Business Rules</w:t>
            </w:r>
          </w:p>
        </w:tc>
        <w:tc>
          <w:tcPr>
            <w:tcW w:type="dxa" w:w="2556"/>
          </w:tcPr>
          <w:p>
            <w:r>
              <w:t>CONTROLLED PER-AEP SYNCHRONIZATION COMPLETE</w:t>
            </w:r>
          </w:p>
        </w:tc>
        <w:tc>
          <w:tcPr>
            <w:tcW w:type="dxa" w:w="2556"/>
          </w:tcPr>
          <w:p>
            <w:r>
              <w:t>Accept governing semantic delta; carry OD-02–05 downstream/physical design residuals and MADCR-049 dependency.</w:t>
            </w:r>
          </w:p>
        </w:tc>
      </w:tr>
      <w:tr>
        <w:tc>
          <w:tcPr>
            <w:tcW w:type="dxa" w:w="2556"/>
          </w:tcPr>
          <w:p>
            <w:r>
              <w:t>AEP #4</w:t>
            </w:r>
          </w:p>
        </w:tc>
        <w:tc>
          <w:tcPr>
            <w:tcW w:type="dxa" w:w="2556"/>
          </w:tcPr>
          <w:p>
            <w:r>
              <w:t>Learning Session</w:t>
            </w:r>
          </w:p>
        </w:tc>
        <w:tc>
          <w:tcPr>
            <w:tcW w:type="dxa" w:w="2556"/>
          </w:tcPr>
          <w:p>
            <w:r>
              <w:t>PASS — COMPLETE WITH CONTROLLED RESIDUALS</w:t>
            </w:r>
          </w:p>
        </w:tc>
        <w:tc>
          <w:tcPr>
            <w:tcW w:type="dxa" w:w="2556"/>
          </w:tcPr>
          <w:p>
            <w:r>
              <w:t>Accept final semantic package; carry OD-08, MADCR-049, MADCR-053/054, attendance/capacity/provider/recording/API/physical residuals.</w:t>
            </w:r>
          </w:p>
        </w:tc>
      </w:tr>
    </w:tbl>
    <w:p>
      <w:pPr>
        <w:pStyle w:val="Heading1"/>
      </w:pPr>
      <w:r>
        <w:t>4. Canonical Cross-AEP Authority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Pr>
          <w:p>
            <w:r>
              <w:t>Concern / State</w:t>
            </w:r>
          </w:p>
        </w:tc>
        <w:tc>
          <w:tcPr>
            <w:tcW w:type="dxa" w:w="2045"/>
          </w:tcPr>
          <w:p>
            <w:r>
              <w:t>Authoritative AEP / Domain</w:t>
            </w:r>
          </w:p>
        </w:tc>
        <w:tc>
          <w:tcPr>
            <w:tcW w:type="dxa" w:w="2045"/>
          </w:tcPr>
          <w:p>
            <w:r>
              <w:t>May Consume / Provide</w:t>
            </w:r>
          </w:p>
        </w:tc>
        <w:tc>
          <w:tcPr>
            <w:tcW w:type="dxa" w:w="2045"/>
          </w:tcPr>
          <w:p>
            <w:r>
              <w:t>Must NOT Own</w:t>
            </w:r>
          </w:p>
        </w:tc>
        <w:tc>
          <w:tcPr>
            <w:tcW w:type="dxa" w:w="2045"/>
          </w:tcPr>
          <w:p>
            <w:r>
              <w:t>Canonical Rule</w:t>
            </w:r>
          </w:p>
        </w:tc>
      </w:tr>
      <w:tr>
        <w:tc>
          <w:tcPr>
            <w:tcW w:type="dxa" w:w="2045"/>
          </w:tcPr>
          <w:p>
            <w:r>
              <w:t>Commercial payment transaction / confirmation</w:t>
            </w:r>
          </w:p>
        </w:tc>
        <w:tc>
          <w:tcPr>
            <w:tcW w:type="dxa" w:w="2045"/>
          </w:tcPr>
          <w:p>
            <w:r>
              <w:t>AEP #1 Commercial/Payment</w:t>
            </w:r>
          </w:p>
        </w:tc>
        <w:tc>
          <w:tcPr>
            <w:tcW w:type="dxa" w:w="2045"/>
          </w:tcPr>
          <w:p>
            <w:r>
              <w:t>Learning Session, Learning Economy</w:t>
            </w:r>
          </w:p>
        </w:tc>
        <w:tc>
          <w:tcPr>
            <w:tcW w:type="dxa" w:w="2045"/>
          </w:tcPr>
          <w:p>
            <w:r>
              <w:t>Learning, Awarding</w:t>
            </w:r>
          </w:p>
        </w:tc>
        <w:tc>
          <w:tcPr>
            <w:tcW w:type="dxa" w:w="2045"/>
          </w:tcPr>
          <w:p>
            <w:r>
              <w:t>Payment outcome is consumed; no duplicate payment authority.</w:t>
            </w:r>
          </w:p>
        </w:tc>
      </w:tr>
      <w:tr>
        <w:tc>
          <w:tcPr>
            <w:tcW w:type="dxa" w:w="2045"/>
          </w:tcPr>
          <w:p>
            <w:r>
              <w:t>Commercial entitlement / quota capacity</w:t>
            </w:r>
          </w:p>
        </w:tc>
        <w:tc>
          <w:tcPr>
            <w:tcW w:type="dxa" w:w="2045"/>
          </w:tcPr>
          <w:p>
            <w:r>
              <w:t>AEP #1 Commercial</w:t>
            </w:r>
          </w:p>
        </w:tc>
        <w:tc>
          <w:tcPr>
            <w:tcW w:type="dxa" w:w="2045"/>
          </w:tcPr>
          <w:p>
            <w:r>
              <w:t>Operational quota, downstream domains where entitled</w:t>
            </w:r>
          </w:p>
        </w:tc>
        <w:tc>
          <w:tcPr>
            <w:tcW w:type="dxa" w:w="2045"/>
          </w:tcPr>
          <w:p>
            <w:r>
              <w:t>RBAC, Learning Points</w:t>
            </w:r>
          </w:p>
        </w:tc>
        <w:tc>
          <w:tcPr>
            <w:tcW w:type="dxa" w:w="2045"/>
          </w:tcPr>
          <w:p>
            <w:r>
              <w:t>Entitlement → quota capacity → operational pool → allocation/usage.</w:t>
            </w:r>
          </w:p>
        </w:tc>
      </w:tr>
      <w:tr>
        <w:tc>
          <w:tcPr>
            <w:tcW w:type="dxa" w:w="2045"/>
          </w:tcPr>
          <w:p>
            <w:r>
              <w:t>Learning Point economic/progression state</w:t>
            </w:r>
          </w:p>
        </w:tc>
        <w:tc>
          <w:tcPr>
            <w:tcW w:type="dxa" w:w="2045"/>
          </w:tcPr>
          <w:p>
            <w:r>
              <w:t>AEP #2 Learning Economy</w:t>
            </w:r>
          </w:p>
        </w:tc>
        <w:tc>
          <w:tcPr>
            <w:tcW w:type="dxa" w:w="2045"/>
          </w:tcPr>
          <w:p>
            <w:r>
              <w:t>Learning Activity, learning paths, profile</w:t>
            </w:r>
          </w:p>
        </w:tc>
        <w:tc>
          <w:tcPr>
            <w:tcW w:type="dxa" w:w="2045"/>
          </w:tcPr>
          <w:p>
            <w:r>
              <w:t>Commercial payment, Awarding authority</w:t>
            </w:r>
          </w:p>
        </w:tc>
        <w:tc>
          <w:tcPr>
            <w:tcW w:type="dxa" w:w="2045"/>
          </w:tcPr>
          <w:p>
            <w:r>
              <w:t>Learning owns LP processing; purchased points accelerate but do not create competency.</w:t>
            </w:r>
          </w:p>
        </w:tc>
      </w:tr>
      <w:tr>
        <w:tc>
          <w:tcPr>
            <w:tcW w:type="dxa" w:w="2045"/>
          </w:tcPr>
          <w:p>
            <w:r>
              <w:t>Learning completion / activity evidence boundary</w:t>
            </w:r>
          </w:p>
        </w:tc>
        <w:tc>
          <w:tcPr>
            <w:tcW w:type="dxa" w:w="2045"/>
          </w:tcPr>
          <w:p>
            <w:r>
              <w:t>Learning + independent MADCR governance</w:t>
            </w:r>
          </w:p>
        </w:tc>
        <w:tc>
          <w:tcPr>
            <w:tcW w:type="dxa" w:w="2045"/>
          </w:tcPr>
          <w:p>
            <w:r>
              <w:t>Awarding qualification/evidence when applicable</w:t>
            </w:r>
          </w:p>
        </w:tc>
        <w:tc>
          <w:tcPr>
            <w:tcW w:type="dxa" w:w="2045"/>
          </w:tcPr>
          <w:p>
            <w:r>
              <w:t>Learning Session as final LP authority</w:t>
            </w:r>
          </w:p>
        </w:tc>
        <w:tc>
          <w:tcPr>
            <w:tcW w:type="dxa" w:w="2045"/>
          </w:tcPr>
          <w:p>
            <w:r>
              <w:t>Session may feed Learning Activity; MADCR-049 remains unresolved.</w:t>
            </w:r>
          </w:p>
        </w:tc>
      </w:tr>
      <w:tr>
        <w:tc>
          <w:tcPr>
            <w:tcW w:type="dxa" w:w="2045"/>
          </w:tcPr>
          <w:p>
            <w:r>
              <w:t>Title eligibility / awarding path/rule / Award Instance</w:t>
            </w:r>
          </w:p>
        </w:tc>
        <w:tc>
          <w:tcPr>
            <w:tcW w:type="dxa" w:w="2045"/>
          </w:tcPr>
          <w:p>
            <w:r>
              <w:t>AEP #3 Title/Awarding</w:t>
            </w:r>
          </w:p>
        </w:tc>
        <w:tc>
          <w:tcPr>
            <w:tcW w:type="dxa" w:w="2045"/>
          </w:tcPr>
          <w:p>
            <w:r>
              <w:t>Learning/assessment/evidence as qualification inputs</w:t>
            </w:r>
          </w:p>
        </w:tc>
        <w:tc>
          <w:tcPr>
            <w:tcW w:type="dxa" w:w="2045"/>
          </w:tcPr>
          <w:p>
            <w:r>
              <w:t>Learning Session, Payment</w:t>
            </w:r>
          </w:p>
        </w:tc>
        <w:tc>
          <w:tcPr>
            <w:tcW w:type="dxa" w:w="2045"/>
          </w:tcPr>
          <w:p>
            <w:r>
              <w:t>Awarding remains authority; historical Path/Rule provenance retained.</w:t>
            </w:r>
          </w:p>
        </w:tc>
      </w:tr>
      <w:tr>
        <w:tc>
          <w:tcPr>
            <w:tcW w:type="dxa" w:w="2045"/>
          </w:tcPr>
          <w:p>
            <w:r>
              <w:t>Learning Session semantic identity/lifecycle</w:t>
            </w:r>
          </w:p>
        </w:tc>
        <w:tc>
          <w:tcPr>
            <w:tcW w:type="dxa" w:w="2045"/>
          </w:tcPr>
          <w:p>
            <w:r>
              <w:t>AEP #4 Learning Session</w:t>
            </w:r>
          </w:p>
        </w:tc>
        <w:tc>
          <w:tcPr>
            <w:tcW w:type="dxa" w:w="2045"/>
          </w:tcPr>
          <w:p>
            <w:r>
              <w:t>Provider Adapter, Event Calendar, Learning Activity</w:t>
            </w:r>
          </w:p>
        </w:tc>
        <w:tc>
          <w:tcPr>
            <w:tcW w:type="dxa" w:w="2045"/>
          </w:tcPr>
          <w:p>
            <w:r>
              <w:t>Payment gateway, Awarding, provider truth</w:t>
            </w:r>
          </w:p>
        </w:tc>
        <w:tc>
          <w:tcPr>
            <w:tcW w:type="dxa" w:w="2045"/>
          </w:tcPr>
          <w:p>
            <w:r>
              <w:t>Session is a capability inside Learning; provider identity is infrastructure.</w:t>
            </w:r>
          </w:p>
        </w:tc>
      </w:tr>
      <w:tr>
        <w:tc>
          <w:tcPr>
            <w:tcW w:type="dxa" w:w="2045"/>
          </w:tcPr>
          <w:p>
            <w:r>
              <w:t>Session enrollment/access lifecycle</w:t>
            </w:r>
          </w:p>
        </w:tc>
        <w:tc>
          <w:tcPr>
            <w:tcW w:type="dxa" w:w="2045"/>
          </w:tcPr>
          <w:p>
            <w:r>
              <w:t>AEP #4 Learning Session</w:t>
            </w:r>
          </w:p>
        </w:tc>
        <w:tc>
          <w:tcPr>
            <w:tcW w:type="dxa" w:w="2045"/>
          </w:tcPr>
          <w:p>
            <w:r>
              <w:t>Commercial entitlement/payment outcome, authorization</w:t>
            </w:r>
          </w:p>
        </w:tc>
        <w:tc>
          <w:tcPr>
            <w:tcW w:type="dxa" w:w="2045"/>
          </w:tcPr>
          <w:p>
            <w:r>
              <w:t>Payment processing, attendance</w:t>
            </w:r>
          </w:p>
        </w:tc>
        <w:tc>
          <w:tcPr>
            <w:tcW w:type="dxa" w:w="2045"/>
          </w:tcPr>
          <w:p>
            <w:r>
              <w:t>PENDING → ACTIVE is canonical direction; exact terminal/activation rules remain downstream.</w:t>
            </w:r>
          </w:p>
        </w:tc>
      </w:tr>
      <w:tr>
        <w:tc>
          <w:tcPr>
            <w:tcW w:type="dxa" w:w="2045"/>
          </w:tcPr>
          <w:p>
            <w:r>
              <w:t>Provider participation evidence</w:t>
            </w:r>
          </w:p>
        </w:tc>
        <w:tc>
          <w:tcPr>
            <w:tcW w:type="dxa" w:w="2045"/>
          </w:tcPr>
          <w:p>
            <w:r>
              <w:t>AEP #4 Provider Adapter boundary</w:t>
            </w:r>
          </w:p>
        </w:tc>
        <w:tc>
          <w:tcPr>
            <w:tcW w:type="dxa" w:w="2045"/>
          </w:tcPr>
          <w:p>
            <w:r>
              <w:t>Attendance evaluation, completion policy</w:t>
            </w:r>
          </w:p>
        </w:tc>
        <w:tc>
          <w:tcPr>
            <w:tcW w:type="dxa" w:w="2045"/>
          </w:tcPr>
          <w:p>
            <w:r>
              <w:t>Semantic attendance/completion authority</w:t>
            </w:r>
          </w:p>
        </w:tc>
        <w:tc>
          <w:tcPr>
            <w:tcW w:type="dxa" w:w="2045"/>
          </w:tcPr>
          <w:p>
            <w:r>
              <w:t>Provider participation is evidence; RUMAHAGEN evaluates outcomes.</w:t>
            </w:r>
          </w:p>
        </w:tc>
      </w:tr>
      <w:tr>
        <w:tc>
          <w:tcPr>
            <w:tcW w:type="dxa" w:w="2045"/>
          </w:tcPr>
          <w:p>
            <w:r>
              <w:t>Attendance outcome</w:t>
            </w:r>
          </w:p>
        </w:tc>
        <w:tc>
          <w:tcPr>
            <w:tcW w:type="dxa" w:w="2045"/>
          </w:tcPr>
          <w:p>
            <w:r>
              <w:t>AEP #4 Learning policy</w:t>
            </w:r>
          </w:p>
        </w:tc>
        <w:tc>
          <w:tcPr>
            <w:tcW w:type="dxa" w:w="2045"/>
          </w:tcPr>
          <w:p>
            <w:r>
              <w:t>Completion policy</w:t>
            </w:r>
          </w:p>
        </w:tc>
        <w:tc>
          <w:tcPr>
            <w:tcW w:type="dxa" w:w="2045"/>
          </w:tcPr>
          <w:p>
            <w:r>
              <w:t>Provider</w:t>
            </w:r>
          </w:p>
        </w:tc>
        <w:tc>
          <w:tcPr>
            <w:tcW w:type="dxa" w:w="2045"/>
          </w:tcPr>
          <w:p>
            <w:r>
              <w:t>Attendance is governed by RUMAHAGEN policy/configuration.</w:t>
            </w:r>
          </w:p>
        </w:tc>
      </w:tr>
      <w:tr>
        <w:tc>
          <w:tcPr>
            <w:tcW w:type="dxa" w:w="2045"/>
          </w:tcPr>
          <w:p>
            <w:r>
              <w:t>Completion outcome</w:t>
            </w:r>
          </w:p>
        </w:tc>
        <w:tc>
          <w:tcPr>
            <w:tcW w:type="dxa" w:w="2045"/>
          </w:tcPr>
          <w:p>
            <w:r>
              <w:t>Learning Session / Learning Activity handoff</w:t>
            </w:r>
          </w:p>
        </w:tc>
        <w:tc>
          <w:tcPr>
            <w:tcW w:type="dxa" w:w="2045"/>
          </w:tcPr>
          <w:p>
            <w:r>
              <w:t>Learning Economy, qualification/evidence</w:t>
            </w:r>
          </w:p>
        </w:tc>
        <w:tc>
          <w:tcPr>
            <w:tcW w:type="dxa" w:w="2045"/>
          </w:tcPr>
          <w:p>
            <w:r>
              <w:t>Direct LP/credential/title issuance</w:t>
            </w:r>
          </w:p>
        </w:tc>
        <w:tc>
          <w:tcPr>
            <w:tcW w:type="dxa" w:w="2045"/>
          </w:tcPr>
          <w:p>
            <w:r>
              <w:t>Completion is a governed outcome; it does not automatically create LP, credential, or title.</w:t>
            </w:r>
          </w:p>
        </w:tc>
      </w:tr>
      <w:tr>
        <w:tc>
          <w:tcPr>
            <w:tcW w:type="dxa" w:w="2045"/>
          </w:tcPr>
          <w:p>
            <w:r>
              <w:t>Certificate / Credential (M04)</w:t>
            </w:r>
          </w:p>
        </w:tc>
        <w:tc>
          <w:tcPr>
            <w:tcW w:type="dxa" w:w="2045"/>
          </w:tcPr>
          <w:p>
            <w:r>
              <w:t>Learning / Credential boundary</w:t>
            </w:r>
          </w:p>
        </w:tc>
        <w:tc>
          <w:tcPr>
            <w:tcW w:type="dxa" w:w="2045"/>
          </w:tcPr>
          <w:p>
            <w:r>
              <w:t>Awarding as evidence input</w:t>
            </w:r>
          </w:p>
        </w:tc>
        <w:tc>
          <w:tcPr>
            <w:tcW w:type="dxa" w:w="2045"/>
          </w:tcPr>
          <w:p>
            <w:r>
              <w:t>Award Instance storage</w:t>
            </w:r>
          </w:p>
        </w:tc>
        <w:tc>
          <w:tcPr>
            <w:tcW w:type="dxa" w:w="2045"/>
          </w:tcPr>
          <w:p>
            <w:r>
              <w:t>M04 Certificate/Credential ≠ M15 Award Instance.</w:t>
            </w:r>
          </w:p>
        </w:tc>
      </w:tr>
      <w:tr>
        <w:tc>
          <w:tcPr>
            <w:tcW w:type="dxa" w:w="2045"/>
          </w:tcPr>
          <w:p>
            <w:r>
              <w:t>Authorization / permissions / scope</w:t>
            </w:r>
          </w:p>
        </w:tc>
        <w:tc>
          <w:tcPr>
            <w:tcW w:type="dxa" w:w="2045"/>
          </w:tcPr>
          <w:p>
            <w:r>
              <w:t>RBAC / Authorization governance</w:t>
            </w:r>
          </w:p>
        </w:tc>
        <w:tc>
          <w:tcPr>
            <w:tcW w:type="dxa" w:w="2045"/>
          </w:tcPr>
          <w:p>
            <w:r>
              <w:t>All AEP domains</w:t>
            </w:r>
          </w:p>
        </w:tc>
        <w:tc>
          <w:tcPr>
            <w:tcW w:type="dxa" w:w="2045"/>
          </w:tcPr>
          <w:p>
            <w:r>
              <w:t>Business eligibility/learning outcome</w:t>
            </w:r>
          </w:p>
        </w:tc>
        <w:tc>
          <w:tcPr>
            <w:tcW w:type="dxa" w:w="2045"/>
          </w:tcPr>
          <w:p>
            <w:r>
              <w:t>Authorization permits action; it does not itself establish qualification or award.</w:t>
            </w:r>
          </w:p>
        </w:tc>
      </w:tr>
    </w:tbl>
    <w:p>
      <w:pPr>
        <w:pStyle w:val="Heading1"/>
      </w:pPr>
      <w:r>
        <w:t>5. Cross-AEP Semantic Handoff Matrix</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From</w:t>
            </w:r>
          </w:p>
        </w:tc>
        <w:tc>
          <w:tcPr>
            <w:tcW w:type="dxa" w:w="2045"/>
          </w:tcPr>
          <w:p>
            <w:r>
              <w:t>Handoff</w:t>
            </w:r>
          </w:p>
        </w:tc>
        <w:tc>
          <w:tcPr>
            <w:tcW w:type="dxa" w:w="2045"/>
          </w:tcPr>
          <w:p>
            <w:r>
              <w:t>To</w:t>
            </w:r>
          </w:p>
        </w:tc>
        <w:tc>
          <w:tcPr>
            <w:tcW w:type="dxa" w:w="2045"/>
          </w:tcPr>
          <w:p>
            <w:r>
              <w:t>Status</w:t>
            </w:r>
          </w:p>
        </w:tc>
        <w:tc>
          <w:tcPr>
            <w:tcW w:type="dxa" w:w="2045"/>
          </w:tcPr>
          <w:p>
            <w:r>
              <w:t>Guardrail</w:t>
            </w:r>
          </w:p>
        </w:tc>
      </w:tr>
      <w:tr>
        <w:tc>
          <w:tcPr>
            <w:tcW w:type="dxa" w:w="2045"/>
          </w:tcPr>
          <w:p>
            <w:r>
              <w:t>AEP #1</w:t>
            </w:r>
          </w:p>
        </w:tc>
        <w:tc>
          <w:tcPr>
            <w:tcW w:type="dxa" w:w="2045"/>
          </w:tcPr>
          <w:p>
            <w:r>
              <w:t>Trusted commercial/payment outcome</w:t>
            </w:r>
          </w:p>
        </w:tc>
        <w:tc>
          <w:tcPr>
            <w:tcW w:type="dxa" w:w="2045"/>
          </w:tcPr>
          <w:p>
            <w:r>
              <w:t>AEP #2</w:t>
            </w:r>
          </w:p>
        </w:tc>
        <w:tc>
          <w:tcPr>
            <w:tcW w:type="dxa" w:w="2045"/>
          </w:tcPr>
          <w:p>
            <w:r>
              <w:t>ALIGNED</w:t>
            </w:r>
          </w:p>
        </w:tc>
        <w:tc>
          <w:tcPr>
            <w:tcW w:type="dxa" w:w="2045"/>
          </w:tcPr>
          <w:p>
            <w:r>
              <w:t>Learning consumes confirmed outcome; no Payment Gateway logic inside Learning.</w:t>
            </w:r>
          </w:p>
        </w:tc>
      </w:tr>
      <w:tr>
        <w:tc>
          <w:tcPr>
            <w:tcW w:type="dxa" w:w="2045"/>
          </w:tcPr>
          <w:p>
            <w:r>
              <w:t>AEP #1</w:t>
            </w:r>
          </w:p>
        </w:tc>
        <w:tc>
          <w:tcPr>
            <w:tcW w:type="dxa" w:w="2045"/>
          </w:tcPr>
          <w:p>
            <w:r>
              <w:t>Commercial entitlement/access outcome</w:t>
            </w:r>
          </w:p>
        </w:tc>
        <w:tc>
          <w:tcPr>
            <w:tcW w:type="dxa" w:w="2045"/>
          </w:tcPr>
          <w:p>
            <w:r>
              <w:t>AEP #4</w:t>
            </w:r>
          </w:p>
        </w:tc>
        <w:tc>
          <w:tcPr>
            <w:tcW w:type="dxa" w:w="2045"/>
          </w:tcPr>
          <w:p>
            <w:r>
              <w:t>ALIGNED</w:t>
            </w:r>
          </w:p>
        </w:tc>
        <w:tc>
          <w:tcPr>
            <w:tcW w:type="dxa" w:w="2045"/>
          </w:tcPr>
          <w:p>
            <w:r>
              <w:t>Session access consumes entitlement/payment outcome; access is not payment processing.</w:t>
            </w:r>
          </w:p>
        </w:tc>
      </w:tr>
      <w:tr>
        <w:tc>
          <w:tcPr>
            <w:tcW w:type="dxa" w:w="2045"/>
          </w:tcPr>
          <w:p>
            <w:r>
              <w:t>AEP #2</w:t>
            </w:r>
          </w:p>
        </w:tc>
        <w:tc>
          <w:tcPr>
            <w:tcW w:type="dxa" w:w="2045"/>
          </w:tcPr>
          <w:p>
            <w:r>
              <w:t>Qualifying learning activity/completion evidence</w:t>
            </w:r>
          </w:p>
        </w:tc>
        <w:tc>
          <w:tcPr>
            <w:tcW w:type="dxa" w:w="2045"/>
          </w:tcPr>
          <w:p>
            <w:r>
              <w:t>AEP #3</w:t>
            </w:r>
          </w:p>
        </w:tc>
        <w:tc>
          <w:tcPr>
            <w:tcW w:type="dxa" w:w="2045"/>
          </w:tcPr>
          <w:p>
            <w:r>
              <w:t>ALIGNED / CONDITIONAL</w:t>
            </w:r>
          </w:p>
        </w:tc>
        <w:tc>
          <w:tcPr>
            <w:tcW w:type="dxa" w:w="2045"/>
          </w:tcPr>
          <w:p>
            <w:r>
              <w:t>Learning evidence may support qualification; Awarding retains authority.</w:t>
            </w:r>
          </w:p>
        </w:tc>
      </w:tr>
      <w:tr>
        <w:tc>
          <w:tcPr>
            <w:tcW w:type="dxa" w:w="2045"/>
          </w:tcPr>
          <w:p>
            <w:r>
              <w:t>AEP #4</w:t>
            </w:r>
          </w:p>
        </w:tc>
        <w:tc>
          <w:tcPr>
            <w:tcW w:type="dxa" w:w="2045"/>
          </w:tcPr>
          <w:p>
            <w:r>
              <w:t>Qualifying session completion/evidence</w:t>
            </w:r>
          </w:p>
        </w:tc>
        <w:tc>
          <w:tcPr>
            <w:tcW w:type="dxa" w:w="2045"/>
          </w:tcPr>
          <w:p>
            <w:r>
              <w:t>AEP #2</w:t>
            </w:r>
          </w:p>
        </w:tc>
        <w:tc>
          <w:tcPr>
            <w:tcW w:type="dxa" w:w="2045"/>
          </w:tcPr>
          <w:p>
            <w:r>
              <w:t>ALIGNED / CONDITIONAL</w:t>
            </w:r>
          </w:p>
        </w:tc>
        <w:tc>
          <w:tcPr>
            <w:tcW w:type="dxa" w:w="2045"/>
          </w:tcPr>
          <w:p>
            <w:r>
              <w:t>Feeds Learning Activity boundary; Learning Economy owns LP processing; MADCR-049 remains open.</w:t>
            </w:r>
          </w:p>
        </w:tc>
      </w:tr>
      <w:tr>
        <w:tc>
          <w:tcPr>
            <w:tcW w:type="dxa" w:w="2045"/>
          </w:tcPr>
          <w:p>
            <w:r>
              <w:t>AEP #4</w:t>
            </w:r>
          </w:p>
        </w:tc>
        <w:tc>
          <w:tcPr>
            <w:tcW w:type="dxa" w:w="2045"/>
          </w:tcPr>
          <w:p>
            <w:r>
              <w:t>Session evidence / completion</w:t>
            </w:r>
          </w:p>
        </w:tc>
        <w:tc>
          <w:tcPr>
            <w:tcW w:type="dxa" w:w="2045"/>
          </w:tcPr>
          <w:p>
            <w:r>
              <w:t>AEP #3</w:t>
            </w:r>
          </w:p>
        </w:tc>
        <w:tc>
          <w:tcPr>
            <w:tcW w:type="dxa" w:w="2045"/>
          </w:tcPr>
          <w:p>
            <w:r>
              <w:t>ALIGNED / CONDITIONAL</w:t>
            </w:r>
          </w:p>
        </w:tc>
        <w:tc>
          <w:tcPr>
            <w:tcW w:type="dxa" w:w="2045"/>
          </w:tcPr>
          <w:p>
            <w:r>
              <w:t>Cannot bypass assessment/credential/award rules.</w:t>
            </w:r>
          </w:p>
        </w:tc>
      </w:tr>
      <w:tr>
        <w:tc>
          <w:tcPr>
            <w:tcW w:type="dxa" w:w="2045"/>
          </w:tcPr>
          <w:p>
            <w:r>
              <w:t>AEP #3</w:t>
            </w:r>
          </w:p>
        </w:tc>
        <w:tc>
          <w:tcPr>
            <w:tcW w:type="dxa" w:w="2045"/>
          </w:tcPr>
          <w:p>
            <w:r>
              <w:t>Awarding Path/Rule provenance requirements</w:t>
            </w:r>
          </w:p>
        </w:tc>
        <w:tc>
          <w:tcPr>
            <w:tcW w:type="dxa" w:w="2045"/>
          </w:tcPr>
          <w:p>
            <w:r>
              <w:t>AEP #2 / AEP #4</w:t>
            </w:r>
          </w:p>
        </w:tc>
        <w:tc>
          <w:tcPr>
            <w:tcW w:type="dxa" w:w="2045"/>
          </w:tcPr>
          <w:p>
            <w:r>
              <w:t>ALIGNED</w:t>
            </w:r>
          </w:p>
        </w:tc>
        <w:tc>
          <w:tcPr>
            <w:tcW w:type="dxa" w:w="2045"/>
          </w:tcPr>
          <w:p>
            <w:r>
              <w:t>Any learning-derived qualification must preserve Path/Rule/Award provenance.</w:t>
            </w:r>
          </w:p>
        </w:tc>
      </w:tr>
      <w:tr>
        <w:tc>
          <w:tcPr>
            <w:tcW w:type="dxa" w:w="2045"/>
          </w:tcPr>
          <w:p>
            <w:r>
              <w:t>AEP #4</w:t>
            </w:r>
          </w:p>
        </w:tc>
        <w:tc>
          <w:tcPr>
            <w:tcW w:type="dxa" w:w="2045"/>
          </w:tcPr>
          <w:p>
            <w:r>
              <w:t>Event Calendar integration context</w:t>
            </w:r>
          </w:p>
        </w:tc>
        <w:tc>
          <w:tcPr>
            <w:tcW w:type="dxa" w:w="2045"/>
          </w:tcPr>
          <w:p>
            <w:r>
              <w:t>Existing M05/Event</w:t>
            </w:r>
          </w:p>
        </w:tc>
        <w:tc>
          <w:tcPr>
            <w:tcW w:type="dxa" w:w="2045"/>
          </w:tcPr>
          <w:p>
            <w:r>
              <w:t>ALIGNED</w:t>
            </w:r>
          </w:p>
        </w:tc>
        <w:tc>
          <w:tcPr>
            <w:tcW w:type="dxa" w:w="2045"/>
          </w:tcPr>
          <w:p>
            <w:r>
              <w:t>Event Registration/RSVP remains separate; Event Calendar is presentation/integration context.</w:t>
            </w:r>
          </w:p>
        </w:tc>
      </w:tr>
      <w:tr>
        <w:tc>
          <w:tcPr>
            <w:tcW w:type="dxa" w:w="2045"/>
          </w:tcPr>
          <w:p>
            <w:r>
              <w:t>AEP #1</w:t>
            </w:r>
          </w:p>
        </w:tc>
        <w:tc>
          <w:tcPr>
            <w:tcW w:type="dxa" w:w="2045"/>
          </w:tcPr>
          <w:p>
            <w:r>
              <w:t>Historical commercial snapshot</w:t>
            </w:r>
          </w:p>
        </w:tc>
        <w:tc>
          <w:tcPr>
            <w:tcW w:type="dxa" w:w="2045"/>
          </w:tcPr>
          <w:p>
            <w:r>
              <w:t>All downstream consumers</w:t>
            </w:r>
          </w:p>
        </w:tc>
        <w:tc>
          <w:tcPr>
            <w:tcW w:type="dxa" w:w="2045"/>
          </w:tcPr>
          <w:p>
            <w:r>
              <w:t>ALIGNED</w:t>
            </w:r>
          </w:p>
        </w:tc>
        <w:tc>
          <w:tcPr>
            <w:tcW w:type="dxa" w:w="2045"/>
          </w:tcPr>
          <w:p>
            <w:r>
              <w:t>Historical purchase terms are immutable after confirmation and not rewritten by later configuration.</w:t>
            </w:r>
          </w:p>
        </w:tc>
      </w:tr>
    </w:tbl>
    <w:p>
      <w:pPr>
        <w:pStyle w:val="Heading1"/>
      </w:pPr>
      <w:r>
        <w:t>6. Conflict / Overlap / Reconciliation Register</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Area</w:t>
            </w:r>
          </w:p>
        </w:tc>
        <w:tc>
          <w:tcPr>
            <w:tcW w:type="dxa" w:w="1704"/>
          </w:tcPr>
          <w:p>
            <w:r>
              <w:t>Finding</w:t>
            </w:r>
          </w:p>
        </w:tc>
        <w:tc>
          <w:tcPr>
            <w:tcW w:type="dxa" w:w="1704"/>
          </w:tcPr>
          <w:p>
            <w:r>
              <w:t>Classification</w:t>
            </w:r>
          </w:p>
        </w:tc>
        <w:tc>
          <w:tcPr>
            <w:tcW w:type="dxa" w:w="1704"/>
          </w:tcPr>
          <w:p>
            <w:r>
              <w:t>Current Resolution</w:t>
            </w:r>
          </w:p>
        </w:tc>
        <w:tc>
          <w:tcPr>
            <w:tcW w:type="dxa" w:w="1704"/>
          </w:tcPr>
          <w:p>
            <w:r>
              <w:t>Next Gate</w:t>
            </w:r>
          </w:p>
        </w:tc>
      </w:tr>
      <w:tr>
        <w:tc>
          <w:tcPr>
            <w:tcW w:type="dxa" w:w="1704"/>
          </w:tcPr>
          <w:p>
            <w:r>
              <w:t>CAR-01</w:t>
            </w:r>
          </w:p>
        </w:tc>
        <w:tc>
          <w:tcPr>
            <w:tcW w:type="dxa" w:w="1704"/>
          </w:tcPr>
          <w:p>
            <w:r>
              <w:t>Payment ↔ Learning</w:t>
            </w:r>
          </w:p>
        </w:tc>
        <w:tc>
          <w:tcPr>
            <w:tcW w:type="dxa" w:w="1704"/>
          </w:tcPr>
          <w:p>
            <w:r>
              <w:t>Older Learning ADR wording can appear to make Payment ownership a Learning decision.</w:t>
            </w:r>
          </w:p>
        </w:tc>
        <w:tc>
          <w:tcPr>
            <w:tcW w:type="dxa" w:w="1704"/>
          </w:tcPr>
          <w:p>
            <w:r>
              <w:t>CANONICALIZATION</w:t>
            </w:r>
          </w:p>
        </w:tc>
        <w:tc>
          <w:tcPr>
            <w:tcW w:type="dxa" w:w="1704"/>
          </w:tcPr>
          <w:p>
            <w:r>
              <w:t>Payment ownership is governed by MADCR-011; ADR-LE-005 is derived, not independent authority.</w:t>
            </w:r>
          </w:p>
        </w:tc>
        <w:tc>
          <w:tcPr>
            <w:tcW w:type="dxa" w:w="1704"/>
          </w:tcPr>
          <w:p>
            <w:r>
              <w:t>Global terminology/traceability sync.</w:t>
            </w:r>
          </w:p>
        </w:tc>
      </w:tr>
      <w:tr>
        <w:tc>
          <w:tcPr>
            <w:tcW w:type="dxa" w:w="1704"/>
          </w:tcPr>
          <w:p>
            <w:r>
              <w:t>CAR-02</w:t>
            </w:r>
          </w:p>
        </w:tc>
        <w:tc>
          <w:tcPr>
            <w:tcW w:type="dxa" w:w="1704"/>
          </w:tcPr>
          <w:p>
            <w:r>
              <w:t>Learning ↔ Learning Session</w:t>
            </w:r>
          </w:p>
        </w:tc>
        <w:tc>
          <w:tcPr>
            <w:tcW w:type="dxa" w:w="1704"/>
          </w:tcPr>
          <w:p>
            <w:r>
              <w:t>AEP2 explicitly deferred Learning Session to AEP4; AEP4 now defines Session as a Learning capability and handoff boundary.</w:t>
            </w:r>
          </w:p>
        </w:tc>
        <w:tc>
          <w:tcPr>
            <w:tcW w:type="dxa" w:w="1704"/>
          </w:tcPr>
          <w:p>
            <w:r>
              <w:t>ALIGNED</w:t>
            </w:r>
          </w:p>
        </w:tc>
        <w:tc>
          <w:tcPr>
            <w:tcW w:type="dxa" w:w="1704"/>
          </w:tcPr>
          <w:p>
            <w:r>
              <w:t>No reopening of AEP2. AEP4 is the later governing semantic package for Session.</w:t>
            </w:r>
          </w:p>
        </w:tc>
        <w:tc>
          <w:tcPr>
            <w:tcW w:type="dxa" w:w="1704"/>
          </w:tcPr>
          <w:p>
            <w:r>
              <w:t>Global Learning baseline sync.</w:t>
            </w:r>
          </w:p>
        </w:tc>
      </w:tr>
      <w:tr>
        <w:tc>
          <w:tcPr>
            <w:tcW w:type="dxa" w:w="1704"/>
          </w:tcPr>
          <w:p>
            <w:r>
              <w:t>CAR-03</w:t>
            </w:r>
          </w:p>
        </w:tc>
        <w:tc>
          <w:tcPr>
            <w:tcW w:type="dxa" w:w="1704"/>
          </w:tcPr>
          <w:p>
            <w:r>
              <w:t>Learning Activity ↔ Session Completion</w:t>
            </w:r>
          </w:p>
        </w:tc>
        <w:tc>
          <w:tcPr>
            <w:tcW w:type="dxa" w:w="1704"/>
          </w:tcPr>
          <w:p>
            <w:r>
              <w:t>Session completion can feed Learning Activity, but final Learning Activity evidence model is not closed.</w:t>
            </w:r>
          </w:p>
        </w:tc>
        <w:tc>
          <w:tcPr>
            <w:tcW w:type="dxa" w:w="1704"/>
          </w:tcPr>
          <w:p>
            <w:r>
              <w:t>CONTROLLED OPEN</w:t>
            </w:r>
          </w:p>
        </w:tc>
        <w:tc>
          <w:tcPr>
            <w:tcW w:type="dxa" w:w="1704"/>
          </w:tcPr>
          <w:p>
            <w:r>
              <w:t>Handoff is accepted; MADCR-049 remains independent OPEN/RE-EVALUATION.</w:t>
            </w:r>
          </w:p>
        </w:tc>
        <w:tc>
          <w:tcPr>
            <w:tcW w:type="dxa" w:w="1704"/>
          </w:tcPr>
          <w:p>
            <w:r>
              <w:t>MADCR-049 governance gate.</w:t>
            </w:r>
          </w:p>
        </w:tc>
      </w:tr>
      <w:tr>
        <w:tc>
          <w:tcPr>
            <w:tcW w:type="dxa" w:w="1704"/>
          </w:tcPr>
          <w:p>
            <w:r>
              <w:t>CAR-04</w:t>
            </w:r>
          </w:p>
        </w:tc>
        <w:tc>
          <w:tcPr>
            <w:tcW w:type="dxa" w:w="1704"/>
          </w:tcPr>
          <w:p>
            <w:r>
              <w:t>Learning ↔ Awarding</w:t>
            </w:r>
          </w:p>
        </w:tc>
        <w:tc>
          <w:tcPr>
            <w:tcW w:type="dxa" w:w="1704"/>
          </w:tcPr>
          <w:p>
            <w:r>
              <w:t>Learning completion/credential can be confused with Title/Award.</w:t>
            </w:r>
          </w:p>
        </w:tc>
        <w:tc>
          <w:tcPr>
            <w:tcW w:type="dxa" w:w="1704"/>
          </w:tcPr>
          <w:p>
            <w:r>
              <w:t>ALIGNED / INVARIANT</w:t>
            </w:r>
          </w:p>
        </w:tc>
        <w:tc>
          <w:tcPr>
            <w:tcW w:type="dxa" w:w="1704"/>
          </w:tcPr>
          <w:p>
            <w:r>
              <w:t>Completion and Credential remain distinct from Award Instance; AEP3 retains Awarding authority.</w:t>
            </w:r>
          </w:p>
        </w:tc>
        <w:tc>
          <w:tcPr>
            <w:tcW w:type="dxa" w:w="1704"/>
          </w:tcPr>
          <w:p>
            <w:r>
              <w:t>Global boundary sync.</w:t>
            </w:r>
          </w:p>
        </w:tc>
      </w:tr>
      <w:tr>
        <w:tc>
          <w:tcPr>
            <w:tcW w:type="dxa" w:w="1704"/>
          </w:tcPr>
          <w:p>
            <w:r>
              <w:t>CAR-05</w:t>
            </w:r>
          </w:p>
        </w:tc>
        <w:tc>
          <w:tcPr>
            <w:tcW w:type="dxa" w:w="1704"/>
          </w:tcPr>
          <w:p>
            <w:r>
              <w:t>Certificate ↔ Award Instance</w:t>
            </w:r>
          </w:p>
        </w:tc>
        <w:tc>
          <w:tcPr>
            <w:tcW w:type="dxa" w:w="1704"/>
          </w:tcPr>
          <w:p>
            <w:r>
              <w:t>M04 certificates vs M15 Award Instance could be collapsed by downstream design.</w:t>
            </w:r>
          </w:p>
        </w:tc>
        <w:tc>
          <w:tcPr>
            <w:tcW w:type="dxa" w:w="1704"/>
          </w:tcPr>
          <w:p>
            <w:r>
              <w:t>RESOLVED / INVARIANT</w:t>
            </w:r>
          </w:p>
        </w:tc>
        <w:tc>
          <w:tcPr>
            <w:tcW w:type="dxa" w:w="1704"/>
          </w:tcPr>
          <w:p>
            <w:r>
              <w:t>MADCR-046 explicitly prohibits automatic conversion/repurposing.</w:t>
            </w:r>
          </w:p>
        </w:tc>
        <w:tc>
          <w:tcPr>
            <w:tcW w:type="dxa" w:w="1704"/>
          </w:tcPr>
          <w:p>
            <w:r>
              <w:t>Global ERD/API terminology sync.</w:t>
            </w:r>
          </w:p>
        </w:tc>
      </w:tr>
      <w:tr>
        <w:tc>
          <w:tcPr>
            <w:tcW w:type="dxa" w:w="1704"/>
          </w:tcPr>
          <w:p>
            <w:r>
              <w:t>CAR-06</w:t>
            </w:r>
          </w:p>
        </w:tc>
        <w:tc>
          <w:tcPr>
            <w:tcW w:type="dxa" w:w="1704"/>
          </w:tcPr>
          <w:p>
            <w:r>
              <w:t>Path Version ↔ Rule Version</w:t>
            </w:r>
          </w:p>
        </w:tc>
        <w:tc>
          <w:tcPr>
            <w:tcW w:type="dxa" w:w="1704"/>
          </w:tcPr>
          <w:p>
            <w:r>
              <w:t>Version boundaries could be collapsed in implementation.</w:t>
            </w:r>
          </w:p>
        </w:tc>
        <w:tc>
          <w:tcPr>
            <w:tcW w:type="dxa" w:w="1704"/>
          </w:tcPr>
          <w:p>
            <w:r>
              <w:t>RESOLVED / INVARIANT</w:t>
            </w:r>
          </w:p>
        </w:tc>
        <w:tc>
          <w:tcPr>
            <w:tcW w:type="dxa" w:w="1704"/>
          </w:tcPr>
          <w:p>
            <w:r>
              <w:t>MADCR-037 and MADCR-041 require separate semantic version boundaries.</w:t>
            </w:r>
          </w:p>
        </w:tc>
        <w:tc>
          <w:tcPr>
            <w:tcW w:type="dxa" w:w="1704"/>
          </w:tcPr>
          <w:p>
            <w:r>
              <w:t>Physical design must preserve separation.</w:t>
            </w:r>
          </w:p>
        </w:tc>
      </w:tr>
      <w:tr>
        <w:tc>
          <w:tcPr>
            <w:tcW w:type="dxa" w:w="1704"/>
          </w:tcPr>
          <w:p>
            <w:r>
              <w:t>CAR-07</w:t>
            </w:r>
          </w:p>
        </w:tc>
        <w:tc>
          <w:tcPr>
            <w:tcW w:type="dxa" w:w="1704"/>
          </w:tcPr>
          <w:p>
            <w:r>
              <w:t>Provider ↔ Session Identity</w:t>
            </w:r>
          </w:p>
        </w:tc>
        <w:tc>
          <w:tcPr>
            <w:tcW w:type="dxa" w:w="1704"/>
          </w:tcPr>
          <w:p>
            <w:r>
              <w:t>Provider session ID / meeting_link could become semantic session identity.</w:t>
            </w:r>
          </w:p>
        </w:tc>
        <w:tc>
          <w:tcPr>
            <w:tcW w:type="dxa" w:w="1704"/>
          </w:tcPr>
          <w:p>
            <w:r>
              <w:t>RESOLVED / STALE LEGACY</w:t>
            </w:r>
          </w:p>
        </w:tc>
        <w:tc>
          <w:tcPr>
            <w:tcW w:type="dxa" w:w="1704"/>
          </w:tcPr>
          <w:p>
            <w:r>
              <w:t>AEP4 Provider Binding is canonical; provider ID is infrastructure reference.</w:t>
            </w:r>
          </w:p>
        </w:tc>
        <w:tc>
          <w:tcPr>
            <w:tcW w:type="dxa" w:w="1704"/>
          </w:tcPr>
          <w:p>
            <w:r>
              <w:t>Global ERD/API/PRD terminology sync.</w:t>
            </w:r>
          </w:p>
        </w:tc>
      </w:tr>
      <w:tr>
        <w:tc>
          <w:tcPr>
            <w:tcW w:type="dxa" w:w="1704"/>
          </w:tcPr>
          <w:p>
            <w:r>
              <w:t>CAR-08</w:t>
            </w:r>
          </w:p>
        </w:tc>
        <w:tc>
          <w:tcPr>
            <w:tcW w:type="dxa" w:w="1704"/>
          </w:tcPr>
          <w:p>
            <w:r>
              <w:t>Event ↔ Learning Session</w:t>
            </w:r>
          </w:p>
        </w:tc>
        <w:tc>
          <w:tcPr>
            <w:tcW w:type="dxa" w:w="1704"/>
          </w:tcPr>
          <w:p>
            <w:r>
              <w:t>Live/webinar could be treated as merely an Event.</w:t>
            </w:r>
          </w:p>
        </w:tc>
        <w:tc>
          <w:tcPr>
            <w:tcW w:type="dxa" w:w="1704"/>
          </w:tcPr>
          <w:p>
            <w:r>
              <w:t>RESOLVED / STALE WORDING</w:t>
            </w:r>
          </w:p>
        </w:tc>
        <w:tc>
          <w:tcPr>
            <w:tcW w:type="dxa" w:w="1704"/>
          </w:tcPr>
          <w:p>
            <w:r>
              <w:t>Event Calendar remains integration/presentation context; Learning Session owns session semantics.</w:t>
            </w:r>
          </w:p>
        </w:tc>
        <w:tc>
          <w:tcPr>
            <w:tcW w:type="dxa" w:w="1704"/>
          </w:tcPr>
          <w:p>
            <w:r>
              <w:t>Global PRD/User Flow sync.</w:t>
            </w:r>
          </w:p>
        </w:tc>
      </w:tr>
      <w:tr>
        <w:tc>
          <w:tcPr>
            <w:tcW w:type="dxa" w:w="1704"/>
          </w:tcPr>
          <w:p>
            <w:r>
              <w:t>CAR-09</w:t>
            </w:r>
          </w:p>
        </w:tc>
        <w:tc>
          <w:tcPr>
            <w:tcW w:type="dxa" w:w="1704"/>
          </w:tcPr>
          <w:p>
            <w:r>
              <w:t>M05 events.quota ↔ Session Capacity</w:t>
            </w:r>
          </w:p>
        </w:tc>
        <w:tc>
          <w:tcPr>
            <w:tcW w:type="dxa" w:w="1704"/>
          </w:tcPr>
          <w:p>
            <w:r>
              <w:t>Existing event quota could be promoted to canonical session capacity.</w:t>
            </w:r>
          </w:p>
        </w:tc>
        <w:tc>
          <w:tcPr>
            <w:tcW w:type="dxa" w:w="1704"/>
          </w:tcPr>
          <w:p>
            <w:r>
              <w:t>CONTROLLED OPEN</w:t>
            </w:r>
          </w:p>
        </w:tc>
        <w:tc>
          <w:tcPr>
            <w:tcW w:type="dxa" w:w="1704"/>
          </w:tcPr>
          <w:p>
            <w:r>
              <w:t>AEP4 explicitly rejects promotion without evidence/decision.</w:t>
            </w:r>
          </w:p>
        </w:tc>
        <w:tc>
          <w:tcPr>
            <w:tcW w:type="dxa" w:w="1704"/>
          </w:tcPr>
          <w:p>
            <w:r>
              <w:t>Capacity BR/configuration gate.</w:t>
            </w:r>
          </w:p>
        </w:tc>
      </w:tr>
      <w:tr>
        <w:tc>
          <w:tcPr>
            <w:tcW w:type="dxa" w:w="1704"/>
          </w:tcPr>
          <w:p>
            <w:r>
              <w:t>CAR-10</w:t>
            </w:r>
          </w:p>
        </w:tc>
        <w:tc>
          <w:tcPr>
            <w:tcW w:type="dxa" w:w="1704"/>
          </w:tcPr>
          <w:p>
            <w:r>
              <w:t>Provider Failover</w:t>
            </w:r>
          </w:p>
        </w:tc>
        <w:tc>
          <w:tcPr>
            <w:tcW w:type="dxa" w:w="1704"/>
          </w:tcPr>
          <w:p>
            <w:r>
              <w:t>Provider switching is allowed, but automatic failover is not locked.</w:t>
            </w:r>
          </w:p>
        </w:tc>
        <w:tc>
          <w:tcPr>
            <w:tcW w:type="dxa" w:w="1704"/>
          </w:tcPr>
          <w:p>
            <w:r>
              <w:t>CONTROLLED OPEN</w:t>
            </w:r>
          </w:p>
        </w:tc>
        <w:tc>
          <w:tcPr>
            <w:tcW w:type="dxa" w:w="1704"/>
          </w:tcPr>
          <w:p>
            <w:r>
              <w:t>OD-08 remains OPEN/DEFERRED pending provider capability/operational verification.</w:t>
            </w:r>
          </w:p>
        </w:tc>
        <w:tc>
          <w:tcPr>
            <w:tcW w:type="dxa" w:w="1704"/>
          </w:tcPr>
          <w:p>
            <w:r>
              <w:t>Provider verification / later ADR.</w:t>
            </w:r>
          </w:p>
        </w:tc>
      </w:tr>
      <w:tr>
        <w:tc>
          <w:tcPr>
            <w:tcW w:type="dxa" w:w="1704"/>
          </w:tcPr>
          <w:p>
            <w:r>
              <w:t>CAR-11</w:t>
            </w:r>
          </w:p>
        </w:tc>
        <w:tc>
          <w:tcPr>
            <w:tcW w:type="dxa" w:w="1704"/>
          </w:tcPr>
          <w:p>
            <w:r>
              <w:t>Authorization ↔ Qualification</w:t>
            </w:r>
          </w:p>
        </w:tc>
        <w:tc>
          <w:tcPr>
            <w:tcW w:type="dxa" w:w="1704"/>
          </w:tcPr>
          <w:p>
            <w:r>
              <w:t>Role/permission can be confused with qualification/award eligibility.</w:t>
            </w:r>
          </w:p>
        </w:tc>
        <w:tc>
          <w:tcPr>
            <w:tcW w:type="dxa" w:w="1704"/>
          </w:tcPr>
          <w:p>
            <w:r>
              <w:t>RESOLVED / INVARIANT</w:t>
            </w:r>
          </w:p>
        </w:tc>
        <w:tc>
          <w:tcPr>
            <w:tcW w:type="dxa" w:w="1704"/>
          </w:tcPr>
          <w:p>
            <w:r>
              <w:t>AEP3 OD-06 model separates authorization action from qualification outcome.</w:t>
            </w:r>
          </w:p>
        </w:tc>
        <w:tc>
          <w:tcPr>
            <w:tcW w:type="dxa" w:w="1704"/>
          </w:tcPr>
          <w:p>
            <w:r>
              <w:t>Global RBAC/awarding sync.</w:t>
            </w:r>
          </w:p>
        </w:tc>
      </w:tr>
      <w:tr>
        <w:tc>
          <w:tcPr>
            <w:tcW w:type="dxa" w:w="1704"/>
          </w:tcPr>
          <w:p>
            <w:r>
              <w:t>CAR-12</w:t>
            </w:r>
          </w:p>
        </w:tc>
        <w:tc>
          <w:tcPr>
            <w:tcW w:type="dxa" w:w="1704"/>
          </w:tcPr>
          <w:p>
            <w:r>
              <w:t>Commercial Entitlement ↔ RBAC</w:t>
            </w:r>
          </w:p>
        </w:tc>
        <w:tc>
          <w:tcPr>
            <w:tcW w:type="dxa" w:w="1704"/>
          </w:tcPr>
          <w:p>
            <w:r>
              <w:t>Entitlement could be treated as authorization role.</w:t>
            </w:r>
          </w:p>
        </w:tc>
        <w:tc>
          <w:tcPr>
            <w:tcW w:type="dxa" w:w="1704"/>
          </w:tcPr>
          <w:p>
            <w:r>
              <w:t>RESOLVED / INVARIANT</w:t>
            </w:r>
          </w:p>
        </w:tc>
        <w:tc>
          <w:tcPr>
            <w:tcW w:type="dxa" w:w="1704"/>
          </w:tcPr>
          <w:p>
            <w:r>
              <w:t>MADCR-010 explicitly separates entitlement from RBAC.</w:t>
            </w:r>
          </w:p>
        </w:tc>
        <w:tc>
          <w:tcPr>
            <w:tcW w:type="dxa" w:w="1704"/>
          </w:tcPr>
          <w:p>
            <w:r>
              <w:t>Global authorization sync.</w:t>
            </w:r>
          </w:p>
        </w:tc>
      </w:tr>
    </w:tbl>
    <w:p>
      <w:pPr>
        <w:pStyle w:val="Heading1"/>
      </w:pPr>
      <w:r>
        <w:t>7. Residual / Open Decision Carry-Forward Register</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Source</w:t>
            </w:r>
          </w:p>
        </w:tc>
        <w:tc>
          <w:tcPr>
            <w:tcW w:type="dxa" w:w="1704"/>
          </w:tcPr>
          <w:p>
            <w:r>
              <w:t>Residual</w:t>
            </w:r>
          </w:p>
        </w:tc>
        <w:tc>
          <w:tcPr>
            <w:tcW w:type="dxa" w:w="1704"/>
          </w:tcPr>
          <w:p>
            <w:r>
              <w:t>Severity</w:t>
            </w:r>
          </w:p>
        </w:tc>
        <w:tc>
          <w:tcPr>
            <w:tcW w:type="dxa" w:w="1704"/>
          </w:tcPr>
          <w:p>
            <w:r>
              <w:t>Blocks Cross-AEP Consolidation?</w:t>
            </w:r>
          </w:p>
        </w:tc>
        <w:tc>
          <w:tcPr>
            <w:tcW w:type="dxa" w:w="1704"/>
          </w:tcPr>
          <w:p>
            <w:r>
              <w:t>Treatment</w:t>
            </w:r>
          </w:p>
        </w:tc>
      </w:tr>
      <w:tr>
        <w:tc>
          <w:tcPr>
            <w:tcW w:type="dxa" w:w="1704"/>
          </w:tcPr>
          <w:p>
            <w:r>
              <w:t>R-01</w:t>
            </w:r>
          </w:p>
        </w:tc>
        <w:tc>
          <w:tcPr>
            <w:tcW w:type="dxa" w:w="1704"/>
          </w:tcPr>
          <w:p>
            <w:r>
              <w:t>AEP1</w:t>
            </w:r>
          </w:p>
        </w:tc>
        <w:tc>
          <w:tcPr>
            <w:tcW w:type="dxa" w:w="1704"/>
          </w:tcPr>
          <w:p>
            <w:r>
              <w:t>OPEN-C01 / MADCR-012 provenance relationship</w:t>
            </w:r>
          </w:p>
        </w:tc>
        <w:tc>
          <w:tcPr>
            <w:tcW w:type="dxa" w:w="1704"/>
          </w:tcPr>
          <w:p>
            <w:r>
              <w:t>Medium</w:t>
            </w:r>
          </w:p>
        </w:tc>
        <w:tc>
          <w:tcPr>
            <w:tcW w:type="dxa" w:w="1704"/>
          </w:tcPr>
          <w:p>
            <w:r>
              <w:t>NO</w:t>
            </w:r>
          </w:p>
        </w:tc>
        <w:tc>
          <w:tcPr>
            <w:tcW w:type="dxa" w:w="1704"/>
          </w:tcPr>
          <w:p>
            <w:r>
              <w:t>Carry forward; do not infer supersession/hierarchy.</w:t>
            </w:r>
          </w:p>
        </w:tc>
      </w:tr>
      <w:tr>
        <w:tc>
          <w:tcPr>
            <w:tcW w:type="dxa" w:w="1704"/>
          </w:tcPr>
          <w:p>
            <w:r>
              <w:t>R-02</w:t>
            </w:r>
          </w:p>
        </w:tc>
        <w:tc>
          <w:tcPr>
            <w:tcW w:type="dxa" w:w="1704"/>
          </w:tcPr>
          <w:p>
            <w:r>
              <w:t>AEP1</w:t>
            </w:r>
          </w:p>
        </w:tc>
        <w:tc>
          <w:tcPr>
            <w:tcW w:type="dxa" w:w="1704"/>
          </w:tcPr>
          <w:p>
            <w:r>
              <w:t>MBR-COM-001–013 evidence/provenance gap</w:t>
            </w:r>
          </w:p>
        </w:tc>
        <w:tc>
          <w:tcPr>
            <w:tcW w:type="dxa" w:w="1704"/>
          </w:tcPr>
          <w:p>
            <w:r>
              <w:t>Medium</w:t>
            </w:r>
          </w:p>
        </w:tc>
        <w:tc>
          <w:tcPr>
            <w:tcW w:type="dxa" w:w="1704"/>
          </w:tcPr>
          <w:p>
            <w:r>
              <w:t>NO</w:t>
            </w:r>
          </w:p>
        </w:tc>
        <w:tc>
          <w:tcPr>
            <w:tcW w:type="dxa" w:w="1704"/>
          </w:tcPr>
          <w:p>
            <w:r>
              <w:t>Do not invent mappings; retain evidence gap.</w:t>
            </w:r>
          </w:p>
        </w:tc>
      </w:tr>
      <w:tr>
        <w:tc>
          <w:tcPr>
            <w:tcW w:type="dxa" w:w="1704"/>
          </w:tcPr>
          <w:p>
            <w:r>
              <w:t>R-03</w:t>
            </w:r>
          </w:p>
        </w:tc>
        <w:tc>
          <w:tcPr>
            <w:tcW w:type="dxa" w:w="1704"/>
          </w:tcPr>
          <w:p>
            <w:r>
              <w:t>AEP2/AEP3/AEP4</w:t>
            </w:r>
          </w:p>
        </w:tc>
        <w:tc>
          <w:tcPr>
            <w:tcW w:type="dxa" w:w="1704"/>
          </w:tcPr>
          <w:p>
            <w:r>
              <w:t>MADCR-049 Learning Activity evidence model</w:t>
            </w:r>
          </w:p>
        </w:tc>
        <w:tc>
          <w:tcPr>
            <w:tcW w:type="dxa" w:w="1704"/>
          </w:tcPr>
          <w:p>
            <w:r>
              <w:t>HIGH</w:t>
            </w:r>
          </w:p>
        </w:tc>
        <w:tc>
          <w:tcPr>
            <w:tcW w:type="dxa" w:w="1704"/>
          </w:tcPr>
          <w:p>
            <w:r>
              <w:t>NO</w:t>
            </w:r>
          </w:p>
        </w:tc>
        <w:tc>
          <w:tcPr>
            <w:tcW w:type="dxa" w:w="1704"/>
          </w:tcPr>
          <w:p>
            <w:r>
              <w:t>Cross-AEP dependency; do not close through Session/ERD/API/PRD.</w:t>
            </w:r>
          </w:p>
        </w:tc>
      </w:tr>
      <w:tr>
        <w:tc>
          <w:tcPr>
            <w:tcW w:type="dxa" w:w="1704"/>
          </w:tcPr>
          <w:p>
            <w:r>
              <w:t>R-04</w:t>
            </w:r>
          </w:p>
        </w:tc>
        <w:tc>
          <w:tcPr>
            <w:tcW w:type="dxa" w:w="1704"/>
          </w:tcPr>
          <w:p>
            <w:r>
              <w:t>AEP3</w:t>
            </w:r>
          </w:p>
        </w:tc>
        <w:tc>
          <w:tcPr>
            <w:tcW w:type="dxa" w:w="1704"/>
          </w:tcPr>
          <w:p>
            <w:r>
              <w:t>AEP3-OD-02 Authority/Scope cardinality</w:t>
            </w:r>
          </w:p>
        </w:tc>
        <w:tc>
          <w:tcPr>
            <w:tcW w:type="dxa" w:w="1704"/>
          </w:tcPr>
          <w:p>
            <w:r>
              <w:t>HIGH</w:t>
            </w:r>
          </w:p>
        </w:tc>
        <w:tc>
          <w:tcPr>
            <w:tcW w:type="dxa" w:w="1704"/>
          </w:tcPr>
          <w:p>
            <w:r>
              <w:t>NO</w:t>
            </w:r>
          </w:p>
        </w:tc>
        <w:tc>
          <w:tcPr>
            <w:tcW w:type="dxa" w:w="1704"/>
          </w:tcPr>
          <w:p>
            <w:r>
              <w:t>Carry to physical authority/RLS design.</w:t>
            </w:r>
          </w:p>
        </w:tc>
      </w:tr>
      <w:tr>
        <w:tc>
          <w:tcPr>
            <w:tcW w:type="dxa" w:w="1704"/>
          </w:tcPr>
          <w:p>
            <w:r>
              <w:t>R-05</w:t>
            </w:r>
          </w:p>
        </w:tc>
        <w:tc>
          <w:tcPr>
            <w:tcW w:type="dxa" w:w="1704"/>
          </w:tcPr>
          <w:p>
            <w:r>
              <w:t>AEP3</w:t>
            </w:r>
          </w:p>
        </w:tc>
        <w:tc>
          <w:tcPr>
            <w:tcW w:type="dxa" w:w="1704"/>
          </w:tcPr>
          <w:p>
            <w:r>
              <w:t>AEP3-OD-03 Lifecycle/Appeal storage mechanism</w:t>
            </w:r>
          </w:p>
        </w:tc>
        <w:tc>
          <w:tcPr>
            <w:tcW w:type="dxa" w:w="1704"/>
          </w:tcPr>
          <w:p>
            <w:r>
              <w:t>Medium</w:t>
            </w:r>
          </w:p>
        </w:tc>
        <w:tc>
          <w:tcPr>
            <w:tcW w:type="dxa" w:w="1704"/>
          </w:tcPr>
          <w:p>
            <w:r>
              <w:t>NO</w:t>
            </w:r>
          </w:p>
        </w:tc>
        <w:tc>
          <w:tcPr>
            <w:tcW w:type="dxa" w:w="1704"/>
          </w:tcPr>
          <w:p>
            <w:r>
              <w:t>Downstream engineering/storage decision.</w:t>
            </w:r>
          </w:p>
        </w:tc>
      </w:tr>
      <w:tr>
        <w:tc>
          <w:tcPr>
            <w:tcW w:type="dxa" w:w="1704"/>
          </w:tcPr>
          <w:p>
            <w:r>
              <w:t>R-06</w:t>
            </w:r>
          </w:p>
        </w:tc>
        <w:tc>
          <w:tcPr>
            <w:tcW w:type="dxa" w:w="1704"/>
          </w:tcPr>
          <w:p>
            <w:r>
              <w:t>AEP3</w:t>
            </w:r>
          </w:p>
        </w:tc>
        <w:tc>
          <w:tcPr>
            <w:tcW w:type="dxa" w:w="1704"/>
          </w:tcPr>
          <w:p>
            <w:r>
              <w:t>AEP3-OD-04 Rule lineage cardinality</w:t>
            </w:r>
          </w:p>
        </w:tc>
        <w:tc>
          <w:tcPr>
            <w:tcW w:type="dxa" w:w="1704"/>
          </w:tcPr>
          <w:p>
            <w:r>
              <w:t>Medium</w:t>
            </w:r>
          </w:p>
        </w:tc>
        <w:tc>
          <w:tcPr>
            <w:tcW w:type="dxa" w:w="1704"/>
          </w:tcPr>
          <w:p>
            <w:r>
              <w:t>NO</w:t>
            </w:r>
          </w:p>
        </w:tc>
        <w:tc>
          <w:tcPr>
            <w:tcW w:type="dxa" w:w="1704"/>
          </w:tcPr>
          <w:p>
            <w:r>
              <w:t>Do not invent physical cardinality.</w:t>
            </w:r>
          </w:p>
        </w:tc>
      </w:tr>
      <w:tr>
        <w:tc>
          <w:tcPr>
            <w:tcW w:type="dxa" w:w="1704"/>
          </w:tcPr>
          <w:p>
            <w:r>
              <w:t>R-07</w:t>
            </w:r>
          </w:p>
        </w:tc>
        <w:tc>
          <w:tcPr>
            <w:tcW w:type="dxa" w:w="1704"/>
          </w:tcPr>
          <w:p>
            <w:r>
              <w:t>AEP3</w:t>
            </w:r>
          </w:p>
        </w:tc>
        <w:tc>
          <w:tcPr>
            <w:tcW w:type="dxa" w:w="1704"/>
          </w:tcPr>
          <w:p>
            <w:r>
              <w:t>AEP3-OD-05 Rule temporal/effective-date semantics</w:t>
            </w:r>
          </w:p>
        </w:tc>
        <w:tc>
          <w:tcPr>
            <w:tcW w:type="dxa" w:w="1704"/>
          </w:tcPr>
          <w:p>
            <w:r>
              <w:t>Medium</w:t>
            </w:r>
          </w:p>
        </w:tc>
        <w:tc>
          <w:tcPr>
            <w:tcW w:type="dxa" w:w="1704"/>
          </w:tcPr>
          <w:p>
            <w:r>
              <w:t>NO</w:t>
            </w:r>
          </w:p>
        </w:tc>
        <w:tc>
          <w:tcPr>
            <w:tcW w:type="dxa" w:w="1704"/>
          </w:tcPr>
          <w:p>
            <w:r>
              <w:t>Do not introduce temporal invariant without evidence.</w:t>
            </w:r>
          </w:p>
        </w:tc>
      </w:tr>
      <w:tr>
        <w:tc>
          <w:tcPr>
            <w:tcW w:type="dxa" w:w="1704"/>
          </w:tcPr>
          <w:p>
            <w:r>
              <w:t>R-08</w:t>
            </w:r>
          </w:p>
        </w:tc>
        <w:tc>
          <w:tcPr>
            <w:tcW w:type="dxa" w:w="1704"/>
          </w:tcPr>
          <w:p>
            <w:r>
              <w:t>AEP4</w:t>
            </w:r>
          </w:p>
        </w:tc>
        <w:tc>
          <w:tcPr>
            <w:tcW w:type="dxa" w:w="1704"/>
          </w:tcPr>
          <w:p>
            <w:r>
              <w:t>OD-08 Automatic provider failover</w:t>
            </w:r>
          </w:p>
        </w:tc>
        <w:tc>
          <w:tcPr>
            <w:tcW w:type="dxa" w:w="1704"/>
          </w:tcPr>
          <w:p>
            <w:r>
              <w:t>Medium</w:t>
            </w:r>
          </w:p>
        </w:tc>
        <w:tc>
          <w:tcPr>
            <w:tcW w:type="dxa" w:w="1704"/>
          </w:tcPr>
          <w:p>
            <w:r>
              <w:t>NO</w:t>
            </w:r>
          </w:p>
        </w:tc>
        <w:tc>
          <w:tcPr>
            <w:tcW w:type="dxa" w:w="1704"/>
          </w:tcPr>
          <w:p>
            <w:r>
              <w:t>Provider capability/operational verification.</w:t>
            </w:r>
          </w:p>
        </w:tc>
      </w:tr>
      <w:tr>
        <w:tc>
          <w:tcPr>
            <w:tcW w:type="dxa" w:w="1704"/>
          </w:tcPr>
          <w:p>
            <w:r>
              <w:t>R-09</w:t>
            </w:r>
          </w:p>
        </w:tc>
        <w:tc>
          <w:tcPr>
            <w:tcW w:type="dxa" w:w="1704"/>
          </w:tcPr>
          <w:p>
            <w:r>
              <w:t>AEP4</w:t>
            </w:r>
          </w:p>
        </w:tc>
        <w:tc>
          <w:tcPr>
            <w:tcW w:type="dxa" w:w="1704"/>
          </w:tcPr>
          <w:p>
            <w:r>
              <w:t>MADCR-053 cross-domain permission taxonomy</w:t>
            </w:r>
          </w:p>
        </w:tc>
        <w:tc>
          <w:tcPr>
            <w:tcW w:type="dxa" w:w="1704"/>
          </w:tcPr>
          <w:p>
            <w:r>
              <w:t>HIGH</w:t>
            </w:r>
          </w:p>
        </w:tc>
        <w:tc>
          <w:tcPr>
            <w:tcW w:type="dxa" w:w="1704"/>
          </w:tcPr>
          <w:p>
            <w:r>
              <w:t>NO</w:t>
            </w:r>
          </w:p>
        </w:tc>
        <w:tc>
          <w:tcPr>
            <w:tcW w:type="dxa" w:w="1704"/>
          </w:tcPr>
          <w:p>
            <w:r>
              <w:t>No final permission IDs until governance resolution.</w:t>
            </w:r>
          </w:p>
        </w:tc>
      </w:tr>
      <w:tr>
        <w:tc>
          <w:tcPr>
            <w:tcW w:type="dxa" w:w="1704"/>
          </w:tcPr>
          <w:p>
            <w:r>
              <w:t>R-10</w:t>
            </w:r>
          </w:p>
        </w:tc>
        <w:tc>
          <w:tcPr>
            <w:tcW w:type="dxa" w:w="1704"/>
          </w:tcPr>
          <w:p>
            <w:r>
              <w:t>AEP4</w:t>
            </w:r>
          </w:p>
        </w:tc>
        <w:tc>
          <w:tcPr>
            <w:tcW w:type="dxa" w:w="1704"/>
          </w:tcPr>
          <w:p>
            <w:r>
              <w:t>MADCR-054 Host/Instructor authorization</w:t>
            </w:r>
          </w:p>
        </w:tc>
        <w:tc>
          <w:tcPr>
            <w:tcW w:type="dxa" w:w="1704"/>
          </w:tcPr>
          <w:p>
            <w:r>
              <w:t>HIGH</w:t>
            </w:r>
          </w:p>
        </w:tc>
        <w:tc>
          <w:tcPr>
            <w:tcW w:type="dxa" w:w="1704"/>
          </w:tcPr>
          <w:p>
            <w:r>
              <w:t>NO</w:t>
            </w:r>
          </w:p>
        </w:tc>
        <w:tc>
          <w:tcPr>
            <w:tcW w:type="dxa" w:w="1704"/>
          </w:tcPr>
          <w:p>
            <w:r>
              <w:t>Do not infer Instructor = Host.</w:t>
            </w:r>
          </w:p>
        </w:tc>
      </w:tr>
      <w:tr>
        <w:tc>
          <w:tcPr>
            <w:tcW w:type="dxa" w:w="1704"/>
          </w:tcPr>
          <w:p>
            <w:r>
              <w:t>R-11</w:t>
            </w:r>
          </w:p>
        </w:tc>
        <w:tc>
          <w:tcPr>
            <w:tcW w:type="dxa" w:w="1704"/>
          </w:tcPr>
          <w:p>
            <w:r>
              <w:t>AEP4</w:t>
            </w:r>
          </w:p>
        </w:tc>
        <w:tc>
          <w:tcPr>
            <w:tcW w:type="dxa" w:w="1704"/>
          </w:tcPr>
          <w:p>
            <w:r>
              <w:t>Attendance formula/exceptions</w:t>
            </w:r>
          </w:p>
        </w:tc>
        <w:tc>
          <w:tcPr>
            <w:tcW w:type="dxa" w:w="1704"/>
          </w:tcPr>
          <w:p>
            <w:r>
              <w:t>Medium</w:t>
            </w:r>
          </w:p>
        </w:tc>
        <w:tc>
          <w:tcPr>
            <w:tcW w:type="dxa" w:w="1704"/>
          </w:tcPr>
          <w:p>
            <w:r>
              <w:t>NO</w:t>
            </w:r>
          </w:p>
        </w:tc>
        <w:tc>
          <w:tcPr>
            <w:tcW w:type="dxa" w:w="1704"/>
          </w:tcPr>
          <w:p>
            <w:r>
              <w:t>Business Rule/configuration stage.</w:t>
            </w:r>
          </w:p>
        </w:tc>
      </w:tr>
      <w:tr>
        <w:tc>
          <w:tcPr>
            <w:tcW w:type="dxa" w:w="1704"/>
          </w:tcPr>
          <w:p>
            <w:r>
              <w:t>R-12</w:t>
            </w:r>
          </w:p>
        </w:tc>
        <w:tc>
          <w:tcPr>
            <w:tcW w:type="dxa" w:w="1704"/>
          </w:tcPr>
          <w:p>
            <w:r>
              <w:t>AEP4</w:t>
            </w:r>
          </w:p>
        </w:tc>
        <w:tc>
          <w:tcPr>
            <w:tcW w:type="dxa" w:w="1704"/>
          </w:tcPr>
          <w:p>
            <w:r>
              <w:t>Session capacity</w:t>
            </w:r>
          </w:p>
        </w:tc>
        <w:tc>
          <w:tcPr>
            <w:tcW w:type="dxa" w:w="1704"/>
          </w:tcPr>
          <w:p>
            <w:r>
              <w:t>Medium</w:t>
            </w:r>
          </w:p>
        </w:tc>
        <w:tc>
          <w:tcPr>
            <w:tcW w:type="dxa" w:w="1704"/>
          </w:tcPr>
          <w:p>
            <w:r>
              <w:t>NO</w:t>
            </w:r>
          </w:p>
        </w:tc>
        <w:tc>
          <w:tcPr>
            <w:tcW w:type="dxa" w:w="1704"/>
          </w:tcPr>
          <w:p>
            <w:r>
              <w:t>Do not promote M05 events.quota.</w:t>
            </w:r>
          </w:p>
        </w:tc>
      </w:tr>
      <w:tr>
        <w:tc>
          <w:tcPr>
            <w:tcW w:type="dxa" w:w="1704"/>
          </w:tcPr>
          <w:p>
            <w:r>
              <w:t>R-13</w:t>
            </w:r>
          </w:p>
        </w:tc>
        <w:tc>
          <w:tcPr>
            <w:tcW w:type="dxa" w:w="1704"/>
          </w:tcPr>
          <w:p>
            <w:r>
              <w:t>AEP4</w:t>
            </w:r>
          </w:p>
        </w:tc>
        <w:tc>
          <w:tcPr>
            <w:tcW w:type="dxa" w:w="1704"/>
          </w:tcPr>
          <w:p>
            <w:r>
              <w:t>Visibility taxonomy / exact authorization scope</w:t>
            </w:r>
          </w:p>
        </w:tc>
        <w:tc>
          <w:tcPr>
            <w:tcW w:type="dxa" w:w="1704"/>
          </w:tcPr>
          <w:p>
            <w:r>
              <w:t>Medium</w:t>
            </w:r>
          </w:p>
        </w:tc>
        <w:tc>
          <w:tcPr>
            <w:tcW w:type="dxa" w:w="1704"/>
          </w:tcPr>
          <w:p>
            <w:r>
              <w:t>NO</w:t>
            </w:r>
          </w:p>
        </w:tc>
        <w:tc>
          <w:tcPr>
            <w:tcW w:type="dxa" w:w="1704"/>
          </w:tcPr>
          <w:p>
            <w:r>
              <w:t>Semantic scope accepted; final values downstream.</w:t>
            </w:r>
          </w:p>
        </w:tc>
      </w:tr>
      <w:tr>
        <w:tc>
          <w:tcPr>
            <w:tcW w:type="dxa" w:w="1704"/>
          </w:tcPr>
          <w:p>
            <w:r>
              <w:t>R-14</w:t>
            </w:r>
          </w:p>
        </w:tc>
        <w:tc>
          <w:tcPr>
            <w:tcW w:type="dxa" w:w="1704"/>
          </w:tcPr>
          <w:p>
            <w:r>
              <w:t>AEP4</w:t>
            </w:r>
          </w:p>
        </w:tc>
        <w:tc>
          <w:tcPr>
            <w:tcW w:type="dxa" w:w="1704"/>
          </w:tcPr>
          <w:p>
            <w:r>
              <w:t>Session ↔ Event relationship/cardinality</w:t>
            </w:r>
          </w:p>
        </w:tc>
        <w:tc>
          <w:tcPr>
            <w:tcW w:type="dxa" w:w="1704"/>
          </w:tcPr>
          <w:p>
            <w:r>
              <w:t>Medium</w:t>
            </w:r>
          </w:p>
        </w:tc>
        <w:tc>
          <w:tcPr>
            <w:tcW w:type="dxa" w:w="1704"/>
          </w:tcPr>
          <w:p>
            <w:r>
              <w:t>NO</w:t>
            </w:r>
          </w:p>
        </w:tc>
        <w:tc>
          <w:tcPr>
            <w:tcW w:type="dxa" w:w="1704"/>
          </w:tcPr>
          <w:p>
            <w:r>
              <w:t>Resolve only when schema/API requires exact choice.</w:t>
            </w:r>
          </w:p>
        </w:tc>
      </w:tr>
      <w:tr>
        <w:tc>
          <w:tcPr>
            <w:tcW w:type="dxa" w:w="1704"/>
          </w:tcPr>
          <w:p>
            <w:r>
              <w:t>R-15</w:t>
            </w:r>
          </w:p>
        </w:tc>
        <w:tc>
          <w:tcPr>
            <w:tcW w:type="dxa" w:w="1704"/>
          </w:tcPr>
          <w:p>
            <w:r>
              <w:t>AEP4</w:t>
            </w:r>
          </w:p>
        </w:tc>
        <w:tc>
          <w:tcPr>
            <w:tcW w:type="dxa" w:w="1704"/>
          </w:tcPr>
          <w:p>
            <w:r>
              <w:t>Provider capability/contracts/quotas/plans</w:t>
            </w:r>
          </w:p>
        </w:tc>
        <w:tc>
          <w:tcPr>
            <w:tcW w:type="dxa" w:w="1704"/>
          </w:tcPr>
          <w:p>
            <w:r>
              <w:t>Medium</w:t>
            </w:r>
          </w:p>
        </w:tc>
        <w:tc>
          <w:tcPr>
            <w:tcW w:type="dxa" w:w="1704"/>
          </w:tcPr>
          <w:p>
            <w:r>
              <w:t>NO</w:t>
            </w:r>
          </w:p>
        </w:tc>
        <w:tc>
          <w:tcPr>
            <w:tcW w:type="dxa" w:w="1704"/>
          </w:tcPr>
          <w:p>
            <w:r>
              <w:t>Research/verification required before production binding.</w:t>
            </w:r>
          </w:p>
        </w:tc>
      </w:tr>
      <w:tr>
        <w:tc>
          <w:tcPr>
            <w:tcW w:type="dxa" w:w="1704"/>
          </w:tcPr>
          <w:p>
            <w:r>
              <w:t>R-16</w:t>
            </w:r>
          </w:p>
        </w:tc>
        <w:tc>
          <w:tcPr>
            <w:tcW w:type="dxa" w:w="1704"/>
          </w:tcPr>
          <w:p>
            <w:r>
              <w:t>AEP4</w:t>
            </w:r>
          </w:p>
        </w:tc>
        <w:tc>
          <w:tcPr>
            <w:tcW w:type="dxa" w:w="1704"/>
          </w:tcPr>
          <w:p>
            <w:r>
              <w:t>Recording retention/privacy/replay/transcript</w:t>
            </w:r>
          </w:p>
        </w:tc>
        <w:tc>
          <w:tcPr>
            <w:tcW w:type="dxa" w:w="1704"/>
          </w:tcPr>
          <w:p>
            <w:r>
              <w:t>Medium</w:t>
            </w:r>
          </w:p>
        </w:tc>
        <w:tc>
          <w:tcPr>
            <w:tcW w:type="dxa" w:w="1704"/>
          </w:tcPr>
          <w:p>
            <w:r>
              <w:t>NO</w:t>
            </w:r>
          </w:p>
        </w:tc>
        <w:tc>
          <w:tcPr>
            <w:tcW w:type="dxa" w:w="1704"/>
          </w:tcPr>
          <w:p>
            <w:r>
              <w:t>Media/operational design.</w:t>
            </w:r>
          </w:p>
        </w:tc>
      </w:tr>
      <w:tr>
        <w:tc>
          <w:tcPr>
            <w:tcW w:type="dxa" w:w="1704"/>
          </w:tcPr>
          <w:p>
            <w:r>
              <w:t>R-17</w:t>
            </w:r>
          </w:p>
        </w:tc>
        <w:tc>
          <w:tcPr>
            <w:tcW w:type="dxa" w:w="1704"/>
          </w:tcPr>
          <w:p>
            <w:r>
              <w:t>AEP4</w:t>
            </w:r>
          </w:p>
        </w:tc>
        <w:tc>
          <w:tcPr>
            <w:tcW w:type="dxa" w:w="1704"/>
          </w:tcPr>
          <w:p>
            <w:r>
              <w:t>Exact API/event contracts</w:t>
            </w:r>
          </w:p>
        </w:tc>
        <w:tc>
          <w:tcPr>
            <w:tcW w:type="dxa" w:w="1704"/>
          </w:tcPr>
          <w:p>
            <w:r>
              <w:t>Medium</w:t>
            </w:r>
          </w:p>
        </w:tc>
        <w:tc>
          <w:tcPr>
            <w:tcW w:type="dxa" w:w="1704"/>
          </w:tcPr>
          <w:p>
            <w:r>
              <w:t>NO</w:t>
            </w:r>
          </w:p>
        </w:tc>
        <w:tc>
          <w:tcPr>
            <w:tcW w:type="dxa" w:w="1704"/>
          </w:tcPr>
          <w:p>
            <w:r>
              <w:t>Downstream provider adapter/API contract.</w:t>
            </w:r>
          </w:p>
        </w:tc>
      </w:tr>
      <w:tr>
        <w:tc>
          <w:tcPr>
            <w:tcW w:type="dxa" w:w="1704"/>
          </w:tcPr>
          <w:p>
            <w:r>
              <w:t>R-18</w:t>
            </w:r>
          </w:p>
        </w:tc>
        <w:tc>
          <w:tcPr>
            <w:tcW w:type="dxa" w:w="1704"/>
          </w:tcPr>
          <w:p>
            <w:r>
              <w:t>Global</w:t>
            </w:r>
          </w:p>
        </w:tc>
        <w:tc>
          <w:tcPr>
            <w:tcW w:type="dxa" w:w="1704"/>
          </w:tcPr>
          <w:p>
            <w:r>
              <w:t>Physical schema/migration/API/RBAC IDs</w:t>
            </w:r>
          </w:p>
        </w:tc>
        <w:tc>
          <w:tcPr>
            <w:tcW w:type="dxa" w:w="1704"/>
          </w:tcPr>
          <w:p>
            <w:r>
              <w:t>High</w:t>
            </w:r>
          </w:p>
        </w:tc>
        <w:tc>
          <w:tcPr>
            <w:tcW w:type="dxa" w:w="1704"/>
          </w:tcPr>
          <w:p>
            <w:r>
              <w:t>NO</w:t>
            </w:r>
          </w:p>
        </w:tc>
        <w:tc>
          <w:tcPr>
            <w:tcW w:type="dxa" w:w="1704"/>
          </w:tcPr>
          <w:p>
            <w:r>
              <w:t>Deferred to project-wide technical synchronization.</w:t>
            </w:r>
          </w:p>
        </w:tc>
      </w:tr>
    </w:tbl>
    <w:p>
      <w:pPr>
        <w:pStyle w:val="Heading1"/>
      </w:pPr>
      <w:r>
        <w:t>8. Canonical Architecture Chain After Four AEPs</w:t>
      </w:r>
    </w:p>
    <w:p>
      <w:pPr>
        <w:jc w:val="center"/>
      </w:pPr>
      <w:r>
        <w:rPr>
          <w:b/>
        </w:rPr>
        <w:t>COMMERCIAL / PAYMENT</w:t>
        <w:br/>
        <w:t>Trusted Payment Outcome / Commercial Entitlement</w:t>
        <w:br/>
        <w:t>↓</w:t>
        <w:br/>
        <w:t>LEARNING ECONOMY + LEARNING SESSION</w:t>
        <w:br/>
        <w:t>Learning Activity / LP / Path / Session / Evidence / Completion</w:t>
        <w:br/>
        <w:t>↓</w:t>
        <w:br/>
        <w:t>QUALIFICATION / ASSESSMENT / EVIDENCE</w:t>
        <w:br/>
        <w:t>↓</w:t>
        <w:br/>
        <w:t>TITLE / AWARDING</w:t>
        <w:br/>
        <w:t>Title Identity → Awarding Path Version → Awarding Rule Version → Award Instance</w:t>
      </w:r>
    </w:p>
    <w:p>
      <w:r>
        <w:t>Interpretation: the chain is a cross-domain handoff model, not a single authority chain. Each domain retains ownership of its own state. A downstream domain may consume evidence or outcomes without acquiring the upstream domain's authority.</w:t>
      </w:r>
    </w:p>
    <w:p>
      <w:pPr>
        <w:pStyle w:val="Heading1"/>
      </w:pPr>
      <w:r>
        <w:t>9. Global Baseline Impact Candidates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Baseline Family</w:t>
            </w:r>
          </w:p>
        </w:tc>
        <w:tc>
          <w:tcPr>
            <w:tcW w:type="dxa" w:w="2556"/>
          </w:tcPr>
          <w:p>
            <w:r>
              <w:t>Impact Level</w:t>
            </w:r>
          </w:p>
        </w:tc>
        <w:tc>
          <w:tcPr>
            <w:tcW w:type="dxa" w:w="2556"/>
          </w:tcPr>
          <w:p>
            <w:r>
              <w:t>Required Global Treatment</w:t>
            </w:r>
          </w:p>
        </w:tc>
        <w:tc>
          <w:tcPr>
            <w:tcW w:type="dxa" w:w="2556"/>
          </w:tcPr>
          <w:p>
            <w:r>
              <w:t>Do Now?</w:t>
            </w:r>
          </w:p>
        </w:tc>
      </w:tr>
      <w:tr>
        <w:tc>
          <w:tcPr>
            <w:tcW w:type="dxa" w:w="2556"/>
          </w:tcPr>
          <w:p>
            <w:r>
              <w:t>System Architecture</w:t>
            </w:r>
          </w:p>
        </w:tc>
        <w:tc>
          <w:tcPr>
            <w:tcW w:type="dxa" w:w="2556"/>
          </w:tcPr>
          <w:p>
            <w:r>
              <w:t>HIGH</w:t>
            </w:r>
          </w:p>
        </w:tc>
        <w:tc>
          <w:tcPr>
            <w:tcW w:type="dxa" w:w="2556"/>
          </w:tcPr>
          <w:p>
            <w:r>
              <w:t>Integrate Commercial/Payment, Learning Economy, Learning Session and Title/Awarding boundaries; preserve domain ownership.</w:t>
            </w:r>
          </w:p>
        </w:tc>
        <w:tc>
          <w:tcPr>
            <w:tcW w:type="dxa" w:w="2556"/>
          </w:tcPr>
          <w:p>
            <w:r>
              <w:t>NO — next step.</w:t>
            </w:r>
          </w:p>
        </w:tc>
      </w:tr>
      <w:tr>
        <w:tc>
          <w:tcPr>
            <w:tcW w:type="dxa" w:w="2556"/>
          </w:tcPr>
          <w:p>
            <w:r>
              <w:t>ERD / Schema / Dictionary</w:t>
            </w:r>
          </w:p>
        </w:tc>
        <w:tc>
          <w:tcPr>
            <w:tcW w:type="dxa" w:w="2556"/>
          </w:tcPr>
          <w:p>
            <w:r>
              <w:t>HIGH</w:t>
            </w:r>
          </w:p>
        </w:tc>
        <w:tc>
          <w:tcPr>
            <w:tcW w:type="dxa" w:w="2556"/>
          </w:tcPr>
          <w:p>
            <w:r>
              <w:t>Merge approved logical concepts and preserve explicit separation/invariants; resolve physical open items only where authorized.</w:t>
            </w:r>
          </w:p>
        </w:tc>
        <w:tc>
          <w:tcPr>
            <w:tcW w:type="dxa" w:w="2556"/>
          </w:tcPr>
          <w:p>
            <w:r>
              <w:t>NO — controlled delta first.</w:t>
            </w:r>
          </w:p>
        </w:tc>
      </w:tr>
      <w:tr>
        <w:tc>
          <w:tcPr>
            <w:tcW w:type="dxa" w:w="2556"/>
          </w:tcPr>
          <w:p>
            <w:r>
              <w:t>API Specification</w:t>
            </w:r>
          </w:p>
        </w:tc>
        <w:tc>
          <w:tcPr>
            <w:tcW w:type="dxa" w:w="2556"/>
          </w:tcPr>
          <w:p>
            <w:r>
              <w:t>HIGH</w:t>
            </w:r>
          </w:p>
        </w:tc>
        <w:tc>
          <w:tcPr>
            <w:tcW w:type="dxa" w:w="2556"/>
          </w:tcPr>
          <w:p>
            <w:r>
              <w:t>Merge provider-neutral Session, Learning, Payment and Awarding semantic contracts; remove stale semantic ownership.</w:t>
            </w:r>
          </w:p>
        </w:tc>
        <w:tc>
          <w:tcPr>
            <w:tcW w:type="dxa" w:w="2556"/>
          </w:tcPr>
          <w:p>
            <w:r>
              <w:t>NO — controlled delta first.</w:t>
            </w:r>
          </w:p>
        </w:tc>
      </w:tr>
      <w:tr>
        <w:tc>
          <w:tcPr>
            <w:tcW w:type="dxa" w:w="2556"/>
          </w:tcPr>
          <w:p>
            <w:r>
              <w:t>RBAC / Authorization</w:t>
            </w:r>
          </w:p>
        </w:tc>
        <w:tc>
          <w:tcPr>
            <w:tcW w:type="dxa" w:w="2556"/>
          </w:tcPr>
          <w:p>
            <w:r>
              <w:t>HIGH</w:t>
            </w:r>
          </w:p>
        </w:tc>
        <w:tc>
          <w:tcPr>
            <w:tcW w:type="dxa" w:w="2556"/>
          </w:tcPr>
          <w:p>
            <w:r>
              <w:t>Reconcile commercial entitlement, learning authority, session visibility, awarding authority, MADCR-053/054.</w:t>
            </w:r>
          </w:p>
        </w:tc>
        <w:tc>
          <w:tcPr>
            <w:tcW w:type="dxa" w:w="2556"/>
          </w:tcPr>
          <w:p>
            <w:r>
              <w:t>NO — governance dependencies remain.</w:t>
            </w:r>
          </w:p>
        </w:tc>
      </w:tr>
      <w:tr>
        <w:tc>
          <w:tcPr>
            <w:tcW w:type="dxa" w:w="2556"/>
          </w:tcPr>
          <w:p>
            <w:r>
              <w:t>PRD / User Flow</w:t>
            </w:r>
          </w:p>
        </w:tc>
        <w:tc>
          <w:tcPr>
            <w:tcW w:type="dxa" w:w="2556"/>
          </w:tcPr>
          <w:p>
            <w:r>
              <w:t>HIGH</w:t>
            </w:r>
          </w:p>
        </w:tc>
        <w:tc>
          <w:tcPr>
            <w:tcW w:type="dxa" w:w="2556"/>
          </w:tcPr>
          <w:p>
            <w:r>
              <w:t>Replace stale Event/live-session semantics; preserve Event RSVP and introduce Session Enrollment/access flow.</w:t>
            </w:r>
          </w:p>
        </w:tc>
        <w:tc>
          <w:tcPr>
            <w:tcW w:type="dxa" w:w="2556"/>
          </w:tcPr>
          <w:p>
            <w:r>
              <w:t>NO — global pass.</w:t>
            </w:r>
          </w:p>
        </w:tc>
      </w:tr>
      <w:tr>
        <w:tc>
          <w:tcPr>
            <w:tcW w:type="dxa" w:w="2556"/>
          </w:tcPr>
          <w:p>
            <w:r>
              <w:t>Engineering Guidebook / Playbook</w:t>
            </w:r>
          </w:p>
        </w:tc>
        <w:tc>
          <w:tcPr>
            <w:tcW w:type="dxa" w:w="2556"/>
          </w:tcPr>
          <w:p>
            <w:r>
              <w:t>Medium-HIGH</w:t>
            </w:r>
          </w:p>
        </w:tc>
        <w:tc>
          <w:tcPr>
            <w:tcW w:type="dxa" w:w="2556"/>
          </w:tcPr>
          <w:p>
            <w:r>
              <w:t>Merge service/domain boundaries and prohibited shortcuts; retain provider abstraction and provenance rules.</w:t>
            </w:r>
          </w:p>
        </w:tc>
        <w:tc>
          <w:tcPr>
            <w:tcW w:type="dxa" w:w="2556"/>
          </w:tcPr>
          <w:p>
            <w:r>
              <w:t>NO — global pass.</w:t>
            </w:r>
          </w:p>
        </w:tc>
      </w:tr>
      <w:tr>
        <w:tc>
          <w:tcPr>
            <w:tcW w:type="dxa" w:w="2556"/>
          </w:tcPr>
          <w:p>
            <w:r>
              <w:t>Business Rules / Traceability</w:t>
            </w:r>
          </w:p>
        </w:tc>
        <w:tc>
          <w:tcPr>
            <w:tcW w:type="dxa" w:w="2556"/>
          </w:tcPr>
          <w:p>
            <w:r>
              <w:t>HIGH</w:t>
            </w:r>
          </w:p>
        </w:tc>
        <w:tc>
          <w:tcPr>
            <w:tcW w:type="dxa" w:w="2556"/>
          </w:tcPr>
          <w:p>
            <w:r>
              <w:t>Reconcile cross-domain rules, residuals, and evidence boundaries without inventing MBR-COM or MADCR-049 semantics.</w:t>
            </w:r>
          </w:p>
        </w:tc>
        <w:tc>
          <w:tcPr>
            <w:tcW w:type="dxa" w:w="2556"/>
          </w:tcPr>
          <w:p>
            <w:r>
              <w:t>NO — global pass.</w:t>
            </w:r>
          </w:p>
        </w:tc>
      </w:tr>
      <w:tr>
        <w:tc>
          <w:tcPr>
            <w:tcW w:type="dxa" w:w="2556"/>
          </w:tcPr>
          <w:p>
            <w:r>
              <w:t>Project Constitution / Manifest / State / Changelog</w:t>
            </w:r>
          </w:p>
        </w:tc>
        <w:tc>
          <w:tcPr>
            <w:tcW w:type="dxa" w:w="2556"/>
          </w:tcPr>
          <w:p>
            <w:r>
              <w:t>HIGH</w:t>
            </w:r>
          </w:p>
        </w:tc>
        <w:tc>
          <w:tcPr>
            <w:tcW w:type="dxa" w:w="2556"/>
          </w:tcPr>
          <w:p>
            <w:r>
              <w:t>Record final architecture evolution only after technical baseline synchronization.</w:t>
            </w:r>
          </w:p>
        </w:tc>
        <w:tc>
          <w:tcPr>
            <w:tcW w:type="dxa" w:w="2556"/>
          </w:tcPr>
          <w:p>
            <w:r>
              <w:t>NO — final phase.</w:t>
            </w:r>
          </w:p>
        </w:tc>
      </w:tr>
    </w:tbl>
    <w:p>
      <w:pPr>
        <w:pStyle w:val="Heading1"/>
      </w:pPr>
      <w:r>
        <w:t>10. Consolidation Gate Assessment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Gate</w:t>
            </w:r>
          </w:p>
        </w:tc>
        <w:tc>
          <w:tcPr>
            <w:tcW w:type="dxa" w:w="2556"/>
          </w:tcPr>
          <w:p>
            <w:r>
              <w:t>Result</w:t>
            </w:r>
          </w:p>
        </w:tc>
        <w:tc>
          <w:tcPr>
            <w:tcW w:type="dxa" w:w="2556"/>
          </w:tcPr>
          <w:p>
            <w:r>
              <w:t>Evidence</w:t>
            </w:r>
          </w:p>
        </w:tc>
        <w:tc>
          <w:tcPr>
            <w:tcW w:type="dxa" w:w="2556"/>
          </w:tcPr>
          <w:p>
            <w:r>
              <w:t>Conclusion</w:t>
            </w:r>
          </w:p>
        </w:tc>
      </w:tr>
      <w:tr>
        <w:tc>
          <w:tcPr>
            <w:tcW w:type="dxa" w:w="2556"/>
          </w:tcPr>
          <w:p>
            <w:r>
              <w:t>Four AEP completion baseline</w:t>
            </w:r>
          </w:p>
        </w:tc>
        <w:tc>
          <w:tcPr>
            <w:tcW w:type="dxa" w:w="2556"/>
          </w:tcPr>
          <w:p>
            <w:r>
              <w:t>PASS</w:t>
            </w:r>
          </w:p>
        </w:tc>
        <w:tc>
          <w:tcPr>
            <w:tcW w:type="dxa" w:w="2556"/>
          </w:tcPr>
          <w:p>
            <w:r>
              <w:t>AEP1 final, AEP2 traceability/final artifacts, AEP3 controlled sync report, AEP4 Step 16</w:t>
            </w:r>
          </w:p>
        </w:tc>
        <w:tc>
          <w:tcPr>
            <w:tcW w:type="dxa" w:w="2556"/>
          </w:tcPr>
          <w:p>
            <w:r>
              <w:t>All four AEP packages can enter consolidation.</w:t>
            </w:r>
          </w:p>
        </w:tc>
      </w:tr>
      <w:tr>
        <w:tc>
          <w:tcPr>
            <w:tcW w:type="dxa" w:w="2556"/>
          </w:tcPr>
          <w:p>
            <w:r>
              <w:t>Authority separation</w:t>
            </w:r>
          </w:p>
        </w:tc>
        <w:tc>
          <w:tcPr>
            <w:tcW w:type="dxa" w:w="2556"/>
          </w:tcPr>
          <w:p>
            <w:r>
              <w:t>PASS</w:t>
            </w:r>
          </w:p>
        </w:tc>
        <w:tc>
          <w:tcPr>
            <w:tcW w:type="dxa" w:w="2556"/>
          </w:tcPr>
          <w:p>
            <w:r>
              <w:t>MADCR-010/011; AEP2; AEP3; AEP4</w:t>
            </w:r>
          </w:p>
        </w:tc>
        <w:tc>
          <w:tcPr>
            <w:tcW w:type="dxa" w:w="2556"/>
          </w:tcPr>
          <w:p>
            <w:r>
              <w:t>No active authority collision identified.</w:t>
            </w:r>
          </w:p>
        </w:tc>
      </w:tr>
      <w:tr>
        <w:tc>
          <w:tcPr>
            <w:tcW w:type="dxa" w:w="2556"/>
          </w:tcPr>
          <w:p>
            <w:r>
              <w:t>Cross-AEP handoffs</w:t>
            </w:r>
          </w:p>
        </w:tc>
        <w:tc>
          <w:tcPr>
            <w:tcW w:type="dxa" w:w="2556"/>
          </w:tcPr>
          <w:p>
            <w:r>
              <w:t>PASS WITH CONTROLLED DEPENDENCIES</w:t>
            </w:r>
          </w:p>
        </w:tc>
        <w:tc>
          <w:tcPr>
            <w:tcW w:type="dxa" w:w="2556"/>
          </w:tcPr>
          <w:p>
            <w:r>
              <w:t>AEP2↔AEP4 Learning Activity; AEP1↔AEP4 access; AEP3 qualification boundaries</w:t>
            </w:r>
          </w:p>
        </w:tc>
        <w:tc>
          <w:tcPr>
            <w:tcW w:type="dxa" w:w="2556"/>
          </w:tcPr>
          <w:p>
            <w:r>
              <w:t>Handoffs are semantically defined; MADCR-049 and downstream governance remain.</w:t>
            </w:r>
          </w:p>
        </w:tc>
      </w:tr>
      <w:tr>
        <w:tc>
          <w:tcPr>
            <w:tcW w:type="dxa" w:w="2556"/>
          </w:tcPr>
          <w:p>
            <w:r>
              <w:t>Conflict scan</w:t>
            </w:r>
          </w:p>
        </w:tc>
        <w:tc>
          <w:tcPr>
            <w:tcW w:type="dxa" w:w="2556"/>
          </w:tcPr>
          <w:p>
            <w:r>
              <w:t>PASS</w:t>
            </w:r>
          </w:p>
        </w:tc>
        <w:tc>
          <w:tcPr>
            <w:tcW w:type="dxa" w:w="2556"/>
          </w:tcPr>
          <w:p>
            <w:r>
              <w:t>AEP3 consolidation + AEP4 cross-document reconciliation + AEP1/AEP2 reconciliation artifacts</w:t>
            </w:r>
          </w:p>
        </w:tc>
        <w:tc>
          <w:tcPr>
            <w:tcW w:type="dxa" w:w="2556"/>
          </w:tcPr>
          <w:p>
            <w:r>
              <w:t>No contradiction requiring reopening of approved AEP decisions.</w:t>
            </w:r>
          </w:p>
        </w:tc>
      </w:tr>
      <w:tr>
        <w:tc>
          <w:tcPr>
            <w:tcW w:type="dxa" w:w="2556"/>
          </w:tcPr>
          <w:p>
            <w:r>
              <w:t>Residual visibility</w:t>
            </w:r>
          </w:p>
        </w:tc>
        <w:tc>
          <w:tcPr>
            <w:tcW w:type="dxa" w:w="2556"/>
          </w:tcPr>
          <w:p>
            <w:r>
              <w:t>PASS</w:t>
            </w:r>
          </w:p>
        </w:tc>
        <w:tc>
          <w:tcPr>
            <w:tcW w:type="dxa" w:w="2556"/>
          </w:tcPr>
          <w:p>
            <w:r>
              <w:t>Open/Deferred registers across AEPs</w:t>
            </w:r>
          </w:p>
        </w:tc>
        <w:tc>
          <w:tcPr>
            <w:tcW w:type="dxa" w:w="2556"/>
          </w:tcPr>
          <w:p>
            <w:r>
              <w:t>Residuals are explicit and can travel forward.</w:t>
            </w:r>
          </w:p>
        </w:tc>
      </w:tr>
      <w:tr>
        <w:tc>
          <w:tcPr>
            <w:tcW w:type="dxa" w:w="2556"/>
          </w:tcPr>
          <w:p>
            <w:r>
              <w:t>Global synchronization readiness</w:t>
            </w:r>
          </w:p>
        </w:tc>
        <w:tc>
          <w:tcPr>
            <w:tcW w:type="dxa" w:w="2556"/>
          </w:tcPr>
          <w:p>
            <w:r>
              <w:t>READY</w:t>
            </w:r>
          </w:p>
        </w:tc>
        <w:tc>
          <w:tcPr>
            <w:tcW w:type="dxa" w:w="2556"/>
          </w:tcPr>
          <w:p>
            <w:r>
              <w:t>Execution lock + this Step 01 matrix</w:t>
            </w:r>
          </w:p>
        </w:tc>
        <w:tc>
          <w:tcPr>
            <w:tcW w:type="dxa" w:w="2556"/>
          </w:tcPr>
          <w:p>
            <w:r>
              <w:t>Proceed to Step 02 controlled cross-AEP architecture/delta specification; do not rewrite global baselines yet.</w:t>
            </w:r>
          </w:p>
        </w:tc>
      </w:tr>
    </w:tbl>
    <w:p>
      <w:pPr>
        <w:pStyle w:val="Heading1"/>
      </w:pPr>
      <w:r>
        <w:t>11. Decisions / Questions Required From User</w:t>
      </w:r>
    </w:p>
    <w:p>
      <w:r>
        <w:t>No new user Open Decision is required to complete Step 01. The existing residuals are sufficient to continue. The following are explicitly NOT being decided here: MADCR-049, AEP3-OD-02/03/04/05, AEP4-OD-08, MADCR-053/054, attendance formula, capacity, provider contracts, recording policy, exact API payloads, physical schema/cardinality, and exact RBAC IDs.</w:t>
      </w:r>
    </w:p>
    <w:p>
      <w:pPr>
        <w:pStyle w:val="Heading1"/>
      </w:pPr>
      <w:r>
        <w:t>12. Step 01 Conclusion</w:t>
      </w:r>
    </w:p>
    <w:p>
      <w:r>
        <w:t>RESULT: PASS — CANONICAL CROSS-AEP CONSOLIDATION MATRIX ESTABLISHED. The four AEP packages are semantically compatible at their declared boundaries. No approved AEP decision requires reopening. The main consolidation work is controlled integration of handoffs, explicit preservation of authority boundaries, and carry-forward of residual governance/implementation items. Global technical baseline files remain untouched.</w:t>
      </w:r>
    </w:p>
    <w:p>
      <w:pPr>
        <w:pStyle w:val="Heading1"/>
      </w:pPr>
      <w:r>
        <w:t>13. Next Step</w:t>
      </w:r>
    </w:p>
    <w:p>
      <w:r>
        <w:t>STEP 02 — Cross-AEP Architecture Delta &amp; Dependency Specification. Step 02 will convert this matrix into a controlled set of project-wide deltas: domain boundaries, shared entities/concepts, cross-domain contracts, dependency ordering, stale-document corrections, and the exact set of global baseline artifacts that must be updated. It will not yet perform the final project-wide rewrite.</w:t>
      </w:r>
    </w:p>
    <w:p>
      <w:pPr>
        <w:pStyle w:val="Heading1"/>
      </w:pPr>
      <w:r>
        <w:t>14. Source / Evidence Basis</w:t>
      </w:r>
    </w:p>
    <w:p>
      <w:pPr>
        <w:pStyle w:val="ListBullet"/>
      </w:pPr>
      <w:r>
        <w:t>RUMAHAGEN AEP SYNCHRONIZATION EXECUTION LOCK v1.0</w:t>
      </w:r>
    </w:p>
    <w:p>
      <w:pPr>
        <w:pStyle w:val="ListBullet"/>
      </w:pPr>
      <w:r>
        <w:t>AEP1_Final_Synchronization_Reconciliation_v1.0 and AEP1 governance/impact artifacts</w:t>
      </w:r>
    </w:p>
    <w:p>
      <w:pPr>
        <w:pStyle w:val="ListBullet"/>
      </w:pPr>
      <w:r>
        <w:t>AEP2_Impact_01 through AEP2_Impact_14 and AEP2 traceability/reconciliation artifacts</w:t>
      </w:r>
    </w:p>
    <w:p>
      <w:pPr>
        <w:pStyle w:val="ListBullet"/>
      </w:pPr>
      <w:r>
        <w:t>AEP3_Consolidation_Architecture_Review_v1.0 and AEP3_Controlled_Synchronization_Execution_Report_v1.0</w:t>
      </w:r>
    </w:p>
    <w:p>
      <w:pPr>
        <w:pStyle w:val="ListBullet"/>
      </w:pPr>
      <w:r>
        <w:t>RUMAHAGEN-AEP4-STEP-16-FINAL-SYNCHRONIZATION-CONSOLIDATED-PACKAGE-v1.0</w:t>
      </w:r>
    </w:p>
    <w:p>
      <w:pPr>
        <w:pStyle w:val="ListBullet"/>
      </w:pPr>
      <w:r>
        <w:t>RUMAHAGEN-AEP4-STEP-15-CROSS-DOCUMENT-RECONCILIATION-v1.0</w:t>
      </w:r>
    </w:p>
    <w:p>
      <w:pPr>
        <w:pStyle w:val="ListBullet"/>
      </w:pPr>
      <w:r>
        <w:t>ARB-03 / MADCR-037 — Versioned Awarding Paths</w:t>
      </w:r>
    </w:p>
    <w:p>
      <w:pPr>
        <w:pStyle w:val="ListBullet"/>
      </w:pPr>
      <w:r>
        <w:t>ARB-04 / MADCR-041 — Versioned Awarding Rules</w:t>
      </w:r>
    </w:p>
    <w:p>
      <w:pPr>
        <w:pStyle w:val="ListBullet"/>
      </w:pPr>
      <w:r>
        <w:t>ARB-05 / MADCR-046 — Certificate/Credential vs Title/Award Boundary</w:t>
      </w:r>
    </w:p>
    <w:p>
      <w:pPr>
        <w:pStyle w:val="ListBullet"/>
      </w:pPr>
      <w:r>
        <w:t>ARB-06 / MADCR-010 — Commercial Entitlement vs Organization/Agency Quota Authority</w:t>
      </w:r>
    </w:p>
    <w:p>
      <w:pPr>
        <w:pStyle w:val="ListBullet"/>
      </w:pPr>
      <w:r>
        <w:t>MAEDR Batch 1 Post-Approval Reconciliation v1.2 / v1.3</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