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Final Synchronization &amp; Reconciliation</w:t>
      </w:r>
    </w:p>
    <w:p>
      <w:r>
        <w:t>RumahAgen | Monetization / Commercial + Payment | Final Working Package</w:t>
      </w:r>
    </w:p>
    <w:p>
      <w:pPr>
        <w:pStyle w:val="Heading1"/>
      </w:pPr>
      <w:r>
        <w:t>1. Final Objective</w:t>
      </w:r>
    </w:p>
    <w:p>
      <w:r>
        <w:t>Menutup synchronization AEP #1 terhadap seluruh downstream impact chain yang telah dikerjakan, dengan tetap mempertahankan Business Rules dan approved MADCR/ADR sebagai authority.</w:t>
      </w:r>
    </w:p>
    <w:p>
      <w:pPr>
        <w:pStyle w:val="Heading1"/>
      </w:pPr>
      <w:r>
        <w:t>2. Source / Project File Check</w:t>
      </w:r>
    </w:p>
    <w:p>
      <w:pPr>
        <w:pStyle w:val="ListBullet"/>
      </w:pPr>
      <w:r>
        <w:t>The active project workspace was checked for relevant uploaded filenames before finalization.</w:t>
      </w:r>
    </w:p>
    <w:p>
      <w:pPr>
        <w:pStyle w:val="ListBullet"/>
      </w:pPr>
      <w:r>
        <w:t>Relevant project-file names visible in the working filesystem: 33 items.</w:t>
      </w:r>
    </w:p>
    <w:p>
      <w:pPr>
        <w:pStyle w:val="ListBullet"/>
      </w:pPr>
      <w:r>
        <w:t>The final reconciliation does not infer document content solely from filenames. Where source content was not retrieved/verified, the item remains explicitly classified as an evidence gap.</w:t>
      </w:r>
    </w:p>
    <w:p>
      <w:pPr>
        <w:pStyle w:val="Heading1"/>
      </w:pPr>
      <w:r>
        <w:t>3. Synchronization Chain Completed</w:t>
      </w:r>
    </w:p>
    <w:p>
      <w:pPr>
        <w:pStyle w:val="ListBullet"/>
      </w:pPr>
      <w:r>
        <w:t>Governance / ADR Candidate Reconciliation — completed.</w:t>
      </w:r>
    </w:p>
    <w:p>
      <w:pPr>
        <w:pStyle w:val="ListBullet"/>
      </w:pPr>
      <w:r>
        <w:t>ERD Entity Impact &amp; Controlled Delta — completed.</w:t>
      </w:r>
    </w:p>
    <w:p>
      <w:pPr>
        <w:pStyle w:val="ListBullet"/>
      </w:pPr>
      <w:r>
        <w:t>API Synchronization Specification — completed.</w:t>
      </w:r>
    </w:p>
    <w:p>
      <w:pPr>
        <w:pStyle w:val="ListBullet"/>
      </w:pPr>
      <w:r>
        <w:t>RBAC / Permission Impact — completed.</w:t>
      </w:r>
    </w:p>
    <w:p>
      <w:pPr>
        <w:pStyle w:val="ListBullet"/>
      </w:pPr>
      <w:r>
        <w:t>User Flow Impact — completed.</w:t>
      </w:r>
    </w:p>
    <w:p>
      <w:pPr>
        <w:pStyle w:val="ListBullet"/>
      </w:pPr>
      <w:r>
        <w:t>PRD Impact — completed.</w:t>
      </w:r>
    </w:p>
    <w:p>
      <w:pPr>
        <w:pStyle w:val="ListBullet"/>
      </w:pPr>
      <w:r>
        <w:t>Cross-Document Traceability Audit — completed.</w:t>
      </w:r>
    </w:p>
    <w:p>
      <w:pPr>
        <w:pStyle w:val="ListBullet"/>
      </w:pPr>
      <w:r>
        <w:t>Schema / Database Impact — completed at logical impact level; physical migration remains open.</w:t>
      </w:r>
    </w:p>
    <w:p>
      <w:pPr>
        <w:pStyle w:val="ListBullet"/>
      </w:pPr>
      <w:r>
        <w:t>Payment Integration Contract Impact — completed at semantic contract level; exact API/transport mechanics remain downstream.</w:t>
      </w:r>
    </w:p>
    <w:p>
      <w:pPr>
        <w:pStyle w:val="ListBullet"/>
      </w:pPr>
      <w:r>
        <w:t>Engineering Guidebook / Playbook Impact — target impact completed; current section-level verification remains evidence-limited.</w:t>
      </w:r>
    </w:p>
    <w:p>
      <w:pPr>
        <w:pStyle w:val="ListBullet"/>
      </w:pPr>
      <w:r>
        <w:t>Test / Business Rule Traceability — completed at verified semantic level.</w:t>
      </w:r>
    </w:p>
    <w:p>
      <w:pPr>
        <w:pStyle w:val="ListBullet"/>
      </w:pPr>
      <w:r>
        <w:t>BR Evidence Recovery — completed; canonical BR-001–BR-151 source recovered, while MBR-COM-001–013 content remains unverified.</w:t>
      </w:r>
    </w:p>
    <w:p>
      <w:pPr>
        <w:pStyle w:val="Heading1"/>
      </w:pPr>
      <w:r>
        <w:t>4. Governing Decisions Locked</w:t>
      </w:r>
    </w:p>
    <w:p>
      <w:pPr>
        <w:pStyle w:val="ListBullet"/>
      </w:pPr>
      <w:r>
        <w:t>MADCR-010 — Commercial Entitlement authority.</w:t>
      </w:r>
    </w:p>
    <w:p>
      <w:pPr>
        <w:pStyle w:val="ListBullet"/>
      </w:pPr>
      <w:r>
        <w:t>MADCR-011 — Payment as M14 Commercial / Payment Subdomain.</w:t>
      </w:r>
    </w:p>
    <w:p>
      <w:pPr>
        <w:pStyle w:val="ListBullet"/>
      </w:pPr>
      <w:r>
        <w:t>MADCR-002 — Provider-independent Payment Core + Provider Adapter Boundary.</w:t>
      </w:r>
    </w:p>
    <w:p>
      <w:pPr>
        <w:pStyle w:val="ListBullet"/>
      </w:pPr>
      <w:r>
        <w:t>MADCR-003 — Verified + Idempotent Payment Fulfillment.</w:t>
      </w:r>
    </w:p>
    <w:p>
      <w:pPr>
        <w:pStyle w:val="ListBullet"/>
      </w:pPr>
      <w:r>
        <w:t>MADCR-005 — Reconciliation as first-class capability.</w:t>
      </w:r>
    </w:p>
    <w:p>
      <w:pPr>
        <w:pStyle w:val="Heading1"/>
      </w:pPr>
      <w:r>
        <w:t>5. MON-006 Decision Closure</w:t>
      </w:r>
    </w:p>
    <w:p>
      <w:pPr>
        <w:pStyle w:val="ListBullet"/>
      </w:pPr>
      <w:r>
        <w:t>Historical purchase must be a snapshot.</w:t>
      </w:r>
    </w:p>
    <w:p>
      <w:pPr>
        <w:pStyle w:val="ListBullet"/>
      </w:pPr>
      <w:r>
        <w:t>Snapshot scope is commercial-complete.</w:t>
      </w:r>
    </w:p>
    <w:p>
      <w:pPr>
        <w:pStyle w:val="ListBullet"/>
      </w:pPr>
      <w:r>
        <w:t>Snapshot is immutable after confirmed transaction.</w:t>
      </w:r>
    </w:p>
    <w:p>
      <w:pPr>
        <w:pStyle w:val="ListBullet"/>
      </w:pPr>
      <w:r>
        <w:t>These decisions are now propagated into Schema, Payment Integration Contract, API, User Flow, PRD, Engineering and Test traceability.</w:t>
      </w:r>
    </w:p>
    <w:p>
      <w:pPr>
        <w:pStyle w:val="Heading1"/>
      </w:pPr>
      <w:r>
        <w:t>6. Final Cross-Document Invariants</w:t>
      </w:r>
    </w:p>
    <w:p>
      <w:pPr>
        <w:pStyle w:val="ListBullet"/>
      </w:pPr>
      <w:r>
        <w:t>Subscription ≠ Entitlement ≠ RBAC.</w:t>
      </w:r>
    </w:p>
    <w:p>
      <w:pPr>
        <w:pStyle w:val="ListBullet"/>
      </w:pPr>
      <w:r>
        <w:t>Payment status/result ≠ confirmed commercial entitlement.</w:t>
      </w:r>
    </w:p>
    <w:p>
      <w:pPr>
        <w:pStyle w:val="ListBullet"/>
      </w:pPr>
      <w:r>
        <w:t>Provider callback/webhook receipt ≠ confirmed payment.</w:t>
      </w:r>
    </w:p>
    <w:p>
      <w:pPr>
        <w:pStyle w:val="ListBullet"/>
      </w:pPr>
      <w:r>
        <w:t>Verification + idempotency precede commercial fulfillment.</w:t>
      </w:r>
    </w:p>
    <w:p>
      <w:pPr>
        <w:pStyle w:val="ListBullet"/>
      </w:pPr>
      <w:r>
        <w:t>Payment Core remains provider-independent.</w:t>
      </w:r>
    </w:p>
    <w:p>
      <w:pPr>
        <w:pStyle w:val="ListBullet"/>
      </w:pPr>
      <w:r>
        <w:t>Reconciliation detects/audits inconsistency and does not become automatic remediation authority.</w:t>
      </w:r>
    </w:p>
    <w:p>
      <w:pPr>
        <w:pStyle w:val="ListBullet"/>
      </w:pPr>
      <w:r>
        <w:t>Commercial Entitlement → Quota Capacity → Operational Pool → Allocation/Usage.</w:t>
      </w:r>
    </w:p>
    <w:p>
      <w:pPr>
        <w:pStyle w:val="ListBullet"/>
      </w:pPr>
      <w:r>
        <w:t>Historical purchase terms are preserved independently of mutable current configuration.</w:t>
      </w:r>
    </w:p>
    <w:p>
      <w:pPr>
        <w:pStyle w:val="ListBullet"/>
      </w:pPr>
      <w:r>
        <w:t>Configurable commercial parameters must not rewrite historical purchases/grants.</w:t>
      </w:r>
    </w:p>
    <w:p>
      <w:pPr>
        <w:pStyle w:val="ListBullet"/>
      </w:pPr>
      <w:r>
        <w:t>Commercial entitlement does not automatically become an RBAC role.</w:t>
      </w:r>
    </w:p>
    <w:p>
      <w:pPr>
        <w:pStyle w:val="Heading1"/>
      </w:pPr>
      <w:r>
        <w:t>7. Residual Governance / Evidence Items</w:t>
      </w:r>
    </w:p>
    <w:p>
      <w:pPr>
        <w:pStyle w:val="ListBullet"/>
      </w:pPr>
      <w:r>
        <w:t>OPEN-C01 — formal relationship/provenance of AEP-MON-001 ↔ AEP-MON-002 remains unresolved. No supersession/hierarchy is inferred without authoritative source.</w:t>
      </w:r>
    </w:p>
    <w:p>
      <w:pPr>
        <w:pStyle w:val="ListBullet"/>
      </w:pPr>
      <w:r>
        <w:t>MBR-COM-001–013 — commercial-specific rule content remains an evidence/provenance gap; no MBR-COM identifier is invented.</w:t>
      </w:r>
    </w:p>
    <w:p>
      <w:pPr>
        <w:pStyle w:val="ListBullet"/>
      </w:pPr>
      <w:r>
        <w:t>Engineering Guidebook current-state section-by-section diff remains evidence-limited.</w:t>
      </w:r>
    </w:p>
    <w:p>
      <w:pPr>
        <w:pStyle w:val="ListBullet"/>
      </w:pPr>
      <w:r>
        <w:t>Exact API endpoint contract, exact RBAC permission IDs, physical schema/migration, and detailed UX/PRD wording remain downstream implementation/product detail.</w:t>
      </w:r>
    </w:p>
    <w:p>
      <w:pPr>
        <w:pStyle w:val="Heading1"/>
      </w:pPr>
      <w:r>
        <w:t>8. Blocker Assessment</w:t>
      </w:r>
    </w:p>
    <w:p>
      <w:r>
        <w:t>No residual item currently invalidates or requires reopening the approved Commercial/Payment architecture. OPEN-C01 and MBR-COM evidence are recorded as non-blocking residual governance/provenance conditions. Physical implementation details are downstream, not missing architecture decisions.</w:t>
      </w:r>
    </w:p>
    <w:p>
      <w:pPr>
        <w:pStyle w:val="Heading1"/>
      </w:pPr>
      <w:r>
        <w:t>9. Final Gate Result</w:t>
      </w:r>
    </w:p>
    <w:p>
      <w:r>
        <w:t>AEP #1 SYNCHRONIZATION — CONDITIONALLY COMPLETE. The architecture/governance synchronization chain is complete and internally coherent. Final closure carries explicit residual conditions: OPEN-C01 provenance, MBR-COM-001–013 evidence, and current Engineering Guidebook section-level verification. No approved decision is reopened.</w:t>
      </w:r>
    </w:p>
    <w:p>
      <w:pPr>
        <w:pStyle w:val="Heading1"/>
      </w:pPr>
      <w:r>
        <w:t>10. Transition Rule</w:t>
      </w:r>
    </w:p>
    <w:p>
      <w:r>
        <w:t>Do not begin AEP #2 synchronization until the user accepts this AEP #1 final status as the completion baseline. Once accepted, AEP #2 — Learning Economy becomes the active AEP according to the locked project sequence.</w:t>
      </w:r>
    </w:p>
    <w:p>
      <w:pPr>
        <w:pStyle w:val="Heading1"/>
      </w:pPr>
      <w:r>
        <w:t>11. Artifact Inventory</w:t>
      </w:r>
    </w:p>
    <w:p>
      <w:pPr>
        <w:pStyle w:val="ListBullet"/>
      </w:pPr>
      <w:r>
        <w:t>AEP1_Impact_01_Governance_ADR_Reconciliation.docx</w:t>
      </w:r>
    </w:p>
    <w:p>
      <w:pPr>
        <w:pStyle w:val="ListBullet"/>
      </w:pPr>
      <w:r>
        <w:t>AEP1_Impact_02_ERD_Entity_Impact_and_Delta.docx</w:t>
      </w:r>
    </w:p>
    <w:p>
      <w:pPr>
        <w:pStyle w:val="ListBullet"/>
      </w:pPr>
      <w:r>
        <w:t>AEP1_Impact_03_API_Synchronization_Specification.docx</w:t>
      </w:r>
    </w:p>
    <w:p>
      <w:pPr>
        <w:pStyle w:val="ListBullet"/>
      </w:pPr>
      <w:r>
        <w:t>AEP1_Impact_04_RBAC_Permission_Impact_Specification.docx</w:t>
      </w:r>
    </w:p>
    <w:p>
      <w:pPr>
        <w:pStyle w:val="ListBullet"/>
      </w:pPr>
      <w:r>
        <w:t>AEP1_Impact_05_User_Flow_Impact_Specification.docx</w:t>
      </w:r>
    </w:p>
    <w:p>
      <w:pPr>
        <w:pStyle w:val="ListBullet"/>
      </w:pPr>
      <w:r>
        <w:t>AEP1_Impact_06_PRD_Impact_Specification.docx</w:t>
      </w:r>
    </w:p>
    <w:p>
      <w:pPr>
        <w:pStyle w:val="ListBullet"/>
      </w:pPr>
      <w:r>
        <w:t>AEP1_Impact_07_Cross_Document_Traceability_Audit.docx</w:t>
      </w:r>
    </w:p>
    <w:p>
      <w:pPr>
        <w:pStyle w:val="ListBullet"/>
      </w:pPr>
      <w:r>
        <w:t>AEP1_Impact_08_Schema_Database_Impact_Specification.docx</w:t>
      </w:r>
    </w:p>
    <w:p>
      <w:pPr>
        <w:pStyle w:val="ListBullet"/>
      </w:pPr>
      <w:r>
        <w:t>AEP1_Impact_09_Payment_Integration_Contract_Impact_Specification.docx</w:t>
      </w:r>
    </w:p>
    <w:p>
      <w:pPr>
        <w:pStyle w:val="ListBullet"/>
      </w:pPr>
      <w:r>
        <w:t>AEP1_Impact_10_Engineering_Guidebook_Playbook_Impact_Specification.docx</w:t>
      </w:r>
    </w:p>
    <w:p>
      <w:pPr>
        <w:pStyle w:val="ListBullet"/>
      </w:pPr>
      <w:r>
        <w:t>AEP1_Impact_11_Test_and_Business_Rule_Traceability.docx</w:t>
      </w:r>
    </w:p>
    <w:p>
      <w:pPr>
        <w:pStyle w:val="ListBullet"/>
      </w:pPr>
      <w:r>
        <w:t>AEP1_Impact_12_BR_Evidence_Recovery_and_Traceability_Closure.docx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