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Governance &amp; ADR Candidate Reconciliation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Purpose</w:t>
      </w:r>
    </w:p>
    <w:p>
      <w:r>
        <w:t>Mendokumentasikan impact/reconciliation yang telah dijalankan untuk AEP #1 sebelum downstream synchronization.</w:t>
      </w:r>
    </w:p>
    <w:p>
      <w:pPr>
        <w:pStyle w:val="Heading1"/>
      </w:pPr>
      <w:r>
        <w:t>Governing Decisions Confirmed</w:t>
      </w:r>
    </w:p>
    <w:p>
      <w:pPr>
        <w:pStyle w:val="ListBullet"/>
      </w:pPr>
      <w:r>
        <w:t>MADCR-010 — Commercial Entitlement as authority for quota capacity/allocation.</w:t>
      </w:r>
    </w:p>
    <w:p>
      <w:pPr>
        <w:pStyle w:val="ListBullet"/>
      </w:pPr>
      <w:r>
        <w:t>MADCR-011 — Payment as a subdomain within Commercial (M14).</w:t>
      </w:r>
    </w:p>
    <w:p>
      <w:pPr>
        <w:pStyle w:val="ListBullet"/>
      </w:pPr>
      <w:r>
        <w:t>MADCR-002 — Provider-independent Payment Core with Provider Adapter Boundary.</w:t>
      </w:r>
    </w:p>
    <w:p>
      <w:pPr>
        <w:pStyle w:val="ListBullet"/>
      </w:pPr>
      <w:r>
        <w:t>MADCR-003 — Verified and idempotent payment fulfillment.</w:t>
      </w:r>
    </w:p>
    <w:p>
      <w:pPr>
        <w:pStyle w:val="ListBullet"/>
      </w:pPr>
      <w:r>
        <w:t>MADCR-005 — Reconciliation as a first-class capability.</w:t>
      </w:r>
    </w:p>
    <w:p>
      <w:pPr>
        <w:pStyle w:val="Heading1"/>
      </w:pPr>
      <w:r>
        <w:t>ADR Candidate Reconciliation</w:t>
      </w:r>
    </w:p>
    <w:p>
      <w:pPr>
        <w:pStyle w:val="ListBullet"/>
      </w:pPr>
      <w:r>
        <w:t>ADR-MON-001 — COVERED by MADCR-010 / Commercial Domain Model.</w:t>
      </w:r>
    </w:p>
    <w:p>
      <w:pPr>
        <w:pStyle w:val="ListBullet"/>
      </w:pPr>
      <w:r>
        <w:t>ADR-MON-002 — COVERED by Business Rules + Commercial AEP requirements.</w:t>
      </w:r>
    </w:p>
    <w:p>
      <w:pPr>
        <w:pStyle w:val="ListBullet"/>
      </w:pPr>
      <w:r>
        <w:t>ADR-MON-003 — COVERED by Business Rules + Commercial AEP requirements.</w:t>
      </w:r>
    </w:p>
    <w:p>
      <w:pPr>
        <w:pStyle w:val="ListBullet"/>
      </w:pPr>
      <w:r>
        <w:t>ADR-MON-004 — GOVERNING through MADCR-002 / ADR-002.</w:t>
      </w:r>
    </w:p>
    <w:p>
      <w:pPr>
        <w:pStyle w:val="ListBullet"/>
      </w:pPr>
      <w:r>
        <w:t>ADR-MON-005 — GOVERNING through MADCR-003 / ADR-003.</w:t>
      </w:r>
    </w:p>
    <w:p>
      <w:pPr>
        <w:pStyle w:val="ListBullet"/>
      </w:pPr>
      <w:r>
        <w:t>ADR-MON-006 — Decision input obtained: historical purchase must be snapshot; commercial-complete snapshot; immutable after confirmation.</w:t>
      </w:r>
    </w:p>
    <w:p>
      <w:pPr>
        <w:pStyle w:val="ListBullet"/>
      </w:pPr>
      <w:r>
        <w:t>ADR-MON-007 — GOVERNING through MADCR-005 / ADR-005.</w:t>
      </w:r>
    </w:p>
    <w:p>
      <w:pPr>
        <w:pStyle w:val="ListBullet"/>
      </w:pPr>
      <w:r>
        <w:t>ADR-MON-008 — Treated as operational/configuration requirement; no new ADR required at this stage.</w:t>
      </w:r>
    </w:p>
    <w:p>
      <w:pPr>
        <w:pStyle w:val="ListBullet"/>
      </w:pPr>
      <w:r>
        <w:t>ADR-MON-009 — COVERED by MADCR-010 and Business Rules.</w:t>
      </w:r>
    </w:p>
    <w:p>
      <w:pPr>
        <w:pStyle w:val="Heading1"/>
      </w:pPr>
      <w:r>
        <w:t>Residual Governance</w:t>
      </w:r>
    </w:p>
    <w:p>
      <w:r>
        <w:t>OPEN-C01 / MADCR-012 remains a non-blocking governance/document-relationship issue concerning AEP-MON-001 and AEP-MON-002. No supersession or hierarchy is inferred.</w:t>
      </w:r>
    </w:p>
    <w:p>
      <w:pPr>
        <w:pStyle w:val="Heading1"/>
      </w:pPr>
      <w:r>
        <w:t>Gate Result</w:t>
      </w:r>
    </w:p>
    <w:p>
      <w:r>
        <w:t>PASS WITH RESIDUAL. Approved decisions remain locked; no approved decision is reopened.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