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AEP #1 — ERD Entity Impact &amp; Controlled Delta</w:t>
      </w:r>
    </w:p>
    <w:p>
      <w:r>
        <w:t>RumahAgen | Monetization / Commercial + Payment | Synchronization Working Artifact</w:t>
      </w:r>
    </w:p>
    <w:p>
      <w:pPr>
        <w:pStyle w:val="Heading1"/>
      </w:pPr>
      <w:r>
        <w:t>Purpose</w:t>
      </w:r>
    </w:p>
    <w:p>
      <w:r>
        <w:t>Mendokumentasikan entity-level impact review terhadap current ERD dan controlled delta yang diperlukan.</w:t>
      </w:r>
    </w:p>
    <w:p>
      <w:pPr>
        <w:pStyle w:val="Heading1"/>
      </w:pPr>
      <w:r>
        <w:t>KEEP</w:t>
      </w:r>
    </w:p>
    <w:p>
      <w:pPr>
        <w:pStyle w:val="ListBullet"/>
      </w:pPr>
      <w:r>
        <w:t>users</w:t>
      </w:r>
    </w:p>
    <w:p>
      <w:pPr>
        <w:pStyle w:val="ListBullet"/>
      </w:pPr>
      <w:r>
        <w:t>agent_profiles</w:t>
      </w:r>
    </w:p>
    <w:p>
      <w:pPr>
        <w:pStyle w:val="ListBullet"/>
      </w:pPr>
      <w:r>
        <w:t>listings</w:t>
      </w:r>
    </w:p>
    <w:p>
      <w:pPr>
        <w:pStyle w:val="ListBullet"/>
      </w:pPr>
      <w:r>
        <w:t>audit_logs</w:t>
      </w:r>
    </w:p>
    <w:p>
      <w:pPr>
        <w:pStyle w:val="ListBullet"/>
      </w:pPr>
      <w:r>
        <w:t>roles</w:t>
      </w:r>
    </w:p>
    <w:p>
      <w:pPr>
        <w:pStyle w:val="ListBullet"/>
      </w:pPr>
      <w:r>
        <w:t>permissions</w:t>
      </w:r>
    </w:p>
    <w:p>
      <w:pPr>
        <w:pStyle w:val="ListBullet"/>
      </w:pPr>
      <w:r>
        <w:t>role_permissions</w:t>
      </w:r>
    </w:p>
    <w:p>
      <w:pPr>
        <w:pStyle w:val="ListBullet"/>
      </w:pPr>
      <w:r>
        <w:t>organizations</w:t>
      </w:r>
    </w:p>
    <w:p>
      <w:pPr>
        <w:pStyle w:val="ListBullet"/>
      </w:pPr>
      <w:r>
        <w:t>organization_members</w:t>
      </w:r>
    </w:p>
    <w:p>
      <w:pPr>
        <w:pStyle w:val="ListBullet"/>
      </w:pPr>
      <w:r>
        <w:t>organization_invitations</w:t>
      </w:r>
    </w:p>
    <w:p>
      <w:pPr>
        <w:pStyle w:val="ListBullet"/>
      </w:pPr>
      <w:r>
        <w:t>existing non-commercial entities</w:t>
      </w:r>
    </w:p>
    <w:p>
      <w:pPr>
        <w:pStyle w:val="Heading1"/>
      </w:pPr>
      <w:r>
        <w:t>EVOLVE</w:t>
      </w:r>
    </w:p>
    <w:p>
      <w:pPr>
        <w:pStyle w:val="ListBullet"/>
      </w:pPr>
      <w:r>
        <w:t>organizations</w:t>
      </w:r>
    </w:p>
    <w:p>
      <w:pPr>
        <w:pStyle w:val="ListBullet"/>
      </w:pPr>
      <w:r>
        <w:t>organization_members</w:t>
      </w:r>
    </w:p>
    <w:p>
      <w:pPr>
        <w:pStyle w:val="ListBullet"/>
      </w:pPr>
      <w:r>
        <w:t>listings</w:t>
      </w:r>
    </w:p>
    <w:p>
      <w:pPr>
        <w:pStyle w:val="ListBullet"/>
      </w:pPr>
      <w:r>
        <w:t>audit_logs</w:t>
      </w:r>
    </w:p>
    <w:p>
      <w:pPr>
        <w:pStyle w:val="ListBullet"/>
      </w:pPr>
      <w:r>
        <w:t>system_configs</w:t>
      </w:r>
    </w:p>
    <w:p>
      <w:pPr>
        <w:pStyle w:val="ListBullet"/>
      </w:pPr>
      <w:r>
        <w:t>roles/permissions after permission impact review</w:t>
      </w:r>
    </w:p>
    <w:p>
      <w:pPr>
        <w:pStyle w:val="Heading1"/>
      </w:pPr>
      <w:r>
        <w:t>MISSING — Commercial</w:t>
      </w:r>
    </w:p>
    <w:p>
      <w:pPr>
        <w:pStyle w:val="ListBullet"/>
      </w:pPr>
      <w:r>
        <w:t>Plan / Commercial Catalog</w:t>
      </w:r>
    </w:p>
    <w:p>
      <w:pPr>
        <w:pStyle w:val="ListBullet"/>
      </w:pPr>
      <w:r>
        <w:t>Subscription</w:t>
      </w:r>
    </w:p>
    <w:p>
      <w:pPr>
        <w:pStyle w:val="ListBullet"/>
      </w:pPr>
      <w:r>
        <w:t>Promotion</w:t>
      </w:r>
    </w:p>
    <w:p>
      <w:pPr>
        <w:pStyle w:val="ListBullet"/>
      </w:pPr>
      <w:r>
        <w:t>Add-on</w:t>
      </w:r>
    </w:p>
    <w:p>
      <w:pPr>
        <w:pStyle w:val="ListBullet"/>
      </w:pPr>
      <w:r>
        <w:t>Order</w:t>
      </w:r>
    </w:p>
    <w:p>
      <w:pPr>
        <w:pStyle w:val="ListBullet"/>
      </w:pPr>
      <w:r>
        <w:t>Entitlement</w:t>
      </w:r>
    </w:p>
    <w:p>
      <w:pPr>
        <w:pStyle w:val="Heading1"/>
      </w:pPr>
      <w:r>
        <w:t>MISSING — Quota</w:t>
      </w:r>
    </w:p>
    <w:p>
      <w:pPr>
        <w:pStyle w:val="ListBullet"/>
      </w:pPr>
      <w:r>
        <w:t>Agency/Organization Quota Capacity</w:t>
      </w:r>
    </w:p>
    <w:p>
      <w:pPr>
        <w:pStyle w:val="ListBullet"/>
      </w:pPr>
      <w:r>
        <w:t>Operational Quota Pool</w:t>
      </w:r>
    </w:p>
    <w:p>
      <w:pPr>
        <w:pStyle w:val="ListBullet"/>
      </w:pPr>
      <w:r>
        <w:t>Allocation representation</w:t>
      </w:r>
    </w:p>
    <w:p>
      <w:pPr>
        <w:pStyle w:val="ListBullet"/>
      </w:pPr>
      <w:r>
        <w:t>Usage linkage</w:t>
      </w:r>
    </w:p>
    <w:p>
      <w:pPr>
        <w:pStyle w:val="Heading1"/>
      </w:pPr>
      <w:r>
        <w:t>MISSING — Payment</w:t>
      </w:r>
    </w:p>
    <w:p>
      <w:pPr>
        <w:pStyle w:val="ListBullet"/>
      </w:pPr>
      <w:r>
        <w:t>Payment Transaction / Payment Record</w:t>
      </w:r>
    </w:p>
    <w:p>
      <w:pPr>
        <w:pStyle w:val="ListBullet"/>
      </w:pPr>
      <w:r>
        <w:t>Verification representation</w:t>
      </w:r>
    </w:p>
    <w:p>
      <w:pPr>
        <w:pStyle w:val="ListBullet"/>
      </w:pPr>
      <w:r>
        <w:t>Reconciliation representation</w:t>
      </w:r>
    </w:p>
    <w:p>
      <w:pPr>
        <w:pStyle w:val="ListBullet"/>
      </w:pPr>
      <w:r>
        <w:t>Refund/Chargeback event representation</w:t>
      </w:r>
    </w:p>
    <w:p>
      <w:pPr>
        <w:pStyle w:val="Heading1"/>
      </w:pPr>
      <w:r>
        <w:t>Boundary — Not Automatically Tables</w:t>
      </w:r>
    </w:p>
    <w:p>
      <w:pPr>
        <w:pStyle w:val="ListBullet"/>
      </w:pPr>
      <w:r>
        <w:t>Commercial boundary</w:t>
      </w:r>
    </w:p>
    <w:p>
      <w:pPr>
        <w:pStyle w:val="ListBullet"/>
      </w:pPr>
      <w:r>
        <w:t>Payment Core</w:t>
      </w:r>
    </w:p>
    <w:p>
      <w:pPr>
        <w:pStyle w:val="ListBullet"/>
      </w:pPr>
      <w:r>
        <w:t>Provider Adapter</w:t>
      </w:r>
    </w:p>
    <w:p>
      <w:pPr>
        <w:pStyle w:val="ListBullet"/>
      </w:pPr>
      <w:r>
        <w:t>Verification boundary</w:t>
      </w:r>
    </w:p>
    <w:p>
      <w:pPr>
        <w:pStyle w:val="ListBullet"/>
      </w:pPr>
      <w:r>
        <w:t>Idempotency boundary</w:t>
      </w:r>
    </w:p>
    <w:p>
      <w:pPr>
        <w:pStyle w:val="ListBullet"/>
      </w:pPr>
      <w:r>
        <w:t>Fulfillment capability</w:t>
      </w:r>
    </w:p>
    <w:p>
      <w:pPr>
        <w:pStyle w:val="Heading1"/>
      </w:pPr>
      <w:r>
        <w:t>Important Invariants</w:t>
      </w:r>
    </w:p>
    <w:p>
      <w:pPr>
        <w:pStyle w:val="ListBullet"/>
      </w:pPr>
      <w:r>
        <w:t>Organization is not itself Commercial Entitlement.</w:t>
      </w:r>
    </w:p>
    <w:p>
      <w:pPr>
        <w:pStyle w:val="ListBullet"/>
      </w:pPr>
      <w:r>
        <w:t>Listing is consumer/usage context, not quota authority.</w:t>
      </w:r>
    </w:p>
    <w:p>
      <w:pPr>
        <w:pStyle w:val="ListBullet"/>
      </w:pPr>
      <w:r>
        <w:t>Entitlement → Quota Capacity → Operational Pool → Allocation/Usage.</w:t>
      </w:r>
    </w:p>
    <w:p>
      <w:pPr>
        <w:pStyle w:val="ListBullet"/>
      </w:pPr>
      <w:r>
        <w:t>Entitlement ≠ Subscription ≠ RBAC.</w:t>
      </w:r>
    </w:p>
    <w:p>
      <w:pPr>
        <w:pStyle w:val="ListBullet"/>
      </w:pPr>
      <w:r>
        <w:t>system_configs may hold configurable commercial parameters but is not a substitute for transactional commercial entities.</w:t>
      </w:r>
    </w:p>
    <w:p>
      <w:pPr>
        <w:pStyle w:val="Heading1"/>
      </w:pPr>
      <w:r>
        <w:t>Physical Design Held Back</w:t>
      </w:r>
    </w:p>
    <w:p>
      <w:r>
        <w:t>Final table names, keys, cardinalities, indexes, state machines, provider-specific fields, migrations and physical schema remain downstream/open.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