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API Synchronization Specification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Purpose</w:t>
      </w:r>
    </w:p>
    <w:p>
      <w:r>
        <w:t>Mendokumentasikan semantic API impact terhadap current API baseline tanpa mengunci endpoint-level implementation detail.</w:t>
      </w:r>
    </w:p>
    <w:p>
      <w:pPr>
        <w:pStyle w:val="Heading1"/>
      </w:pPr>
      <w:r>
        <w:t>Current Legacy API</w:t>
      </w:r>
    </w:p>
    <w:p>
      <w:pPr>
        <w:pStyle w:val="ListBullet"/>
      </w:pPr>
      <w:r>
        <w:t>POST /billing/subscriptions</w:t>
      </w:r>
    </w:p>
    <w:p>
      <w:pPr>
        <w:pStyle w:val="ListBullet"/>
      </w:pPr>
      <w:r>
        <w:t>GET /billing/invoices</w:t>
      </w:r>
    </w:p>
    <w:p>
      <w:pPr>
        <w:pStyle w:val="ListBullet"/>
      </w:pPr>
      <w:r>
        <w:t>POST /billing/webhook</w:t>
      </w:r>
    </w:p>
    <w:p>
      <w:pPr>
        <w:pStyle w:val="Heading1"/>
      </w:pPr>
      <w:r>
        <w:t>Legacy Treatment</w:t>
      </w:r>
    </w:p>
    <w:p>
      <w:pPr>
        <w:pStyle w:val="ListBullet"/>
      </w:pPr>
      <w:r>
        <w:t>billing/subscriptions — REMAP / EVOLVE</w:t>
      </w:r>
    </w:p>
    <w:p>
      <w:pPr>
        <w:pStyle w:val="ListBullet"/>
      </w:pPr>
      <w:r>
        <w:t>billing/invoices — REVIEW / EVOLVE</w:t>
      </w:r>
    </w:p>
    <w:p>
      <w:pPr>
        <w:pStyle w:val="ListBullet"/>
      </w:pPr>
      <w:r>
        <w:t>billing/webhook — REWORK</w:t>
      </w:r>
    </w:p>
    <w:p>
      <w:pPr>
        <w:pStyle w:val="ListBullet"/>
      </w:pPr>
      <w:r>
        <w:t>Provider-specific assumptions — REMOVE FROM CORE CONTRACT</w:t>
      </w:r>
    </w:p>
    <w:p>
      <w:pPr>
        <w:pStyle w:val="Heading1"/>
      </w:pPr>
      <w:r>
        <w:t>Target Capability Areas</w:t>
      </w:r>
    </w:p>
    <w:p>
      <w:pPr>
        <w:pStyle w:val="ListBullet"/>
      </w:pPr>
      <w:r>
        <w:t>Commercial catalog: plans, add-ons, promotions.</w:t>
      </w:r>
    </w:p>
    <w:p>
      <w:pPr>
        <w:pStyle w:val="ListBullet"/>
      </w:pPr>
      <w:r>
        <w:t>Checkout / Order.</w:t>
      </w:r>
    </w:p>
    <w:p>
      <w:pPr>
        <w:pStyle w:val="ListBullet"/>
      </w:pPr>
      <w:r>
        <w:t>Payment initiation through Payment Core.</w:t>
      </w:r>
    </w:p>
    <w:p>
      <w:pPr>
        <w:pStyle w:val="ListBullet"/>
      </w:pPr>
      <w:r>
        <w:t>Provider callback/result intake through Provider Adapter.</w:t>
      </w:r>
    </w:p>
    <w:p>
      <w:pPr>
        <w:pStyle w:val="ListBullet"/>
      </w:pPr>
      <w:r>
        <w:t>Verification before confirmation/fulfillment.</w:t>
      </w:r>
    </w:p>
    <w:p>
      <w:pPr>
        <w:pStyle w:val="ListBullet"/>
      </w:pPr>
      <w:r>
        <w:t>Idempotency for repeated provider events.</w:t>
      </w:r>
    </w:p>
    <w:p>
      <w:pPr>
        <w:pStyle w:val="ListBullet"/>
      </w:pPr>
      <w:r>
        <w:t>Confirmed Payment as fulfillment input.</w:t>
      </w:r>
    </w:p>
    <w:p>
      <w:pPr>
        <w:pStyle w:val="ListBullet"/>
      </w:pPr>
      <w:r>
        <w:t>Commercial Fulfillment to Subscription / Add-on / Entitlement.</w:t>
      </w:r>
    </w:p>
    <w:p>
      <w:pPr>
        <w:pStyle w:val="ListBullet"/>
      </w:pPr>
      <w:r>
        <w:t>Entitlement and quota capacity/allocation/usage views.</w:t>
      </w:r>
    </w:p>
    <w:p>
      <w:pPr>
        <w:pStyle w:val="ListBullet"/>
      </w:pPr>
      <w:r>
        <w:t>Reconciliation capability.</w:t>
      </w:r>
    </w:p>
    <w:p>
      <w:pPr>
        <w:pStyle w:val="ListBullet"/>
      </w:pPr>
      <w:r>
        <w:t>Refund/chargeback capability boundary.</w:t>
      </w:r>
    </w:p>
    <w:p>
      <w:pPr>
        <w:pStyle w:val="ListBullet"/>
      </w:pPr>
      <w:r>
        <w:t>Historical commercial purchase snapshot/history.</w:t>
      </w:r>
    </w:p>
    <w:p>
      <w:pPr>
        <w:pStyle w:val="Heading1"/>
      </w:pPr>
      <w:r>
        <w:t>Target Semantic Flow</w:t>
      </w:r>
    </w:p>
    <w:p>
      <w:r>
        <w:t>Commercial → Order → Payment Core → Provider Adapter → Provider Result → Verification → Idempotency → Confirmed Payment → Fulfillment → Entitlement → Quota/Product Access.</w:t>
      </w:r>
    </w:p>
    <w:p>
      <w:pPr>
        <w:pStyle w:val="Heading1"/>
      </w:pPr>
      <w:r>
        <w:t>Locked API Invariants</w:t>
      </w:r>
    </w:p>
    <w:p>
      <w:pPr>
        <w:pStyle w:val="ListBullet"/>
      </w:pPr>
      <w:r>
        <w:t>Webhook intake is not equivalent to confirmed payment.</w:t>
      </w:r>
    </w:p>
    <w:p>
      <w:pPr>
        <w:pStyle w:val="ListBullet"/>
      </w:pPr>
      <w:r>
        <w:t>Payment Core is provider-independent.</w:t>
      </w:r>
    </w:p>
    <w:p>
      <w:pPr>
        <w:pStyle w:val="ListBullet"/>
      </w:pPr>
      <w:r>
        <w:t>Payment success does not directly mutate RBAC.</w:t>
      </w:r>
    </w:p>
    <w:p>
      <w:pPr>
        <w:pStyle w:val="ListBullet"/>
      </w:pPr>
      <w:r>
        <w:t>Entitlement is distinct from Subscription and RBAC.</w:t>
      </w:r>
    </w:p>
    <w:p>
      <w:pPr>
        <w:pStyle w:val="ListBullet"/>
      </w:pPr>
      <w:r>
        <w:t>Reconciliation findings do not automatically mutate entitlement/quota/subscription.</w:t>
      </w:r>
    </w:p>
    <w:p>
      <w:pPr>
        <w:pStyle w:val="ListBullet"/>
      </w:pPr>
      <w:r>
        <w:t>Historical purchase data must preserve the selected commercial-complete immutable snapshot.</w:t>
      </w:r>
    </w:p>
    <w:p>
      <w:pPr>
        <w:pStyle w:val="Heading1"/>
      </w:pPr>
      <w:r>
        <w:t>Not Yet Locked</w:t>
      </w:r>
    </w:p>
    <w:p>
      <w:pPr>
        <w:pStyle w:val="ListBullet"/>
      </w:pPr>
      <w:r>
        <w:t>Final endpoint names and HTTP methods.</w:t>
      </w:r>
    </w:p>
    <w:p>
      <w:pPr>
        <w:pStyle w:val="ListBullet"/>
      </w:pPr>
      <w:r>
        <w:t>Request/response JSON.</w:t>
      </w:r>
    </w:p>
    <w:p>
      <w:pPr>
        <w:pStyle w:val="ListBullet"/>
      </w:pPr>
      <w:r>
        <w:t>Provider-specific payloads and signature mechanism.</w:t>
      </w:r>
    </w:p>
    <w:p>
      <w:pPr>
        <w:pStyle w:val="ListBullet"/>
      </w:pPr>
      <w:r>
        <w:t>Exact idempotency implementation.</w:t>
      </w:r>
    </w:p>
    <w:p>
      <w:pPr>
        <w:pStyle w:val="ListBullet"/>
      </w:pPr>
      <w:r>
        <w:t>Exact payment state enum.</w:t>
      </w:r>
    </w:p>
    <w:p>
      <w:pPr>
        <w:pStyle w:val="ListBullet"/>
      </w:pPr>
      <w:r>
        <w:t>Refund/chargeback state transitions.</w:t>
      </w:r>
    </w:p>
    <w:p>
      <w:pPr>
        <w:pStyle w:val="ListBullet"/>
      </w:pPr>
      <w:r>
        <w:t>RLS, database FK, migration and deployment details.</w:t>
      </w:r>
    </w:p>
    <w:p>
      <w:pPr>
        <w:pStyle w:val="Heading1"/>
      </w:pPr>
      <w:r>
        <w:t>Gate Result</w:t>
      </w:r>
    </w:p>
    <w:p>
      <w:r>
        <w:t>PASS — semantic API delta defined; exact API contract remains downstream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