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#1 — User Flow Impact Specification</w:t>
      </w:r>
    </w:p>
    <w:p>
      <w:r>
        <w:t>RumahAgen | Monetization / Commercial + Payment | Synchronization Working Artifact</w:t>
      </w:r>
    </w:p>
    <w:p>
      <w:pPr>
        <w:pStyle w:val="Heading1"/>
      </w:pPr>
      <w:r>
        <w:t>1. Purpose</w:t>
      </w:r>
    </w:p>
    <w:p>
      <w:r>
        <w:t>Menganalisis dampak AEP Monetization/Commercial + Payment terhadap current User Flow baseline. AEP menetapkan User Flow sebagai downstream artifact setelah RBAC dan sebelum PRD; perubahan flow harus mengikuti governing architecture dan tidak boleh mengarang UX yang belum diputuskan. fileciteturn20file0</w:t>
      </w:r>
    </w:p>
    <w:p>
      <w:pPr>
        <w:pStyle w:val="Heading1"/>
      </w:pPr>
      <w:r>
        <w:t>2. Current User Flow Baseline</w:t>
      </w:r>
    </w:p>
    <w:p>
      <w:pPr>
        <w:pStyle w:val="ListBullet"/>
      </w:pPr>
      <w:r>
        <w:t>Current User Flow v1.2 adalah CURRENT DOWNSTREAM dan mendampingi PRD v1.2. Inventory mengklasifikasikannya sebagai APPROVED / BASELINE / ACTIVE.</w:t>
      </w:r>
    </w:p>
    <w:p>
      <w:pPr>
        <w:pStyle w:val="ListBullet"/>
      </w:pPr>
      <w:r>
        <w:t>Current baseline memiliki role/module flows dan Admin/RBAC flows, termasuk permission management dan backend permission revalidation.</w:t>
      </w:r>
    </w:p>
    <w:p>
      <w:pPr>
        <w:pStyle w:val="ListBullet"/>
      </w:pPr>
      <w:r>
        <w:t>Current User Flow belum menjadi evidence bahwa evolved Subscription/Entitlement/Payment architecture sudah tersedia.</w:t>
      </w:r>
    </w:p>
    <w:p>
      <w:pPr>
        <w:pStyle w:val="ListBullet"/>
      </w:pPr>
      <w:r>
        <w:t>Project Knowledge Refresh menyatakan payment/subscription/entitlement flows membutuhkan explicit alignment; missing payment UX tidak boleh diinfer dari general admin flows. fileciteturn20file1</w:t>
      </w:r>
    </w:p>
    <w:p>
      <w:pPr>
        <w:pStyle w:val="Heading1"/>
      </w:pPr>
      <w:r>
        <w:t>3. Classification</w:t>
      </w:r>
    </w:p>
    <w:p>
      <w:r>
        <w:t>Current User Flow: KEEP + EVOLVE. Existing non-commercial flows tetap dipertahankan. Commercial/Payment journey: MISSING / EVOLVE. Tidak ada confirmed conflict yang memerlukan reopening governing decisions.</w:t>
      </w:r>
    </w:p>
    <w:p>
      <w:pPr>
        <w:pStyle w:val="Heading1"/>
      </w:pPr>
      <w:r>
        <w:t>4. New / Evolved User Journey Areas</w:t>
      </w:r>
    </w:p>
    <w:p>
      <w:pPr>
        <w:pStyle w:val="ListBullet"/>
      </w:pPr>
      <w:r>
        <w:t>Commercial catalog discovery: user dapat melihat applicable plan, add-on dan promotion.</w:t>
      </w:r>
    </w:p>
    <w:p>
      <w:pPr>
        <w:pStyle w:val="ListBullet"/>
      </w:pPr>
      <w:r>
        <w:t>Checkout / Order: user memilih commercial product/offer dan membentuk order sebelum payment.</w:t>
      </w:r>
    </w:p>
    <w:p>
      <w:pPr>
        <w:pStyle w:val="ListBullet"/>
      </w:pPr>
      <w:r>
        <w:t>Payment: user masuk ke payment process melalui Payment Core/provider integration tanpa mengekspos provider-specific architecture sebagai domain UX.</w:t>
      </w:r>
    </w:p>
    <w:p>
      <w:pPr>
        <w:pStyle w:val="ListBullet"/>
      </w:pPr>
      <w:r>
        <w:t>Payment result: UI membedakan payment pending/processing/result dari confirmed commercial fulfillment.</w:t>
      </w:r>
    </w:p>
    <w:p>
      <w:pPr>
        <w:pStyle w:val="ListBullet"/>
      </w:pPr>
      <w:r>
        <w:t>Commercial fulfillment: setelah confirmed payment, user memperoleh subscription/add-on/entitlement outcome sesuai rule.</w:t>
      </w:r>
    </w:p>
    <w:p>
      <w:pPr>
        <w:pStyle w:val="ListBullet"/>
      </w:pPr>
      <w:r>
        <w:t>Entitlement/quota visibility: user dapat melihat capability/quota yang tersedia; entitlement tetap berbeda dari authorization.</w:t>
      </w:r>
    </w:p>
    <w:p>
      <w:pPr>
        <w:pStyle w:val="ListBullet"/>
      </w:pPr>
      <w:r>
        <w:t>Subscription transition: flow harus mendukung Free → Pro, Pro → Free, Free → Add-on, Pro → Add-on sesuai business rules dan tidak mereset historical grant tanpa rule.</w:t>
      </w:r>
    </w:p>
    <w:p>
      <w:pPr>
        <w:pStyle w:val="ListBullet"/>
      </w:pPr>
      <w:r>
        <w:t>Agency quota allocation: Agency/Lead flow harus membedakan quota pool, member allocation dan actual usage.</w:t>
      </w:r>
    </w:p>
    <w:p>
      <w:pPr>
        <w:pStyle w:val="ListBullet"/>
      </w:pPr>
      <w:r>
        <w:t>Reconciliation/admin: authorized admin flow dapat melihat payment/reconciliation state dan exception; reconciliation finding tidak otomatis mengubah entitlement/quota.</w:t>
      </w:r>
    </w:p>
    <w:p>
      <w:pPr>
        <w:pStyle w:val="Heading1"/>
      </w:pPr>
      <w:r>
        <w:t>5. Payment Trust Boundary in UX</w:t>
      </w:r>
    </w:p>
    <w:p>
      <w:r>
        <w:t>User Flow tidak boleh menggambarkan webhook receipt sebagai payment success. Governing flow adalah Provider Adapter → Provider Result → Verification → Idempotency → Payment Confirmed → Commercial Fulfillment → Entitlement/Subscription/Quota. fileciteturn20file10</w:t>
      </w:r>
    </w:p>
    <w:p>
      <w:pPr>
        <w:pStyle w:val="Heading1"/>
      </w:pPr>
      <w:r>
        <w:t>6. Historical Purchase Snapshot UX</w:t>
      </w:r>
    </w:p>
    <w:p>
      <w:r>
        <w:t>Karena keputusan MON-006 sudah dipilih: historical purchase harus menampilkan snapshot commercial-complete dan immutable setelah confirmation. Perubahan harga/promotion/configuration berikutnya tidak boleh mengubah history transaksi.</w:t>
      </w:r>
    </w:p>
    <w:p>
      <w:pPr>
        <w:pStyle w:val="Heading1"/>
      </w:pPr>
      <w:r>
        <w:t>7. RBAC Boundary in UX</w:t>
      </w:r>
    </w:p>
    <w:p>
      <w:r>
        <w:t>User Flow harus tetap memisahkan authorization dari commercial entitlement. Plan/entitlement tidak otomatis mengubah role. Admin/Manager/Agent access tetap mengikuti RBAC; commercial capability mengikuti entitlement.</w:t>
      </w:r>
    </w:p>
    <w:p>
      <w:pPr>
        <w:pStyle w:val="Heading1"/>
      </w:pPr>
      <w:r>
        <w:t>8. Existing Flow Preservation</w:t>
      </w:r>
    </w:p>
    <w:p>
      <w:pPr>
        <w:pStyle w:val="ListBullet"/>
      </w:pPr>
      <w:r>
        <w:t>Authentication, profile, listing, learning, event, organization, admin dan existing module flows tidak diubah hanya karena AEP #1.</w:t>
      </w:r>
    </w:p>
    <w:p>
      <w:pPr>
        <w:pStyle w:val="ListBullet"/>
      </w:pPr>
      <w:r>
        <w:t>Organization membership tetap berbeda dari commercial subscription/entitlement.</w:t>
      </w:r>
    </w:p>
    <w:p>
      <w:pPr>
        <w:pStyle w:val="ListBullet"/>
      </w:pPr>
      <w:r>
        <w:t>Existing listing behavior tetap mengikuti Business Rules; quota reduction tidak otomatis menghapus listing.</w:t>
      </w:r>
    </w:p>
    <w:p>
      <w:pPr>
        <w:pStyle w:val="Heading1"/>
      </w:pPr>
      <w:r>
        <w:t>9. UX Details Deliberately Not Locked</w:t>
      </w:r>
    </w:p>
    <w:p>
      <w:pPr>
        <w:pStyle w:val="ListBullet"/>
      </w:pPr>
      <w:r>
        <w:t>Exact screen names and navigation labels.</w:t>
      </w:r>
    </w:p>
    <w:p>
      <w:pPr>
        <w:pStyle w:val="ListBullet"/>
      </w:pPr>
      <w:r>
        <w:t>Exact checkout UI.</w:t>
      </w:r>
    </w:p>
    <w:p>
      <w:pPr>
        <w:pStyle w:val="ListBullet"/>
      </w:pPr>
      <w:r>
        <w:t>Payment provider selection/display.</w:t>
      </w:r>
    </w:p>
    <w:p>
      <w:pPr>
        <w:pStyle w:val="ListBullet"/>
      </w:pPr>
      <w:r>
        <w:t>Exact payment status wording.</w:t>
      </w:r>
    </w:p>
    <w:p>
      <w:pPr>
        <w:pStyle w:val="ListBullet"/>
      </w:pPr>
      <w:r>
        <w:t>Refund/chargeback user journey.</w:t>
      </w:r>
    </w:p>
    <w:p>
      <w:pPr>
        <w:pStyle w:val="ListBullet"/>
      </w:pPr>
      <w:r>
        <w:t>Reconciliation remediation UI.</w:t>
      </w:r>
    </w:p>
    <w:p>
      <w:pPr>
        <w:pStyle w:val="ListBullet"/>
      </w:pPr>
      <w:r>
        <w:t>Exact subscription upgrade/downgrade confirmation mechanics.</w:t>
      </w:r>
    </w:p>
    <w:p>
      <w:pPr>
        <w:pStyle w:val="ListBullet"/>
      </w:pPr>
      <w:r>
        <w:t>Exact quota dashboard presentation.</w:t>
      </w:r>
    </w:p>
    <w:p>
      <w:pPr>
        <w:pStyle w:val="Heading1"/>
      </w:pPr>
      <w:r>
        <w:t>10. Gate Result</w:t>
      </w:r>
    </w:p>
    <w:p>
      <w:r>
        <w:t>PASS WITH DOWNSTREAM UX DETAIL OPEN. Semantic User Flow impact is defined. Exact screens, components and copy remain downstream UI/User Flow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