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PRD Impact Specification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1. Purpose</w:t>
      </w:r>
    </w:p>
    <w:p>
      <w:r>
        <w:t>Menganalisis dampak AEP Monetization/Commercial + Payment terhadap PRD current downstream baseline, dengan mempertahankan PRD sebagai downstream product requirement artifact dan tidak menjadikannya sumber untuk mengubah governing ADR/Business Rules.</w:t>
      </w:r>
    </w:p>
    <w:p>
      <w:pPr>
        <w:pStyle w:val="Heading1"/>
      </w:pPr>
      <w:r>
        <w:t>2. Source Evidence</w:t>
      </w:r>
    </w:p>
    <w:p>
      <w:pPr>
        <w:pStyle w:val="ListBullet"/>
      </w:pPr>
      <w:r>
        <w:t>Project Knowledge Refresh menyatakan PRD v1.3 merupakan current downstream baseline.</w:t>
      </w:r>
    </w:p>
    <w:p>
      <w:pPr>
        <w:pStyle w:val="ListBullet"/>
      </w:pPr>
      <w:r>
        <w:t>Current PRD masih memperlakukan Organization Subscription/payment gateway sebagai future-ready dan payment/commission automation sebagai later phase.</w:t>
      </w:r>
    </w:p>
    <w:p>
      <w:pPr>
        <w:pStyle w:val="ListBullet"/>
      </w:pPr>
      <w:r>
        <w:t>Evidence Completion Pass menyatakan current PRD mengonfirmasi existing module scope dan older monetization/payment baseline, tetapi belum merepresentasikan evolved Subscription/Entitlement/Payment model yang kini governed oleh MADCR-011/002/003/005.</w:t>
      </w:r>
    </w:p>
    <w:p>
      <w:pPr>
        <w:pStyle w:val="ListBullet"/>
      </w:pPr>
      <w:r>
        <w:t>Karena itu current PRD diklasifikasikan sebagai legacy/current baseline yang harus dievolve, bukan sebagai architecture conflict. fileciteturn21file0</w:t>
      </w:r>
    </w:p>
    <w:p>
      <w:pPr>
        <w:pStyle w:val="Heading1"/>
      </w:pPr>
      <w:r>
        <w:t>3. Classification</w:t>
      </w:r>
    </w:p>
    <w:p>
      <w:r>
        <w:t>PRD v1.3: KEEP + EVOLVE. Existing product scope remains valid for existing modules. Monetization/Commercial/Payment requirements are MISSING / EVOLVE. No evidence requires reopening approved MADCR decisions.</w:t>
      </w:r>
    </w:p>
    <w:p>
      <w:pPr>
        <w:pStyle w:val="Heading1"/>
      </w:pPr>
      <w:r>
        <w:t>4. PRD Capability Areas to Add / Evolve</w:t>
      </w:r>
    </w:p>
    <w:p>
      <w:pPr>
        <w:pStyle w:val="ListBullet"/>
      </w:pPr>
      <w:r>
        <w:t>Commercial catalog: plans, add-ons and promotions.</w:t>
      </w:r>
    </w:p>
    <w:p>
      <w:pPr>
        <w:pStyle w:val="ListBullet"/>
      </w:pPr>
      <w:r>
        <w:t>Subscription lifecycle for personal Agent and Agency/Workspace commercial relationships.</w:t>
      </w:r>
    </w:p>
    <w:p>
      <w:pPr>
        <w:pStyle w:val="ListBullet"/>
      </w:pPr>
      <w:r>
        <w:t>Commercial Entitlement as the authority for commercial capability/quota capacity.</w:t>
      </w:r>
    </w:p>
    <w:p>
      <w:pPr>
        <w:pStyle w:val="ListBullet"/>
      </w:pPr>
      <w:r>
        <w:t>Checkout / Order preceding payment.</w:t>
      </w:r>
    </w:p>
    <w:p>
      <w:pPr>
        <w:pStyle w:val="ListBullet"/>
      </w:pPr>
      <w:r>
        <w:t>Payment lifecycle using provider-independent Payment Core and Provider Adapter boundary.</w:t>
      </w:r>
    </w:p>
    <w:p>
      <w:pPr>
        <w:pStyle w:val="ListBullet"/>
      </w:pPr>
      <w:r>
        <w:t>Verified payment and idempotent fulfillment before commercial state mutation.</w:t>
      </w:r>
    </w:p>
    <w:p>
      <w:pPr>
        <w:pStyle w:val="ListBullet"/>
      </w:pPr>
      <w:r>
        <w:t>Promotion rules and historical purchase terms.</w:t>
      </w:r>
    </w:p>
    <w:p>
      <w:pPr>
        <w:pStyle w:val="ListBullet"/>
      </w:pPr>
      <w:r>
        <w:t>Permanent versus promotional add-on validity.</w:t>
      </w:r>
    </w:p>
    <w:p>
      <w:pPr>
        <w:pStyle w:val="ListBullet"/>
      </w:pPr>
      <w:r>
        <w:t>Agency quota capacity, operational pool, member allocation and usage as distinct concepts.</w:t>
      </w:r>
    </w:p>
    <w:p>
      <w:pPr>
        <w:pStyle w:val="ListBullet"/>
      </w:pPr>
      <w:r>
        <w:t>Reconciliation as a first-class detect/assess/audit capability.</w:t>
      </w:r>
    </w:p>
    <w:p>
      <w:pPr>
        <w:pStyle w:val="ListBullet"/>
      </w:pPr>
      <w:r>
        <w:t>Separate refund/chargeback event representation and policy dependency.</w:t>
      </w:r>
    </w:p>
    <w:p>
      <w:pPr>
        <w:pStyle w:val="ListBullet"/>
      </w:pPr>
      <w:r>
        <w:t>Commercial audit/history including immutable historical purchase snapshot.</w:t>
      </w:r>
    </w:p>
    <w:p>
      <w:pPr>
        <w:pStyle w:val="Heading1"/>
      </w:pPr>
      <w:r>
        <w:t>5. Product Requirements Derived from Locked Decisions</w:t>
      </w:r>
    </w:p>
    <w:p>
      <w:pPr>
        <w:pStyle w:val="ListBullet"/>
      </w:pPr>
      <w:r>
        <w:t>Subscription, Entitlement and RBAC must remain separate product concepts.</w:t>
      </w:r>
    </w:p>
    <w:p>
      <w:pPr>
        <w:pStyle w:val="ListBullet"/>
      </w:pPr>
      <w:r>
        <w:t>Payment success must not directly mutate RBAC/application permissions.</w:t>
      </w:r>
    </w:p>
    <w:p>
      <w:pPr>
        <w:pStyle w:val="ListBullet"/>
      </w:pPr>
      <w:r>
        <w:t>Payment fulfillment requires verified confirmation and idempotent processing; duplicate provider events must not create duplicate commercial outcomes. fileciteturn21file7</w:t>
      </w:r>
    </w:p>
    <w:p>
      <w:pPr>
        <w:pStyle w:val="ListBullet"/>
      </w:pPr>
      <w:r>
        <w:t>Commercial Entitlement remains authoritative for Agency/Organization quota capacity.</w:t>
      </w:r>
    </w:p>
    <w:p>
      <w:pPr>
        <w:pStyle w:val="ListBullet"/>
      </w:pPr>
      <w:r>
        <w:t>Reconciliation must detect/audit inconsistencies across payment/provider/order/subscription/entitlement and does not itself authorize automatic remediation. fileciteturn21file17</w:t>
      </w:r>
    </w:p>
    <w:p>
      <w:pPr>
        <w:pStyle w:val="ListBullet"/>
      </w:pPr>
      <w:r>
        <w:t>Historical purchase must retain the user-approved commercial-complete immutable snapshot after confirmation.</w:t>
      </w:r>
    </w:p>
    <w:p>
      <w:pPr>
        <w:pStyle w:val="ListBullet"/>
      </w:pPr>
      <w:r>
        <w:t>Configurable commercial parameter changes must not rewrite historical purchases.</w:t>
      </w:r>
    </w:p>
    <w:p>
      <w:pPr>
        <w:pStyle w:val="ListBullet"/>
      </w:pPr>
      <w:r>
        <w:t>Free bonus grant history must remain intact across Pro → Free unless a specific business rule states otherwise.</w:t>
      </w:r>
    </w:p>
    <w:p>
      <w:pPr>
        <w:pStyle w:val="ListBullet"/>
      </w:pPr>
      <w:r>
        <w:t>Reducing member quota allocation must not delete existing listings.</w:t>
      </w:r>
    </w:p>
    <w:p>
      <w:pPr>
        <w:pStyle w:val="Heading1"/>
      </w:pPr>
      <w:r>
        <w:t>6. Beta / Rollout Requirement</w:t>
      </w:r>
    </w:p>
    <w:p>
      <w:r>
        <w:t>Payment infrastructure is architecture-ready but inactive during free beta. PRD should distinguish architectural readiness from enabled commercial functionality; activation should be controlled without redesigning the Commercial core.</w:t>
      </w:r>
    </w:p>
    <w:p>
      <w:pPr>
        <w:pStyle w:val="Heading1"/>
      </w:pPr>
      <w:r>
        <w:t>7. Existing PRD Scope to Preserve</w:t>
      </w:r>
    </w:p>
    <w:p>
      <w:pPr>
        <w:pStyle w:val="ListBullet"/>
      </w:pPr>
      <w:r>
        <w:t>Existing agency, listing, learning, event, organization and administration capabilities remain in the product baseline.</w:t>
      </w:r>
    </w:p>
    <w:p>
      <w:pPr>
        <w:pStyle w:val="ListBullet"/>
      </w:pPr>
      <w:r>
        <w:t>Existing role/permission behavior remains under RBAC and is not replaced by commercial entitlement.</w:t>
      </w:r>
    </w:p>
    <w:p>
      <w:pPr>
        <w:pStyle w:val="ListBullet"/>
      </w:pPr>
      <w:r>
        <w:t>Existing listing behavior remains governed by the Business Rules Baseline.</w:t>
      </w:r>
    </w:p>
    <w:p>
      <w:pPr>
        <w:pStyle w:val="Heading1"/>
      </w:pPr>
      <w:r>
        <w:t>8. PRD Areas Requiring Explicit Product Definition Later</w:t>
      </w:r>
    </w:p>
    <w:p>
      <w:pPr>
        <w:pStyle w:val="ListBullet"/>
      </w:pPr>
      <w:r>
        <w:t>Exact pricing and package presentation.</w:t>
      </w:r>
    </w:p>
    <w:p>
      <w:pPr>
        <w:pStyle w:val="ListBullet"/>
      </w:pPr>
      <w:r>
        <w:t>Exact checkout UX and payment method presentation.</w:t>
      </w:r>
    </w:p>
    <w:p>
      <w:pPr>
        <w:pStyle w:val="ListBullet"/>
      </w:pPr>
      <w:r>
        <w:t>Refund/chargeback customer policy and journey.</w:t>
      </w:r>
    </w:p>
    <w:p>
      <w:pPr>
        <w:pStyle w:val="ListBullet"/>
      </w:pPr>
      <w:r>
        <w:t>Subscription cancellation/downgrade policy where not already governed.</w:t>
      </w:r>
    </w:p>
    <w:p>
      <w:pPr>
        <w:pStyle w:val="ListBullet"/>
      </w:pPr>
      <w:r>
        <w:t>Detailed reconciliation operational workflow.</w:t>
      </w:r>
    </w:p>
    <w:p>
      <w:pPr>
        <w:pStyle w:val="ListBullet"/>
      </w:pPr>
      <w:r>
        <w:t>Exact commercial permission matrix.</w:t>
      </w:r>
    </w:p>
    <w:p>
      <w:pPr>
        <w:pStyle w:val="ListBullet"/>
      </w:pPr>
      <w:r>
        <w:t>Exact commercial notification behavior.</w:t>
      </w:r>
    </w:p>
    <w:p>
      <w:pPr>
        <w:pStyle w:val="ListBullet"/>
      </w:pPr>
      <w:r>
        <w:t>Exact analytics/reporting requirements.</w:t>
      </w:r>
    </w:p>
    <w:p>
      <w:pPr>
        <w:pStyle w:val="Heading1"/>
      </w:pPr>
      <w:r>
        <w:t>9. Requirements Traceability Direction</w:t>
      </w:r>
    </w:p>
    <w:p>
      <w:r>
        <w:t>PRD requirements must trace to Business Rules for business behavior and to approved ADR/MADCR for architecture constraints. The Monetization AEP is a translation/reference and must not silently override governing decisions. fileciteturn20file8</w:t>
      </w:r>
    </w:p>
    <w:p>
      <w:pPr>
        <w:pStyle w:val="Heading1"/>
      </w:pPr>
      <w:r>
        <w:t>10. Gate Result</w:t>
      </w:r>
    </w:p>
    <w:p>
      <w:r>
        <w:t>PASS WITH PRODUCT DETAIL OPEN. PRD impact is defined at requirement/capability level. Exact PRD wording, acceptance criteria, screen-level references and release-phase prioritization remain downstream product-definition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