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Cross-Document Traceability &amp; Synchronization Audit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1. Purpose</w:t>
      </w:r>
    </w:p>
    <w:p>
      <w:r>
        <w:t>Melakukan audit lintas-dokumen setelah Governance/ADR, ERD, API, RBAC, User Flow, dan PRD impact selesai. Audit memeriksa apakah keputusan governing sudah diterjemahkan konsisten, apakah ada missing trace, contradiction, terminology drift, atau unresolved downstream dependency.</w:t>
      </w:r>
    </w:p>
    <w:p>
      <w:pPr>
        <w:pStyle w:val="Heading1"/>
      </w:pPr>
      <w:r>
        <w:t>2. Authority Order Applied</w:t>
      </w:r>
    </w:p>
    <w:p>
      <w:pPr>
        <w:pStyle w:val="ListBullet"/>
      </w:pPr>
      <w:r>
        <w:t>Business Rules Baseline remains normative for business behavior.</w:t>
      </w:r>
    </w:p>
    <w:p>
      <w:pPr>
        <w:pStyle w:val="ListBullet"/>
      </w:pPr>
      <w:r>
        <w:t>Approved MADCR/ADR remain governing for architecture decisions.</w:t>
      </w:r>
    </w:p>
    <w:p>
      <w:pPr>
        <w:pStyle w:val="ListBullet"/>
      </w:pPr>
      <w:r>
        <w:t>Commercial/Payment Domain Model is a logical translation/alignment artifact, not physical implementation authority.</w:t>
      </w:r>
    </w:p>
    <w:p>
      <w:pPr>
        <w:pStyle w:val="ListBullet"/>
      </w:pPr>
      <w:r>
        <w:t>AEP Monetization is translation/reference and does not override governing decisions.</w:t>
      </w:r>
    </w:p>
    <w:p>
      <w:pPr>
        <w:pStyle w:val="ListBullet"/>
      </w:pPr>
      <w:r>
        <w:t>ERD, API, RBAC, User Flow and PRD are downstream artifacts and must conform to the governing layers.</w:t>
      </w:r>
    </w:p>
    <w:p>
      <w:pPr>
        <w:pStyle w:val="Heading1"/>
      </w:pPr>
      <w:r>
        <w:t>3. Core Traceability Matrix</w:t>
      </w:r>
    </w:p>
    <w:p>
      <w:pPr>
        <w:pStyle w:val="ListBullet"/>
      </w:pPr>
      <w:r>
        <w:t>Commercial Entitlement → MADCR-010 → ERD impact → API entitlement/quota capability → RBAC administrative capability → User Flow entitlement/quota visibility → PRD commercial entitlement requirement.</w:t>
      </w:r>
    </w:p>
    <w:p>
      <w:pPr>
        <w:pStyle w:val="ListBullet"/>
      </w:pPr>
      <w:r>
        <w:t>Payment = M14 Commercial → MADCR-011 → System/Domain boundary → ERD Payment subdomain concepts → API Payment Core flow → RBAC payment administration → User Flow payment journey → PRD payment capability.</w:t>
      </w:r>
    </w:p>
    <w:p>
      <w:pPr>
        <w:pStyle w:val="ListBullet"/>
      </w:pPr>
      <w:r>
        <w:t>Provider-independent Payment Core / Adapter → MADCR-002 → API provider abstraction → User Flow provider-neutral UX → PRD provider-independent integration.</w:t>
      </w:r>
    </w:p>
    <w:p>
      <w:pPr>
        <w:pStyle w:val="ListBullet"/>
      </w:pPr>
      <w:r>
        <w:t>Verified + idempotent fulfillment → MADCR-003 → API trust flow → User Flow payment confirmation boundary → PRD fulfillment requirement.</w:t>
      </w:r>
    </w:p>
    <w:p>
      <w:pPr>
        <w:pStyle w:val="ListBullet"/>
      </w:pPr>
      <w:r>
        <w:t>Reconciliation first-class → MADCR-005 → API reconciliation capability → RBAC reconciliation administration → User Flow exception visibility → PRD reconciliation requirement.</w:t>
      </w:r>
    </w:p>
    <w:p>
      <w:pPr>
        <w:pStyle w:val="ListBullet"/>
      </w:pPr>
      <w:r>
        <w:t>Subscription ≠ Entitlement ≠ RBAC → MADCR-010 / Commercial Domain Model → ERD entity separation → API semantic separation → RBAC separation → User Flow separation → PRD product separation.</w:t>
      </w:r>
    </w:p>
    <w:p>
      <w:pPr>
        <w:pStyle w:val="ListBullet"/>
      </w:pPr>
      <w:r>
        <w:t>Historical purchase snapshot → MON-006 decision input → Commercial Domain Model historical traceability → API historical purchase behavior → User Flow historical purchase display → PRD immutable commercial history.</w:t>
      </w:r>
    </w:p>
    <w:p>
      <w:pPr>
        <w:pStyle w:val="Heading1"/>
      </w:pPr>
      <w:r>
        <w:t>4. Consistency Findings</w:t>
      </w:r>
    </w:p>
    <w:p>
      <w:pPr>
        <w:pStyle w:val="ListBullet"/>
      </w:pPr>
      <w:r>
        <w:t>No confirmed contradiction was found between the governing Commercial/Payment decisions and the impact specifications completed so far.</w:t>
      </w:r>
    </w:p>
    <w:p>
      <w:pPr>
        <w:pStyle w:val="ListBullet"/>
      </w:pPr>
      <w:r>
        <w:t>Current ERD/API/User Flow/PRD are legacy/current baselines that require evolution; they are not treated as conflicting authorities.</w:t>
      </w:r>
    </w:p>
    <w:p>
      <w:pPr>
        <w:pStyle w:val="ListBullet"/>
      </w:pPr>
      <w:r>
        <w:t>The same critical invariants are preserved across the completed impact artifacts: Subscription ≠ Entitlement ≠ RBAC; Payment does not directly mutate RBAC; verified/idempotent fulfillment precedes commercial mutation; reconciliation does not automatically remediate.</w:t>
      </w:r>
    </w:p>
    <w:p>
      <w:pPr>
        <w:pStyle w:val="ListBullet"/>
      </w:pPr>
      <w:r>
        <w:t>The Commercial/Payment logical model explicitly supports the same relationship chain: Order → Payment Core → Provider Adapter → Verified Payment → Fulfillment → Entitlement → Quota/Product Access. fileciteturn21file7</w:t>
      </w:r>
    </w:p>
    <w:p>
      <w:pPr>
        <w:pStyle w:val="Heading1"/>
      </w:pPr>
      <w:r>
        <w:t>5. Terminology Audit</w:t>
      </w:r>
    </w:p>
    <w:p>
      <w:pPr>
        <w:pStyle w:val="ListBullet"/>
      </w:pPr>
      <w:r>
        <w:t>Use 'Commercial Entitlement' for the authoritative commercial capability/quota source.</w:t>
      </w:r>
    </w:p>
    <w:p>
      <w:pPr>
        <w:pStyle w:val="ListBullet"/>
      </w:pPr>
      <w:r>
        <w:t>Use 'Subscription' for commercial plan/subscription lifecycle.</w:t>
      </w:r>
    </w:p>
    <w:p>
      <w:pPr>
        <w:pStyle w:val="ListBullet"/>
      </w:pPr>
      <w:r>
        <w:t>Use 'Payment Core' for provider-independent payment capability.</w:t>
      </w:r>
    </w:p>
    <w:p>
      <w:pPr>
        <w:pStyle w:val="ListBullet"/>
      </w:pPr>
      <w:r>
        <w:t>Use 'Provider Adapter' for provider-specific integration boundary.</w:t>
      </w:r>
    </w:p>
    <w:p>
      <w:pPr>
        <w:pStyle w:val="ListBullet"/>
      </w:pPr>
      <w:r>
        <w:t>Use 'Confirmed Payment' only after verification/idempotency boundary is satisfied.</w:t>
      </w:r>
    </w:p>
    <w:p>
      <w:pPr>
        <w:pStyle w:val="ListBullet"/>
      </w:pPr>
      <w:r>
        <w:t>Use 'Fulfillment' for the commercial transition after confirmed payment.</w:t>
      </w:r>
    </w:p>
    <w:p>
      <w:pPr>
        <w:pStyle w:val="ListBullet"/>
      </w:pPr>
      <w:r>
        <w:t>Use 'RBAC' for authorization, not commercial entitlement.</w:t>
      </w:r>
    </w:p>
    <w:p>
      <w:pPr>
        <w:pStyle w:val="ListBullet"/>
      </w:pPr>
      <w:r>
        <w:t>Use 'Allocation' and 'Usage' as distinct concepts.</w:t>
      </w:r>
    </w:p>
    <w:p>
      <w:pPr>
        <w:pStyle w:val="Heading1"/>
      </w:pPr>
      <w:r>
        <w:t>6. Remaining Traceability Gaps</w:t>
      </w:r>
    </w:p>
    <w:p>
      <w:pPr>
        <w:pStyle w:val="ListBullet"/>
      </w:pPr>
      <w:r>
        <w:t>Physical Schema / Database Dictionary impact has not yet been formally completed in this synchronization sequence.</w:t>
      </w:r>
    </w:p>
    <w:p>
      <w:pPr>
        <w:pStyle w:val="ListBullet"/>
      </w:pPr>
      <w:r>
        <w:t>Payment Integration Contract has not yet been formally completed as a separate artifact.</w:t>
      </w:r>
    </w:p>
    <w:p>
      <w:pPr>
        <w:pStyle w:val="ListBullet"/>
      </w:pPr>
      <w:r>
        <w:t>Exact API endpoint contract remains downstream/open.</w:t>
      </w:r>
    </w:p>
    <w:p>
      <w:pPr>
        <w:pStyle w:val="ListBullet"/>
      </w:pPr>
      <w:r>
        <w:t>Exact RBAC permission matrix remains downstream/open.</w:t>
      </w:r>
    </w:p>
    <w:p>
      <w:pPr>
        <w:pStyle w:val="ListBullet"/>
      </w:pPr>
      <w:r>
        <w:t>Exact User Flow screen-level design remains downstream/open.</w:t>
      </w:r>
    </w:p>
    <w:p>
      <w:pPr>
        <w:pStyle w:val="ListBullet"/>
      </w:pPr>
      <w:r>
        <w:t>Exact PRD wording, acceptance criteria and release prioritization remain downstream/open.</w:t>
      </w:r>
    </w:p>
    <w:p>
      <w:pPr>
        <w:pStyle w:val="ListBullet"/>
      </w:pPr>
      <w:r>
        <w:t>Engineering Guidebook and Test/Business Rule Traceability Matrix are still pending in the AEP downstream order. The AEP itself specifies these later stages. fileciteturn21file4</w:t>
      </w:r>
    </w:p>
    <w:p>
      <w:pPr>
        <w:pStyle w:val="Heading1"/>
      </w:pPr>
      <w:r>
        <w:t>7. Open Governance / Evidence Caveat</w:t>
      </w:r>
    </w:p>
    <w:p>
      <w:r>
        <w:t>OPEN-C01 concerning the formal relationship between AEP-MON-001 and AEP-MON-002 remains unresolved. The Commercial/Payment Domain Model explicitly states that it does not infer supersession or hierarchy. This is a separate governance/document-relationship residual and does not invalidate the approved Payment architecture. fileciteturn21file16</w:t>
      </w:r>
    </w:p>
    <w:p>
      <w:pPr>
        <w:pStyle w:val="Heading1"/>
      </w:pPr>
      <w:r>
        <w:t>8. Decision Duplication Check</w:t>
      </w:r>
    </w:p>
    <w:p>
      <w:pPr>
        <w:pStyle w:val="ListBullet"/>
      </w:pPr>
      <w:r>
        <w:t>No new ADR is required for Provider Adapter; MADCR-002 is governing.</w:t>
      </w:r>
    </w:p>
    <w:p>
      <w:pPr>
        <w:pStyle w:val="ListBullet"/>
      </w:pPr>
      <w:r>
        <w:t>No new ADR is required for verified/idempotent fulfillment; MADCR-003 is governing.</w:t>
      </w:r>
    </w:p>
    <w:p>
      <w:pPr>
        <w:pStyle w:val="ListBullet"/>
      </w:pPr>
      <w:r>
        <w:t>No new ADR is required for reconciliation; MADCR-005 is governing.</w:t>
      </w:r>
    </w:p>
    <w:p>
      <w:pPr>
        <w:pStyle w:val="ListBullet"/>
      </w:pPr>
      <w:r>
        <w:t>No new ADR is required for Subscription/Entitlement/RBAC separation; MADCR-010 and the logical model cover the invariant.</w:t>
      </w:r>
    </w:p>
    <w:p>
      <w:pPr>
        <w:pStyle w:val="ListBullet"/>
      </w:pPr>
      <w:r>
        <w:t>MON-006 has received explicit user decision input: commercial-complete historical snapshot, immutable after confirmation. Formal governance packaging remains a later reconciliation task.</w:t>
      </w:r>
    </w:p>
    <w:p>
      <w:pPr>
        <w:pStyle w:val="Heading1"/>
      </w:pPr>
      <w:r>
        <w:t>9. Gate Result</w:t>
      </w:r>
    </w:p>
    <w:p>
      <w:r>
        <w:t>PASS WITH TRACEABILITY RESIDUALS. The completed AEP #1 impact artifacts are mutually coherent and aligned to the governing decisions. No confirmed contradiction requires reopening approved architecture. Remaining work is downstream synchronization/completion, not a new architecture reset.</w:t>
      </w:r>
    </w:p>
    <w:p>
      <w:pPr>
        <w:pStyle w:val="Heading1"/>
      </w:pPr>
      <w:r>
        <w:t>10. Next Gate</w:t>
      </w:r>
    </w:p>
    <w:p>
      <w:r>
        <w:t>Proceed to Final AEP #1 Synchronization/Reconciliation only after the remaining required downstream impact items are either completed or explicitly classified as non-blocking: Schema/Database impact, Payment Integration Contract, and final cross-document release/traceability packaging.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