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AEP #1 — Schema / Database Impact Specification</w:t>
      </w:r>
    </w:p>
    <w:p>
      <w:r>
        <w:t>RumahAgen | Monetization / Commercial + Payment | Synchronization Working Artifact</w:t>
      </w:r>
    </w:p>
    <w:p>
      <w:pPr>
        <w:pStyle w:val="Heading1"/>
      </w:pPr>
      <w:r>
        <w:t>1. Purpose</w:t>
      </w:r>
    </w:p>
    <w:p>
      <w:r>
        <w:t>Menganalisis dampak AEP #1 terhadap current logical/database downstream baseline setelah ERD impact, tanpa melakukan physical migration atau mengunci implementasi database yang belum diotorisasi.</w:t>
      </w:r>
    </w:p>
    <w:p>
      <w:pPr>
        <w:pStyle w:val="Heading1"/>
      </w:pPr>
      <w:r>
        <w:t>2. Source / Governance Basis</w:t>
      </w:r>
    </w:p>
    <w:p>
      <w:pPr>
        <w:pStyle w:val="ListBullet"/>
      </w:pPr>
      <w:r>
        <w:t>AEP Monetization menetapkan downstream order: ERD → Schema → Payment Integration Contract → API → RBAC → User Flow → PRD → Engineering Guidebook → Test/BR Traceability. fileciteturn23file2</w:t>
      </w:r>
    </w:p>
    <w:p>
      <w:pPr>
        <w:pStyle w:val="ListBullet"/>
      </w:pPr>
      <w:r>
        <w:t>Current project inventory classifies ERD-Skema-Database-RUMAHAGEN-v1_4-FINAL.md as CURRENT DOWNSTREAM and Database-Dictionary-Migration-Ready-v1_0-FINAL.md as CURRENT DOWNSTREAM. fileciteturn23file1</w:t>
      </w:r>
    </w:p>
    <w:p>
      <w:pPr>
        <w:pStyle w:val="ListBullet"/>
      </w:pPr>
      <w:r>
        <w:t>MADCR-011 explicitly does not approve physical ERD/database schema, FK/reference design or migration. fileciteturn24file1</w:t>
      </w:r>
    </w:p>
    <w:p>
      <w:pPr>
        <w:pStyle w:val="ListBullet"/>
      </w:pPr>
      <w:r>
        <w:t>MADCR-002 and MADCR-003 also explicitly exclude physical schema, exact idempotency storage, unique constraints and implementation mechanics. fileciteturn23file0turn24file7</w:t>
      </w:r>
    </w:p>
    <w:p>
      <w:pPr>
        <w:pStyle w:val="Heading1"/>
      </w:pPr>
      <w:r>
        <w:t>3. Current Baseline Classification</w:t>
      </w:r>
    </w:p>
    <w:p>
      <w:r>
        <w:t>Current ERD/Database Dictionary: KEEP + EVOLVE. Existing non-commercial schema remains valid. Commercial/Payment schema concepts are MISSING from the current baseline and require controlled evolution. This impact does not authorize migration.</w:t>
      </w:r>
    </w:p>
    <w:p>
      <w:pPr>
        <w:pStyle w:val="Heading1"/>
      </w:pPr>
      <w:r>
        <w:t>4. Commercial Schema Concepts Required</w:t>
      </w:r>
    </w:p>
    <w:p>
      <w:pPr>
        <w:pStyle w:val="ListBullet"/>
      </w:pPr>
      <w:r>
        <w:t>Commercial Plan / Catalog representation.</w:t>
      </w:r>
    </w:p>
    <w:p>
      <w:pPr>
        <w:pStyle w:val="ListBullet"/>
      </w:pPr>
      <w:r>
        <w:t>Subscription representation.</w:t>
      </w:r>
    </w:p>
    <w:p>
      <w:pPr>
        <w:pStyle w:val="ListBullet"/>
      </w:pPr>
      <w:r>
        <w:t>Promotion representation.</w:t>
      </w:r>
    </w:p>
    <w:p>
      <w:pPr>
        <w:pStyle w:val="ListBullet"/>
      </w:pPr>
      <w:r>
        <w:t>Add-on representation.</w:t>
      </w:r>
    </w:p>
    <w:p>
      <w:pPr>
        <w:pStyle w:val="ListBullet"/>
      </w:pPr>
      <w:r>
        <w:t>Order / Checkout representation.</w:t>
      </w:r>
    </w:p>
    <w:p>
      <w:pPr>
        <w:pStyle w:val="ListBullet"/>
      </w:pPr>
      <w:r>
        <w:t>Commercial Entitlement representation.</w:t>
      </w:r>
    </w:p>
    <w:p>
      <w:pPr>
        <w:pStyle w:val="ListBullet"/>
      </w:pPr>
      <w:r>
        <w:t>Historical commercial purchase snapshot representation.</w:t>
      </w:r>
    </w:p>
    <w:p>
      <w:pPr>
        <w:pStyle w:val="Heading1"/>
      </w:pPr>
      <w:r>
        <w:t>5. Quota Schema Concepts Required</w:t>
      </w:r>
    </w:p>
    <w:p>
      <w:pPr>
        <w:pStyle w:val="ListBullet"/>
      </w:pPr>
      <w:r>
        <w:t>Agency/Organization Quota Capacity.</w:t>
      </w:r>
    </w:p>
    <w:p>
      <w:pPr>
        <w:pStyle w:val="ListBullet"/>
      </w:pPr>
      <w:r>
        <w:t>Operational Quota Pool.</w:t>
      </w:r>
    </w:p>
    <w:p>
      <w:pPr>
        <w:pStyle w:val="ListBullet"/>
      </w:pPr>
      <w:r>
        <w:t>Member Allocation.</w:t>
      </w:r>
    </w:p>
    <w:p>
      <w:pPr>
        <w:pStyle w:val="ListBullet"/>
      </w:pPr>
      <w:r>
        <w:t>Usage linkage.</w:t>
      </w:r>
    </w:p>
    <w:p>
      <w:pPr>
        <w:pStyle w:val="ListBullet"/>
      </w:pPr>
      <w:r>
        <w:t>Provenance/source of quota capacity where required by the commercial rules.</w:t>
      </w:r>
    </w:p>
    <w:p>
      <w:pPr>
        <w:pStyle w:val="Heading1"/>
      </w:pPr>
      <w:r>
        <w:t>6. Payment Schema Concepts Required</w:t>
      </w:r>
    </w:p>
    <w:p>
      <w:pPr>
        <w:pStyle w:val="ListBullet"/>
      </w:pPr>
      <w:r>
        <w:t>Payment Transaction / Payment Record.</w:t>
      </w:r>
    </w:p>
    <w:p>
      <w:pPr>
        <w:pStyle w:val="ListBullet"/>
      </w:pPr>
      <w:r>
        <w:t>Provider transaction/reference identity.</w:t>
      </w:r>
    </w:p>
    <w:p>
      <w:pPr>
        <w:pStyle w:val="ListBullet"/>
      </w:pPr>
      <w:r>
        <w:t>Payment status/result representation.</w:t>
      </w:r>
    </w:p>
    <w:p>
      <w:pPr>
        <w:pStyle w:val="ListBullet"/>
      </w:pPr>
      <w:r>
        <w:t>Verification result/state representation where persistence is required.</w:t>
      </w:r>
    </w:p>
    <w:p>
      <w:pPr>
        <w:pStyle w:val="ListBullet"/>
      </w:pPr>
      <w:r>
        <w:t>Reconciliation representation.</w:t>
      </w:r>
    </w:p>
    <w:p>
      <w:pPr>
        <w:pStyle w:val="ListBullet"/>
      </w:pPr>
      <w:r>
        <w:t>Refund/Chargeback event representation.</w:t>
      </w:r>
    </w:p>
    <w:p>
      <w:pPr>
        <w:pStyle w:val="ListBullet"/>
      </w:pPr>
      <w:r>
        <w:t>Audit/history linkage.</w:t>
      </w:r>
    </w:p>
    <w:p>
      <w:pPr>
        <w:pStyle w:val="Heading1"/>
      </w:pPr>
      <w:r>
        <w:t>7. Mandatory Logical Relationships</w:t>
      </w:r>
    </w:p>
    <w:p>
      <w:pPr>
        <w:pStyle w:val="ListBullet"/>
      </w:pPr>
      <w:r>
        <w:t>Subscription must remain distinct from Entitlement and RBAC.</w:t>
      </w:r>
    </w:p>
    <w:p>
      <w:pPr>
        <w:pStyle w:val="ListBullet"/>
      </w:pPr>
      <w:r>
        <w:t>Commercial Entitlement is authoritative for Agency/Organization quota capacity.</w:t>
      </w:r>
    </w:p>
    <w:p>
      <w:pPr>
        <w:pStyle w:val="ListBullet"/>
      </w:pPr>
      <w:r>
        <w:t>Commercial Entitlement → Quota Capacity → Operational Quota Pool → Member Allocation/Usage.</w:t>
      </w:r>
    </w:p>
    <w:p>
      <w:pPr>
        <w:pStyle w:val="ListBullet"/>
      </w:pPr>
      <w:r>
        <w:t>Order precedes Payment processing.</w:t>
      </w:r>
    </w:p>
    <w:p>
      <w:pPr>
        <w:pStyle w:val="ListBullet"/>
      </w:pPr>
      <w:r>
        <w:t>Payment Core is inside M14 Commercial Payment Subdomain; Provider Adapter is a boundary, not a reason to couple schema to a vendor.</w:t>
      </w:r>
    </w:p>
    <w:p>
      <w:pPr>
        <w:pStyle w:val="ListBullet"/>
      </w:pPr>
      <w:r>
        <w:t>Payment confirmation must precede commercial fulfillment.</w:t>
      </w:r>
    </w:p>
    <w:p>
      <w:pPr>
        <w:pStyle w:val="ListBullet"/>
      </w:pPr>
      <w:r>
        <w:t>Historical purchase must retain the user-approved commercial-complete immutable snapshot after confirmation.</w:t>
      </w:r>
    </w:p>
    <w:p>
      <w:pPr>
        <w:pStyle w:val="ListBullet"/>
      </w:pPr>
      <w:r>
        <w:t>Reconciliation must be able to relate payment/provider/order/subscription/entitlement state without becoming automatic entitlement authority.</w:t>
      </w:r>
    </w:p>
    <w:p>
      <w:pPr>
        <w:pStyle w:val="Heading1"/>
      </w:pPr>
      <w:r>
        <w:t>8. Existing Entities / Tables to Preserve and Evolve</w:t>
      </w:r>
    </w:p>
    <w:p>
      <w:pPr>
        <w:pStyle w:val="ListBullet"/>
      </w:pPr>
      <w:r>
        <w:t>organizations — preserve as organization context; do not turn it into the Entitlement table.</w:t>
      </w:r>
    </w:p>
    <w:p>
      <w:pPr>
        <w:pStyle w:val="ListBullet"/>
      </w:pPr>
      <w:r>
        <w:t>organization_members — preserve membership model; commercial allocation is separate.</w:t>
      </w:r>
    </w:p>
    <w:p>
      <w:pPr>
        <w:pStyle w:val="ListBullet"/>
      </w:pPr>
      <w:r>
        <w:t>listings — preserve listing ownership/usage context; do not make listing the quota authority.</w:t>
      </w:r>
    </w:p>
    <w:p>
      <w:pPr>
        <w:pStyle w:val="ListBullet"/>
      </w:pPr>
      <w:r>
        <w:t>audit_logs — evolve for commercial/payment audit linkage where appropriate.</w:t>
      </w:r>
    </w:p>
    <w:p>
      <w:pPr>
        <w:pStyle w:val="ListBullet"/>
      </w:pPr>
      <w:r>
        <w:t>system_configs — may continue to hold configurable commercial parameters; it is not a replacement for transactional commercial records.</w:t>
      </w:r>
    </w:p>
    <w:p>
      <w:pPr>
        <w:pStyle w:val="ListBullet"/>
      </w:pPr>
      <w:r>
        <w:t>roles / permissions / role_permissions — remain RBAC structures; do not encode commercial entitlement as a role.</w:t>
      </w:r>
    </w:p>
    <w:p>
      <w:pPr>
        <w:pStyle w:val="Heading1"/>
      </w:pPr>
      <w:r>
        <w:t>9. Historical Snapshot Requirement</w:t>
      </w:r>
    </w:p>
    <w:p>
      <w:r>
        <w:t>The user-approved MON-006 decision requires historical purchase terms to be snapshotted, commercial-complete and immutable after confirmation. Therefore the schema must preserve historical transaction/purchase terms independently of mutable current Plan/Promotion configuration. The exact physical snapshot mechanism is intentionally not locked here.</w:t>
      </w:r>
    </w:p>
    <w:p>
      <w:pPr>
        <w:pStyle w:val="Heading1"/>
      </w:pPr>
      <w:r>
        <w:t>10. Idempotency / Verification Boundary</w:t>
      </w:r>
    </w:p>
    <w:p>
      <w:r>
        <w:t>Schema design must support the semantic requirement that duplicate provider events do not create duplicate commercial outcomes and that fulfillment follows verified payment confirmation. However, the exact idempotency table, key structure, unique constraint, locking strategy and verification persistence model remain OPEN downstream because MADCR-003 explicitly excludes those mechanics. fileciteturn24file7</w:t>
      </w:r>
    </w:p>
    <w:p>
      <w:pPr>
        <w:pStyle w:val="Heading1"/>
      </w:pPr>
      <w:r>
        <w:t>11. Provider Independence</w:t>
      </w:r>
    </w:p>
    <w:p>
      <w:r>
        <w:t>No provider-specific core schema is authorized by this impact. Provider-specific data may require an adapter-owned representation later, but Payment Core must remain provider-independent and replaceable. MADCR-002 explicitly requires isolation of provider-specific integration behind the adapter boundary. fileciteturn23file11</w:t>
      </w:r>
    </w:p>
    <w:p>
      <w:pPr>
        <w:pStyle w:val="Heading1"/>
      </w:pPr>
      <w:r>
        <w:t>12. Reconciliation Schema Boundary</w:t>
      </w:r>
    </w:p>
    <w:p>
      <w:r>
        <w:t>Reconciliation requires enough persistent evidence to compare internal payment records, provider transaction status, order status, subscription state and entitlement fulfillment. It is a first-class capability, but reconciliation findings must not automatically mutate entitlement/quota/subscription without separate authorization. The exact reconciliation table/state model remains downstream.</w:t>
      </w:r>
    </w:p>
    <w:p>
      <w:pPr>
        <w:pStyle w:val="Heading1"/>
      </w:pPr>
      <w:r>
        <w:t>13. Refund / Chargeback Boundary</w:t>
      </w:r>
    </w:p>
    <w:p>
      <w:r>
        <w:t>Refund and chargeback events must be represented separately from ordinary payment success and historical payment records must not be deleted. The resulting commercial-state policy is still downstream/open.</w:t>
      </w:r>
    </w:p>
    <w:p>
      <w:pPr>
        <w:pStyle w:val="Heading1"/>
      </w:pPr>
      <w:r>
        <w:t>14. Schema Items Deliberately NOT Locked</w:t>
      </w:r>
    </w:p>
    <w:p>
      <w:pPr>
        <w:pStyle w:val="ListBullet"/>
      </w:pPr>
      <w:r>
        <w:t>Final table/entity names.</w:t>
      </w:r>
    </w:p>
    <w:p>
      <w:pPr>
        <w:pStyle w:val="ListBullet"/>
      </w:pPr>
      <w:r>
        <w:t>Primary keys and foreign keys.</w:t>
      </w:r>
    </w:p>
    <w:p>
      <w:pPr>
        <w:pStyle w:val="ListBullet"/>
      </w:pPr>
      <w:r>
        <w:t>Cardinality and cascade rules.</w:t>
      </w:r>
    </w:p>
    <w:p>
      <w:pPr>
        <w:pStyle w:val="ListBullet"/>
      </w:pPr>
      <w:r>
        <w:t>Exact state enums.</w:t>
      </w:r>
    </w:p>
    <w:p>
      <w:pPr>
        <w:pStyle w:val="ListBullet"/>
      </w:pPr>
      <w:r>
        <w:t>Exact indexes/constraints.</w:t>
      </w:r>
    </w:p>
    <w:p>
      <w:pPr>
        <w:pStyle w:val="ListBullet"/>
      </w:pPr>
      <w:r>
        <w:t>Exact idempotency storage.</w:t>
      </w:r>
    </w:p>
    <w:p>
      <w:pPr>
        <w:pStyle w:val="ListBullet"/>
      </w:pPr>
      <w:r>
        <w:t>Exact verification storage.</w:t>
      </w:r>
    </w:p>
    <w:p>
      <w:pPr>
        <w:pStyle w:val="ListBullet"/>
      </w:pPr>
      <w:r>
        <w:t>Provider-specific fields.</w:t>
      </w:r>
    </w:p>
    <w:p>
      <w:pPr>
        <w:pStyle w:val="ListBullet"/>
      </w:pPr>
      <w:r>
        <w:t>RLS policies.</w:t>
      </w:r>
    </w:p>
    <w:p>
      <w:pPr>
        <w:pStyle w:val="ListBullet"/>
      </w:pPr>
      <w:r>
        <w:t>Migration numbering and SQL.</w:t>
      </w:r>
    </w:p>
    <w:p>
      <w:pPr>
        <w:pStyle w:val="ListBullet"/>
      </w:pPr>
      <w:r>
        <w:t>Physical partitioning or deployment strategy.</w:t>
      </w:r>
    </w:p>
    <w:p>
      <w:pPr>
        <w:pStyle w:val="Heading1"/>
      </w:pPr>
      <w:r>
        <w:t>15. Impact Classification</w:t>
      </w:r>
    </w:p>
    <w:p>
      <w:pPr>
        <w:pStyle w:val="ListBullet"/>
      </w:pPr>
      <w:r>
        <w:t>Existing organization/listing/RBAC schema: KEEP + EVOLVE.</w:t>
      </w:r>
    </w:p>
    <w:p>
      <w:pPr>
        <w:pStyle w:val="ListBullet"/>
      </w:pPr>
      <w:r>
        <w:t>Commercial entities: MISSING → ADD through controlled ERD/schema evolution.</w:t>
      </w:r>
    </w:p>
    <w:p>
      <w:pPr>
        <w:pStyle w:val="ListBullet"/>
      </w:pPr>
      <w:r>
        <w:t>Payment transaction model: MISSING → ADD.</w:t>
      </w:r>
    </w:p>
    <w:p>
      <w:pPr>
        <w:pStyle w:val="ListBullet"/>
      </w:pPr>
      <w:r>
        <w:t>Quota capacity/pool/allocation model: MISSING → ADD.</w:t>
      </w:r>
    </w:p>
    <w:p>
      <w:pPr>
        <w:pStyle w:val="ListBullet"/>
      </w:pPr>
      <w:r>
        <w:t>Verification/idempotency/reconciliation persistence: CAPABILITY REQUIREMENT → physical representation remains OPEN.</w:t>
      </w:r>
    </w:p>
    <w:p>
      <w:pPr>
        <w:pStyle w:val="ListBullet"/>
      </w:pPr>
      <w:r>
        <w:t>Provider Adapter: ARCHITECTURAL BOUNDARY, not automatically a core application table.</w:t>
      </w:r>
    </w:p>
    <w:p>
      <w:pPr>
        <w:pStyle w:val="Heading1"/>
      </w:pPr>
      <w:r>
        <w:t>16. Gate Result</w:t>
      </w:r>
    </w:p>
    <w:p>
      <w:r>
        <w:t>PASS WITH PHYSICAL DESIGN OPEN. Logical schema impact is sufficiently defined to proceed to the next downstream artifact, Payment Integration Contract. No migration or physical database implementation is authorized by this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