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AEP #1 — Payment Integration Contract Impact Specification</w:t>
      </w:r>
    </w:p>
    <w:p>
      <w:r>
        <w:t>RumahAgen | Monetization / Commercial + Payment | Synchronization Working Artifact</w:t>
      </w:r>
    </w:p>
    <w:p>
      <w:pPr>
        <w:pStyle w:val="Heading1"/>
      </w:pPr>
      <w:r>
        <w:t>1. Purpose</w:t>
      </w:r>
    </w:p>
    <w:p>
      <w:r>
        <w:t>Mendefinisikan impact dan boundary untuk Payment Integration Contract sebagai downstream artifact setelah Schema dan sebelum API. Dokumen ini menetapkan semantic contract requirements yang didukung source, tanpa mengunci provider-specific implementation, endpoint, webhook mechanics, atau vendor selection.</w:t>
      </w:r>
    </w:p>
    <w:p>
      <w:pPr>
        <w:pStyle w:val="Heading1"/>
      </w:pPr>
      <w:r>
        <w:t>2. Source Basis</w:t>
      </w:r>
    </w:p>
    <w:p>
      <w:pPr>
        <w:pStyle w:val="ListBullet"/>
      </w:pPr>
      <w:r>
        <w:t>AEP Monetization secara eksplisit menempatkan Payment Integration Contract setelah Schema dan sebelum API dalam downstream update order. fileciteturn23file1turn23file12</w:t>
      </w:r>
    </w:p>
    <w:p>
      <w:pPr>
        <w:pStyle w:val="ListBullet"/>
      </w:pPr>
      <w:r>
        <w:t>MADCR-011 menetapkan Payment sebagai subdomain Commercial/M14 dan mengizinkan internal Payment boundary, tetapi tidak menyetujui API contract, webhook implementation, schema atau migration. fileciteturn23file9</w:t>
      </w:r>
    </w:p>
    <w:p>
      <w:pPr>
        <w:pStyle w:val="ListBullet"/>
      </w:pPr>
      <w:r>
        <w:t>MADCR-002 mengunci Provider Adapter Boundary dan provider independence, tetapi secara eksplisit tidak mengotorisasi API endpoint/contract atau webhook implementation. fileciteturn23file2turn23file14</w:t>
      </w:r>
    </w:p>
    <w:p>
      <w:pPr>
        <w:pStyle w:val="ListBullet"/>
      </w:pPr>
      <w:r>
        <w:t>MADCR-003 mengunci verified payment confirmation dan idempotent fulfillment, tetapi tidak mengunci webhook endpoint, verification algorithm, async/sync mechanism, queue, retry algorithm atau API contract. fileciteturn23file0</w:t>
      </w:r>
    </w:p>
    <w:p>
      <w:pPr>
        <w:pStyle w:val="ListBullet"/>
      </w:pPr>
      <w:r>
        <w:t>MADCR-005 mengunci reconciliation sebagai first-class capability tetapi tidak mengunci API contract, scheduling, physical schema atau remediation mechanics. fileciteturn23file10</w:t>
      </w:r>
    </w:p>
    <w:p>
      <w:pPr>
        <w:pStyle w:val="Heading1"/>
      </w:pPr>
      <w:r>
        <w:t>3. Contract Boundary</w:t>
      </w:r>
    </w:p>
    <w:p>
      <w:r>
        <w:t>Payment Integration Contract menjadi boundary antara Payment Core dan provider integration adapter. Contract harus memungkinkan Payment Core tetap provider-independent dan memungkinkan provider replacement tanpa coupling fundamental.</w:t>
      </w:r>
    </w:p>
    <w:p>
      <w:pPr>
        <w:pStyle w:val="Heading1"/>
      </w:pPr>
      <w:r>
        <w:t>4. Provider Adapter Contract</w:t>
      </w:r>
    </w:p>
    <w:p>
      <w:pPr>
        <w:pStyle w:val="ListBullet"/>
      </w:pPr>
      <w:r>
        <w:t>Input/operation semantics from Payment Core must be provider-neutral.</w:t>
      </w:r>
    </w:p>
    <w:p>
      <w:pPr>
        <w:pStyle w:val="ListBullet"/>
      </w:pPr>
      <w:r>
        <w:t>Provider-specific request/response transformation belongs behind the Provider Adapter Boundary.</w:t>
      </w:r>
    </w:p>
    <w:p>
      <w:pPr>
        <w:pStyle w:val="ListBullet"/>
      </w:pPr>
      <w:r>
        <w:t>Provider credentials, provider-specific payloads and provider mechanics must not leak into the core commercial contract.</w:t>
      </w:r>
    </w:p>
    <w:p>
      <w:pPr>
        <w:pStyle w:val="ListBullet"/>
      </w:pPr>
      <w:r>
        <w:t>The contract must permit more than one provider adapter and provider replacement.</w:t>
      </w:r>
    </w:p>
    <w:p>
      <w:pPr>
        <w:pStyle w:val="ListBullet"/>
      </w:pPr>
      <w:r>
        <w:t>Vendor/provider selection remains separate research/governance under MADCR-058; the contract does not select a vendor.</w:t>
      </w:r>
    </w:p>
    <w:p>
      <w:pPr>
        <w:pStyle w:val="Heading1"/>
      </w:pPr>
      <w:r>
        <w:t>5. Payment Result / Verification Contract</w:t>
      </w:r>
    </w:p>
    <w:p>
      <w:pPr>
        <w:pStyle w:val="ListBullet"/>
      </w:pPr>
      <w:r>
        <w:t>Provider Adapter may return a provider result/callback-derived payment result to the Payment Core boundary.</w:t>
      </w:r>
    </w:p>
    <w:p>
      <w:pPr>
        <w:pStyle w:val="ListBullet"/>
      </w:pPr>
      <w:r>
        <w:t>Provider callback receipt alone is not equivalent to confirmed payment.</w:t>
      </w:r>
    </w:p>
    <w:p>
      <w:pPr>
        <w:pStyle w:val="ListBullet"/>
      </w:pPr>
      <w:r>
        <w:t>A verification step is mandatory before commercial fulfillment.</w:t>
      </w:r>
    </w:p>
    <w:p>
      <w:pPr>
        <w:pStyle w:val="ListBullet"/>
      </w:pPr>
      <w:r>
        <w:t>The contract must carry sufficient provider transaction/reference identity to support verification and idempotency.</w:t>
      </w:r>
    </w:p>
    <w:p>
      <w:pPr>
        <w:pStyle w:val="ListBullet"/>
      </w:pPr>
      <w:r>
        <w:t>The semantic flow is Provider Adapter → Provider Result → Verification → Idempotency Check → Payment Confirmed → Commercial Fulfillment.</w:t>
      </w:r>
    </w:p>
    <w:p>
      <w:pPr>
        <w:pStyle w:val="Heading1"/>
      </w:pPr>
      <w:r>
        <w:t>6. Idempotency Contract</w:t>
      </w:r>
    </w:p>
    <w:p>
      <w:pPr>
        <w:pStyle w:val="ListBullet"/>
      </w:pPr>
      <w:r>
        <w:t>Repeated or retried provider events must be safely recognizable as duplicates.</w:t>
      </w:r>
    </w:p>
    <w:p>
      <w:pPr>
        <w:pStyle w:val="ListBullet"/>
      </w:pPr>
      <w:r>
        <w:t>One provider event must not create duplicate subscription, add-on, quota or other commercial fulfillment outcomes.</w:t>
      </w:r>
    </w:p>
    <w:p>
      <w:pPr>
        <w:pStyle w:val="ListBullet"/>
      </w:pPr>
      <w:r>
        <w:t>The contract must preserve a stable provider transaction/reference identity or equivalent evidence required for idempotent processing.</w:t>
      </w:r>
    </w:p>
    <w:p>
      <w:pPr>
        <w:pStyle w:val="ListBullet"/>
      </w:pPr>
      <w:r>
        <w:t>Exact idempotency key generation, storage table, unique constraint, locking and retry/backoff are intentionally not specified here because MADCR-003 excludes those mechanics.</w:t>
      </w:r>
    </w:p>
    <w:p>
      <w:pPr>
        <w:pStyle w:val="Heading1"/>
      </w:pPr>
      <w:r>
        <w:t>7. Confirmed Payment Contract</w:t>
      </w:r>
    </w:p>
    <w:p>
      <w:r>
        <w:t>The Payment Integration Contract must distinguish provider result from the internal state 'Payment Confirmed'. Only the confirmed state may become the input to Commercial Fulfillment.</w:t>
      </w:r>
    </w:p>
    <w:p>
      <w:pPr>
        <w:pStyle w:val="Heading1"/>
      </w:pPr>
      <w:r>
        <w:t>8. Fulfillment Contract Boundary</w:t>
      </w:r>
    </w:p>
    <w:p>
      <w:pPr>
        <w:pStyle w:val="ListBullet"/>
      </w:pPr>
      <w:r>
        <w:t>Confirmed Payment can trigger the commercial fulfillment boundary.</w:t>
      </w:r>
    </w:p>
    <w:p>
      <w:pPr>
        <w:pStyle w:val="ListBullet"/>
      </w:pPr>
      <w:r>
        <w:t>Fulfillment may result in Subscription, Add-on and/or Commercial Entitlement changes according to governing commercial rules.</w:t>
      </w:r>
    </w:p>
    <w:p>
      <w:pPr>
        <w:pStyle w:val="ListBullet"/>
      </w:pPr>
      <w:r>
        <w:t>Payment integration must not directly mutate RBAC.</w:t>
      </w:r>
    </w:p>
    <w:p>
      <w:pPr>
        <w:pStyle w:val="ListBullet"/>
      </w:pPr>
      <w:r>
        <w:t>Commercial Entitlement remains authoritative for Agency/Organization quota capacity under MADCR-010.</w:t>
      </w:r>
    </w:p>
    <w:p>
      <w:pPr>
        <w:pStyle w:val="Heading1"/>
      </w:pPr>
      <w:r>
        <w:t>9. Reconciliation Contract Impact</w:t>
      </w:r>
    </w:p>
    <w:p>
      <w:pPr>
        <w:pStyle w:val="ListBullet"/>
      </w:pPr>
      <w:r>
        <w:t>Payment integration must preserve sufficient references to correlate internal payment records with provider transaction status.</w:t>
      </w:r>
    </w:p>
    <w:p>
      <w:pPr>
        <w:pStyle w:val="ListBullet"/>
      </w:pPr>
      <w:r>
        <w:t>Reconciliation must be able to assess payment, provider, order, subscription and entitlement states.</w:t>
      </w:r>
    </w:p>
    <w:p>
      <w:pPr>
        <w:pStyle w:val="ListBullet"/>
      </w:pPr>
      <w:r>
        <w:t>Refund and chargeback events must be distinguishable from ordinary payment success.</w:t>
      </w:r>
    </w:p>
    <w:p>
      <w:pPr>
        <w:pStyle w:val="ListBullet"/>
      </w:pPr>
      <w:r>
        <w:t>Reconciliation findings do not automatically authorize commercial state mutation.</w:t>
      </w:r>
    </w:p>
    <w:p>
      <w:pPr>
        <w:pStyle w:val="ListBullet"/>
      </w:pPr>
      <w:r>
        <w:t>Historical payment records must not be deleted as a consequence of reconciliation.</w:t>
      </w:r>
    </w:p>
    <w:p>
      <w:pPr>
        <w:pStyle w:val="Heading1"/>
      </w:pPr>
      <w:r>
        <w:t>10. Historical Purchase Snapshot</w:t>
      </w:r>
    </w:p>
    <w:p>
      <w:r>
        <w:t>The user-approved MON-006 decision is a contract requirement for historical commercial integrity: purchase terms must be captured as a commercial-complete snapshot and remain immutable after confirmation. Current Plan/Promotion configuration must not be used to rewrite the historical purchase.</w:t>
      </w:r>
    </w:p>
    <w:p>
      <w:pPr>
        <w:pStyle w:val="Heading1"/>
      </w:pPr>
      <w:r>
        <w:t>11. Error / Exception Semantics</w:t>
      </w:r>
    </w:p>
    <w:p>
      <w:pPr>
        <w:pStyle w:val="ListBullet"/>
      </w:pPr>
      <w:r>
        <w:t>Provider result cannot be treated as confirmed when verification fails or is incomplete.</w:t>
      </w:r>
    </w:p>
    <w:p>
      <w:pPr>
        <w:pStyle w:val="ListBullet"/>
      </w:pPr>
      <w:r>
        <w:t>Duplicate provider event must be idempotently absorbed without duplicate fulfillment.</w:t>
      </w:r>
    </w:p>
    <w:p>
      <w:pPr>
        <w:pStyle w:val="ListBullet"/>
      </w:pPr>
      <w:r>
        <w:t>Provider mismatch/inconsistency must remain observable for reconciliation/audit.</w:t>
      </w:r>
    </w:p>
    <w:p>
      <w:pPr>
        <w:pStyle w:val="ListBullet"/>
      </w:pPr>
      <w:r>
        <w:t>Refund/chargeback must not be silently represented as ordinary payment success.</w:t>
      </w:r>
    </w:p>
    <w:p>
      <w:pPr>
        <w:pStyle w:val="ListBullet"/>
      </w:pPr>
      <w:r>
        <w:t>Exact HTTP status mapping, retry policy, error codes and transport behavior remain API implementation details and are not locked here.</w:t>
      </w:r>
    </w:p>
    <w:p>
      <w:pPr>
        <w:pStyle w:val="Heading1"/>
      </w:pPr>
      <w:r>
        <w:t>12. Security / Trust Boundary</w:t>
      </w:r>
    </w:p>
    <w:p>
      <w:pPr>
        <w:pStyle w:val="ListBullet"/>
      </w:pPr>
      <w:r>
        <w:t>Provider-specific integration is isolated behind the adapter.</w:t>
      </w:r>
    </w:p>
    <w:p>
      <w:pPr>
        <w:pStyle w:val="ListBullet"/>
      </w:pPr>
      <w:r>
        <w:t>Verification is a trust boundary before commercial state mutation.</w:t>
      </w:r>
    </w:p>
    <w:p>
      <w:pPr>
        <w:pStyle w:val="ListBullet"/>
      </w:pPr>
      <w:r>
        <w:t>RBAC/RLS is downstream and separate from payment contract semantics.</w:t>
      </w:r>
    </w:p>
    <w:p>
      <w:pPr>
        <w:pStyle w:val="ListBullet"/>
      </w:pPr>
      <w:r>
        <w:t>No provider credential or secret-management design is specified by this contract artifact.</w:t>
      </w:r>
    </w:p>
    <w:p>
      <w:pPr>
        <w:pStyle w:val="Heading1"/>
      </w:pPr>
      <w:r>
        <w:t>13. Explicit Non-Goals</w:t>
      </w:r>
    </w:p>
    <w:p>
      <w:pPr>
        <w:pStyle w:val="ListBullet"/>
      </w:pPr>
      <w:r>
        <w:t>Payment gateway vendor selection.</w:t>
      </w:r>
    </w:p>
    <w:p>
      <w:pPr>
        <w:pStyle w:val="ListBullet"/>
      </w:pPr>
      <w:r>
        <w:t>Exact API endpoints.</w:t>
      </w:r>
    </w:p>
    <w:p>
      <w:pPr>
        <w:pStyle w:val="ListBullet"/>
      </w:pPr>
      <w:r>
        <w:t>HTTP methods and status codes.</w:t>
      </w:r>
    </w:p>
    <w:p>
      <w:pPr>
        <w:pStyle w:val="ListBullet"/>
      </w:pPr>
      <w:r>
        <w:t>Webhook endpoint design.</w:t>
      </w:r>
    </w:p>
    <w:p>
      <w:pPr>
        <w:pStyle w:val="ListBullet"/>
      </w:pPr>
      <w:r>
        <w:t>Webhook signature algorithm.</w:t>
      </w:r>
    </w:p>
    <w:p>
      <w:pPr>
        <w:pStyle w:val="ListBullet"/>
      </w:pPr>
      <w:r>
        <w:t>Synchronous vs asynchronous mechanism.</w:t>
      </w:r>
    </w:p>
    <w:p>
      <w:pPr>
        <w:pStyle w:val="ListBullet"/>
      </w:pPr>
      <w:r>
        <w:t>Polling vs callback implementation.</w:t>
      </w:r>
    </w:p>
    <w:p>
      <w:pPr>
        <w:pStyle w:val="ListBullet"/>
      </w:pPr>
      <w:r>
        <w:t>Queue/event bus.</w:t>
      </w:r>
    </w:p>
    <w:p>
      <w:pPr>
        <w:pStyle w:val="ListBullet"/>
      </w:pPr>
      <w:r>
        <w:t>Retry/backoff algorithm.</w:t>
      </w:r>
    </w:p>
    <w:p>
      <w:pPr>
        <w:pStyle w:val="ListBullet"/>
      </w:pPr>
      <w:r>
        <w:t>Exact idempotency database design.</w:t>
      </w:r>
    </w:p>
    <w:p>
      <w:pPr>
        <w:pStyle w:val="ListBullet"/>
      </w:pPr>
      <w:r>
        <w:t>Physical ERD/schema/migration.</w:t>
      </w:r>
    </w:p>
    <w:p>
      <w:pPr>
        <w:pStyle w:val="ListBullet"/>
      </w:pPr>
      <w:r>
        <w:t>Refund/chargeback business policy.</w:t>
      </w:r>
    </w:p>
    <w:p>
      <w:pPr>
        <w:pStyle w:val="ListBullet"/>
      </w:pPr>
      <w:r>
        <w:t>UI implementation.</w:t>
      </w:r>
    </w:p>
    <w:p>
      <w:pPr>
        <w:pStyle w:val="Heading1"/>
      </w:pPr>
      <w:r>
        <w:t>14. Contract Readiness Classification</w:t>
      </w:r>
    </w:p>
    <w:p>
      <w:pPr>
        <w:pStyle w:val="ListBullet"/>
      </w:pPr>
      <w:r>
        <w:t>Provider Adapter boundary: GOVERNING.</w:t>
      </w:r>
    </w:p>
    <w:p>
      <w:pPr>
        <w:pStyle w:val="ListBullet"/>
      </w:pPr>
      <w:r>
        <w:t>Verification before fulfillment: GOVERNING.</w:t>
      </w:r>
    </w:p>
    <w:p>
      <w:pPr>
        <w:pStyle w:val="ListBullet"/>
      </w:pPr>
      <w:r>
        <w:t>Idempotent fulfillment: GOVERNING.</w:t>
      </w:r>
    </w:p>
    <w:p>
      <w:pPr>
        <w:pStyle w:val="ListBullet"/>
      </w:pPr>
      <w:r>
        <w:t>Reconciliation capability: GOVERNING.</w:t>
      </w:r>
    </w:p>
    <w:p>
      <w:pPr>
        <w:pStyle w:val="ListBullet"/>
      </w:pPr>
      <w:r>
        <w:t>Historical commercial snapshot: DECIDED by user; formal governance packaging downstream.</w:t>
      </w:r>
    </w:p>
    <w:p>
      <w:pPr>
        <w:pStyle w:val="ListBullet"/>
      </w:pPr>
      <w:r>
        <w:t>Exact transport/API contract: OPEN downstream detail.</w:t>
      </w:r>
    </w:p>
    <w:p>
      <w:pPr>
        <w:pStyle w:val="ListBullet"/>
      </w:pPr>
      <w:r>
        <w:t>Provider selection: SEPARATE research/governance.</w:t>
      </w:r>
    </w:p>
    <w:p>
      <w:pPr>
        <w:pStyle w:val="Heading1"/>
      </w:pPr>
      <w:r>
        <w:t>15. Gate Result</w:t>
      </w:r>
    </w:p>
    <w:p>
      <w:r>
        <w:t>PASS WITH API-LEVEL DETAIL OPEN. The Payment Integration Contract semantic boundary is defined and consistent with MADCR-011, MADCR-002, MADCR-003 and MADCR-005. Exact API contract remains the next downstream implementation/design layer.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