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Engineering Guidebook / Playbook Impact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Mendokumentasikan aturan engineering yang harus berubah/ditambahkan sebagai konsekuensi AEP #1. Dokumen ini tidak mengklaim bahwa Engineering Guidebook/Playbook current sudah tersinkron, karena source yang berhasil diretrieve pada pass ini tidak menyediakan isi lengkap current Engineering Guidebook/Playbook.</w:t>
      </w:r>
    </w:p>
    <w:p>
      <w:pPr>
        <w:pStyle w:val="Heading1"/>
      </w:pPr>
      <w:r>
        <w:t>2. Source Basis</w:t>
      </w:r>
    </w:p>
    <w:p>
      <w:pPr>
        <w:pStyle w:val="ListBullet"/>
      </w:pPr>
      <w:r>
        <w:t>AEP Monetization menetapkan Engineering Guidebook/Playbook sebagai downstream artifact dan meminta update jika implementation rules berubah. fileciteturn25file0turn25file3</w:t>
      </w:r>
    </w:p>
    <w:p>
      <w:pPr>
        <w:pStyle w:val="ListBullet"/>
      </w:pPr>
      <w:r>
        <w:t>AEP mensyaratkan exact terminology dipertahankan dan missing commercial decisions ditandai OPEN DECISION, bukan ditebak. fileciteturn25file0</w:t>
      </w:r>
    </w:p>
    <w:p>
      <w:pPr>
        <w:pStyle w:val="ListBullet"/>
      </w:pPr>
      <w:r>
        <w:t>Business Rules Baseline tetap normative; AEP hanya menerjemahkan business rules ke architecture/engineering requirements. fileciteturn25file16</w:t>
      </w:r>
    </w:p>
    <w:p>
      <w:pPr>
        <w:pStyle w:val="ListBullet"/>
      </w:pPr>
      <w:r>
        <w:t>The source corpus also requires no downstream document to contradict BR-001–BR-151 and requires a BR traceability matrix. fileciteturn25file0</w:t>
      </w:r>
    </w:p>
    <w:p>
      <w:pPr>
        <w:pStyle w:val="Heading1"/>
      </w:pPr>
      <w:r>
        <w:t>3. Evidence Limitation</w:t>
      </w:r>
    </w:p>
    <w:p>
      <w:r>
        <w:t>Current Engineering Guidebook/Playbook content was not retrieved sufficiently to perform a section-by-section current-versus-target diff. Therefore this artifact is a TARGET IMPACT SPECIFICATION, not a claim that the current guidebook is already aligned or conflicting.</w:t>
      </w:r>
    </w:p>
    <w:p>
      <w:pPr>
        <w:pStyle w:val="Heading1"/>
      </w:pPr>
      <w:r>
        <w:t>4. Engineering Rules to Add / Evolve</w:t>
      </w:r>
    </w:p>
    <w:p>
      <w:pPr>
        <w:pStyle w:val="ListBullet"/>
      </w:pPr>
      <w:r>
        <w:t>Preserve exact domain terminology: Subscription, Pro, Free, Permanent Add-on, Promotional Add-on, Promotion Expiry, Personal Entitlement, Agency Entitlement, Commercial Entitlement, Payment Core, Provider Adapter, Confirmed Payment, Fulfillment, Allocation, Usage.</w:t>
      </w:r>
    </w:p>
    <w:p>
      <w:pPr>
        <w:pStyle w:val="ListBullet"/>
      </w:pPr>
      <w:r>
        <w:t>Do not hard-code configurable commercial parameters such as initial Free grant quantity, plan price, add-on price/quantity, promotion period/benefit/discount, payment provider activation or supported payment methods.</w:t>
      </w:r>
    </w:p>
    <w:p>
      <w:pPr>
        <w:pStyle w:val="ListBullet"/>
      </w:pPr>
      <w:r>
        <w:t>Persist actual granted quantity for configurable initial Free grant so historical entitlement remains auditable.</w:t>
      </w:r>
    </w:p>
    <w:p>
      <w:pPr>
        <w:pStyle w:val="ListBullet"/>
      </w:pPr>
      <w:r>
        <w:t>Configuration changes must not rewrite or reissue historical grants/purchases.</w:t>
      </w:r>
    </w:p>
    <w:p>
      <w:pPr>
        <w:pStyle w:val="ListBullet"/>
      </w:pPr>
      <w:r>
        <w:t>Implement payment processing so provider-specific logic is isolated behind Provider Adapter.</w:t>
      </w:r>
    </w:p>
    <w:p>
      <w:pPr>
        <w:pStyle w:val="ListBullet"/>
      </w:pPr>
      <w:r>
        <w:t>Do not allow webhook/provider callback receipt alone to trigger commercial fulfillment.</w:t>
      </w:r>
    </w:p>
    <w:p>
      <w:pPr>
        <w:pStyle w:val="ListBullet"/>
      </w:pPr>
      <w:r>
        <w:t>Enforce verification before confirmed payment and idempotency before fulfillment.</w:t>
      </w:r>
    </w:p>
    <w:p>
      <w:pPr>
        <w:pStyle w:val="ListBullet"/>
      </w:pPr>
      <w:r>
        <w:t>Repeated provider events must not duplicate subscription, add-on, quota or other commercial outcomes.</w:t>
      </w:r>
    </w:p>
    <w:p>
      <w:pPr>
        <w:pStyle w:val="ListBullet"/>
      </w:pPr>
      <w:r>
        <w:t>Keep Payment status, Subscription state, Commercial Entitlement and RBAC authorization as separate state domains.</w:t>
      </w:r>
    </w:p>
    <w:p>
      <w:pPr>
        <w:pStyle w:val="ListBullet"/>
      </w:pPr>
      <w:r>
        <w:t>Treat reconciliation as detection/audit capability; do not silently auto-remediate entitlement/quota/subscription.</w:t>
      </w:r>
    </w:p>
    <w:p>
      <w:pPr>
        <w:pStyle w:val="ListBullet"/>
      </w:pPr>
      <w:r>
        <w:t>Preserve immutable historical commercial purchase snapshot after confirmation.</w:t>
      </w:r>
    </w:p>
    <w:p>
      <w:pPr>
        <w:pStyle w:val="ListBullet"/>
      </w:pPr>
      <w:r>
        <w:t>Do not make listing itself the quota authority; preserve Entitlement → Quota Capacity → Pool → Allocation/Usage separation.</w:t>
      </w:r>
    </w:p>
    <w:p>
      <w:pPr>
        <w:pStyle w:val="ListBullet"/>
      </w:pPr>
      <w:r>
        <w:t>All affected operations must be designed for idempotent execution where required by the governing architecture/business rules.</w:t>
      </w:r>
    </w:p>
    <w:p>
      <w:pPr>
        <w:pStyle w:val="Heading1"/>
      </w:pPr>
      <w:r>
        <w:t>5. Configuration Safety Rules</w:t>
      </w:r>
    </w:p>
    <w:p>
      <w:pPr>
        <w:pStyle w:val="ListBullet"/>
      </w:pPr>
      <w:r>
        <w:t>Commercial configuration is data/configuration, not application-code constants.</w:t>
      </w:r>
    </w:p>
    <w:p>
      <w:pPr>
        <w:pStyle w:val="ListBullet"/>
      </w:pPr>
      <w:r>
        <w:t>Changing a configurable parameter affects future eligible operations according to the governing configuration/effective-date policy.</w:t>
      </w:r>
    </w:p>
    <w:p>
      <w:pPr>
        <w:pStyle w:val="ListBullet"/>
      </w:pPr>
      <w:r>
        <w:t>Already-issued grants/purchases remain historically correct.</w:t>
      </w:r>
    </w:p>
    <w:p>
      <w:pPr>
        <w:pStyle w:val="ListBullet"/>
      </w:pPr>
      <w:r>
        <w:t>Configuration changes must not reset consumed quota or create duplicate initial grants.</w:t>
      </w:r>
    </w:p>
    <w:p>
      <w:pPr>
        <w:pStyle w:val="ListBullet"/>
      </w:pPr>
      <w:r>
        <w:t>Configuration administration itself remains subject to RBAC and audit.</w:t>
      </w:r>
    </w:p>
    <w:p>
      <w:pPr>
        <w:pStyle w:val="Heading1"/>
      </w:pPr>
      <w:r>
        <w:t>6. Payment Engineering Boundary</w:t>
      </w:r>
    </w:p>
    <w:p>
      <w:pPr>
        <w:pStyle w:val="ListBullet"/>
      </w:pPr>
      <w:r>
        <w:t>Core application code must not directly couple to a single payment provider.</w:t>
      </w:r>
    </w:p>
    <w:p>
      <w:pPr>
        <w:pStyle w:val="ListBullet"/>
      </w:pPr>
      <w:r>
        <w:t>Provider Adapter isolates provider-specific request/response/callback mechanics.</w:t>
      </w:r>
    </w:p>
    <w:p>
      <w:pPr>
        <w:pStyle w:val="ListBullet"/>
      </w:pPr>
      <w:r>
        <w:t>Payment Core remains provider-independent.</w:t>
      </w:r>
    </w:p>
    <w:p>
      <w:pPr>
        <w:pStyle w:val="ListBullet"/>
      </w:pPr>
      <w:r>
        <w:t>Provider selection is separate from provider adapter architecture.</w:t>
      </w:r>
    </w:p>
    <w:p>
      <w:pPr>
        <w:pStyle w:val="ListBullet"/>
      </w:pPr>
      <w:r>
        <w:t>Verification and idempotency form a trust boundary before commercial state mutation.</w:t>
      </w:r>
    </w:p>
    <w:p>
      <w:pPr>
        <w:pStyle w:val="Heading1"/>
      </w:pPr>
      <w:r>
        <w:t>7. Data / Audit Engineering Rules</w:t>
      </w:r>
    </w:p>
    <w:p>
      <w:pPr>
        <w:pStyle w:val="ListBullet"/>
      </w:pPr>
      <w:r>
        <w:t>Commercial history must preserve product/plan, price, promotion, promotion validity, transaction/reference, payment provider, payment status, fulfillment result, entitlement source and subscription transition where applicable.</w:t>
      </w:r>
    </w:p>
    <w:p>
      <w:pPr>
        <w:pStyle w:val="ListBullet"/>
      </w:pPr>
      <w:r>
        <w:t>Historical records must not be silently rewritten when configuration changes.</w:t>
      </w:r>
    </w:p>
    <w:p>
      <w:pPr>
        <w:pStyle w:val="ListBullet"/>
      </w:pPr>
      <w:r>
        <w:t>Reconciliation must have sufficient evidence to correlate payment/provider/order/subscription/entitlement state.</w:t>
      </w:r>
    </w:p>
    <w:p>
      <w:pPr>
        <w:pStyle w:val="ListBullet"/>
      </w:pPr>
      <w:r>
        <w:t>Refund/chargeback records are distinct from ordinary payment success.</w:t>
      </w:r>
    </w:p>
    <w:p>
      <w:pPr>
        <w:pStyle w:val="Heading1"/>
      </w:pPr>
      <w:r>
        <w:t>8. Testing / Quality Hooks to Be Carried Forward</w:t>
      </w:r>
    </w:p>
    <w:p>
      <w:pPr>
        <w:pStyle w:val="ListBullet"/>
      </w:pPr>
      <w:r>
        <w:t>Configuration change does not rewrite historical purchase/grant.</w:t>
      </w:r>
    </w:p>
    <w:p>
      <w:pPr>
        <w:pStyle w:val="ListBullet"/>
      </w:pPr>
      <w:r>
        <w:t>Pro → Free does not reset one-time Free grant history.</w:t>
      </w:r>
    </w:p>
    <w:p>
      <w:pPr>
        <w:pStyle w:val="ListBullet"/>
      </w:pPr>
      <w:r>
        <w:t>Permanent add-on remains according to governing ownership rules.</w:t>
      </w:r>
    </w:p>
    <w:p>
      <w:pPr>
        <w:pStyle w:val="ListBullet"/>
      </w:pPr>
      <w:r>
        <w:t>Promotional add-on follows configured validity.</w:t>
      </w:r>
    </w:p>
    <w:p>
      <w:pPr>
        <w:pStyle w:val="ListBullet"/>
      </w:pPr>
      <w:r>
        <w:t>Duplicate provider event does not duplicate fulfillment.</w:t>
      </w:r>
    </w:p>
    <w:p>
      <w:pPr>
        <w:pStyle w:val="ListBullet"/>
      </w:pPr>
      <w:r>
        <w:t>Unverified provider callback cannot produce confirmed fulfillment.</w:t>
      </w:r>
    </w:p>
    <w:p>
      <w:pPr>
        <w:pStyle w:val="ListBullet"/>
      </w:pPr>
      <w:r>
        <w:t>Payment does not directly mutate RBAC.</w:t>
      </w:r>
    </w:p>
    <w:p>
      <w:pPr>
        <w:pStyle w:val="ListBullet"/>
      </w:pPr>
      <w:r>
        <w:t>Reconciliation detection does not automatically remediate commercial state.</w:t>
      </w:r>
    </w:p>
    <w:p>
      <w:pPr>
        <w:pStyle w:val="ListBullet"/>
      </w:pPr>
      <w:r>
        <w:t>Quota allocation reduction does not delete existing listings.</w:t>
      </w:r>
    </w:p>
    <w:p>
      <w:pPr>
        <w:pStyle w:val="ListBullet"/>
      </w:pPr>
      <w:r>
        <w:t>Provider replacement does not require Payment Core redesign.</w:t>
      </w:r>
    </w:p>
    <w:p>
      <w:pPr>
        <w:pStyle w:val="Heading1"/>
      </w:pPr>
      <w:r>
        <w:t>9. Explicit Non-Goals</w:t>
      </w:r>
    </w:p>
    <w:p>
      <w:pPr>
        <w:pStyle w:val="ListBullet"/>
      </w:pPr>
      <w:r>
        <w:t>No framework/library selection.</w:t>
      </w:r>
    </w:p>
    <w:p>
      <w:pPr>
        <w:pStyle w:val="ListBullet"/>
      </w:pPr>
      <w:r>
        <w:t>No exact code structure.</w:t>
      </w:r>
    </w:p>
    <w:p>
      <w:pPr>
        <w:pStyle w:val="ListBullet"/>
      </w:pPr>
      <w:r>
        <w:t>No provider SDK implementation.</w:t>
      </w:r>
    </w:p>
    <w:p>
      <w:pPr>
        <w:pStyle w:val="ListBullet"/>
      </w:pPr>
      <w:r>
        <w:t>No exact queue/event-bus technology.</w:t>
      </w:r>
    </w:p>
    <w:p>
      <w:pPr>
        <w:pStyle w:val="ListBullet"/>
      </w:pPr>
      <w:r>
        <w:t>No exact database locking implementation.</w:t>
      </w:r>
    </w:p>
    <w:p>
      <w:pPr>
        <w:pStyle w:val="ListBullet"/>
      </w:pPr>
      <w:r>
        <w:t>No endpoint-level API implementation.</w:t>
      </w:r>
    </w:p>
    <w:p>
      <w:pPr>
        <w:pStyle w:val="ListBullet"/>
      </w:pPr>
      <w:r>
        <w:t>No deployment/microservice decision.</w:t>
      </w:r>
    </w:p>
    <w:p>
      <w:pPr>
        <w:pStyle w:val="ListBullet"/>
      </w:pPr>
      <w:r>
        <w:t>No physical migration instructions.</w:t>
      </w:r>
    </w:p>
    <w:p>
      <w:pPr>
        <w:pStyle w:val="Heading1"/>
      </w:pPr>
      <w:r>
        <w:t>10. Gate Result</w:t>
      </w:r>
    </w:p>
    <w:p>
      <w:r>
        <w:t>PASS WITH EVIDENCE LIMITATION. Target engineering rules are defined from the AEP and governing decisions, but current Guidebook/Playbook section-level alignment remains unverified until the exact current artifact is retrieved. This is not a blocker to continue to Test / Business Rule Traceability, but it must remain a traceability caveat in the final AEP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