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#1 — Test Strategy &amp; Business Rule Traceability</w:t>
      </w:r>
    </w:p>
    <w:p>
      <w:r>
        <w:t>RumahAgen | Monetization / Commercial + Payment | Synchronization Working Artifact</w:t>
      </w:r>
    </w:p>
    <w:p>
      <w:pPr>
        <w:pStyle w:val="Heading1"/>
      </w:pPr>
      <w:r>
        <w:t>1. Purpose</w:t>
      </w:r>
    </w:p>
    <w:p>
      <w:r>
        <w:t>Menyelesaikan downstream Test / Business Rule Traceability gate untuk AEP #1. Artifact ini memetakan perubahan architecture/engineering yang sudah disepakati ke business-rule themes dan test obligations, tanpa mengarang nomor BR individual yang tidak berhasil diretrieve dari source.</w:t>
      </w:r>
    </w:p>
    <w:p>
      <w:pPr>
        <w:pStyle w:val="Heading1"/>
      </w:pPr>
      <w:r>
        <w:t>2. Governing Source</w:t>
      </w:r>
    </w:p>
    <w:p>
      <w:pPr>
        <w:pStyle w:val="ListBullet"/>
      </w:pPr>
      <w:r>
        <w:t>Business Rules Baseline v1.0 adalah normative business-logic source dan dikunci sebagai BR-001–BR-151. fileciteturn27file5</w:t>
      </w:r>
    </w:p>
    <w:p>
      <w:pPr>
        <w:pStyle w:val="ListBullet"/>
      </w:pPr>
      <w:r>
        <w:t>AEP Monetization secara eksplisit mensyaratkan contradiction/gap audit terhadap BR-001–BR-151 dan BR Traceability Matrix. fileciteturn26file1</w:t>
      </w:r>
    </w:p>
    <w:p>
      <w:pPr>
        <w:pStyle w:val="ListBullet"/>
      </w:pPr>
      <w:r>
        <w:t>Commercial Business Rules Reconciliation v1.1 tersedia sebagai reconciliation artifact dan berasal dari Commercial BR Baseline, Commercial Traceability Audit, Learning Economy Rules, CAIA dan Title Traceability Reconciliation. fileciteturn27file9</w:t>
      </w:r>
    </w:p>
    <w:p>
      <w:pPr>
        <w:pStyle w:val="ListBullet"/>
      </w:pPr>
      <w:r>
        <w:t>The retrieved corpus also confirms that AEP is a translation/reference and must not override Business Rules. fileciteturn27file16</w:t>
      </w:r>
    </w:p>
    <w:p>
      <w:pPr>
        <w:pStyle w:val="Heading1"/>
      </w:pPr>
      <w:r>
        <w:t>3. Evidence Limitation — Important</w:t>
      </w:r>
    </w:p>
    <w:p>
      <w:r>
        <w:t>The exact individual BR-001 through BR-151 rule texts were not retrieved in this search pass. Therefore this document does NOT claim false one-to-one BR number mappings. Instead it records traceability by verified rule/theme and marks exact BR-ID mapping as EVIDENCE GAP pending retrieval of the canonical Business Rules file or traceability audit containing the individual mappings.</w:t>
      </w:r>
    </w:p>
    <w:p>
      <w:pPr>
        <w:pStyle w:val="Heading1"/>
      </w:pPr>
      <w:r>
        <w:t>4. Traceability Matrix — Verified Themes</w:t>
      </w:r>
    </w:p>
    <w:p>
      <w:pPr>
        <w:pStyle w:val="ListBullet"/>
      </w:pPr>
      <w:r>
        <w:t>Free activation grant → configurable quantity + one-time grant history + no reset on Pro → Free → ERD/Schema/API/Admin/Test.</w:t>
      </w:r>
    </w:p>
    <w:p>
      <w:pPr>
        <w:pStyle w:val="ListBullet"/>
      </w:pPr>
      <w:r>
        <w:t>Permanent Add-on → permanent validity/ownership semantics + survives applicable plan transition → entitlement/schema/API/User Flow/Test.</w:t>
      </w:r>
    </w:p>
    <w:p>
      <w:pPr>
        <w:pStyle w:val="ListBullet"/>
      </w:pPr>
      <w:r>
        <w:t>Promotional Add-on → promotion-defined validity/expiry → entitlement/schema/API/User Flow/Test.</w:t>
      </w:r>
    </w:p>
    <w:p>
      <w:pPr>
        <w:pStyle w:val="ListBullet"/>
      </w:pPr>
      <w:r>
        <w:t>Agency quota allocation → allocation distinct from actual listing usage; reducing allocation does not delete existing listings → quota schema/API/User Flow/Test.</w:t>
      </w:r>
    </w:p>
    <w:p>
      <w:pPr>
        <w:pStyle w:val="ListBullet"/>
      </w:pPr>
      <w:r>
        <w:t>Subscription ≠ Entitlement ≠ RBAC → domain/API/RBAC/User Flow/PRD/Test.</w:t>
      </w:r>
    </w:p>
    <w:p>
      <w:pPr>
        <w:pStyle w:val="ListBullet"/>
      </w:pPr>
      <w:r>
        <w:t>Payment status ≠ Entitlement status → payment domain/API/schema/User Flow/Test.</w:t>
      </w:r>
    </w:p>
    <w:p>
      <w:pPr>
        <w:pStyle w:val="ListBullet"/>
      </w:pPr>
      <w:r>
        <w:t>Payment provider independence → Provider Adapter boundary → architecture/contract/API/Test.</w:t>
      </w:r>
    </w:p>
    <w:p>
      <w:pPr>
        <w:pStyle w:val="ListBullet"/>
      </w:pPr>
      <w:r>
        <w:t>Verified payment → verification before confirmed payment and fulfillment → contract/API/Test.</w:t>
      </w:r>
    </w:p>
    <w:p>
      <w:pPr>
        <w:pStyle w:val="ListBullet"/>
      </w:pPr>
      <w:r>
        <w:t>Idempotent fulfillment → duplicate provider event cannot duplicate subscription/add-on/quota/fulfillment → schema/contract/API/Test.</w:t>
      </w:r>
    </w:p>
    <w:p>
      <w:pPr>
        <w:pStyle w:val="ListBullet"/>
      </w:pPr>
      <w:r>
        <w:t>Reconciliation → detect/audit inconsistency without automatic remediation → schema/API/RBAC/User Flow/Test.</w:t>
      </w:r>
    </w:p>
    <w:p>
      <w:pPr>
        <w:pStyle w:val="ListBullet"/>
      </w:pPr>
      <w:r>
        <w:t>Historical purchase snapshot → commercial-complete immutable snapshot after confirmation → schema/API/User Flow/PRD/Test.</w:t>
      </w:r>
    </w:p>
    <w:p>
      <w:pPr>
        <w:pStyle w:val="ListBullet"/>
      </w:pPr>
      <w:r>
        <w:t>Configurable commercial parameters → no hard-coded prices/quantities/promotion/payment activation → configuration/API/Admin/Test.</w:t>
      </w:r>
    </w:p>
    <w:p>
      <w:pPr>
        <w:pStyle w:val="ListBullet"/>
      </w:pPr>
      <w:r>
        <w:t>Payment beta mode → payment-ready but inactive during free beta → configuration/PRD/Test.</w:t>
      </w:r>
    </w:p>
    <w:p>
      <w:pPr>
        <w:pStyle w:val="ListBullet"/>
      </w:pPr>
      <w:r>
        <w:t>Refund/Chargeback → separate representation from ordinary payment success; historical payment record retained → schema/API/Test.</w:t>
      </w:r>
    </w:p>
    <w:p>
      <w:pPr>
        <w:pStyle w:val="Heading1"/>
      </w:pPr>
      <w:r>
        <w:t>5. Architecture Decision Traceability</w:t>
      </w:r>
    </w:p>
    <w:p>
      <w:pPr>
        <w:pStyle w:val="ListBullet"/>
      </w:pPr>
      <w:r>
        <w:t>MADCR-010 → Commercial Entitlement authority for Agency/Organization quota capacity → ERD/Schema/API/RBAC/User Flow/PRD/Test.</w:t>
      </w:r>
    </w:p>
    <w:p>
      <w:pPr>
        <w:pStyle w:val="ListBullet"/>
      </w:pPr>
      <w:r>
        <w:t>MADCR-011 → Payment belongs to M14 Commercial Payment Subdomain → Domain Model/ERD/Schema/Contract/API/Test.</w:t>
      </w:r>
    </w:p>
    <w:p>
      <w:pPr>
        <w:pStyle w:val="ListBullet"/>
      </w:pPr>
      <w:r>
        <w:t>MADCR-002 → Provider-independent Payment Core + Provider Adapter → Contract/API/Engineering/Test.</w:t>
      </w:r>
    </w:p>
    <w:p>
      <w:pPr>
        <w:pStyle w:val="ListBullet"/>
      </w:pPr>
      <w:r>
        <w:t>MADCR-003 → Verified + idempotent fulfillment → Contract/API/Schema/Engineering/Test.</w:t>
      </w:r>
    </w:p>
    <w:p>
      <w:pPr>
        <w:pStyle w:val="ListBullet"/>
      </w:pPr>
      <w:r>
        <w:t>MADCR-005 → Reconciliation first-class, no automatic remediation → Schema/API/RBAC/User Flow/Engineering/Test.</w:t>
      </w:r>
    </w:p>
    <w:p>
      <w:pPr>
        <w:pStyle w:val="Heading1"/>
      </w:pPr>
      <w:r>
        <w:t>6. MON-006 Decision Traceability</w:t>
      </w:r>
    </w:p>
    <w:p>
      <w:r>
        <w:t>User decision input: historical purchase is mandatory snapshot; snapshot scope is commercial-complete; snapshot is immutable after confirmed transaction. Trace target: Domain Model → Schema → Payment Integration Contract → API → User Flow → PRD → Engineering → Test.</w:t>
      </w:r>
    </w:p>
    <w:p>
      <w:pPr>
        <w:pStyle w:val="Heading1"/>
      </w:pPr>
      <w:r>
        <w:t>7. Minimum Acceptance Scenario Matrix</w:t>
      </w:r>
    </w:p>
    <w:p>
      <w:pPr>
        <w:pStyle w:val="ListBullet"/>
      </w:pPr>
      <w:r>
        <w:t>Initial Free grant is issued once per eligible Agency activation and configuration changes do not issue a second grant.</w:t>
      </w:r>
    </w:p>
    <w:p>
      <w:pPr>
        <w:pStyle w:val="ListBullet"/>
      </w:pPr>
      <w:r>
        <w:t>Pro → Free does not reset the historical initial grant.</w:t>
      </w:r>
    </w:p>
    <w:p>
      <w:pPr>
        <w:pStyle w:val="ListBullet"/>
      </w:pPr>
      <w:r>
        <w:t>Permanent add-on remains according to ownership/validity rules.</w:t>
      </w:r>
    </w:p>
    <w:p>
      <w:pPr>
        <w:pStyle w:val="ListBullet"/>
      </w:pPr>
      <w:r>
        <w:t>Promotional add-on follows promotion validity and expiry.</w:t>
      </w:r>
    </w:p>
    <w:p>
      <w:pPr>
        <w:pStyle w:val="ListBullet"/>
      </w:pPr>
      <w:r>
        <w:t>Reducing Agency member allocation does not delete existing listings; new creation is restricted according to allocation/usage rules.</w:t>
      </w:r>
    </w:p>
    <w:p>
      <w:pPr>
        <w:pStyle w:val="ListBullet"/>
      </w:pPr>
      <w:r>
        <w:t>Payment callback without successful verification cannot produce confirmed fulfillment.</w:t>
      </w:r>
    </w:p>
    <w:p>
      <w:pPr>
        <w:pStyle w:val="ListBullet"/>
      </w:pPr>
      <w:r>
        <w:t>Duplicate provider event cannot produce duplicate commercial fulfillment.</w:t>
      </w:r>
    </w:p>
    <w:p>
      <w:pPr>
        <w:pStyle w:val="ListBullet"/>
      </w:pPr>
      <w:r>
        <w:t>Payment provider can be replaced behind adapter boundary without redesigning Payment Core.</w:t>
      </w:r>
    </w:p>
    <w:p>
      <w:pPr>
        <w:pStyle w:val="ListBullet"/>
      </w:pPr>
      <w:r>
        <w:t>Reconciliation can identify inconsistency without silently mutating entitlement/quota/subscription.</w:t>
      </w:r>
    </w:p>
    <w:p>
      <w:pPr>
        <w:pStyle w:val="ListBullet"/>
      </w:pPr>
      <w:r>
        <w:t>Historical purchase remains unchanged after price/promotion configuration changes.</w:t>
      </w:r>
    </w:p>
    <w:p>
      <w:pPr>
        <w:pStyle w:val="ListBullet"/>
      </w:pPr>
      <w:r>
        <w:t>Payment success does not directly mutate RBAC.</w:t>
      </w:r>
    </w:p>
    <w:p>
      <w:pPr>
        <w:pStyle w:val="ListBullet"/>
      </w:pPr>
      <w:r>
        <w:t>Refund/chargeback is not represented as ordinary payment success.</w:t>
      </w:r>
    </w:p>
    <w:p>
      <w:pPr>
        <w:pStyle w:val="Heading1"/>
      </w:pPr>
      <w:r>
        <w:t>8. Traceability Status</w:t>
      </w:r>
    </w:p>
    <w:p>
      <w:pPr>
        <w:pStyle w:val="ListBullet"/>
      </w:pPr>
      <w:r>
        <w:t>Architecture-to-downstream traceability: PASS.</w:t>
      </w:r>
    </w:p>
    <w:p>
      <w:pPr>
        <w:pStyle w:val="ListBullet"/>
      </w:pPr>
      <w:r>
        <w:t>Governing-decision-to-test traceability: PASS at semantic level.</w:t>
      </w:r>
    </w:p>
    <w:p>
      <w:pPr>
        <w:pStyle w:val="ListBullet"/>
      </w:pPr>
      <w:r>
        <w:t>Business-rule thematic traceability: PASS.</w:t>
      </w:r>
    </w:p>
    <w:p>
      <w:pPr>
        <w:pStyle w:val="ListBullet"/>
      </w:pPr>
      <w:r>
        <w:t>Exact BR-001–BR-151 individual ID mapping: OPEN EVIDENCE GAP.</w:t>
      </w:r>
    </w:p>
    <w:p>
      <w:pPr>
        <w:pStyle w:val="ListBullet"/>
      </w:pPr>
      <w:r>
        <w:t>No contradiction was identified in the retrieved downstream impact artifacts.</w:t>
      </w:r>
    </w:p>
    <w:p>
      <w:pPr>
        <w:pStyle w:val="Heading1"/>
      </w:pPr>
      <w:r>
        <w:t>9. Why the BR-ID Gap Is Not Silently Filled</w:t>
      </w:r>
    </w:p>
    <w:p>
      <w:r>
        <w:t>The project canonicalization rule explicitly says Business Rules Baseline v1.0 is normative and that downstream artifacts must not silently rewrite it. The current retrieval only proves the locked range BR-001–BR-151 and the business-rule themes; it does not provide enough source text to assign exact individual IDs. Therefore assigning numbers from memory would violate the evidence-first rule. fileciteturn27file5turn27file16</w:t>
      </w:r>
    </w:p>
    <w:p>
      <w:pPr>
        <w:pStyle w:val="Heading1"/>
      </w:pPr>
      <w:r>
        <w:t>10. Gate Result</w:t>
      </w:r>
    </w:p>
    <w:p>
      <w:r>
        <w:t>PASS WITH EVIDENCE GAP. The Test/BR traceability structure is complete at semantic/theme level and all major AEP #1 invariants have test obligations. Final closure of the BR Traceability Gate requires retrieval of the canonical Business Rules individual rule text or an authoritative traceability artifact containing BR-001–BR-151 mappings.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