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AEP #2 — Learning Economy Governance &amp; ADR Candidate Reconciliation</w:t>
      </w:r>
    </w:p>
    <w:p>
      <w:r>
        <w:t>RumahAgen | Internal Learning / Learning Economy | Synchronization Working Artifact</w:t>
      </w:r>
    </w:p>
    <w:p>
      <w:pPr>
        <w:pStyle w:val="Heading1"/>
      </w:pPr>
      <w:r>
        <w:t>1. Purpose</w:t>
      </w:r>
    </w:p>
    <w:p>
      <w:r>
        <w:t>Memulai synchronization AEP #2 sesuai locked execution order setelah AEP #1 mencapai CONDITIONAL COMPLETE. Tahap ini memeriksa scope, business-rule authority, existing governance decisions, ADR candidates, dependencies, open governance items, dan decision readiness sebelum downstream impact.</w:t>
      </w:r>
    </w:p>
    <w:p>
      <w:pPr>
        <w:pStyle w:val="Heading1"/>
      </w:pPr>
      <w:r>
        <w:t>2. AEP #2 Source Boundary</w:t>
      </w:r>
    </w:p>
    <w:p>
      <w:pPr>
        <w:pStyle w:val="ListBullet"/>
      </w:pPr>
      <w:r>
        <w:t>AEP_Learning_Economy_v1.0 adalah Architecture Evolution Proposal untuk Internal Learning RumahAgen.</w:t>
      </w:r>
    </w:p>
    <w:p>
      <w:pPr>
        <w:pStyle w:val="ListBullet"/>
      </w:pPr>
      <w:r>
        <w:t>AEP berstatus Proposed dan secara eksplisit menyatakan modelnya berbasis locked Learning decisions.</w:t>
      </w:r>
    </w:p>
    <w:p>
      <w:pPr>
        <w:pStyle w:val="ListBullet"/>
      </w:pPr>
      <w:r>
        <w:t>Partnership Learning secara eksplisit dikecualikan dari kewajiban mengikuti Learning Economy internal.</w:t>
      </w:r>
    </w:p>
    <w:p>
      <w:pPr>
        <w:pStyle w:val="ListBullet"/>
      </w:pPr>
      <w:r>
        <w:t>Business_Rules_Learning_Economy_RumahAgen_v1.0 adalah consolidated Learning Economy business-rule source dengan LE-001 onward.</w:t>
      </w:r>
    </w:p>
    <w:p>
      <w:pPr>
        <w:pStyle w:val="ListBullet"/>
      </w:pPr>
      <w:r>
        <w:t>Learning Session AEP/BR v1.0 adalah capability terpisah yang berstatus Proposed / Implementation NOT AUTHORIZED dan tidak boleh dicampurkan ke AEP #2 core synchronization.</w:t>
      </w:r>
    </w:p>
    <w:p>
      <w:pPr>
        <w:pStyle w:val="Heading1"/>
      </w:pPr>
      <w:r>
        <w:t>3. Canonical Learning Principle</w:t>
      </w:r>
    </w:p>
    <w:p>
      <w:r>
        <w:t>The source-defined principle is: “Learn for free. Grind to earn. Pay to accelerate. Prove to certify.” This is the central invariant for AEP #2. Learning Points are an economic/progression mechanism, not automatic competency certification.</w:t>
      </w:r>
    </w:p>
    <w:p>
      <w:pPr>
        <w:pStyle w:val="Heading1"/>
      </w:pPr>
      <w:r>
        <w:t>4. Scope Reconciliation</w:t>
      </w:r>
    </w:p>
    <w:p>
      <w:pPr>
        <w:pStyle w:val="ListBullet"/>
      </w:pPr>
      <w:r>
        <w:t>IN SCOPE: Internal Learning Economy, Learning Points, Learning Point transaction/provenance, learning activity earning, learning-path unlock/progression, optional point purchase, assessment/competency boundary, skill/credential boundary, configuration, audit/provenance, Payment↔Learning integration boundary, RBAC implications and Agent Profile provenance.</w:t>
      </w:r>
    </w:p>
    <w:p>
      <w:pPr>
        <w:pStyle w:val="ListBullet"/>
      </w:pPr>
      <w:r>
        <w:t>OUT OF SCOPE FOR THIS AEP: forcing Partnership Learning into the internal Learning Economy.</w:t>
      </w:r>
    </w:p>
    <w:p>
      <w:pPr>
        <w:pStyle w:val="ListBullet"/>
      </w:pPr>
      <w:r>
        <w:t>LEARNING SESSION: kept as a separate AEP/capability. Its integration with Learning Economy will be reconciled later through the AEP #4 sequence and only where evidence requires cross-domain linkage.</w:t>
      </w:r>
    </w:p>
    <w:p>
      <w:pPr>
        <w:pStyle w:val="Heading1"/>
      </w:pPr>
      <w:r>
        <w:t>5. Existing Governing Decisions / Residuals</w:t>
      </w:r>
    </w:p>
    <w:p>
      <w:pPr>
        <w:pStyle w:val="ListBullet"/>
      </w:pPr>
      <w:r>
        <w:t>MADCR-036 — APPROVED / GOVERNING: Title Definition ≠ Award Instance. Learning Economy must not collapse Title and Award Instance.</w:t>
      </w:r>
    </w:p>
    <w:p>
      <w:pPr>
        <w:pStyle w:val="ListBullet"/>
      </w:pPr>
      <w:r>
        <w:t>MADCR-037 — APPROVED / GOVERNING: Versioned Awarding Paths. Learning qualification that participates in awarding must preserve Path Version semantics.</w:t>
      </w:r>
    </w:p>
    <w:p>
      <w:pPr>
        <w:pStyle w:val="ListBullet"/>
      </w:pPr>
      <w:r>
        <w:t>MADCR-041 — APPROVED / GOVERNING: Versioned Awarding Rules. Learning-based qualification must preserve Rule Version lineage/immutability where applicable.</w:t>
      </w:r>
    </w:p>
    <w:p>
      <w:pPr>
        <w:pStyle w:val="ListBullet"/>
      </w:pPr>
      <w:r>
        <w:t>MADCR-046 — APPROVED / GOVERNING: Certificate/Credential ≠ Title/Award Instance. Learning Credential and Title/Award remain distinct concepts.</w:t>
      </w:r>
    </w:p>
    <w:p>
      <w:pPr>
        <w:pStyle w:val="ListBullet"/>
      </w:pPr>
      <w:r>
        <w:t>MADCR-010 — APPROVED / GOVERNING: Commercial Entitlement authority for quota capacity; relevant only where Learning Economy has commercial/quota interaction, not as a replacement for Learning Point domain authority.</w:t>
      </w:r>
    </w:p>
    <w:p>
      <w:pPr>
        <w:pStyle w:val="ListBullet"/>
      </w:pPr>
      <w:r>
        <w:t>MADCR-011 — APPROVED / GOVERNING: Payment is within M14 Commercial. Learning consumes confirmed payment outcomes for purchased Learning Points; it must not embed Payment Gateway logic.</w:t>
      </w:r>
    </w:p>
    <w:p>
      <w:pPr>
        <w:pStyle w:val="ListBullet"/>
      </w:pPr>
      <w:r>
        <w:t>MADCR-049 — OPEN / RE-EVALUATION: Learning Activity evidence recovery/re-evaluation remains an independent governance item and must not be silently treated as closed.</w:t>
      </w:r>
    </w:p>
    <w:p>
      <w:pPr>
        <w:pStyle w:val="Heading1"/>
      </w:pPr>
      <w:r>
        <w:t>6. ADR Candidate Reconciliation</w:t>
      </w:r>
    </w:p>
    <w:p>
      <w:pPr>
        <w:pStyle w:val="ListBullet"/>
      </w:pPr>
      <w:r>
        <w:t>ADR-LE-001 — Learning Points are modeled as a transaction-based economic/progression domain. STATUS: candidate; requires formal governance decision or confirmation.</w:t>
      </w:r>
    </w:p>
    <w:p>
      <w:pPr>
        <w:pStyle w:val="ListBullet"/>
      </w:pPr>
      <w:r>
        <w:t>ADR-LE-002 — Earned and purchased Learning Points retain separate provenance. STATUS: candidate; requires formal governance decision or confirmation.</w:t>
      </w:r>
    </w:p>
    <w:p>
      <w:pPr>
        <w:pStyle w:val="ListBullet"/>
      </w:pPr>
      <w:r>
        <w:t>ADR-LE-003 — Purchased Learning Points accelerate progression but cannot bypass competency assessment. STATUS: candidate; source business rules strongly support the invariant.</w:t>
      </w:r>
    </w:p>
    <w:p>
      <w:pPr>
        <w:pStyle w:val="ListBullet"/>
      </w:pPr>
      <w:r>
        <w:t>ADR-LE-004 — Internal Learning and Partnership Learning use different economic models. STATUS: candidate; source explicitly supports the boundary.</w:t>
      </w:r>
    </w:p>
    <w:p>
      <w:pPr>
        <w:pStyle w:val="ListBullet"/>
      </w:pPr>
      <w:r>
        <w:t>ADR-LE-005 — Learning does not directly own Payment Gateway logic. STATUS: candidate; compatible with MADCR-011.</w:t>
      </w:r>
    </w:p>
    <w:p>
      <w:pPr>
        <w:pStyle w:val="ListBullet"/>
      </w:pPr>
      <w:r>
        <w:t>ADR-LE-006 — Skill and Credential are distinct from Learning Completion. STATUS: candidate; compatible with MADCR-046 and the Learning AEP.</w:t>
      </w:r>
    </w:p>
    <w:p>
      <w:pPr>
        <w:pStyle w:val="ListBullet"/>
      </w:pPr>
      <w:r>
        <w:t>ADR-LE-007 — Learning Point purchase allocation is idempotent and reconcilable. STATUS: candidate; compatible with MADCR-003/005 but requires Learning-specific confirmation.</w:t>
      </w:r>
    </w:p>
    <w:p>
      <w:pPr>
        <w:pStyle w:val="ListBullet"/>
      </w:pPr>
      <w:r>
        <w:t>ADR-LE-008 — Learning Economy parameters are governed configuration rather than hard-coded constants. STATUS: candidate; source LE-009/LE-053/LE-054 supports the principle.</w:t>
      </w:r>
    </w:p>
    <w:p>
      <w:pPr>
        <w:pStyle w:val="Heading1"/>
      </w:pPr>
      <w:r>
        <w:t>7. Critical Governance Finding — MADCR-049</w:t>
      </w:r>
    </w:p>
    <w:p>
      <w:r>
        <w:t>The Batch-1 reconciliation explicitly records MADCR-049 as OPEN / RE-EVALUATION for Learning Activity evidence recovery and says it was not silently resolved. fileciteturn30file0 Therefore AEP #2 must not claim that all Learning Activity governance is already approved merely because the Learning Economy BR document exists. The Learning Economy source can define business rules while MADCR-049 remains an independent governance/evidence item.</w:t>
      </w:r>
    </w:p>
    <w:p>
      <w:pPr>
        <w:pStyle w:val="Heading1"/>
      </w:pPr>
      <w:r>
        <w:t>8. Decision Readiness Assessment</w:t>
      </w:r>
    </w:p>
    <w:p>
      <w:pPr>
        <w:pStyle w:val="ListBullet"/>
      </w:pPr>
      <w:r>
        <w:t>LE-001 Free-to-Learn — source-supported; no contradiction found.</w:t>
      </w:r>
    </w:p>
    <w:p>
      <w:pPr>
        <w:pStyle w:val="ListBullet"/>
      </w:pPr>
      <w:r>
        <w:t>LE-002 Earn Through Learning — source-supported; reward is configurable.</w:t>
      </w:r>
    </w:p>
    <w:p>
      <w:pPr>
        <w:pStyle w:val="ListBullet"/>
      </w:pPr>
      <w:r>
        <w:t>LE-003 Pay-to-Accelerate — source-supported.</w:t>
      </w:r>
    </w:p>
    <w:p>
      <w:pPr>
        <w:pStyle w:val="ListBullet"/>
      </w:pPr>
      <w:r>
        <w:t>LE-004 Never Pay-to-Pass — source-supported and central invariant.</w:t>
      </w:r>
    </w:p>
    <w:p>
      <w:pPr>
        <w:pStyle w:val="ListBullet"/>
      </w:pPr>
      <w:r>
        <w:t>LE-005 Prove-to-Certify — source-supported.</w:t>
      </w:r>
    </w:p>
    <w:p>
      <w:pPr>
        <w:pStyle w:val="ListBullet"/>
      </w:pPr>
      <w:r>
        <w:t>LE-006/007 transaction-based points and provenance — source-supported at business-rule/architecture direction level.</w:t>
      </w:r>
    </w:p>
    <w:p>
      <w:pPr>
        <w:pStyle w:val="ListBullet"/>
      </w:pPr>
      <w:r>
        <w:t>LE-017 Unlock ≠ Competency — source-supported.</w:t>
      </w:r>
    </w:p>
    <w:p>
      <w:pPr>
        <w:pStyle w:val="ListBullet"/>
      </w:pPr>
      <w:r>
        <w:t>LE-019–023 assessment/competency boundaries — source-supported.</w:t>
      </w:r>
    </w:p>
    <w:p>
      <w:pPr>
        <w:pStyle w:val="ListBullet"/>
      </w:pPr>
      <w:r>
        <w:t>LE-024–032 Title/Skill/Credential boundaries — source-supported and compatible with approved Title decisions.</w:t>
      </w:r>
    </w:p>
    <w:p>
      <w:pPr>
        <w:pStyle w:val="ListBullet"/>
      </w:pPr>
      <w:r>
        <w:t>LE-033–036 Partnership Learning boundary — source-supported.</w:t>
      </w:r>
    </w:p>
    <w:p>
      <w:pPr>
        <w:pStyle w:val="ListBullet"/>
      </w:pPr>
      <w:r>
        <w:t>LE-037–042 Payment/point purchase integrity — compatible with approved Payment architecture; Learning-specific contract details remain downstream.</w:t>
      </w:r>
    </w:p>
    <w:p>
      <w:pPr>
        <w:pStyle w:val="ListBullet"/>
      </w:pPr>
      <w:r>
        <w:t>LE-043–047 RBAC/issuance controls — source-supported as business requirements; exact permission matrix remains downstream.</w:t>
      </w:r>
    </w:p>
    <w:p>
      <w:pPr>
        <w:pStyle w:val="ListBullet"/>
      </w:pPr>
      <w:r>
        <w:t>LE-048–059 audit/configuration/failure consistency — source-supported at semantic level.</w:t>
      </w:r>
    </w:p>
    <w:p>
      <w:pPr>
        <w:pStyle w:val="Heading1"/>
      </w:pPr>
      <w:r>
        <w:t>9. No Reopening / No Silent Closure Rules</w:t>
      </w:r>
    </w:p>
    <w:p>
      <w:pPr>
        <w:pStyle w:val="ListBullet"/>
      </w:pPr>
      <w:r>
        <w:t>Do not reopen MADCR-036, MADCR-037, MADCR-041, MADCR-046, MADCR-010 or MADCR-011.</w:t>
      </w:r>
    </w:p>
    <w:p>
      <w:pPr>
        <w:pStyle w:val="ListBullet"/>
      </w:pPr>
      <w:r>
        <w:t>Do not close MADCR-049 without its own evidence/re-evaluation gate.</w:t>
      </w:r>
    </w:p>
    <w:p>
      <w:pPr>
        <w:pStyle w:val="ListBullet"/>
      </w:pPr>
      <w:r>
        <w:t>Do not convert Partnership Learning into Internal Learning Economy.</w:t>
      </w:r>
    </w:p>
    <w:p>
      <w:pPr>
        <w:pStyle w:val="ListBullet"/>
      </w:pPr>
      <w:r>
        <w:t>Do not interpret Learning Points as competency, Credential or universal Title requirement.</w:t>
      </w:r>
    </w:p>
    <w:p>
      <w:pPr>
        <w:pStyle w:val="ListBullet"/>
      </w:pPr>
      <w:r>
        <w:t>Do not introduce a payment provider into Learning business logic.</w:t>
      </w:r>
    </w:p>
    <w:p>
      <w:pPr>
        <w:pStyle w:val="ListBullet"/>
      </w:pPr>
      <w:r>
        <w:t>Do not create new MADCR numbers merely because an ADR candidate exists; formalization/decision readiness must be evidence-based.</w:t>
      </w:r>
    </w:p>
    <w:p>
      <w:pPr>
        <w:pStyle w:val="Heading1"/>
      </w:pPr>
      <w:r>
        <w:t>10. Cross-Domain Boundary</w:t>
      </w:r>
    </w:p>
    <w:p>
      <w:r>
        <w:t>Learning Economy owns Learning Point economic/progression state. Commercial/Payment owns payment transaction and payment confirmation. Awarding owns Title eligibility/path/rule and Award Instance semantics. RBAC owns authorization. No domain may silently become authority for another domain's state.</w:t>
      </w:r>
    </w:p>
    <w:p>
      <w:pPr>
        <w:pStyle w:val="Heading1"/>
      </w:pPr>
      <w:r>
        <w:t>11. Governance Gate Result</w:t>
      </w:r>
    </w:p>
    <w:p>
      <w:r>
        <w:t>PASS WITH RESIDUALS. AEP #2 has a clear scope and strong source support. Existing approved Title/Commercial/Payment decisions are compatible. MADCR-049 remains an explicit independent evidence/re-evaluation residual. The eight ADR-LE candidates are now identified for controlled decision formalization; no new decision is silently approved by this artifact.</w:t>
      </w:r>
    </w:p>
    <w:p>
      <w:pPr>
        <w:pStyle w:val="Heading1"/>
      </w:pPr>
      <w:r>
        <w:t>12. Next Step</w:t>
      </w:r>
    </w:p>
    <w:p>
      <w:r>
        <w:t>Proceed to AEP #2 Domain / Learning Economy Architecture Impact Specification: establish the canonical Learning Point, Learning Activity, Learning Path, Assessment, Skill, Credential, Partnership Result, provenance and configuration boundaries before ERD/schema/API synchronization.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