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Decision Formalization</w:t>
      </w:r>
    </w:p>
    <w:p>
      <w:r>
        <w:t>RumahAgen | Internal Learning / Learning Economy | Decision Closure Artifact</w:t>
      </w:r>
    </w:p>
    <w:p>
      <w:pPr>
        <w:pStyle w:val="Heading1"/>
      </w:pPr>
      <w:r>
        <w:t>1. Purpose</w:t>
      </w:r>
    </w:p>
    <w:p>
      <w:r>
        <w:t>Memformalkan enam keputusan Learning Economy yang telah dijawab user sebagai A pada decision-readiness gate AEP #2. Keputusan ini menjadi input governing/downstream synchronization dan tidak menutup MADCR-049.</w:t>
      </w:r>
    </w:p>
    <w:p>
      <w:pPr>
        <w:pStyle w:val="Heading1"/>
      </w:pPr>
      <w:r>
        <w:t>2. Decision Register</w:t>
      </w:r>
    </w:p>
    <w:p>
      <w:pPr>
        <w:pStyle w:val="Heading2"/>
      </w:pPr>
      <w:r>
        <w:t>ADR-LE-001 — Learning Points are transaction/ledger-based</w:t>
      </w:r>
    </w:p>
    <w:p>
      <w:r>
        <w:t>Status: LOCKED BY USER DECISION</w:t>
      </w:r>
    </w:p>
    <w:p>
      <w:r>
        <w:t>Learning Points diperlakukan sebagai first-class transaction/ledger domain, bukan sekadar mutable balance. Transaction history wajib auditable dan menjadi sumber provenance.</w:t>
      </w:r>
    </w:p>
    <w:p>
      <w:pPr>
        <w:pStyle w:val="Heading2"/>
      </w:pPr>
      <w:r>
        <w:t>ADR-LE-002 — Earned vs Purchased Learning Point provenance</w:t>
      </w:r>
    </w:p>
    <w:p>
      <w:r>
        <w:t>Status: LOCKED BY USER DECISION</w:t>
      </w:r>
    </w:p>
    <w:p>
      <w:r>
        <w:t>Earned dan Purchased Learning Points wajib dapat dibedakan provenance-nya. Source/origin harus dapat ditelusuri pada transaction history.</w:t>
      </w:r>
    </w:p>
    <w:p>
      <w:pPr>
        <w:pStyle w:val="Heading2"/>
      </w:pPr>
      <w:r>
        <w:t>ADR-LE-003 — Pay-to-Accelerate ≠ Pay-to-Pass</w:t>
      </w:r>
    </w:p>
    <w:p>
      <w:r>
        <w:t>Status: LOCKED BY USER DECISION</w:t>
      </w:r>
    </w:p>
    <w:p>
      <w:r>
        <w:t>Purchased Learning Points dapat mempercepat progression tetapi tidak pernah menggantikan assessment/competency requirement. Tidak ada jumlah LP yang secara otomatis membypass assessment.</w:t>
      </w:r>
    </w:p>
    <w:p>
      <w:pPr>
        <w:pStyle w:val="Heading2"/>
      </w:pPr>
      <w:r>
        <w:t>ADR-LE-004 — Internal Learning vs Partnership Learning economy boundary</w:t>
      </w:r>
    </w:p>
    <w:p>
      <w:r>
        <w:t>Status: LOCKED BY USER DECISION</w:t>
      </w:r>
    </w:p>
    <w:p>
      <w:r>
        <w:t>Internal Learning menggunakan Learning Economy. Partnership Learning tidak diwajibkan mengikuti Learning Economy internal. Partner result/credential mempertahankan provenance partner.</w:t>
      </w:r>
    </w:p>
    <w:p>
      <w:pPr>
        <w:pStyle w:val="Heading2"/>
      </w:pPr>
      <w:r>
        <w:t>ADR-LE-006 — Learning Completion ≠ automatic Skill/Credential</w:t>
      </w:r>
    </w:p>
    <w:p>
      <w:r>
        <w:t>Status: LOCKED BY USER DECISION</w:t>
      </w:r>
    </w:p>
    <w:p>
      <w:r>
        <w:t>Completion tidak otomatis menghasilkan verified Skill/Credential. Outcome hanya diberikan jika applicable rule/awarding path mengizinkannya; assessment/competency gate tetap berlaku jika diwajibkan.</w:t>
      </w:r>
    </w:p>
    <w:p>
      <w:pPr>
        <w:pStyle w:val="Heading2"/>
      </w:pPr>
      <w:r>
        <w:t>ADR-LE-007 — Purchased Learning Point grant idempotency</w:t>
      </w:r>
    </w:p>
    <w:p>
      <w:r>
        <w:t>Status: LOCKED BY USER DECISION</w:t>
      </w:r>
    </w:p>
    <w:p>
      <w:r>
        <w:t>Satu confirmed payment transaction hanya menghasilkan satu confirmed Purchased Learning Point grant. Retry/repeated callback harus idempotent dan tidak menggandakan grant.</w:t>
      </w:r>
    </w:p>
    <w:p>
      <w:pPr>
        <w:pStyle w:val="Heading1"/>
      </w:pPr>
      <w:r>
        <w:t>3. Configuration Decision</w:t>
      </w:r>
    </w:p>
    <w:p>
      <w:pPr>
        <w:pStyle w:val="Heading2"/>
      </w:pPr>
      <w:r>
        <w:t>ADR-LE-008 — Learning Economy Configuration</w:t>
      </w:r>
    </w:p>
    <w:p>
      <w:r>
        <w:t>Status: LOCKED BY USER DECISION</w:t>
      </w:r>
    </w:p>
    <w:p>
      <w:r>
        <w:t>Learning Economy parameters yang dinyatakan configurable harus dikelola sebagai configuration data, bukan hard-coded business constants. Perubahan configuration tidak boleh memutasi atau menulis ulang historical Learning Point transactions, grants, purchases, atau provenance yang telah tercatat.</w:t>
      </w:r>
    </w:p>
    <w:p>
      <w:pPr>
        <w:pStyle w:val="Heading1"/>
      </w:pPr>
      <w:r>
        <w:t>4. Source-Supported Context</w:t>
      </w:r>
    </w:p>
    <w:p>
      <w:pPr>
        <w:pStyle w:val="ListBullet"/>
      </w:pPr>
      <w:r>
        <w:t>LE-001 — Free-to-Learn.</w:t>
      </w:r>
    </w:p>
    <w:p>
      <w:pPr>
        <w:pStyle w:val="ListBullet"/>
      </w:pPr>
      <w:r>
        <w:t>LE-002 — Earn Through Learning.</w:t>
      </w:r>
    </w:p>
    <w:p>
      <w:pPr>
        <w:pStyle w:val="ListBullet"/>
      </w:pPr>
      <w:r>
        <w:t>LE-003 — Pay-to-Accelerate.</w:t>
      </w:r>
    </w:p>
    <w:p>
      <w:pPr>
        <w:pStyle w:val="ListBullet"/>
      </w:pPr>
      <w:r>
        <w:t>LE-004 — Never Pay-to-Pass.</w:t>
      </w:r>
    </w:p>
    <w:p>
      <w:pPr>
        <w:pStyle w:val="ListBullet"/>
      </w:pPr>
      <w:r>
        <w:t>LE-005 — Prove-to-Certify.</w:t>
      </w:r>
    </w:p>
    <w:p>
      <w:pPr>
        <w:pStyle w:val="ListBullet"/>
      </w:pPr>
      <w:r>
        <w:t>LE-006/007 — transaction/provenance direction for Learning Points.</w:t>
      </w:r>
    </w:p>
    <w:p>
      <w:pPr>
        <w:pStyle w:val="ListBullet"/>
      </w:pPr>
      <w:r>
        <w:t>LE-017 — Unlock ≠ Competency.</w:t>
      </w:r>
    </w:p>
    <w:p>
      <w:pPr>
        <w:pStyle w:val="ListBullet"/>
      </w:pPr>
      <w:r>
        <w:t>LE-019–023 — assessment/competency boundary.</w:t>
      </w:r>
    </w:p>
    <w:p>
      <w:pPr>
        <w:pStyle w:val="ListBullet"/>
      </w:pPr>
      <w:r>
        <w:t>LE-024–032 — Title/Skill/Credential boundaries.</w:t>
      </w:r>
    </w:p>
    <w:p>
      <w:pPr>
        <w:pStyle w:val="ListBullet"/>
      </w:pPr>
      <w:r>
        <w:t>LE-033–036 — Partnership Learning boundary.</w:t>
      </w:r>
    </w:p>
    <w:p>
      <w:pPr>
        <w:pStyle w:val="ListBullet"/>
      </w:pPr>
      <w:r>
        <w:t>LE-037–042 — Payment and Learning Point purchase integrity.</w:t>
      </w:r>
    </w:p>
    <w:p>
      <w:pPr>
        <w:pStyle w:val="ListBullet"/>
      </w:pPr>
      <w:r>
        <w:t>LE-048–059 — audit/configuration/failure consistency.</w:t>
      </w:r>
    </w:p>
    <w:p>
      <w:pPr>
        <w:pStyle w:val="Heading1"/>
      </w:pPr>
      <w:r>
        <w:t>5. Existing Governance Not Reopened</w:t>
      </w:r>
    </w:p>
    <w:p>
      <w:pPr>
        <w:pStyle w:val="ListBullet"/>
      </w:pPr>
      <w:r>
        <w:t>MADCR-036 — Title Definition ≠ Award Instance.</w:t>
      </w:r>
    </w:p>
    <w:p>
      <w:pPr>
        <w:pStyle w:val="ListBullet"/>
      </w:pPr>
      <w:r>
        <w:t>MADCR-037 — Versioned Awarding Paths.</w:t>
      </w:r>
    </w:p>
    <w:p>
      <w:pPr>
        <w:pStyle w:val="ListBullet"/>
      </w:pPr>
      <w:r>
        <w:t>MADCR-041 — Versioned Awarding Rules.</w:t>
      </w:r>
    </w:p>
    <w:p>
      <w:pPr>
        <w:pStyle w:val="ListBullet"/>
      </w:pPr>
      <w:r>
        <w:t>MADCR-046 — Certificate/Credential ≠ Title/Award Instance.</w:t>
      </w:r>
    </w:p>
    <w:p>
      <w:pPr>
        <w:pStyle w:val="ListBullet"/>
      </w:pPr>
      <w:r>
        <w:t>MADCR-010 — Commercial Entitlement authority.</w:t>
      </w:r>
    </w:p>
    <w:p>
      <w:pPr>
        <w:pStyle w:val="ListBullet"/>
      </w:pPr>
      <w:r>
        <w:t>MADCR-011 — Payment as M14 Commercial / Payment Subdomain.</w:t>
      </w:r>
    </w:p>
    <w:p>
      <w:pPr>
        <w:pStyle w:val="Heading1"/>
      </w:pPr>
      <w:r>
        <w:t>6. MADCR-049 — Explicitly Remains Open</w:t>
      </w:r>
    </w:p>
    <w:p>
      <w:r>
        <w:t>MADCR-049 — Learning Activity evidence recovery/re-evaluation remains OPEN. The six user decisions plus ADR-LE-008 do not close or supersede MADCR-049. Any future closure requires its own evidence/re-evaluation gate.</w:t>
      </w:r>
    </w:p>
    <w:p>
      <w:pPr>
        <w:pStyle w:val="Heading1"/>
      </w:pPr>
      <w:r>
        <w:t>7. Downstream Impact Obligations</w:t>
      </w:r>
    </w:p>
    <w:p>
      <w:pPr>
        <w:pStyle w:val="ListBullet"/>
      </w:pPr>
      <w:r>
        <w:t>ERD/Schema must represent Learning Point transaction/provenance rather than only balance.</w:t>
      </w:r>
    </w:p>
    <w:p>
      <w:pPr>
        <w:pStyle w:val="ListBullet"/>
      </w:pPr>
      <w:r>
        <w:t>API must preserve earned/purchased provenance and idempotent purchased-point grant semantics.</w:t>
      </w:r>
    </w:p>
    <w:p>
      <w:pPr>
        <w:pStyle w:val="ListBullet"/>
      </w:pPr>
      <w:r>
        <w:t>RBAC must separate Learning administration/issuance authorization from Learning Point state.</w:t>
      </w:r>
    </w:p>
    <w:p>
      <w:pPr>
        <w:pStyle w:val="ListBullet"/>
      </w:pPr>
      <w:r>
        <w:t>User Flow must distinguish learning completion, LP earning, unlock, assessment and credential outcome.</w:t>
      </w:r>
    </w:p>
    <w:p>
      <w:pPr>
        <w:pStyle w:val="ListBullet"/>
      </w:pPr>
      <w:r>
        <w:t>PRD must preserve the internal-vs-partnership model and pay-to-accelerate/no-pay-to-pass invariant.</w:t>
      </w:r>
    </w:p>
    <w:p>
      <w:pPr>
        <w:pStyle w:val="ListBullet"/>
      </w:pPr>
      <w:r>
        <w:t>Engineering must prevent configuration changes from rewriting history and prevent duplicate point grants.</w:t>
      </w:r>
    </w:p>
    <w:p>
      <w:pPr>
        <w:pStyle w:val="ListBullet"/>
      </w:pPr>
      <w:r>
        <w:t>Tests must cover duplicate payment callback, duplicate grant prevention, provenance, assessment bypass prevention and configuration-history integrity.</w:t>
      </w:r>
    </w:p>
    <w:p>
      <w:pPr>
        <w:pStyle w:val="Heading1"/>
      </w:pPr>
      <w:r>
        <w:t>8. Gate Result</w:t>
      </w:r>
    </w:p>
    <w:p>
      <w:r>
        <w:t>DECISION CLOSURE PASS. Q1–Q6 were all answered A and are formalized as locked user decisions for AEP #2 synchronization. MADCR-049 remains OPEN. No approved decision from prior AEPs was reopened.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