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#2 — Learning Economy Domain Architecture Impact Specification</w:t>
      </w:r>
    </w:p>
    <w:p>
      <w:r>
        <w:t>RumahAgen | Internal Learning / Learning Economy | Synchronization Working Artifact</w:t>
      </w:r>
    </w:p>
    <w:p>
      <w:pPr>
        <w:pStyle w:val="Heading1"/>
      </w:pPr>
      <w:r>
        <w:t>1. Purpose</w:t>
      </w:r>
    </w:p>
    <w:p>
      <w:r>
        <w:t>Mendefinisikan domain boundary dan semantic architecture impact AEP #2 setelah Governance/ADR reconciliation dan decision formalization. Artifact ini menjadi bridge sebelum ERD/Schema dan tidak mengotorisasi physical implementation.</w:t>
      </w:r>
    </w:p>
    <w:p>
      <w:pPr>
        <w:pStyle w:val="Heading1"/>
      </w:pPr>
      <w:r>
        <w:t>2. Source Basis</w:t>
      </w:r>
    </w:p>
    <w:p>
      <w:pPr>
        <w:pStyle w:val="ListBullet"/>
      </w:pPr>
      <w:r>
        <w:t>AEP Learning Economy v1.0 secara eksplisit meminta Current Architecture Impact Analysis terhadap System Architecture, Business Rules, ERD, Schema, API, RBAC, User Flow, PRD, Payment Architecture dan existing Learning documentation. fileciteturn38file13</w:t>
      </w:r>
    </w:p>
    <w:p>
      <w:pPr>
        <w:pStyle w:val="ListBullet"/>
      </w:pPr>
      <w:r>
        <w:t>AEP mendefinisikan final direction sebagai Learning Domain yang memisahkan Internal Learning/Economy dari Partnership Learning/Partner Model, dengan Activity, Points/Ledger, Path/Unlock, Learning, Assessment, Skill/Credential dan Agent Profile provenance. fileciteturn38file13turn38file14</w:t>
      </w:r>
    </w:p>
    <w:p>
      <w:pPr>
        <w:pStyle w:val="ListBullet"/>
      </w:pPr>
      <w:r>
        <w:t>Canonical Business Rules Learning Economy v1.0 mengunci LE-001–LE-059 dan menegaskan cross-domain direct mutation prohibited. fileciteturn38file9turn38file6</w:t>
      </w:r>
    </w:p>
    <w:p>
      <w:pPr>
        <w:pStyle w:val="ListBullet"/>
      </w:pPr>
      <w:r>
        <w:t>The AEP synchronization execution lock requires per-AEP domain/downstream synchronization while postponing full project-wide technical synchronization until AEP #1–#4 are complete. fileciteturn37file1</w:t>
      </w:r>
    </w:p>
    <w:p>
      <w:pPr>
        <w:pStyle w:val="Heading1"/>
      </w:pPr>
      <w:r>
        <w:t>3. Canonical Learning Domain Boundary</w:t>
      </w:r>
    </w:p>
    <w:p>
      <w:pPr>
        <w:pStyle w:val="ListBullet"/>
      </w:pPr>
      <w:r>
        <w:t>Learning Domain owns Internal Learning Economy state and learning progression semantics.</w:t>
      </w:r>
    </w:p>
    <w:p>
      <w:pPr>
        <w:pStyle w:val="ListBullet"/>
      </w:pPr>
      <w:r>
        <w:t>Commercial/Payment Domain owns payment transaction and confirmed-payment state.</w:t>
      </w:r>
    </w:p>
    <w:p>
      <w:pPr>
        <w:pStyle w:val="ListBullet"/>
      </w:pPr>
      <w:r>
        <w:t>Awarding Domain owns Title eligibility, Awarding Path Version, Awarding Rule Version and Award Instance semantics.</w:t>
      </w:r>
    </w:p>
    <w:p>
      <w:pPr>
        <w:pStyle w:val="ListBullet"/>
      </w:pPr>
      <w:r>
        <w:t>RBAC owns authorization and permission state.</w:t>
      </w:r>
    </w:p>
    <w:p>
      <w:pPr>
        <w:pStyle w:val="ListBullet"/>
      </w:pPr>
      <w:r>
        <w:t>Agent Profile aggregates learning-related outcomes but must preserve provenance.</w:t>
      </w:r>
    </w:p>
    <w:p>
      <w:pPr>
        <w:pStyle w:val="ListBullet"/>
      </w:pPr>
      <w:r>
        <w:t>Partnership Learning remains inside the broader Learning capability boundary but uses Partner Model rules and does not automatically inherit Internal Learning Economy.</w:t>
      </w:r>
    </w:p>
    <w:p>
      <w:pPr>
        <w:pStyle w:val="Heading1"/>
      </w:pPr>
      <w:r>
        <w:t>4. Internal Learning Economy Canonical Model</w:t>
      </w:r>
    </w:p>
    <w:p>
      <w:pPr>
        <w:pStyle w:val="ListBullet"/>
      </w:pPr>
      <w:r>
        <w:t>Learning Program → Learning Path → Module / Activity → Completion → Learning Points → Skill / Credential Path.</w:t>
      </w:r>
    </w:p>
    <w:p>
      <w:pPr>
        <w:pStyle w:val="ListBullet"/>
      </w:pPr>
      <w:r>
        <w:t>Learning Point Account/ledger is a first-class domain concept.</w:t>
      </w:r>
    </w:p>
    <w:p>
      <w:pPr>
        <w:pStyle w:val="ListBullet"/>
      </w:pPr>
      <w:r>
        <w:t>Point transaction types include at minimum earned, purchased and redeemed/used semantics.</w:t>
      </w:r>
    </w:p>
    <w:p>
      <w:pPr>
        <w:pStyle w:val="ListBullet"/>
      </w:pPr>
      <w:r>
        <w:t>Current balance may be a controlled projection; transaction history remains auditable.</w:t>
      </w:r>
    </w:p>
    <w:p>
      <w:pPr>
        <w:pStyle w:val="ListBullet"/>
      </w:pPr>
      <w:r>
        <w:t>Earned and Purchased Points have separate provenance.</w:t>
      </w:r>
    </w:p>
    <w:p>
      <w:pPr>
        <w:pStyle w:val="ListBullet"/>
      </w:pPr>
      <w:r>
        <w:t>Learning Point provenance must be sufficient to answer why/how/when points were earned, purchased, granted and used.</w:t>
      </w:r>
    </w:p>
    <w:p>
      <w:pPr>
        <w:pStyle w:val="Heading1"/>
      </w:pPr>
      <w:r>
        <w:t>5. Learning Activity Boundary</w:t>
      </w:r>
    </w:p>
    <w:p>
      <w:pPr>
        <w:pStyle w:val="ListBullet"/>
      </w:pPr>
      <w:r>
        <w:t>Learning Activity is the earning source for earned Learning Points.</w:t>
      </w:r>
    </w:p>
    <w:p>
      <w:pPr>
        <w:pStyle w:val="ListBullet"/>
      </w:pPr>
      <w:r>
        <w:t>Activity types are extensible and must not be hard-coded to a single content format.</w:t>
      </w:r>
    </w:p>
    <w:p>
      <w:pPr>
        <w:pStyle w:val="ListBullet"/>
      </w:pPr>
      <w:r>
        <w:t>Activity configuration may include reward, completion condition, prerequisite, availability, progression relationship and assessment requirement.</w:t>
      </w:r>
    </w:p>
    <w:p>
      <w:pPr>
        <w:pStyle w:val="ListBullet"/>
      </w:pPr>
      <w:r>
        <w:t>Completion must be determinable before a completion reward is issued.</w:t>
      </w:r>
    </w:p>
    <w:p>
      <w:pPr>
        <w:pStyle w:val="ListBullet"/>
      </w:pPr>
      <w:r>
        <w:t>The semantic concept Learning Activity remains subject to MADCR-049 evidence/re-evaluation; this artifact does not close MADCR-049.</w:t>
      </w:r>
    </w:p>
    <w:p>
      <w:pPr>
        <w:pStyle w:val="Heading1"/>
      </w:pPr>
      <w:r>
        <w:t>6. Progression / Unlock Boundary</w:t>
      </w:r>
    </w:p>
    <w:p>
      <w:pPr>
        <w:pStyle w:val="ListBullet"/>
      </w:pPr>
      <w:r>
        <w:t>Learning Points may control access/unlock/progression only when the relevant Learning Path configuration requires them.</w:t>
      </w:r>
    </w:p>
    <w:p>
      <w:pPr>
        <w:pStyle w:val="ListBullet"/>
      </w:pPr>
      <w:r>
        <w:t>Unlock/Access State is distinct from Competency State.</w:t>
      </w:r>
    </w:p>
    <w:p>
      <w:pPr>
        <w:pStyle w:val="ListBullet"/>
      </w:pPr>
      <w:r>
        <w:t>Purchased points accelerate progression but do not alter competency semantics.</w:t>
      </w:r>
    </w:p>
    <w:p>
      <w:pPr>
        <w:pStyle w:val="ListBullet"/>
      </w:pPr>
      <w:r>
        <w:t>Free progression must remain genuinely viable where a free path is defined.</w:t>
      </w:r>
    </w:p>
    <w:p>
      <w:pPr>
        <w:pStyle w:val="Heading1"/>
      </w:pPr>
      <w:r>
        <w:t>7. Assessment / Competency Boundary</w:t>
      </w:r>
    </w:p>
    <w:p>
      <w:pPr>
        <w:pStyle w:val="ListBullet"/>
      </w:pPr>
      <w:r>
        <w:t>Assessment is an independent competency gate.</w:t>
      </w:r>
    </w:p>
    <w:p>
      <w:pPr>
        <w:pStyle w:val="ListBullet"/>
      </w:pPr>
      <w:r>
        <w:t>Assessment requirements are configurable by applicable Skill/Credential/Awarding rules.</w:t>
      </w:r>
    </w:p>
    <w:p>
      <w:pPr>
        <w:pStyle w:val="ListBullet"/>
      </w:pPr>
      <w:r>
        <w:t>Completion is not automatically competency.</w:t>
      </w:r>
    </w:p>
    <w:p>
      <w:pPr>
        <w:pStyle w:val="ListBullet"/>
      </w:pPr>
      <w:r>
        <w:t>Learning Points are not competency evidence by default.</w:t>
      </w:r>
    </w:p>
    <w:p>
      <w:pPr>
        <w:pStyle w:val="ListBullet"/>
      </w:pPr>
      <w:r>
        <w:t>Payment cannot replace assessment.</w:t>
      </w:r>
    </w:p>
    <w:p>
      <w:pPr>
        <w:pStyle w:val="ListBullet"/>
      </w:pPr>
      <w:r>
        <w:t>Skill, Credential and Title remain distinct concepts.</w:t>
      </w:r>
    </w:p>
    <w:p>
      <w:pPr>
        <w:pStyle w:val="Heading1"/>
      </w:pPr>
      <w:r>
        <w:t>8. Title / Awarding Integration Boundary</w:t>
      </w:r>
    </w:p>
    <w:p>
      <w:pPr>
        <w:pStyle w:val="ListBullet"/>
      </w:pPr>
      <w:r>
        <w:t>Learning Points are not a universal Title prerequisite.</w:t>
      </w:r>
    </w:p>
    <w:p>
      <w:pPr>
        <w:pStyle w:val="ListBullet"/>
      </w:pPr>
      <w:r>
        <w:t>A Title may use learning completion, assessment, competency, credential, Learning Points or other evidence only when its Awarding Path/Rules permit it.</w:t>
      </w:r>
    </w:p>
    <w:p>
      <w:pPr>
        <w:pStyle w:val="ListBullet"/>
      </w:pPr>
      <w:r>
        <w:t>Completion-only Title is permitted only when explicitly configured by the Awarding Path.</w:t>
      </w:r>
    </w:p>
    <w:p>
      <w:pPr>
        <w:pStyle w:val="ListBullet"/>
      </w:pPr>
      <w:r>
        <w:t>Learning is not a universal Title prerequisite.</w:t>
      </w:r>
    </w:p>
    <w:p>
      <w:pPr>
        <w:pStyle w:val="ListBullet"/>
      </w:pPr>
      <w:r>
        <w:t>When learning contributes to Title qualification, the relationship must preserve Awarding Path Version and Awarding Rule Version provenance under MADCR-037 and MADCR-041.</w:t>
      </w:r>
    </w:p>
    <w:p>
      <w:pPr>
        <w:pStyle w:val="ListBullet"/>
      </w:pPr>
      <w:r>
        <w:t>Award Instance remains separate from Certificate/Credential under MADCR-046.</w:t>
      </w:r>
    </w:p>
    <w:p>
      <w:pPr>
        <w:pStyle w:val="Heading1"/>
      </w:pPr>
      <w:r>
        <w:t>9. Partnership Learning Boundary</w:t>
      </w:r>
    </w:p>
    <w:p>
      <w:pPr>
        <w:pStyle w:val="ListBullet"/>
      </w:pPr>
      <w:r>
        <w:t>Partner does not have to use Internal Learning Economy.</w:t>
      </w:r>
    </w:p>
    <w:p>
      <w:pPr>
        <w:pStyle w:val="ListBullet"/>
      </w:pPr>
      <w:r>
        <w:t>Partner results/credentials retain source provenance.</w:t>
      </w:r>
    </w:p>
    <w:p>
      <w:pPr>
        <w:pStyle w:val="ListBullet"/>
      </w:pPr>
      <w:r>
        <w:t>Partner credential does not automatically become RumahAgen Verified Skill.</w:t>
      </w:r>
    </w:p>
    <w:p>
      <w:pPr>
        <w:pStyle w:val="ListBullet"/>
      </w:pPr>
      <w:r>
        <w:t>If partner evidence is recognized by RumahAgen, recognition must occur through configured recognition/Awarding rules.</w:t>
      </w:r>
    </w:p>
    <w:p>
      <w:pPr>
        <w:pStyle w:val="ListBullet"/>
      </w:pPr>
      <w:r>
        <w:t>Agent Profile may aggregate Internal and Partner outcomes, but source must remain visible.</w:t>
      </w:r>
    </w:p>
    <w:p>
      <w:pPr>
        <w:pStyle w:val="Heading1"/>
      </w:pPr>
      <w:r>
        <w:t>10. Payment ↔ Learning Integration Boundary</w:t>
      </w:r>
    </w:p>
    <w:p>
      <w:pPr>
        <w:pStyle w:val="ListBullet"/>
      </w:pPr>
      <w:r>
        <w:t>Learning does not own Payment Gateway logic.</w:t>
      </w:r>
    </w:p>
    <w:p>
      <w:pPr>
        <w:pStyle w:val="ListBullet"/>
      </w:pPr>
      <w:r>
        <w:t>Learning consumes confirmed purchase outcome through a controlled contract/integration boundary.</w:t>
      </w:r>
    </w:p>
    <w:p>
      <w:pPr>
        <w:pStyle w:val="ListBullet"/>
      </w:pPr>
      <w:r>
        <w:t>Conceptual flow: Order → Payment → Verification → Payment Confirmed → Point Grant Pending → Purchased Point Transaction Confirmed.</w:t>
      </w:r>
    </w:p>
    <w:p>
      <w:pPr>
        <w:pStyle w:val="ListBullet"/>
      </w:pPr>
      <w:r>
        <w:t>A confirmed payment must not silently disappear when point allocation fails.</w:t>
      </w:r>
    </w:p>
    <w:p>
      <w:pPr>
        <w:pStyle w:val="ListBullet"/>
      </w:pPr>
      <w:r>
        <w:t>Repeated callbacks/retries must not duplicate purchased points.</w:t>
      </w:r>
    </w:p>
    <w:p>
      <w:pPr>
        <w:pStyle w:val="ListBullet"/>
      </w:pPr>
      <w:r>
        <w:t>Payment/reference identity must be traceable to the resulting Purchased Learning Point transaction.</w:t>
      </w:r>
    </w:p>
    <w:p>
      <w:pPr>
        <w:pStyle w:val="ListBullet"/>
      </w:pPr>
      <w:r>
        <w:t>Refund/chargeback policy remains a downstream commercial/payment concern unless source explicitly assigns Learning behavior.</w:t>
      </w:r>
    </w:p>
    <w:p>
      <w:pPr>
        <w:pStyle w:val="Heading1"/>
      </w:pPr>
      <w:r>
        <w:t>11. Configuration Boundary</w:t>
      </w:r>
    </w:p>
    <w:p>
      <w:pPr>
        <w:pStyle w:val="ListBullet"/>
      </w:pPr>
      <w:r>
        <w:t>Learning Economy parameters are configuration data, not hard-coded constants.</w:t>
      </w:r>
    </w:p>
    <w:p>
      <w:pPr>
        <w:pStyle w:val="ListBullet"/>
      </w:pPr>
      <w:r>
        <w:t>Configurable examples: reward per activity, unlock threshold, progression threshold, purchase package, price, bonus, earning limits, expiration policy if introduced, redemption rules.</w:t>
      </w:r>
    </w:p>
    <w:p>
      <w:pPr>
        <w:pStyle w:val="ListBullet"/>
      </w:pPr>
      <w:r>
        <w:t>Configuration changes must not mutate historical points, assessments, competency, credentials or historical outcome context.</w:t>
      </w:r>
    </w:p>
    <w:p>
      <w:pPr>
        <w:pStyle w:val="ListBullet"/>
      </w:pPr>
      <w:r>
        <w:t>Manual point adjustment requires authorized role, reason, audit trail and provenance.</w:t>
      </w:r>
    </w:p>
    <w:p>
      <w:pPr>
        <w:pStyle w:val="Heading1"/>
      </w:pPr>
      <w:r>
        <w:t>12. RBAC / Authority Boundary</w:t>
      </w:r>
    </w:p>
    <w:p>
      <w:pPr>
        <w:pStyle w:val="ListBullet"/>
      </w:pPr>
      <w:r>
        <w:t>Agent may earn and purchase points but cannot arbitrarily create official point transactions.</w:t>
      </w:r>
    </w:p>
    <w:p>
      <w:pPr>
        <w:pStyle w:val="ListBullet"/>
      </w:pPr>
      <w:r>
        <w:t>Point configuration requires authorized administrative/business role.</w:t>
      </w:r>
    </w:p>
    <w:p>
      <w:pPr>
        <w:pStyle w:val="ListBullet"/>
      </w:pPr>
      <w:r>
        <w:t>Assessment/review/competency verification has separate authority.</w:t>
      </w:r>
    </w:p>
    <w:p>
      <w:pPr>
        <w:pStyle w:val="ListBullet"/>
      </w:pPr>
      <w:r>
        <w:t>Credential/Skill issuance is governed and cannot rely solely on client-side completion state.</w:t>
      </w:r>
    </w:p>
    <w:p>
      <w:pPr>
        <w:pStyle w:val="ListBullet"/>
      </w:pPr>
      <w:r>
        <w:t>Partner result ingestion and purchase reconciliation require explicit authorization boundaries.</w:t>
      </w:r>
    </w:p>
    <w:p>
      <w:pPr>
        <w:pStyle w:val="Heading1"/>
      </w:pPr>
      <w:r>
        <w:t>13. Audit / Provenance Boundary</w:t>
      </w:r>
    </w:p>
    <w:p>
      <w:pPr>
        <w:pStyle w:val="ListBullet"/>
      </w:pPr>
      <w:r>
        <w:t>Every earned point must be explainable back to Learning Activity/source.</w:t>
      </w:r>
    </w:p>
    <w:p>
      <w:pPr>
        <w:pStyle w:val="ListBullet"/>
      </w:pPr>
      <w:r>
        <w:t>Every purchased point must be explainable back to payment/order.</w:t>
      </w:r>
    </w:p>
    <w:p>
      <w:pPr>
        <w:pStyle w:val="ListBullet"/>
      </w:pPr>
      <w:r>
        <w:t>Every competency result must be explainable back to assessment/evidence.</w:t>
      </w:r>
    </w:p>
    <w:p>
      <w:pPr>
        <w:pStyle w:val="ListBullet"/>
      </w:pPr>
      <w:r>
        <w:t>Every learning-based Title must be traceable through Awarding Path → Qualification → Learning/Assessment/Evidence.</w:t>
      </w:r>
    </w:p>
    <w:p>
      <w:pPr>
        <w:pStyle w:val="ListBullet"/>
      </w:pPr>
      <w:r>
        <w:t>Historical records must remain auditable.</w:t>
      </w:r>
    </w:p>
    <w:p>
      <w:pPr>
        <w:pStyle w:val="ListBullet"/>
      </w:pPr>
      <w:r>
        <w:t>Point balance should be reconstructable from transaction history to the extent supported by the final data design.</w:t>
      </w:r>
    </w:p>
    <w:p>
      <w:pPr>
        <w:pStyle w:val="Heading1"/>
      </w:pPr>
      <w:r>
        <w:t>14. Domain Events — Conceptual Only</w:t>
      </w:r>
    </w:p>
    <w:p>
      <w:pPr>
        <w:pStyle w:val="ListBullet"/>
      </w:pPr>
      <w:r>
        <w:t>LearningActivityCompleted</w:t>
      </w:r>
    </w:p>
    <w:p>
      <w:pPr>
        <w:pStyle w:val="ListBullet"/>
      </w:pPr>
      <w:r>
        <w:t>LearningPointsEarned</w:t>
      </w:r>
    </w:p>
    <w:p>
      <w:pPr>
        <w:pStyle w:val="ListBullet"/>
      </w:pPr>
      <w:r>
        <w:t>LearningPointsPurchased</w:t>
      </w:r>
    </w:p>
    <w:p>
      <w:pPr>
        <w:pStyle w:val="ListBullet"/>
      </w:pPr>
      <w:r>
        <w:t>LearningPointsRedeemed</w:t>
      </w:r>
    </w:p>
    <w:p>
      <w:pPr>
        <w:pStyle w:val="ListBullet"/>
      </w:pPr>
      <w:r>
        <w:t>LearningPathUnlocked</w:t>
      </w:r>
    </w:p>
    <w:p>
      <w:pPr>
        <w:pStyle w:val="ListBullet"/>
      </w:pPr>
      <w:r>
        <w:t>AssessmentSubmitted</w:t>
      </w:r>
    </w:p>
    <w:p>
      <w:pPr>
        <w:pStyle w:val="ListBullet"/>
      </w:pPr>
      <w:r>
        <w:t>AssessmentPassed</w:t>
      </w:r>
    </w:p>
    <w:p>
      <w:pPr>
        <w:pStyle w:val="ListBullet"/>
      </w:pPr>
      <w:r>
        <w:t>AssessmentFailed</w:t>
      </w:r>
    </w:p>
    <w:p>
      <w:pPr>
        <w:pStyle w:val="ListBullet"/>
      </w:pPr>
      <w:r>
        <w:t>SkillVerified</w:t>
      </w:r>
    </w:p>
    <w:p>
      <w:pPr>
        <w:pStyle w:val="ListBullet"/>
      </w:pPr>
      <w:r>
        <w:t>CredentialIssued</w:t>
      </w:r>
    </w:p>
    <w:p>
      <w:pPr>
        <w:pStyle w:val="ListBullet"/>
      </w:pPr>
      <w:r>
        <w:t>PartnerCredentialRecorded</w:t>
      </w:r>
    </w:p>
    <w:p>
      <w:pPr>
        <w:pStyle w:val="Heading1"/>
      </w:pPr>
      <w:r>
        <w:t>15. State / Authority Separation</w:t>
      </w:r>
    </w:p>
    <w:p>
      <w:r>
        <w:t>The following states must not be collapsed: Learning Completion, Learning Point Balance, Unlock/Access, Assessment Result, Competency, Skill, Credential, Title/Award Instance, Partner Result, Payment Confirmation. Each belongs to its relevant domain/state authority.</w:t>
      </w:r>
    </w:p>
    <w:p>
      <w:pPr>
        <w:pStyle w:val="Heading1"/>
      </w:pPr>
      <w:r>
        <w:t>16. Impact Classification</w:t>
      </w:r>
    </w:p>
    <w:p>
      <w:pPr>
        <w:pStyle w:val="ListBullet"/>
      </w:pPr>
      <w:r>
        <w:t>Learning Point ledger/provenance: NEW / CRITICAL.</w:t>
      </w:r>
    </w:p>
    <w:p>
      <w:pPr>
        <w:pStyle w:val="ListBullet"/>
      </w:pPr>
      <w:r>
        <w:t>Learning Activity model: EVOLVE / CRITICAL, subject to MADCR-049 evidence boundary.</w:t>
      </w:r>
    </w:p>
    <w:p>
      <w:pPr>
        <w:pStyle w:val="ListBullet"/>
      </w:pPr>
      <w:r>
        <w:t>Learning Path / Unlock model: NEW or EVOLVE / HIGH.</w:t>
      </w:r>
    </w:p>
    <w:p>
      <w:pPr>
        <w:pStyle w:val="ListBullet"/>
      </w:pPr>
      <w:r>
        <w:t>Assessment/Competency model: EVOLVE / HIGH.</w:t>
      </w:r>
    </w:p>
    <w:p>
      <w:pPr>
        <w:pStyle w:val="ListBullet"/>
      </w:pPr>
      <w:r>
        <w:t>Skill/Credential boundary: EVOLVE / HIGH.</w:t>
      </w:r>
    </w:p>
    <w:p>
      <w:pPr>
        <w:pStyle w:val="ListBullet"/>
      </w:pPr>
      <w:r>
        <w:t>Partnership Learning provenance: EVOLVE / MEDIUM-HIGH.</w:t>
      </w:r>
    </w:p>
    <w:p>
      <w:pPr>
        <w:pStyle w:val="ListBullet"/>
      </w:pPr>
      <w:r>
        <w:t>Agent Profile learning provenance: EVOLVE / MEDIUM-HIGH.</w:t>
      </w:r>
    </w:p>
    <w:p>
      <w:pPr>
        <w:pStyle w:val="ListBullet"/>
      </w:pPr>
      <w:r>
        <w:t>Payment↔Learning integration: NEW / HIGH.</w:t>
      </w:r>
    </w:p>
    <w:p>
      <w:pPr>
        <w:pStyle w:val="ListBullet"/>
      </w:pPr>
      <w:r>
        <w:t>Learning configuration: NEW / HIGH.</w:t>
      </w:r>
    </w:p>
    <w:p>
      <w:pPr>
        <w:pStyle w:val="ListBullet"/>
      </w:pPr>
      <w:r>
        <w:t>Learning RBAC: EVOLVE / HIGH.</w:t>
      </w:r>
    </w:p>
    <w:p>
      <w:pPr>
        <w:pStyle w:val="ListBullet"/>
      </w:pPr>
      <w:r>
        <w:t>Audit/provenance: NEW / HIGH.</w:t>
      </w:r>
    </w:p>
    <w:p>
      <w:pPr>
        <w:pStyle w:val="ListBullet"/>
      </w:pPr>
      <w:r>
        <w:t>Learning Session: OUT OF SCOPE for core AEP #2; cross-domain linkage deferred to AEP #4.</w:t>
      </w:r>
    </w:p>
    <w:p>
      <w:pPr>
        <w:pStyle w:val="Heading1"/>
      </w:pPr>
      <w:r>
        <w:t>17. Downstream Synchronization Order</w:t>
      </w:r>
    </w:p>
    <w:p>
      <w:pPr>
        <w:pStyle w:val="ListBullet"/>
      </w:pPr>
      <w:r>
        <w:t>Learning Domain Model / this semantic impact.</w:t>
      </w:r>
    </w:p>
    <w:p>
      <w:pPr>
        <w:pStyle w:val="ListBullet"/>
      </w:pPr>
      <w:r>
        <w:t>ERD impact.</w:t>
      </w:r>
    </w:p>
    <w:p>
      <w:pPr>
        <w:pStyle w:val="ListBullet"/>
      </w:pPr>
      <w:r>
        <w:t>Schema / Database impact.</w:t>
      </w:r>
    </w:p>
    <w:p>
      <w:pPr>
        <w:pStyle w:val="ListBullet"/>
      </w:pPr>
      <w:r>
        <w:t>Payment ↔ Learning Integration Contract.</w:t>
      </w:r>
    </w:p>
    <w:p>
      <w:pPr>
        <w:pStyle w:val="ListBullet"/>
      </w:pPr>
      <w:r>
        <w:t>API impact.</w:t>
      </w:r>
    </w:p>
    <w:p>
      <w:pPr>
        <w:pStyle w:val="ListBullet"/>
      </w:pPr>
      <w:r>
        <w:t>RBAC / Permission Matrix impact.</w:t>
      </w:r>
    </w:p>
    <w:p>
      <w:pPr>
        <w:pStyle w:val="ListBullet"/>
      </w:pPr>
      <w:r>
        <w:t>User Flow impact.</w:t>
      </w:r>
    </w:p>
    <w:p>
      <w:pPr>
        <w:pStyle w:val="ListBullet"/>
      </w:pPr>
      <w:r>
        <w:t>PRD impact.</w:t>
      </w:r>
    </w:p>
    <w:p>
      <w:pPr>
        <w:pStyle w:val="ListBullet"/>
      </w:pPr>
      <w:r>
        <w:t>Engineering Guidebook impact.</w:t>
      </w:r>
    </w:p>
    <w:p>
      <w:pPr>
        <w:pStyle w:val="ListBullet"/>
      </w:pPr>
      <w:r>
        <w:t>Test / Business Rule Traceability.</w:t>
      </w:r>
    </w:p>
    <w:p>
      <w:pPr>
        <w:pStyle w:val="ListBullet"/>
      </w:pPr>
      <w:r>
        <w:t>Cross-document reconciliation and AEP #2 final gate.</w:t>
      </w:r>
    </w:p>
    <w:p>
      <w:pPr>
        <w:pStyle w:val="Heading1"/>
      </w:pPr>
      <w:r>
        <w:t>18. Explicit Non-Goals</w:t>
      </w:r>
    </w:p>
    <w:p>
      <w:pPr>
        <w:pStyle w:val="ListBullet"/>
      </w:pPr>
      <w:r>
        <w:t>No physical table/column/FK design.</w:t>
      </w:r>
    </w:p>
    <w:p>
      <w:pPr>
        <w:pStyle w:val="ListBullet"/>
      </w:pPr>
      <w:r>
        <w:t>No API endpoint definition.</w:t>
      </w:r>
    </w:p>
    <w:p>
      <w:pPr>
        <w:pStyle w:val="ListBullet"/>
      </w:pPr>
      <w:r>
        <w:t>No exact permission IDs.</w:t>
      </w:r>
    </w:p>
    <w:p>
      <w:pPr>
        <w:pStyle w:val="ListBullet"/>
      </w:pPr>
      <w:r>
        <w:t>No UI screen design.</w:t>
      </w:r>
    </w:p>
    <w:p>
      <w:pPr>
        <w:pStyle w:val="ListBullet"/>
      </w:pPr>
      <w:r>
        <w:t>No payment provider selection.</w:t>
      </w:r>
    </w:p>
    <w:p>
      <w:pPr>
        <w:pStyle w:val="ListBullet"/>
      </w:pPr>
      <w:r>
        <w:t>No Learning Session implementation.</w:t>
      </w:r>
    </w:p>
    <w:p>
      <w:pPr>
        <w:pStyle w:val="ListBullet"/>
      </w:pPr>
      <w:r>
        <w:t>No closure of MADCR-049.</w:t>
      </w:r>
    </w:p>
    <w:p>
      <w:pPr>
        <w:pStyle w:val="ListBullet"/>
      </w:pPr>
      <w:r>
        <w:t>No new MADCR is created solely by this impact artifact.</w:t>
      </w:r>
    </w:p>
    <w:p>
      <w:pPr>
        <w:pStyle w:val="ListBullet"/>
      </w:pPr>
      <w:r>
        <w:t>No modification of approved MADCR-036/037/041/046/010/011.</w:t>
      </w:r>
    </w:p>
    <w:p>
      <w:pPr>
        <w:pStyle w:val="Heading1"/>
      </w:pPr>
      <w:r>
        <w:t>19. Gate Result</w:t>
      </w:r>
    </w:p>
    <w:p>
      <w:r>
        <w:t>PASS — DOMAIN ARCHITECTURE IMPACT DEFINED WITH MADCR-049 RESIDUAL. The Learning Economy semantic domain boundary is now sufficiently defined to proceed to ERD impact. The only explicit governance residual affecting Learning Activity is MADCR-049, which remains OPEN / RE-EVALUATION and is not silently closed.</w:t>
      </w:r>
    </w:p>
    <w:p>
      <w:pPr>
        <w:pStyle w:val="Heading1"/>
      </w:pPr>
      <w:r>
        <w:t>20. Next Step</w:t>
      </w:r>
    </w:p>
    <w:p>
      <w:r>
        <w:t>Proceed to AEP #2 ERD Entity / Relationship Impact Specification, using this domain model plus the locked ADR-LE-001–008 and LE-001–LE-059 as the governing semantic input.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