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AEP #2 — Learning Economy ERD Entity &amp; Relationship Impact</w:t>
      </w:r>
    </w:p>
    <w:p>
      <w:r>
        <w:t>RumahAgen | Internal Learning / Learning Economy | Logical Architecture Working Artifact</w:t>
      </w:r>
    </w:p>
    <w:p>
      <w:pPr>
        <w:pStyle w:val="Heading1"/>
      </w:pPr>
      <w:r>
        <w:t>1. Purpose</w:t>
      </w:r>
    </w:p>
    <w:p>
      <w:r>
        <w:t>Translate the approved AEP #2 semantic domain boundary into a controlled logical ERD impact specification. This artifact defines required entities, ownership, relationships, cardinality intent, provenance and invariants. It does not approve physical tables, columns, FK names, migrations, indexes or SQL implementation.</w:t>
      </w:r>
    </w:p>
    <w:p>
      <w:pPr>
        <w:pStyle w:val="Heading1"/>
      </w:pPr>
      <w:r>
        <w:t>2. Governing Inputs</w:t>
      </w:r>
    </w:p>
    <w:p>
      <w:pPr>
        <w:pStyle w:val="ListBullet"/>
      </w:pPr>
      <w:r>
        <w:t>AEP #2 Domain Architecture Impact — Learning Economy domain boundary.</w:t>
      </w:r>
    </w:p>
    <w:p>
      <w:pPr>
        <w:pStyle w:val="ListBullet"/>
      </w:pPr>
      <w:r>
        <w:t>ADR-LE-001: Learning Points are transaction/ledger-based.</w:t>
      </w:r>
    </w:p>
    <w:p>
      <w:pPr>
        <w:pStyle w:val="ListBullet"/>
      </w:pPr>
      <w:r>
        <w:t>ADR-LE-002: Earned and Purchased Learning Points retain distinct provenance.</w:t>
      </w:r>
    </w:p>
    <w:p>
      <w:pPr>
        <w:pStyle w:val="ListBullet"/>
      </w:pPr>
      <w:r>
        <w:t>ADR-LE-003: Pay-to-Accelerate never bypasses assessment/competency.</w:t>
      </w:r>
    </w:p>
    <w:p>
      <w:pPr>
        <w:pStyle w:val="ListBullet"/>
      </w:pPr>
      <w:r>
        <w:t>ADR-LE-004: Internal Learning and Partnership Learning use different economy models.</w:t>
      </w:r>
    </w:p>
    <w:p>
      <w:pPr>
        <w:pStyle w:val="ListBullet"/>
      </w:pPr>
      <w:r>
        <w:t>ADR-LE-006: Learning Completion does not automatically create Skill/Credential.</w:t>
      </w:r>
    </w:p>
    <w:p>
      <w:pPr>
        <w:pStyle w:val="ListBullet"/>
      </w:pPr>
      <w:r>
        <w:t>ADR-LE-007: Purchased Learning Point grant is idempotent.</w:t>
      </w:r>
    </w:p>
    <w:p>
      <w:pPr>
        <w:pStyle w:val="ListBullet"/>
      </w:pPr>
      <w:r>
        <w:t>ADR-LE-008: Learning Economy parameters are configuration data and do not rewrite history.</w:t>
      </w:r>
    </w:p>
    <w:p>
      <w:pPr>
        <w:pStyle w:val="ListBullet"/>
      </w:pPr>
      <w:r>
        <w:t>LE-001–LE-059 Learning Economy business-rule layer.</w:t>
      </w:r>
    </w:p>
    <w:p>
      <w:pPr>
        <w:pStyle w:val="ListBullet"/>
      </w:pPr>
      <w:r>
        <w:t>MADCR-036/037/041/046: Title, Awarding Path, Awarding Rule, Certificate/Credential boundaries.</w:t>
      </w:r>
    </w:p>
    <w:p>
      <w:pPr>
        <w:pStyle w:val="ListBullet"/>
      </w:pPr>
      <w:r>
        <w:t>MADCR-011: Payment ownership remains in M14 Commercial; Learning consumes confirmed payment outcome.</w:t>
      </w:r>
    </w:p>
    <w:p>
      <w:pPr>
        <w:pStyle w:val="ListBullet"/>
      </w:pPr>
      <w:r>
        <w:t>MADCR-049 remains OPEN / RE-EVALUATION and is not closed by this ERD impact.</w:t>
      </w:r>
    </w:p>
    <w:p>
      <w:pPr>
        <w:pStyle w:val="Heading1"/>
      </w:pPr>
      <w:r>
        <w:t>3. Logical Entity Set — Core Learning Economy</w:t>
      </w:r>
    </w:p>
    <w:p>
      <w:pPr>
        <w:pStyle w:val="ListBullet"/>
      </w:pPr>
      <w:r>
        <w:t>Learning Program — groups a coherent learning offering/path family.</w:t>
      </w:r>
    </w:p>
    <w:p>
      <w:pPr>
        <w:pStyle w:val="ListBullet"/>
      </w:pPr>
      <w:r>
        <w:t>Learning Path — defines progression/qualification route; must be compatible with Awarding Path semantics where learning contributes to awarding.</w:t>
      </w:r>
    </w:p>
    <w:p>
      <w:pPr>
        <w:pStyle w:val="ListBullet"/>
      </w:pPr>
      <w:r>
        <w:t>Learning Path Version — only where versioning is required by the existing Learning/Awarding source; relationship to Awarding Path Version must not be conflated.</w:t>
      </w:r>
    </w:p>
    <w:p>
      <w:pPr>
        <w:pStyle w:val="ListBullet"/>
      </w:pPr>
      <w:r>
        <w:t>Learning Module — groups learning content/activities within a path.</w:t>
      </w:r>
    </w:p>
    <w:p>
      <w:pPr>
        <w:pStyle w:val="ListBullet"/>
      </w:pPr>
      <w:r>
        <w:t>Learning Activity — source of learning completion and, where configured, earned Learning Points.</w:t>
      </w:r>
    </w:p>
    <w:p>
      <w:pPr>
        <w:pStyle w:val="ListBullet"/>
      </w:pPr>
      <w:r>
        <w:t>Learning Activity Completion — records learner-specific completion evidence/state.</w:t>
      </w:r>
    </w:p>
    <w:p>
      <w:pPr>
        <w:pStyle w:val="ListBullet"/>
      </w:pPr>
      <w:r>
        <w:t>Learning Point Account — current account context for an agent; balance is a controlled projection, not the sole source of truth.</w:t>
      </w:r>
    </w:p>
    <w:p>
      <w:pPr>
        <w:pStyle w:val="ListBullet"/>
      </w:pPr>
      <w:r>
        <w:t>Learning Point Transaction — immutable/auditable economic/progression record for earned, purchased, redeemed/used, adjustment or reversal semantics as applicable.</w:t>
      </w:r>
    </w:p>
    <w:p>
      <w:pPr>
        <w:pStyle w:val="ListBullet"/>
      </w:pPr>
      <w:r>
        <w:t>Learning Point Grant / Purchase Reference — logical provenance bridge for purchased points to confirmed commercial/payment transaction.</w:t>
      </w:r>
    </w:p>
    <w:p>
      <w:pPr>
        <w:pStyle w:val="ListBullet"/>
      </w:pPr>
      <w:r>
        <w:t>Learning Unlock / Progression State — learner-specific access/progression state distinct from competency.</w:t>
      </w:r>
    </w:p>
    <w:p>
      <w:pPr>
        <w:pStyle w:val="ListBullet"/>
      </w:pPr>
      <w:r>
        <w:t>Assessment — defines or records an assessment event/attempt according to the existing assessment model.</w:t>
      </w:r>
    </w:p>
    <w:p>
      <w:pPr>
        <w:pStyle w:val="ListBullet"/>
      </w:pPr>
      <w:r>
        <w:t>Assessment Result — learner-specific assessment outcome/evidence.</w:t>
      </w:r>
    </w:p>
    <w:p>
      <w:pPr>
        <w:pStyle w:val="ListBullet"/>
      </w:pPr>
      <w:r>
        <w:t>Skill — verified capability definition/outcome, distinct from completion.</w:t>
      </w:r>
    </w:p>
    <w:p>
      <w:pPr>
        <w:pStyle w:val="ListBullet"/>
      </w:pPr>
      <w:r>
        <w:t>Credential — learning credential/certification outcome, distinct from Skill and Title/Award Instance.</w:t>
      </w:r>
    </w:p>
    <w:p>
      <w:pPr>
        <w:pStyle w:val="ListBullet"/>
      </w:pPr>
      <w:r>
        <w:t>Partnership Learning Result — partner-origin learning/credential result preserving partner provenance.</w:t>
      </w:r>
    </w:p>
    <w:p>
      <w:pPr>
        <w:pStyle w:val="ListBullet"/>
      </w:pPr>
      <w:r>
        <w:t>Learning Economy Configuration — configurable reward, threshold, package, price, bonus, earning limit, redemption and related parameters.</w:t>
      </w:r>
    </w:p>
    <w:p>
      <w:pPr>
        <w:pStyle w:val="ListBullet"/>
      </w:pPr>
      <w:r>
        <w:t>Learning Audit / Provenance Record — where existing audit architecture requires a separate logical record; exact implementation remains downstream.</w:t>
      </w:r>
    </w:p>
    <w:p>
      <w:pPr>
        <w:pStyle w:val="Heading1"/>
      </w:pPr>
      <w:r>
        <w:t>4. Existing Project Entities That Must Not Be Collapsed</w:t>
      </w:r>
    </w:p>
    <w:p>
      <w:pPr>
        <w:pStyle w:val="ListBullet"/>
      </w:pPr>
      <w:r>
        <w:t>Agent/User identity remains the owner/subject of learner-specific Learning state; Learning does not create a second identity authority.</w:t>
      </w:r>
    </w:p>
    <w:p>
      <w:pPr>
        <w:pStyle w:val="ListBullet"/>
      </w:pPr>
      <w:r>
        <w:t>Payment Transaction / Order remains Commercial/Payment-owned. Learning Point Transaction references its confirmed commercial provenance; it does not own payment state.</w:t>
      </w:r>
    </w:p>
    <w:p>
      <w:pPr>
        <w:pStyle w:val="ListBullet"/>
      </w:pPr>
      <w:r>
        <w:t>Title Identity remains Awarding-owned.</w:t>
      </w:r>
    </w:p>
    <w:p>
      <w:pPr>
        <w:pStyle w:val="ListBullet"/>
      </w:pPr>
      <w:r>
        <w:t>Awarding Path Version remains governed by MADCR-037.</w:t>
      </w:r>
    </w:p>
    <w:p>
      <w:pPr>
        <w:pStyle w:val="ListBullet"/>
      </w:pPr>
      <w:r>
        <w:t>Awarding Rule Version remains governed by MADCR-041.</w:t>
      </w:r>
    </w:p>
    <w:p>
      <w:pPr>
        <w:pStyle w:val="ListBullet"/>
      </w:pPr>
      <w:r>
        <w:t>Award Instance remains separate from Certificate/Credential under MADCR-046.</w:t>
      </w:r>
    </w:p>
    <w:p>
      <w:pPr>
        <w:pStyle w:val="ListBullet"/>
      </w:pPr>
      <w:r>
        <w:t>RBAC/Permission remains authorization-owned and is not represented as a Learning Point/Entitlement state.</w:t>
      </w:r>
    </w:p>
    <w:p>
      <w:pPr>
        <w:pStyle w:val="Heading1"/>
      </w:pPr>
      <w:r>
        <w:t>5. Relationship Intent</w:t>
      </w:r>
    </w:p>
    <w:p>
      <w:pPr>
        <w:pStyle w:val="ListBullet"/>
      </w:pPr>
      <w:r>
        <w:t>Agent 1→N Learning Activity Completion.</w:t>
      </w:r>
    </w:p>
    <w:p>
      <w:pPr>
        <w:pStyle w:val="ListBullet"/>
      </w:pPr>
      <w:r>
        <w:t>Learning Activity 1→N Activity Completion.</w:t>
      </w:r>
    </w:p>
    <w:p>
      <w:pPr>
        <w:pStyle w:val="ListBullet"/>
      </w:pPr>
      <w:r>
        <w:t>Agent 1→1 or 1→N Learning Point Account according to the final account-scope rule; exact cardinality is not physically locked here.</w:t>
      </w:r>
    </w:p>
    <w:p>
      <w:pPr>
        <w:pStyle w:val="ListBullet"/>
      </w:pPr>
      <w:r>
        <w:t>Learning Point Account 1→N Learning Point Transaction.</w:t>
      </w:r>
    </w:p>
    <w:p>
      <w:pPr>
        <w:pStyle w:val="ListBullet"/>
      </w:pPr>
      <w:r>
        <w:t>Learning Point Transaction N→1 source/provenance context where applicable.</w:t>
      </w:r>
    </w:p>
    <w:p>
      <w:pPr>
        <w:pStyle w:val="ListBullet"/>
      </w:pPr>
      <w:r>
        <w:t>Purchased Learning Point Transaction N→1 confirmed commercial payment/order reference; one confirmed payment must not create duplicate confirmed grants.</w:t>
      </w:r>
    </w:p>
    <w:p>
      <w:pPr>
        <w:pStyle w:val="ListBullet"/>
      </w:pPr>
      <w:r>
        <w:t>Learning Path 1→N Learning Module.</w:t>
      </w:r>
    </w:p>
    <w:p>
      <w:pPr>
        <w:pStyle w:val="ListBullet"/>
      </w:pPr>
      <w:r>
        <w:t>Learning Module 1→N Learning Activity.</w:t>
      </w:r>
    </w:p>
    <w:p>
      <w:pPr>
        <w:pStyle w:val="ListBullet"/>
      </w:pPr>
      <w:r>
        <w:t>Agent 1→N Learning Unlock/Progression State.</w:t>
      </w:r>
    </w:p>
    <w:p>
      <w:pPr>
        <w:pStyle w:val="ListBullet"/>
      </w:pPr>
      <w:r>
        <w:t>Learning Path 1→N learner progression/unlock states.</w:t>
      </w:r>
    </w:p>
    <w:p>
      <w:pPr>
        <w:pStyle w:val="ListBullet"/>
      </w:pPr>
      <w:r>
        <w:t>Assessment 1→N Assessment Result/Attempt.</w:t>
      </w:r>
    </w:p>
    <w:p>
      <w:pPr>
        <w:pStyle w:val="ListBullet"/>
      </w:pPr>
      <w:r>
        <w:t>Agent 1→N Assessment Result/Attempt.</w:t>
      </w:r>
    </w:p>
    <w:p>
      <w:pPr>
        <w:pStyle w:val="ListBullet"/>
      </w:pPr>
      <w:r>
        <w:t>Skill/Credential outcomes reference qualifying learning/assessment evidence where applicable, without turning completion into automatic competency.</w:t>
      </w:r>
    </w:p>
    <w:p>
      <w:pPr>
        <w:pStyle w:val="ListBullet"/>
      </w:pPr>
      <w:r>
        <w:t>Partnership Learning Result N→1 Partner/Provider provenance.</w:t>
      </w:r>
    </w:p>
    <w:p>
      <w:pPr>
        <w:pStyle w:val="ListBullet"/>
      </w:pPr>
      <w:r>
        <w:t>Agent 1→N Partnership Learning Result.</w:t>
      </w:r>
    </w:p>
    <w:p>
      <w:pPr>
        <w:pStyle w:val="ListBullet"/>
      </w:pPr>
      <w:r>
        <w:t>Learning Economy Configuration applies to configured Learning Economy behavior; historical transactions retain the configuration/provenance context necessary for audit and must not be rewritten by later configuration changes.</w:t>
      </w:r>
    </w:p>
    <w:p>
      <w:pPr>
        <w:pStyle w:val="Heading1"/>
      </w:pPr>
      <w:r>
        <w:t>6. Critical Cardinality / Invariant Rules</w:t>
      </w:r>
    </w:p>
    <w:p>
      <w:pPr>
        <w:pStyle w:val="ListBullet"/>
      </w:pPr>
      <w:r>
        <w:t>Learning Point Transaction is the auditable economic/progression record; current balance alone is insufficient.</w:t>
      </w:r>
    </w:p>
    <w:p>
      <w:pPr>
        <w:pStyle w:val="ListBullet"/>
      </w:pPr>
      <w:r>
        <w:t>Every Earned transaction must be attributable to an eligible learning activity/completion or an explicitly authorized adjustment source.</w:t>
      </w:r>
    </w:p>
    <w:p>
      <w:pPr>
        <w:pStyle w:val="ListBullet"/>
      </w:pPr>
      <w:r>
        <w:t>Every Purchased transaction must be attributable to a confirmed commercial/payment provenance.</w:t>
      </w:r>
    </w:p>
    <w:p>
      <w:pPr>
        <w:pStyle w:val="ListBullet"/>
      </w:pPr>
      <w:r>
        <w:t>Duplicate payment callbacks/retries cannot create multiple confirmed Purchased Learning Point grants for the same commercial transaction.</w:t>
      </w:r>
    </w:p>
    <w:p>
      <w:pPr>
        <w:pStyle w:val="ListBullet"/>
      </w:pPr>
      <w:r>
        <w:t>A Learning Activity Completion may produce an LP transaction only when the configured earning rule permits it.</w:t>
      </w:r>
    </w:p>
    <w:p>
      <w:pPr>
        <w:pStyle w:val="ListBullet"/>
      </w:pPr>
      <w:r>
        <w:t>Learning Points may unlock/progress a learner only where the applicable path/configuration requires them.</w:t>
      </w:r>
    </w:p>
    <w:p>
      <w:pPr>
        <w:pStyle w:val="ListBullet"/>
      </w:pPr>
      <w:r>
        <w:t>Unlock/access state is not competency state.</w:t>
      </w:r>
    </w:p>
    <w:p>
      <w:pPr>
        <w:pStyle w:val="ListBullet"/>
      </w:pPr>
      <w:r>
        <w:t>Assessment Result is not replaced by LP balance.</w:t>
      </w:r>
    </w:p>
    <w:p>
      <w:pPr>
        <w:pStyle w:val="ListBullet"/>
      </w:pPr>
      <w:r>
        <w:t>Skill/Credential is not created merely because a learner completed content unless the applicable rule explicitly defines that outcome.</w:t>
      </w:r>
    </w:p>
    <w:p>
      <w:pPr>
        <w:pStyle w:val="ListBullet"/>
      </w:pPr>
      <w:r>
        <w:t>Learning Points are not a universal prerequisite for Title/Award.</w:t>
      </w:r>
    </w:p>
    <w:p>
      <w:pPr>
        <w:pStyle w:val="ListBullet"/>
      </w:pPr>
      <w:r>
        <w:t>Where learning contributes to an Awarding Path, the resulting Award Instance must preserve the Awarding Path Version and Awarding Rule Version semantics required by MADCR-037/041.</w:t>
      </w:r>
    </w:p>
    <w:p>
      <w:pPr>
        <w:pStyle w:val="ListBullet"/>
      </w:pPr>
      <w:r>
        <w:t>Certificate/Credential remains distinct from Award Instance under MADCR-046.</w:t>
      </w:r>
    </w:p>
    <w:p>
      <w:pPr>
        <w:pStyle w:val="ListBullet"/>
      </w:pPr>
      <w:r>
        <w:t>Partnership result remains distinguishable from Internal Learning Economy outcome.</w:t>
      </w:r>
    </w:p>
    <w:p>
      <w:pPr>
        <w:pStyle w:val="Heading1"/>
      </w:pPr>
      <w:r>
        <w:t>7. Provenance Model</w:t>
      </w:r>
    </w:p>
    <w:p>
      <w:pPr>
        <w:pStyle w:val="ListBullet"/>
      </w:pPr>
      <w:r>
        <w:t>Earned LP provenance: Agent → Activity Completion → Earning Rule/Configuration Context → LP Transaction.</w:t>
      </w:r>
    </w:p>
    <w:p>
      <w:pPr>
        <w:pStyle w:val="ListBullet"/>
      </w:pPr>
      <w:r>
        <w:t>Purchased LP provenance: Agent → Commercial Order/Payment Confirmation → Purchased Grant → LP Transaction.</w:t>
      </w:r>
    </w:p>
    <w:p>
      <w:pPr>
        <w:pStyle w:val="ListBullet"/>
      </w:pPr>
      <w:r>
        <w:t>Redeemed/Used LP provenance: Agent → applicable unlock/redemption action → LP Transaction.</w:t>
      </w:r>
    </w:p>
    <w:p>
      <w:pPr>
        <w:pStyle w:val="ListBullet"/>
      </w:pPr>
      <w:r>
        <w:t>Manual Adjustment provenance: authorized actor → reason/source → LP Transaction.</w:t>
      </w:r>
    </w:p>
    <w:p>
      <w:pPr>
        <w:pStyle w:val="ListBullet"/>
      </w:pPr>
      <w:r>
        <w:t>Assessment provenance: Agent → Assessment Attempt/Result → Evidence/Outcome.</w:t>
      </w:r>
    </w:p>
    <w:p>
      <w:pPr>
        <w:pStyle w:val="ListBullet"/>
      </w:pPr>
      <w:r>
        <w:t>Credential provenance: Agent → qualifying learning/assessment evidence → Credential.</w:t>
      </w:r>
    </w:p>
    <w:p>
      <w:pPr>
        <w:pStyle w:val="ListBullet"/>
      </w:pPr>
      <w:r>
        <w:t>Partner provenance: Agent → Partner/Provider Result → recognized outcome if configured.</w:t>
      </w:r>
    </w:p>
    <w:p>
      <w:pPr>
        <w:pStyle w:val="ListBullet"/>
      </w:pPr>
      <w:r>
        <w:t>Awarding provenance: Title Identity → Awarding Path Version → Awarding Rule Version → Award Instance.</w:t>
      </w:r>
    </w:p>
    <w:p>
      <w:pPr>
        <w:pStyle w:val="Heading1"/>
      </w:pPr>
      <w:r>
        <w:t>8. ERD Impact Against Existing Baseline</w:t>
      </w:r>
    </w:p>
    <w:p>
      <w:pPr>
        <w:pStyle w:val="ListBullet"/>
      </w:pPr>
      <w:r>
        <w:t>NEW / HIGH: Learning Point Account + transaction/ledger structure.</w:t>
      </w:r>
    </w:p>
    <w:p>
      <w:pPr>
        <w:pStyle w:val="ListBullet"/>
      </w:pPr>
      <w:r>
        <w:t>NEW / HIGH: Earned/Purchased provenance structures.</w:t>
      </w:r>
    </w:p>
    <w:p>
      <w:pPr>
        <w:pStyle w:val="ListBullet"/>
      </w:pPr>
      <w:r>
        <w:t>NEW / HIGH: Learning Activity completion evidence where current baseline does not already provide it.</w:t>
      </w:r>
    </w:p>
    <w:p>
      <w:pPr>
        <w:pStyle w:val="ListBullet"/>
      </w:pPr>
      <w:r>
        <w:t>EVOLVE / HIGH: Learning Path / Module / Activity relationships.</w:t>
      </w:r>
    </w:p>
    <w:p>
      <w:pPr>
        <w:pStyle w:val="ListBullet"/>
      </w:pPr>
      <w:r>
        <w:t>EVOLVE / HIGH: Assessment and learner-result relationship.</w:t>
      </w:r>
    </w:p>
    <w:p>
      <w:pPr>
        <w:pStyle w:val="ListBullet"/>
      </w:pPr>
      <w:r>
        <w:t>NEW / HIGH: Learning Economy configuration structure.</w:t>
      </w:r>
    </w:p>
    <w:p>
      <w:pPr>
        <w:pStyle w:val="ListBullet"/>
      </w:pPr>
      <w:r>
        <w:t>NEW / HIGH: Payment-to-Purchased-LP provenance bridge.</w:t>
      </w:r>
    </w:p>
    <w:p>
      <w:pPr>
        <w:pStyle w:val="ListBullet"/>
      </w:pPr>
      <w:r>
        <w:t>EVOLVE / HIGH: Agent Profile learning outcome provenance.</w:t>
      </w:r>
    </w:p>
    <w:p>
      <w:pPr>
        <w:pStyle w:val="ListBullet"/>
      </w:pPr>
      <w:r>
        <w:t>EVOLVE / HIGH: Skill/Credential linkage while preserving separation from Title/Award.</w:t>
      </w:r>
    </w:p>
    <w:p>
      <w:pPr>
        <w:pStyle w:val="ListBullet"/>
      </w:pPr>
      <w:r>
        <w:t>EVOLVE / MEDIUM-HIGH: Partnership Learning result/provenance.</w:t>
      </w:r>
    </w:p>
    <w:p>
      <w:pPr>
        <w:pStyle w:val="ListBullet"/>
      </w:pPr>
      <w:r>
        <w:t>No direct physical alteration is authorized by this artifact.</w:t>
      </w:r>
    </w:p>
    <w:p>
      <w:pPr>
        <w:pStyle w:val="Heading1"/>
      </w:pPr>
      <w:r>
        <w:t>9. MADCR-049 Boundary</w:t>
      </w:r>
    </w:p>
    <w:p>
      <w:pPr>
        <w:pStyle w:val="ListBullet"/>
      </w:pPr>
      <w:r>
        <w:t>Learning Activity remains an allowed logical concept for impact analysis because it is present in the Learning Economy business-rule/AEP source.</w:t>
      </w:r>
    </w:p>
    <w:p>
      <w:pPr>
        <w:pStyle w:val="ListBullet"/>
      </w:pPr>
      <w:r>
        <w:t>However, MADCR-049 remains OPEN / RE-EVALUATION.</w:t>
      </w:r>
    </w:p>
    <w:p>
      <w:pPr>
        <w:pStyle w:val="ListBullet"/>
      </w:pPr>
      <w:r>
        <w:t>Therefore this artifact must not claim that the final physical Learning Activity schema is approved.</w:t>
      </w:r>
    </w:p>
    <w:p>
      <w:pPr>
        <w:pStyle w:val="ListBullet"/>
      </w:pPr>
      <w:r>
        <w:t>If evidence review changes the authoritative definition of Learning Activity, this ERD impact must be reconciled before implementation.</w:t>
      </w:r>
    </w:p>
    <w:p>
      <w:pPr>
        <w:pStyle w:val="Heading1"/>
      </w:pPr>
      <w:r>
        <w:t>10. Physical Design Explicitly Deferred</w:t>
      </w:r>
    </w:p>
    <w:p>
      <w:pPr>
        <w:pStyle w:val="ListBullet"/>
      </w:pPr>
      <w:r>
        <w:t>Exact table names.</w:t>
      </w:r>
    </w:p>
    <w:p>
      <w:pPr>
        <w:pStyle w:val="ListBullet"/>
      </w:pPr>
      <w:r>
        <w:t>Exact column names and data types.</w:t>
      </w:r>
    </w:p>
    <w:p>
      <w:pPr>
        <w:pStyle w:val="ListBullet"/>
      </w:pPr>
      <w:r>
        <w:t>Foreign-key names and enforcement strategy.</w:t>
      </w:r>
    </w:p>
    <w:p>
      <w:pPr>
        <w:pStyle w:val="ListBullet"/>
      </w:pPr>
      <w:r>
        <w:t>Indexes and uniqueness constraints.</w:t>
      </w:r>
    </w:p>
    <w:p>
      <w:pPr>
        <w:pStyle w:val="ListBullet"/>
      </w:pPr>
      <w:r>
        <w:t>Partitioning/retention implementation.</w:t>
      </w:r>
    </w:p>
    <w:p>
      <w:pPr>
        <w:pStyle w:val="ListBullet"/>
      </w:pPr>
      <w:r>
        <w:t>SQL migration.</w:t>
      </w:r>
    </w:p>
    <w:p>
      <w:pPr>
        <w:pStyle w:val="ListBullet"/>
      </w:pPr>
      <w:r>
        <w:t>Supabase-specific implementation.</w:t>
      </w:r>
    </w:p>
    <w:p>
      <w:pPr>
        <w:pStyle w:val="ListBullet"/>
      </w:pPr>
      <w:r>
        <w:t>Event sourcing versus conventional ledger implementation.</w:t>
      </w:r>
    </w:p>
    <w:p>
      <w:pPr>
        <w:pStyle w:val="ListBullet"/>
      </w:pPr>
      <w:r>
        <w:t>Exact account cardinality and multi-account policy.</w:t>
      </w:r>
    </w:p>
    <w:p>
      <w:pPr>
        <w:pStyle w:val="ListBullet"/>
      </w:pPr>
      <w:r>
        <w:t>Exact relationship between Learning Credential and Award Instance.</w:t>
      </w:r>
    </w:p>
    <w:p>
      <w:pPr>
        <w:pStyle w:val="Heading1"/>
      </w:pPr>
      <w:r>
        <w:t>11. ERD Gate Result</w:t>
      </w:r>
    </w:p>
    <w:p>
      <w:r>
        <w:t>PASS WITH CONTROLLED DELTAS. The logical entity/relationship impact is sufficiently specified for the next Schema/Database impact stage. The artifact preserves the approved cross-domain boundaries and does not silently resolve physical design questions or MADCR-049.</w:t>
      </w:r>
    </w:p>
    <w:p>
      <w:pPr>
        <w:pStyle w:val="Heading1"/>
      </w:pPr>
      <w:r>
        <w:t>12. Next Step</w:t>
      </w:r>
    </w:p>
    <w:p>
      <w:r>
        <w:t>Proceed to AEP #2 Schema / Database Impact Specification. The next artifact should convert this logical impact into controlled schema-level changes while explicitly comparing against the actual current project database/ERD baseline. No SQL migration should be generated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