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#2 — Learning Economy Schema / Database Impact Specification</w:t>
      </w:r>
    </w:p>
    <w:p>
      <w:r>
        <w:t>RumahAgen | Internal Learning / Learning Economy | Controlled Downstream Synchronization Artifact</w:t>
      </w:r>
    </w:p>
    <w:p>
      <w:pPr>
        <w:pStyle w:val="Heading1"/>
      </w:pPr>
      <w:r>
        <w:t>1. Purpose</w:t>
      </w:r>
    </w:p>
    <w:p>
      <w:r>
        <w:t>Convert the approved Learning Economy logical ERD impact into a controlled schema/database impact specification. This document defines what the physical schema must be capable of representing, while explicitly withholding final table/column/FK/migration decisions until the actual current schema artifacts are reconciled at implementation level.</w:t>
      </w:r>
    </w:p>
    <w:p>
      <w:pPr>
        <w:pStyle w:val="Heading1"/>
      </w:pPr>
      <w:r>
        <w:t>2. Evidence / Baseline Position</w:t>
      </w:r>
    </w:p>
    <w:p>
      <w:pPr>
        <w:pStyle w:val="ListBullet"/>
      </w:pPr>
      <w:r>
        <w:t>The project inventory identifies ERD-Skema-Database-RUMAHAGEN-v1_4-FINAL.md as CURRENT DOWNSTREAM and Database-Dictionary-Migration-Ready-v1_0-FINAL.md as CURRENT DOWNSTREAM. fileciteturn36file12</w:t>
      </w:r>
    </w:p>
    <w:p>
      <w:pPr>
        <w:pStyle w:val="ListBullet"/>
      </w:pPr>
      <w:r>
        <w:t>The project knowledge-refresh record states that physical baseline synchronization has NOT YET been executed and implementation authorization has NOT been granted. fileciteturn36file10</w:t>
      </w:r>
    </w:p>
    <w:p>
      <w:pPr>
        <w:pStyle w:val="ListBullet"/>
      </w:pPr>
      <w:r>
        <w:t>The Learning Economy AEP requires ERD → Schema synchronization after the logical impact and before API/integration work. fileciteturn35file4</w:t>
      </w:r>
    </w:p>
    <w:p>
      <w:pPr>
        <w:pStyle w:val="ListBullet"/>
      </w:pPr>
      <w:r>
        <w:t>The current exact schema content is not sufficiently retrieved in this pass to claim an exact table-by-table delta. Therefore this artifact is a controlled schema requirement/delta specification, not a migration script or claim of exact current-table conflict.</w:t>
      </w:r>
    </w:p>
    <w:p>
      <w:pPr>
        <w:pStyle w:val="Heading1"/>
      </w:pPr>
      <w:r>
        <w:t>3. Schema Authority / Non-Authority</w:t>
      </w:r>
    </w:p>
    <w:p>
      <w:pPr>
        <w:pStyle w:val="ListBullet"/>
      </w:pPr>
      <w:r>
        <w:t>Business Rules Learning Economy remain normative for Learning Economy business behavior.</w:t>
      </w:r>
    </w:p>
    <w:p>
      <w:pPr>
        <w:pStyle w:val="ListBullet"/>
      </w:pPr>
      <w:r>
        <w:t>Locked ADR-LE-001–008 govern the newly formalized Learning Economy architecture invariants.</w:t>
      </w:r>
    </w:p>
    <w:p>
      <w:pPr>
        <w:pStyle w:val="ListBullet"/>
      </w:pPr>
      <w:r>
        <w:t>Approved MADCR-036/037/041/046 govern Title/Awarding/Credential boundaries.</w:t>
      </w:r>
    </w:p>
    <w:p>
      <w:pPr>
        <w:pStyle w:val="ListBullet"/>
      </w:pPr>
      <w:r>
        <w:t>MADCR-011 governs Payment ownership; Learning consumes confirmed payment outcome and does not own provider gateway state.</w:t>
      </w:r>
    </w:p>
    <w:p>
      <w:pPr>
        <w:pStyle w:val="ListBullet"/>
      </w:pPr>
      <w:r>
        <w:t>The schema must not become authority for RBAC, Payment confirmation, Title eligibility, or competency policy.</w:t>
      </w:r>
    </w:p>
    <w:p>
      <w:pPr>
        <w:pStyle w:val="Heading1"/>
      </w:pPr>
      <w:r>
        <w:t>4. Required Schema Capability — Learning Point Ledger</w:t>
      </w:r>
    </w:p>
    <w:p>
      <w:pPr>
        <w:pStyle w:val="ListBullet"/>
      </w:pPr>
      <w:r>
        <w:t>Represent a learner's Learning Point account/context.</w:t>
      </w:r>
    </w:p>
    <w:p>
      <w:pPr>
        <w:pStyle w:val="ListBullet"/>
      </w:pPr>
      <w:r>
        <w:t>Represent immutable/auditable Learning Point transactions.</w:t>
      </w:r>
    </w:p>
    <w:p>
      <w:pPr>
        <w:pStyle w:val="ListBullet"/>
      </w:pPr>
      <w:r>
        <w:t>Distinguish at minimum EARNED, PURCHASED and REDEEMED/USED transaction semantics; adjustment/reversal semantics may be required by the finalized rule set.</w:t>
      </w:r>
    </w:p>
    <w:p>
      <w:pPr>
        <w:pStyle w:val="ListBullet"/>
      </w:pPr>
      <w:r>
        <w:t>Retain transaction amount/delta, timestamp, learner/account reference and provenance context.</w:t>
      </w:r>
    </w:p>
    <w:p>
      <w:pPr>
        <w:pStyle w:val="ListBullet"/>
      </w:pPr>
      <w:r>
        <w:t>Support reconstruction/audit of balance from transaction history to the extent supported by final design.</w:t>
      </w:r>
    </w:p>
    <w:p>
      <w:pPr>
        <w:pStyle w:val="ListBullet"/>
      </w:pPr>
      <w:r>
        <w:t>Do not treat a mutable balance field as the sole source of truth.</w:t>
      </w:r>
    </w:p>
    <w:p>
      <w:pPr>
        <w:pStyle w:val="ListBullet"/>
      </w:pPr>
      <w:r>
        <w:t>Earned and Purchased provenance must remain distinguishable.</w:t>
      </w:r>
    </w:p>
    <w:p>
      <w:pPr>
        <w:pStyle w:val="Heading1"/>
      </w:pPr>
      <w:r>
        <w:t>5. Earned Point Schema Requirements</w:t>
      </w:r>
    </w:p>
    <w:p>
      <w:pPr>
        <w:pStyle w:val="ListBullet"/>
      </w:pPr>
      <w:r>
        <w:t>An earned transaction must be traceable to the Learning Activity / completion or explicitly authorized adjustment source.</w:t>
      </w:r>
    </w:p>
    <w:p>
      <w:pPr>
        <w:pStyle w:val="ListBullet"/>
      </w:pPr>
      <w:r>
        <w:t>The schema must retain enough configuration/rule context to explain why the reward was issued.</w:t>
      </w:r>
    </w:p>
    <w:p>
      <w:pPr>
        <w:pStyle w:val="ListBullet"/>
      </w:pPr>
      <w:r>
        <w:t>A later configuration change must not rewrite historical earned transactions.</w:t>
      </w:r>
    </w:p>
    <w:p>
      <w:pPr>
        <w:pStyle w:val="ListBullet"/>
      </w:pPr>
      <w:r>
        <w:t>A duplicate completion/reward event must not create unintended duplicate earned transactions where the governing rule requires idempotency.</w:t>
      </w:r>
    </w:p>
    <w:p>
      <w:pPr>
        <w:pStyle w:val="Heading1"/>
      </w:pPr>
      <w:r>
        <w:t>6. Purchased Point Schema Requirements</w:t>
      </w:r>
    </w:p>
    <w:p>
      <w:pPr>
        <w:pStyle w:val="ListBullet"/>
      </w:pPr>
      <w:r>
        <w:t>A purchased point transaction must be traceable to the confirmed Commercial Order/Payment reference.</w:t>
      </w:r>
    </w:p>
    <w:p>
      <w:pPr>
        <w:pStyle w:val="ListBullet"/>
      </w:pPr>
      <w:r>
        <w:t>The schema must support one confirmed commercial payment producing one confirmed Purchased Learning Point grant.</w:t>
      </w:r>
    </w:p>
    <w:p>
      <w:pPr>
        <w:pStyle w:val="ListBullet"/>
      </w:pPr>
      <w:r>
        <w:t>Repeated callback/retry evidence must be distinguishable so duplicate grants can be prevented.</w:t>
      </w:r>
    </w:p>
    <w:p>
      <w:pPr>
        <w:pStyle w:val="ListBullet"/>
      </w:pPr>
      <w:r>
        <w:t>Payment transaction state remains Commercial-owned; Learning stores the necessary provenance/reference rather than duplicating Payment authority.</w:t>
      </w:r>
    </w:p>
    <w:p>
      <w:pPr>
        <w:pStyle w:val="ListBullet"/>
      </w:pPr>
      <w:r>
        <w:t>A confirmed payment that encounters point-allocation failure must remain detectable/reconcilable rather than disappearing.</w:t>
      </w:r>
    </w:p>
    <w:p>
      <w:pPr>
        <w:pStyle w:val="Heading1"/>
      </w:pPr>
      <w:r>
        <w:t>7. Learning Activity / Completion Schema Requirements</w:t>
      </w:r>
    </w:p>
    <w:p>
      <w:pPr>
        <w:pStyle w:val="ListBullet"/>
      </w:pPr>
      <w:r>
        <w:t>Represent Learning Activity independently from learner-specific completion.</w:t>
      </w:r>
    </w:p>
    <w:p>
      <w:pPr>
        <w:pStyle w:val="ListBullet"/>
      </w:pPr>
      <w:r>
        <w:t>Support extensible activity categories; schema must not assume only video/course completion.</w:t>
      </w:r>
    </w:p>
    <w:p>
      <w:pPr>
        <w:pStyle w:val="ListBullet"/>
      </w:pPr>
      <w:r>
        <w:t>Support configurable completion condition and earning relationship.</w:t>
      </w:r>
    </w:p>
    <w:p>
      <w:pPr>
        <w:pStyle w:val="ListBullet"/>
      </w:pPr>
      <w:r>
        <w:t>Support prerequisite, availability, progression and assessment requirement where applicable.</w:t>
      </w:r>
    </w:p>
    <w:p>
      <w:pPr>
        <w:pStyle w:val="ListBullet"/>
      </w:pPr>
      <w:r>
        <w:t>Represent learner-specific completion/evidence state separately from the Activity definition.</w:t>
      </w:r>
    </w:p>
    <w:p>
      <w:pPr>
        <w:pStyle w:val="ListBullet"/>
      </w:pPr>
      <w:r>
        <w:t>MADCR-049 remains OPEN / RE-EVALUATION; therefore the exact physical Learning Activity schema must remain conditional until that governance item is resolved.</w:t>
      </w:r>
    </w:p>
    <w:p>
      <w:pPr>
        <w:pStyle w:val="Heading1"/>
      </w:pPr>
      <w:r>
        <w:t>8. Learning Path / Module / Unlock Schema Requirements</w:t>
      </w:r>
    </w:p>
    <w:p>
      <w:pPr>
        <w:pStyle w:val="ListBullet"/>
      </w:pPr>
      <w:r>
        <w:t>Represent Learning Program / Path / Module / Activity relationships.</w:t>
      </w:r>
    </w:p>
    <w:p>
      <w:pPr>
        <w:pStyle w:val="ListBullet"/>
      </w:pPr>
      <w:r>
        <w:t>Represent learner-specific Unlock / Progression state separately from Competency.</w:t>
      </w:r>
    </w:p>
    <w:p>
      <w:pPr>
        <w:pStyle w:val="ListBullet"/>
      </w:pPr>
      <w:r>
        <w:t>Support point-based unlock/progression only where configured.</w:t>
      </w:r>
    </w:p>
    <w:p>
      <w:pPr>
        <w:pStyle w:val="ListBullet"/>
      </w:pPr>
      <w:r>
        <w:t>Do not encode Purchased Points as competency evidence.</w:t>
      </w:r>
    </w:p>
    <w:p>
      <w:pPr>
        <w:pStyle w:val="ListBullet"/>
      </w:pPr>
      <w:r>
        <w:t>Preserve historical progression context where configuration/versioning requires it.</w:t>
      </w:r>
    </w:p>
    <w:p>
      <w:pPr>
        <w:pStyle w:val="Heading1"/>
      </w:pPr>
      <w:r>
        <w:t>9. Assessment / Competency / Skill / Credential Schema Requirements</w:t>
      </w:r>
    </w:p>
    <w:p>
      <w:pPr>
        <w:pStyle w:val="ListBullet"/>
      </w:pPr>
      <w:r>
        <w:t>Assessment definition/attempt/result must be distinguishable from learning completion.</w:t>
      </w:r>
    </w:p>
    <w:p>
      <w:pPr>
        <w:pStyle w:val="ListBullet"/>
      </w:pPr>
      <w:r>
        <w:t>Assessment result must remain independent of Learning Point balance.</w:t>
      </w:r>
    </w:p>
    <w:p>
      <w:pPr>
        <w:pStyle w:val="ListBullet"/>
      </w:pPr>
      <w:r>
        <w:t>Skill represents demonstrated competency under configured rules.</w:t>
      </w:r>
    </w:p>
    <w:p>
      <w:pPr>
        <w:pStyle w:val="ListBullet"/>
      </w:pPr>
      <w:r>
        <w:t>Credential represents formal recognition outcome under its own rules.</w:t>
      </w:r>
    </w:p>
    <w:p>
      <w:pPr>
        <w:pStyle w:val="ListBullet"/>
      </w:pPr>
      <w:r>
        <w:t>Completion must not automatically create Skill/Credential unless the applicable rule explicitly defines that outcome.</w:t>
      </w:r>
    </w:p>
    <w:p>
      <w:pPr>
        <w:pStyle w:val="ListBullet"/>
      </w:pPr>
      <w:r>
        <w:t>Credential must remain distinct from Title/Award Instance under MADCR-046.</w:t>
      </w:r>
    </w:p>
    <w:p>
      <w:pPr>
        <w:pStyle w:val="Heading1"/>
      </w:pPr>
      <w:r>
        <w:t>10. Title / Awarding Schema Boundary</w:t>
      </w:r>
    </w:p>
    <w:p>
      <w:pPr>
        <w:pStyle w:val="ListBullet"/>
      </w:pPr>
      <w:r>
        <w:t>Learning schema may reference qualifying learning/assessment evidence but must not become the authority for Title eligibility.</w:t>
      </w:r>
    </w:p>
    <w:p>
      <w:pPr>
        <w:pStyle w:val="ListBullet"/>
      </w:pPr>
      <w:r>
        <w:t>Where learning contributes to a Title, the relationship must preserve Awarding Path Version and Awarding Rule Version semantics under MADCR-037/041.</w:t>
      </w:r>
    </w:p>
    <w:p>
      <w:pPr>
        <w:pStyle w:val="ListBullet"/>
      </w:pPr>
      <w:r>
        <w:t>Award Instance remains separate from Credential.</w:t>
      </w:r>
    </w:p>
    <w:p>
      <w:pPr>
        <w:pStyle w:val="ListBullet"/>
      </w:pPr>
      <w:r>
        <w:t>Learning Points are not a universal Title prerequisite.</w:t>
      </w:r>
    </w:p>
    <w:p>
      <w:pPr>
        <w:pStyle w:val="Heading1"/>
      </w:pPr>
      <w:r>
        <w:t>11. Partnership Learning Schema Requirements</w:t>
      </w:r>
    </w:p>
    <w:p>
      <w:pPr>
        <w:pStyle w:val="ListBullet"/>
      </w:pPr>
      <w:r>
        <w:t>Represent partner-origin result/credential separately from Internal Learning Economy outcome.</w:t>
      </w:r>
    </w:p>
    <w:p>
      <w:pPr>
        <w:pStyle w:val="ListBullet"/>
      </w:pPr>
      <w:r>
        <w:t>Retain Partner/Provider provenance.</w:t>
      </w:r>
    </w:p>
    <w:p>
      <w:pPr>
        <w:pStyle w:val="ListBullet"/>
      </w:pPr>
      <w:r>
        <w:t>Partner Credential must not be silently represented as a RumahAgen Verified Skill.</w:t>
      </w:r>
    </w:p>
    <w:p>
      <w:pPr>
        <w:pStyle w:val="ListBullet"/>
      </w:pPr>
      <w:r>
        <w:t>Recognition of partner evidence must occur through configured recognition/Awarding rules.</w:t>
      </w:r>
    </w:p>
    <w:p>
      <w:pPr>
        <w:pStyle w:val="ListBullet"/>
      </w:pPr>
      <w:r>
        <w:t>Agent Profile aggregation must preserve source provenance.</w:t>
      </w:r>
    </w:p>
    <w:p>
      <w:pPr>
        <w:pStyle w:val="Heading1"/>
      </w:pPr>
      <w:r>
        <w:t>12. Learning Economy Configuration Schema Requirements</w:t>
      </w:r>
    </w:p>
    <w:p>
      <w:pPr>
        <w:pStyle w:val="ListBullet"/>
      </w:pPr>
      <w:r>
        <w:t>Represent configurable Learning Economy parameters as data/configuration.</w:t>
      </w:r>
    </w:p>
    <w:p>
      <w:pPr>
        <w:pStyle w:val="ListBullet"/>
      </w:pPr>
      <w:r>
        <w:t>Potential configuration areas include activity reward, unlock/progression thresholds, purchase packages, price, bonus, earning limits, expiration if introduced, and redemption rules.</w:t>
      </w:r>
    </w:p>
    <w:p>
      <w:pPr>
        <w:pStyle w:val="ListBullet"/>
      </w:pPr>
      <w:r>
        <w:t>Configuration changes must not mutate historical point transactions, grants, purchases, assessment outcomes, credentials or historical outcome context.</w:t>
      </w:r>
    </w:p>
    <w:p>
      <w:pPr>
        <w:pStyle w:val="ListBullet"/>
      </w:pPr>
      <w:r>
        <w:t>Configuration changes should preserve effective/historical context required for audit.</w:t>
      </w:r>
    </w:p>
    <w:p>
      <w:pPr>
        <w:pStyle w:val="ListBullet"/>
      </w:pPr>
      <w:r>
        <w:t>Manual point adjustment requires authorized actor, reason and audit/provenance.</w:t>
      </w:r>
    </w:p>
    <w:p>
      <w:pPr>
        <w:pStyle w:val="Heading1"/>
      </w:pPr>
      <w:r>
        <w:t>13. Audit / Provenance Schema Requirements</w:t>
      </w:r>
    </w:p>
    <w:p>
      <w:pPr>
        <w:pStyle w:val="ListBullet"/>
      </w:pPr>
      <w:r>
        <w:t>Every earned point must be explainable back to Activity/Completion/source.</w:t>
      </w:r>
    </w:p>
    <w:p>
      <w:pPr>
        <w:pStyle w:val="ListBullet"/>
      </w:pPr>
      <w:r>
        <w:t>Every purchased point must be explainable back to Order/Confirmed Payment.</w:t>
      </w:r>
    </w:p>
    <w:p>
      <w:pPr>
        <w:pStyle w:val="ListBullet"/>
      </w:pPr>
      <w:r>
        <w:t>Every competency outcome must be explainable back to Assessment/Evidence.</w:t>
      </w:r>
    </w:p>
    <w:p>
      <w:pPr>
        <w:pStyle w:val="ListBullet"/>
      </w:pPr>
      <w:r>
        <w:t>Every partner result must preserve Partner/Provider provenance.</w:t>
      </w:r>
    </w:p>
    <w:p>
      <w:pPr>
        <w:pStyle w:val="ListBullet"/>
      </w:pPr>
      <w:r>
        <w:t>Every learning-based Award qualification must remain traceable through Awarding Path/Rule version context.</w:t>
      </w:r>
    </w:p>
    <w:p>
      <w:pPr>
        <w:pStyle w:val="ListBullet"/>
      </w:pPr>
      <w:r>
        <w:t>Existing project audit architecture should be reused/evolved rather than creating a parallel audit authority without evidence.</w:t>
      </w:r>
    </w:p>
    <w:p>
      <w:pPr>
        <w:pStyle w:val="Heading1"/>
      </w:pPr>
      <w:r>
        <w:t>14. Cross-Domain Schema Boundaries</w:t>
      </w:r>
    </w:p>
    <w:p>
      <w:pPr>
        <w:pStyle w:val="ListBullet"/>
      </w:pPr>
      <w:r>
        <w:t>Agent/User identity remains the existing identity authority.</w:t>
      </w:r>
    </w:p>
    <w:p>
      <w:pPr>
        <w:pStyle w:val="ListBullet"/>
      </w:pPr>
      <w:r>
        <w:t>Payment/Order remains Commercial/Payment-owned.</w:t>
      </w:r>
    </w:p>
    <w:p>
      <w:pPr>
        <w:pStyle w:val="ListBullet"/>
      </w:pPr>
      <w:r>
        <w:t>Learning Point Transaction references confirmed payment provenance but does not own Payment state.</w:t>
      </w:r>
    </w:p>
    <w:p>
      <w:pPr>
        <w:pStyle w:val="ListBullet"/>
      </w:pPr>
      <w:r>
        <w:t>RBAC/permissions remain authorization-owned.</w:t>
      </w:r>
    </w:p>
    <w:p>
      <w:pPr>
        <w:pStyle w:val="ListBullet"/>
      </w:pPr>
      <w:r>
        <w:t>Commercial Entitlement is not a Learning Point ledger and should not be merged with it.</w:t>
      </w:r>
    </w:p>
    <w:p>
      <w:pPr>
        <w:pStyle w:val="ListBullet"/>
      </w:pPr>
      <w:r>
        <w:t>Title/Awarding entities remain Awarding-owned.</w:t>
      </w:r>
    </w:p>
    <w:p>
      <w:pPr>
        <w:pStyle w:val="ListBullet"/>
      </w:pPr>
      <w:r>
        <w:t>Learning Session remains outside the core AEP #2 schema scope; linkage is deferred to AEP #4.</w:t>
      </w:r>
    </w:p>
    <w:p>
      <w:pPr>
        <w:pStyle w:val="Heading1"/>
      </w:pPr>
      <w:r>
        <w:t>15. Required Integrity Constraints — Semantic Level</w:t>
      </w:r>
    </w:p>
    <w:p>
      <w:pPr>
        <w:pStyle w:val="ListBullet"/>
      </w:pPr>
      <w:r>
        <w:t>No duplicate confirmed Purchased LP grant for the same confirmed commercial transaction.</w:t>
      </w:r>
    </w:p>
    <w:p>
      <w:pPr>
        <w:pStyle w:val="ListBullet"/>
      </w:pPr>
      <w:r>
        <w:t>No historical transaction rewrite caused by configuration changes.</w:t>
      </w:r>
    </w:p>
    <w:p>
      <w:pPr>
        <w:pStyle w:val="ListBullet"/>
      </w:pPr>
      <w:r>
        <w:t>No earned-point transaction without an eligible source or authorized adjustment.</w:t>
      </w:r>
    </w:p>
    <w:p>
      <w:pPr>
        <w:pStyle w:val="ListBullet"/>
      </w:pPr>
      <w:r>
        <w:t>No automatic competency state from LP balance.</w:t>
      </w:r>
    </w:p>
    <w:p>
      <w:pPr>
        <w:pStyle w:val="ListBullet"/>
      </w:pPr>
      <w:r>
        <w:t>No automatic Skill/Credential solely from completion unless explicitly configured.</w:t>
      </w:r>
    </w:p>
    <w:p>
      <w:pPr>
        <w:pStyle w:val="ListBullet"/>
      </w:pPr>
      <w:r>
        <w:t>No automatic Title prerequisite from Learning Points.</w:t>
      </w:r>
    </w:p>
    <w:p>
      <w:pPr>
        <w:pStyle w:val="ListBullet"/>
      </w:pPr>
      <w:r>
        <w:t>No loss of partner provenance.</w:t>
      </w:r>
    </w:p>
    <w:p>
      <w:pPr>
        <w:pStyle w:val="ListBullet"/>
      </w:pPr>
      <w:r>
        <w:t>No direct cross-domain mutation encoded as a schema-side authority rule.</w:t>
      </w:r>
    </w:p>
    <w:p>
      <w:pPr>
        <w:pStyle w:val="Heading1"/>
      </w:pPr>
      <w:r>
        <w:t>16. Physical Design Explicitly Deferred</w:t>
      </w:r>
    </w:p>
    <w:p>
      <w:pPr>
        <w:pStyle w:val="ListBullet"/>
      </w:pPr>
      <w:r>
        <w:t>Final table names.</w:t>
      </w:r>
    </w:p>
    <w:p>
      <w:pPr>
        <w:pStyle w:val="ListBullet"/>
      </w:pPr>
      <w:r>
        <w:t>Final column names/data types.</w:t>
      </w:r>
    </w:p>
    <w:p>
      <w:pPr>
        <w:pStyle w:val="ListBullet"/>
      </w:pPr>
      <w:r>
        <w:t>PK/FK names and exact cardinality enforcement.</w:t>
      </w:r>
    </w:p>
    <w:p>
      <w:pPr>
        <w:pStyle w:val="ListBullet"/>
      </w:pPr>
      <w:r>
        <w:t>Unique indexes and exact idempotency constraints.</w:t>
      </w:r>
    </w:p>
    <w:p>
      <w:pPr>
        <w:pStyle w:val="ListBullet"/>
      </w:pPr>
      <w:r>
        <w:t>RLS policies.</w:t>
      </w:r>
    </w:p>
    <w:p>
      <w:pPr>
        <w:pStyle w:val="ListBullet"/>
      </w:pPr>
      <w:r>
        <w:t>Partitioning/retention.</w:t>
      </w:r>
    </w:p>
    <w:p>
      <w:pPr>
        <w:pStyle w:val="ListBullet"/>
      </w:pPr>
      <w:r>
        <w:t>Migration numbering and SQL.</w:t>
      </w:r>
    </w:p>
    <w:p>
      <w:pPr>
        <w:pStyle w:val="ListBullet"/>
      </w:pPr>
      <w:r>
        <w:t>Trigger/function implementation.</w:t>
      </w:r>
    </w:p>
    <w:p>
      <w:pPr>
        <w:pStyle w:val="ListBullet"/>
      </w:pPr>
      <w:r>
        <w:t>Event sourcing vs conventional ledger persistence.</w:t>
      </w:r>
    </w:p>
    <w:p>
      <w:pPr>
        <w:pStyle w:val="ListBullet"/>
      </w:pPr>
      <w:r>
        <w:t>Exact current-baseline delta against every existing table until the actual current schema content is retrieved and inspected.</w:t>
      </w:r>
    </w:p>
    <w:p>
      <w:pPr>
        <w:pStyle w:val="Heading1"/>
      </w:pPr>
      <w:r>
        <w:t>17. Impact Classification</w:t>
      </w:r>
    </w:p>
    <w:p>
      <w:pPr>
        <w:pStyle w:val="ListBullet"/>
      </w:pPr>
      <w:r>
        <w:t>Learning Point Account/Ledger: NEW / CRITICAL.</w:t>
      </w:r>
    </w:p>
    <w:p>
      <w:pPr>
        <w:pStyle w:val="ListBullet"/>
      </w:pPr>
      <w:r>
        <w:t>Point provenance: NEW / CRITICAL.</w:t>
      </w:r>
    </w:p>
    <w:p>
      <w:pPr>
        <w:pStyle w:val="ListBullet"/>
      </w:pPr>
      <w:r>
        <w:t>Learning Activity/Completion: EVOLVE / CRITICAL, subject to MADCR-049.</w:t>
      </w:r>
    </w:p>
    <w:p>
      <w:pPr>
        <w:pStyle w:val="ListBullet"/>
      </w:pPr>
      <w:r>
        <w:t>Learning Path/Module/Unlock: NEW or EVOLVE / HIGH.</w:t>
      </w:r>
    </w:p>
    <w:p>
      <w:pPr>
        <w:pStyle w:val="ListBullet"/>
      </w:pPr>
      <w:r>
        <w:t>Assessment/Result: EVOLVE / HIGH.</w:t>
      </w:r>
    </w:p>
    <w:p>
      <w:pPr>
        <w:pStyle w:val="ListBullet"/>
      </w:pPr>
      <w:r>
        <w:t>Skill/Credential linkage: EVOLVE / HIGH.</w:t>
      </w:r>
    </w:p>
    <w:p>
      <w:pPr>
        <w:pStyle w:val="ListBullet"/>
      </w:pPr>
      <w:r>
        <w:t>Partnership Result/Provenance: EVOLVE / MEDIUM-HIGH.</w:t>
      </w:r>
    </w:p>
    <w:p>
      <w:pPr>
        <w:pStyle w:val="ListBullet"/>
      </w:pPr>
      <w:r>
        <w:t>Learning Economy Configuration: NEW / HIGH.</w:t>
      </w:r>
    </w:p>
    <w:p>
      <w:pPr>
        <w:pStyle w:val="ListBullet"/>
      </w:pPr>
      <w:r>
        <w:t>Payment-to-Purchased-LP provenance: NEW / HIGH.</w:t>
      </w:r>
    </w:p>
    <w:p>
      <w:pPr>
        <w:pStyle w:val="ListBullet"/>
      </w:pPr>
      <w:r>
        <w:t>Audit/provenance: EVOLVE/NEW / HIGH.</w:t>
      </w:r>
    </w:p>
    <w:p>
      <w:pPr>
        <w:pStyle w:val="Heading1"/>
      </w:pPr>
      <w:r>
        <w:t>18. Gate Result</w:t>
      </w:r>
    </w:p>
    <w:p>
      <w:r>
        <w:t>PASS WITH CONTROLLED SCHEMA DELTA + CURRENT-PHYSICAL-EVIDENCE CONDITION.</w:t>
        <w:br/>
        <w:br/>
        <w:t>The schema requirements are sufficiently defined to establish the required Learning Economy physical capabilities. However, an exact table-by-table migration delta is deliberately NOT issued because the exact current schema content was not independently retrieved in this pass. This preserves the project's evidence-first rule and avoids inventing existing entities or conflicts.</w:t>
      </w:r>
    </w:p>
    <w:p>
      <w:pPr>
        <w:pStyle w:val="Heading1"/>
      </w:pPr>
      <w:r>
        <w:t>19. Next Step</w:t>
      </w:r>
    </w:p>
    <w:p>
      <w:r>
        <w:t>Proceed to AEP #2 Payment ↔ Learning Integration Contract Impact. The contract must define the semantic handoff from Confirmed Payment to Purchased Learning Point Transaction, including provenance, idempotency and failure/reconciliation behavior, without embedding payment-provider logic in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