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Payment ↔ Learning Integration Contract Impact</w:t>
      </w:r>
    </w:p>
    <w:p>
      <w:r>
        <w:t>RumahAgen | Internal Learning / Learning Economy | Controlled Integration Artifact</w:t>
      </w:r>
    </w:p>
    <w:p>
      <w:pPr>
        <w:pStyle w:val="Heading1"/>
      </w:pPr>
      <w:r>
        <w:t>1. Purpose</w:t>
      </w:r>
    </w:p>
    <w:p>
      <w:r>
        <w:t>Define the semantic integration contract between Commercial/Payment and the Learning Economy for purchased Learning Points. The contract establishes ownership, handoff, provenance, confirmation, idempotency, failure and reconciliation boundaries. It does not define a payment provider API, webhook implementation, database migration or transport technology.</w:t>
      </w:r>
    </w:p>
    <w:p>
      <w:pPr>
        <w:pStyle w:val="Heading1"/>
      </w:pPr>
      <w:r>
        <w:t>2. Governing Inputs</w:t>
      </w:r>
    </w:p>
    <w:p>
      <w:pPr>
        <w:pStyle w:val="ListBullet"/>
      </w:pPr>
      <w:r>
        <w:t>MADCR-011 — Payment belongs to M14 Commercial / Payment Subdomain.</w:t>
      </w:r>
    </w:p>
    <w:p>
      <w:pPr>
        <w:pStyle w:val="ListBullet"/>
      </w:pPr>
      <w:r>
        <w:t>MADCR-002 — Provider-independent Payment Core with Provider Adapter boundary.</w:t>
      </w:r>
    </w:p>
    <w:p>
      <w:pPr>
        <w:pStyle w:val="ListBullet"/>
      </w:pPr>
      <w:r>
        <w:t>MADCR-003 — Verified payment confirmation and idempotent fulfillment.</w:t>
      </w:r>
    </w:p>
    <w:p>
      <w:pPr>
        <w:pStyle w:val="ListBullet"/>
      </w:pPr>
      <w:r>
        <w:t>MADCR-005 — Reconciliation as first-class capability.</w:t>
      </w:r>
    </w:p>
    <w:p>
      <w:pPr>
        <w:pStyle w:val="ListBullet"/>
      </w:pPr>
      <w:r>
        <w:t>AEP #2 locked ADR-LE-001 — Learning Points are transaction/ledger-based.</w:t>
      </w:r>
    </w:p>
    <w:p>
      <w:pPr>
        <w:pStyle w:val="ListBullet"/>
      </w:pPr>
      <w:r>
        <w:t>AEP #2 locked ADR-LE-002 — Earned and Purchased Learning Points have distinct provenance.</w:t>
      </w:r>
    </w:p>
    <w:p>
      <w:pPr>
        <w:pStyle w:val="ListBullet"/>
      </w:pPr>
      <w:r>
        <w:t>AEP #2 locked ADR-LE-007 — Purchased Learning Point grant is idempotent.</w:t>
      </w:r>
    </w:p>
    <w:p>
      <w:pPr>
        <w:pStyle w:val="ListBullet"/>
      </w:pPr>
      <w:r>
        <w:t>AEP #2 locked ADR-LE-008 — Learning Economy parameters are configuration data.</w:t>
      </w:r>
    </w:p>
    <w:p>
      <w:pPr>
        <w:pStyle w:val="ListBullet"/>
      </w:pPr>
      <w:r>
        <w:t>Learning Economy business-rule layer LE-037–LE-042 for payment / purchase integrity.</w:t>
      </w:r>
    </w:p>
    <w:p>
      <w:pPr>
        <w:pStyle w:val="ListBullet"/>
      </w:pPr>
      <w:r>
        <w:t>MADCR-049 remains OPEN / RE-EVALUATION and is not closed by this contract.</w:t>
      </w:r>
    </w:p>
    <w:p>
      <w:pPr>
        <w:pStyle w:val="Heading1"/>
      </w:pPr>
      <w:r>
        <w:t>3. Ownership Boundary</w:t>
      </w:r>
    </w:p>
    <w:p>
      <w:pPr>
        <w:pStyle w:val="ListBullet"/>
      </w:pPr>
      <w:r>
        <w:t>Commercial/Payment owns Order, Payment Transaction, payment status, provider interaction and Confirmed Payment state.</w:t>
      </w:r>
    </w:p>
    <w:p>
      <w:pPr>
        <w:pStyle w:val="ListBullet"/>
      </w:pPr>
      <w:r>
        <w:t>Learning Economy owns Learning Point Account and Learning Point Transaction state.</w:t>
      </w:r>
    </w:p>
    <w:p>
      <w:pPr>
        <w:pStyle w:val="ListBullet"/>
      </w:pPr>
      <w:r>
        <w:t>Learning consumes the confirmed payment outcome through an explicit integration boundary.</w:t>
      </w:r>
    </w:p>
    <w:p>
      <w:pPr>
        <w:pStyle w:val="ListBullet"/>
      </w:pPr>
      <w:r>
        <w:t>Learning must not call or embed provider-specific Payment Gateway logic.</w:t>
      </w:r>
    </w:p>
    <w:p>
      <w:pPr>
        <w:pStyle w:val="ListBullet"/>
      </w:pPr>
      <w:r>
        <w:t>RBAC remains authorization authority and is not mutated by payment confirmation.</w:t>
      </w:r>
    </w:p>
    <w:p>
      <w:pPr>
        <w:pStyle w:val="ListBullet"/>
      </w:pPr>
      <w:r>
        <w:t>Reconciliation may correlate the two domains but does not automatically become authority to rewrite either domain.</w:t>
      </w:r>
    </w:p>
    <w:p>
      <w:pPr>
        <w:pStyle w:val="Heading1"/>
      </w:pPr>
      <w:r>
        <w:t>4. Canonical Handoff</w:t>
      </w:r>
    </w:p>
    <w:p>
      <w:r>
        <w:t>The semantic handoff is:</w:t>
        <w:br/>
        <w:br/>
        <w:t>Commercial Order</w:t>
        <w:br/>
        <w:t>→ Payment Processing</w:t>
        <w:br/>
        <w:t>→ Provider Result</w:t>
        <w:br/>
        <w:t>→ Verification</w:t>
        <w:br/>
        <w:t>→ Idempotency</w:t>
        <w:br/>
        <w:t>→ Payment Confirmed</w:t>
        <w:br/>
        <w:t>→ Learning Point Grant Pending</w:t>
        <w:br/>
        <w:t>→ Purchased Learning Point Transaction Confirmed</w:t>
        <w:br/>
        <w:br/>
        <w:t>The only payment state that is eligible to produce a confirmed Purchased Learning Point transaction is the internally verified Confirmed Payment state.</w:t>
      </w:r>
    </w:p>
    <w:p>
      <w:pPr>
        <w:pStyle w:val="Heading1"/>
      </w:pPr>
      <w:r>
        <w:t>5. Integration Input — Confirmed Payment</w:t>
      </w:r>
    </w:p>
    <w:p>
      <w:pPr>
        <w:pStyle w:val="ListBullet"/>
      </w:pPr>
      <w:r>
        <w:t>Stable internal payment/order identity.</w:t>
      </w:r>
    </w:p>
    <w:p>
      <w:pPr>
        <w:pStyle w:val="ListBullet"/>
      </w:pPr>
      <w:r>
        <w:t>Commercial product/package identity sufficient to determine what was purchased.</w:t>
      </w:r>
    </w:p>
    <w:p>
      <w:pPr>
        <w:pStyle w:val="ListBullet"/>
      </w:pPr>
      <w:r>
        <w:t>Confirmed payment state.</w:t>
      </w:r>
    </w:p>
    <w:p>
      <w:pPr>
        <w:pStyle w:val="ListBullet"/>
      </w:pPr>
      <w:r>
        <w:t>Confirmed amount/currency where required for commercial audit.</w:t>
      </w:r>
    </w:p>
    <w:p>
      <w:pPr>
        <w:pStyle w:val="ListBullet"/>
      </w:pPr>
      <w:r>
        <w:t>Provider/reference identity sufficient for reconciliation.</w:t>
      </w:r>
    </w:p>
    <w:p>
      <w:pPr>
        <w:pStyle w:val="ListBullet"/>
      </w:pPr>
      <w:r>
        <w:t>Confirmation timestamp.</w:t>
      </w:r>
    </w:p>
    <w:p>
      <w:pPr>
        <w:pStyle w:val="ListBullet"/>
      </w:pPr>
      <w:r>
        <w:t>Any required commercial configuration/version context needed to preserve historical purchase meaning.</w:t>
      </w:r>
    </w:p>
    <w:p>
      <w:pPr>
        <w:pStyle w:val="Heading1"/>
      </w:pPr>
      <w:r>
        <w:t>6. Learning Grant Processing</w:t>
      </w:r>
    </w:p>
    <w:p>
      <w:pPr>
        <w:pStyle w:val="ListBullet"/>
      </w:pPr>
      <w:r>
        <w:t>Learning receives the confirmed commercial outcome through the integration contract.</w:t>
      </w:r>
    </w:p>
    <w:p>
      <w:pPr>
        <w:pStyle w:val="ListBullet"/>
      </w:pPr>
      <w:r>
        <w:t>Learning resolves the purchased Learning Point package/quantity using the approved commercial purchase definition.</w:t>
      </w:r>
    </w:p>
    <w:p>
      <w:pPr>
        <w:pStyle w:val="ListBullet"/>
      </w:pPr>
      <w:r>
        <w:t>Learning creates a Purchased Learning Point transaction with explicit Purchased provenance.</w:t>
      </w:r>
    </w:p>
    <w:p>
      <w:pPr>
        <w:pStyle w:val="ListBullet"/>
      </w:pPr>
      <w:r>
        <w:t>The transaction must retain a reference to the originating confirmed commercial transaction.</w:t>
      </w:r>
    </w:p>
    <w:p>
      <w:pPr>
        <w:pStyle w:val="ListBullet"/>
      </w:pPr>
      <w:r>
        <w:t>The resulting LP transaction contributes to the Learning Point account/balance projection.</w:t>
      </w:r>
    </w:p>
    <w:p>
      <w:pPr>
        <w:pStyle w:val="ListBullet"/>
      </w:pPr>
      <w:r>
        <w:t>Grant processing must be idempotent.</w:t>
      </w:r>
    </w:p>
    <w:p>
      <w:pPr>
        <w:pStyle w:val="Heading1"/>
      </w:pPr>
      <w:r>
        <w:t>7. Idempotency Contract</w:t>
      </w:r>
    </w:p>
    <w:p>
      <w:pPr>
        <w:pStyle w:val="ListBullet"/>
      </w:pPr>
      <w:r>
        <w:t>A single confirmed commercial payment transaction must result in at most one confirmed Purchased Learning Point grant.</w:t>
      </w:r>
    </w:p>
    <w:p>
      <w:pPr>
        <w:pStyle w:val="ListBullet"/>
      </w:pPr>
      <w:r>
        <w:t>Repeated provider callbacks, retries or repeated internal delivery of the same confirmed-payment event must not create duplicate grants.</w:t>
      </w:r>
    </w:p>
    <w:p>
      <w:pPr>
        <w:pStyle w:val="ListBullet"/>
      </w:pPr>
      <w:r>
        <w:t>Idempotency identity must ultimately be traceable to the confirmed commercial/payment transaction.</w:t>
      </w:r>
    </w:p>
    <w:p>
      <w:pPr>
        <w:pStyle w:val="ListBullet"/>
      </w:pPr>
      <w:r>
        <w:t>Exact idempotency key format, storage mechanism, unique index and locking strategy are implementation details and remain open.</w:t>
      </w:r>
    </w:p>
    <w:p>
      <w:pPr>
        <w:pStyle w:val="ListBullet"/>
      </w:pPr>
      <w:r>
        <w:t>If a previous grant attempt is incomplete, the system must be able to retry/reconcile without creating a second economic grant.</w:t>
      </w:r>
    </w:p>
    <w:p>
      <w:pPr>
        <w:pStyle w:val="Heading1"/>
      </w:pPr>
      <w:r>
        <w:t>8. Failure Semantics</w:t>
      </w:r>
    </w:p>
    <w:p>
      <w:pPr>
        <w:pStyle w:val="ListBullet"/>
      </w:pPr>
      <w:r>
        <w:t>Payment confirmation must not be rolled back merely because Learning grant processing temporarily fails.</w:t>
      </w:r>
    </w:p>
    <w:p>
      <w:pPr>
        <w:pStyle w:val="ListBullet"/>
      </w:pPr>
      <w:r>
        <w:t>A confirmed payment with missing/failed LP fulfillment must remain detectable as a reconciliation exception.</w:t>
      </w:r>
    </w:p>
    <w:p>
      <w:pPr>
        <w:pStyle w:val="ListBullet"/>
      </w:pPr>
      <w:r>
        <w:t>Learning grant processing may be retried safely under the idempotency contract.</w:t>
      </w:r>
    </w:p>
    <w:p>
      <w:pPr>
        <w:pStyle w:val="ListBullet"/>
      </w:pPr>
      <w:r>
        <w:t>An unverified or ambiguous payment result must not produce a confirmed LP grant.</w:t>
      </w:r>
    </w:p>
    <w:p>
      <w:pPr>
        <w:pStyle w:val="ListBullet"/>
      </w:pPr>
      <w:r>
        <w:t>A duplicate callback must be absorbed safely.</w:t>
      </w:r>
    </w:p>
    <w:p>
      <w:pPr>
        <w:pStyle w:val="ListBullet"/>
      </w:pPr>
      <w:r>
        <w:t>A configuration lookup failure must not silently issue an incorrect LP quantity.</w:t>
      </w:r>
    </w:p>
    <w:p>
      <w:pPr>
        <w:pStyle w:val="Heading1"/>
      </w:pPr>
      <w:r>
        <w:t>9. Reconciliation Contract</w:t>
      </w:r>
    </w:p>
    <w:p>
      <w:pPr>
        <w:pStyle w:val="ListBullet"/>
      </w:pPr>
      <w:r>
        <w:t>Reconciliation must be able to compare at minimum: Commercial Order, Payment Transaction, Confirmed Payment state, Purchased LP Grant and LP Transaction.</w:t>
      </w:r>
    </w:p>
    <w:p>
      <w:pPr>
        <w:pStyle w:val="ListBullet"/>
      </w:pPr>
      <w:r>
        <w:t>The reconciliation relationship must allow detection of states such as payment confirmed but LP grant missing, LP grant duplicated, payment not confirmed but LP grant present, or reference mismatch.</w:t>
      </w:r>
    </w:p>
    <w:p>
      <w:pPr>
        <w:pStyle w:val="ListBullet"/>
      </w:pPr>
      <w:r>
        <w:t>Reconciliation findings must remain auditable.</w:t>
      </w:r>
    </w:p>
    <w:p>
      <w:pPr>
        <w:pStyle w:val="ListBullet"/>
      </w:pPr>
      <w:r>
        <w:t>Automatic remediation is not implied by detection.</w:t>
      </w:r>
    </w:p>
    <w:p>
      <w:pPr>
        <w:pStyle w:val="ListBullet"/>
      </w:pPr>
      <w:r>
        <w:t>Any remediation action requires an authorized process and must preserve transaction provenance.</w:t>
      </w:r>
    </w:p>
    <w:p>
      <w:pPr>
        <w:pStyle w:val="Heading1"/>
      </w:pPr>
      <w:r>
        <w:t>10. Historical Purchase / Configuration Integrity</w:t>
      </w:r>
    </w:p>
    <w:p>
      <w:pPr>
        <w:pStyle w:val="ListBullet"/>
      </w:pPr>
      <w:r>
        <w:t>The purchased LP quantity must be determined from the confirmed purchase context, not from a mutable current package configuration after the fact.</w:t>
      </w:r>
    </w:p>
    <w:p>
      <w:pPr>
        <w:pStyle w:val="ListBullet"/>
      </w:pPr>
      <w:r>
        <w:t>Later price/package/bonus configuration changes must not rewrite a historical Purchased LP transaction.</w:t>
      </w:r>
    </w:p>
    <w:p>
      <w:pPr>
        <w:pStyle w:val="ListBullet"/>
      </w:pPr>
      <w:r>
        <w:t>The integration must preserve enough commercial context to explain what the learner purchased at the time of confirmation.</w:t>
      </w:r>
    </w:p>
    <w:p>
      <w:pPr>
        <w:pStyle w:val="ListBullet"/>
      </w:pPr>
      <w:r>
        <w:t>The Learning Point transaction remains immutable/auditable according to the ledger model.</w:t>
      </w:r>
    </w:p>
    <w:p>
      <w:pPr>
        <w:pStyle w:val="Heading1"/>
      </w:pPr>
      <w:r>
        <w:t>11. Refund / Chargeback Boundary</w:t>
      </w:r>
    </w:p>
    <w:p>
      <w:pPr>
        <w:pStyle w:val="ListBullet"/>
      </w:pPr>
      <w:r>
        <w:t>Refund/chargeback is a Commercial/Payment event and is not equivalent to original payment confirmation.</w:t>
      </w:r>
    </w:p>
    <w:p>
      <w:pPr>
        <w:pStyle w:val="ListBullet"/>
      </w:pPr>
      <w:r>
        <w:t>The integration contract must permit a refund/chargeback reference to be correlated with the Purchased LP transaction when the governing commercial policy requires a Learning-side effect.</w:t>
      </w:r>
    </w:p>
    <w:p>
      <w:pPr>
        <w:pStyle w:val="ListBullet"/>
      </w:pPr>
      <w:r>
        <w:t>This artifact does not decide whether refunded points are clawed back, frozen, or otherwise treated; that policy remains a downstream commercial/business-rule decision if not already governed.</w:t>
      </w:r>
    </w:p>
    <w:p>
      <w:pPr>
        <w:pStyle w:val="Heading1"/>
      </w:pPr>
      <w:r>
        <w:t>12. Security / Authorization Boundary</w:t>
      </w:r>
    </w:p>
    <w:p>
      <w:pPr>
        <w:pStyle w:val="ListBullet"/>
      </w:pPr>
      <w:r>
        <w:t>A client must not be able to fabricate a Confirmed Payment input to obtain Purchased Learning Points.</w:t>
      </w:r>
    </w:p>
    <w:p>
      <w:pPr>
        <w:pStyle w:val="ListBullet"/>
      </w:pPr>
      <w:r>
        <w:t>Only trusted Payment/Commercial integration output may initiate the confirmed purchase grant path.</w:t>
      </w:r>
    </w:p>
    <w:p>
      <w:pPr>
        <w:pStyle w:val="ListBullet"/>
      </w:pPr>
      <w:r>
        <w:t>Manual point adjustments require explicit authorized role, reason and audit trail.</w:t>
      </w:r>
    </w:p>
    <w:p>
      <w:pPr>
        <w:pStyle w:val="ListBullet"/>
      </w:pPr>
      <w:r>
        <w:t>Learning Point balance must not be directly writable by ordinary learner-facing clients.</w:t>
      </w:r>
    </w:p>
    <w:p>
      <w:pPr>
        <w:pStyle w:val="Heading1"/>
      </w:pPr>
      <w:r>
        <w:t>13. Observability / Audit Requirements</w:t>
      </w:r>
    </w:p>
    <w:p>
      <w:pPr>
        <w:pStyle w:val="ListBullet"/>
      </w:pPr>
      <w:r>
        <w:t>Correlation identity must allow tracing from Order/Payment to Purchased LP Transaction.</w:t>
      </w:r>
    </w:p>
    <w:p>
      <w:pPr>
        <w:pStyle w:val="ListBullet"/>
      </w:pPr>
      <w:r>
        <w:t>Grant result, duplicate detection and failure state must be auditable.</w:t>
      </w:r>
    </w:p>
    <w:p>
      <w:pPr>
        <w:pStyle w:val="ListBullet"/>
      </w:pPr>
      <w:r>
        <w:t>Reconciliation exceptions must preserve enough context for investigation.</w:t>
      </w:r>
    </w:p>
    <w:p>
      <w:pPr>
        <w:pStyle w:val="ListBullet"/>
      </w:pPr>
      <w:r>
        <w:t>The integration must distinguish normal duplicate delivery from genuinely inconsistent commercial state.</w:t>
      </w:r>
    </w:p>
    <w:p>
      <w:pPr>
        <w:pStyle w:val="Heading1"/>
      </w:pPr>
      <w:r>
        <w:t>14. API / Transport Details Explicitly Deferred</w:t>
      </w:r>
    </w:p>
    <w:p>
      <w:pPr>
        <w:pStyle w:val="ListBullet"/>
      </w:pPr>
      <w:r>
        <w:t>Exact endpoint names and HTTP methods.</w:t>
      </w:r>
    </w:p>
    <w:p>
      <w:pPr>
        <w:pStyle w:val="ListBullet"/>
      </w:pPr>
      <w:r>
        <w:t>Webhook endpoint design.</w:t>
      </w:r>
    </w:p>
    <w:p>
      <w:pPr>
        <w:pStyle w:val="ListBullet"/>
      </w:pPr>
      <w:r>
        <w:t>Event bus / queue selection.</w:t>
      </w:r>
    </w:p>
    <w:p>
      <w:pPr>
        <w:pStyle w:val="ListBullet"/>
      </w:pPr>
      <w:r>
        <w:t>Synchronous vs asynchronous transport.</w:t>
      </w:r>
    </w:p>
    <w:p>
      <w:pPr>
        <w:pStyle w:val="ListBullet"/>
      </w:pPr>
      <w:r>
        <w:t>Retry/backoff algorithm.</w:t>
      </w:r>
    </w:p>
    <w:p>
      <w:pPr>
        <w:pStyle w:val="ListBullet"/>
      </w:pPr>
      <w:r>
        <w:t>Provider SDK.</w:t>
      </w:r>
    </w:p>
    <w:p>
      <w:pPr>
        <w:pStyle w:val="ListBullet"/>
      </w:pPr>
      <w:r>
        <w:t>Signature verification implementation.</w:t>
      </w:r>
    </w:p>
    <w:p>
      <w:pPr>
        <w:pStyle w:val="ListBullet"/>
      </w:pPr>
      <w:r>
        <w:t>Exact idempotency key schema.</w:t>
      </w:r>
    </w:p>
    <w:p>
      <w:pPr>
        <w:pStyle w:val="ListBullet"/>
      </w:pPr>
      <w:r>
        <w:t>Physical database constraints.</w:t>
      </w:r>
    </w:p>
    <w:p>
      <w:pPr>
        <w:pStyle w:val="ListBullet"/>
      </w:pPr>
      <w:r>
        <w:t>Deployment topology.</w:t>
      </w:r>
    </w:p>
    <w:p>
      <w:pPr>
        <w:pStyle w:val="Heading1"/>
      </w:pPr>
      <w:r>
        <w:t>15. Cross-Domain Invariants</w:t>
      </w:r>
    </w:p>
    <w:p>
      <w:pPr>
        <w:pStyle w:val="ListBullet"/>
      </w:pPr>
      <w:r>
        <w:t>Payment confirmation does not equal Learning Point balance.</w:t>
      </w:r>
    </w:p>
    <w:p>
      <w:pPr>
        <w:pStyle w:val="ListBullet"/>
      </w:pPr>
      <w:r>
        <w:t>Learning Point purchase does not modify Payment state.</w:t>
      </w:r>
    </w:p>
    <w:p>
      <w:pPr>
        <w:pStyle w:val="ListBullet"/>
      </w:pPr>
      <w:r>
        <w:t>Payment confirmation does not modify RBAC.</w:t>
      </w:r>
    </w:p>
    <w:p>
      <w:pPr>
        <w:pStyle w:val="ListBullet"/>
      </w:pPr>
      <w:r>
        <w:t>Purchased LP is distinguishable from Earned LP.</w:t>
      </w:r>
    </w:p>
    <w:p>
      <w:pPr>
        <w:pStyle w:val="ListBullet"/>
      </w:pPr>
      <w:r>
        <w:t>Learning Point transaction history is auditable.</w:t>
      </w:r>
    </w:p>
    <w:p>
      <w:pPr>
        <w:pStyle w:val="ListBullet"/>
      </w:pPr>
      <w:r>
        <w:t>One confirmed payment cannot create duplicate confirmed Purchased LP grants.</w:t>
      </w:r>
    </w:p>
    <w:p>
      <w:pPr>
        <w:pStyle w:val="ListBullet"/>
      </w:pPr>
      <w:r>
        <w:t>Reconciliation does not silently mutate commercial or learning state.</w:t>
      </w:r>
    </w:p>
    <w:p>
      <w:pPr>
        <w:pStyle w:val="ListBullet"/>
      </w:pPr>
      <w:r>
        <w:t>Historical purchase context is preserved despite later configuration changes.</w:t>
      </w:r>
    </w:p>
    <w:p>
      <w:pPr>
        <w:pStyle w:val="Heading1"/>
      </w:pPr>
      <w:r>
        <w:t>16. Test Obligations</w:t>
      </w:r>
    </w:p>
    <w:p>
      <w:pPr>
        <w:pStyle w:val="ListBullet"/>
      </w:pPr>
      <w:r>
        <w:t>Confirmed payment produces exactly one Purchased LP grant.</w:t>
      </w:r>
    </w:p>
    <w:p>
      <w:pPr>
        <w:pStyle w:val="ListBullet"/>
      </w:pPr>
      <w:r>
        <w:t>Repeated callback/retry produces no duplicate grant.</w:t>
      </w:r>
    </w:p>
    <w:p>
      <w:pPr>
        <w:pStyle w:val="ListBullet"/>
      </w:pPr>
      <w:r>
        <w:t>Unverified payment produces no confirmed LP grant.</w:t>
      </w:r>
    </w:p>
    <w:p>
      <w:pPr>
        <w:pStyle w:val="ListBullet"/>
      </w:pPr>
      <w:r>
        <w:t>Payment confirmed + Learning failure remains detectable and retryable.</w:t>
      </w:r>
    </w:p>
    <w:p>
      <w:pPr>
        <w:pStyle w:val="ListBullet"/>
      </w:pPr>
      <w:r>
        <w:t>Wrong/missing package configuration does not silently grant incorrect points.</w:t>
      </w:r>
    </w:p>
    <w:p>
      <w:pPr>
        <w:pStyle w:val="ListBullet"/>
      </w:pPr>
      <w:r>
        <w:t>Historical purchased quantity remains unchanged after package/price/bonus configuration changes.</w:t>
      </w:r>
    </w:p>
    <w:p>
      <w:pPr>
        <w:pStyle w:val="ListBullet"/>
      </w:pPr>
      <w:r>
        <w:t>Earned and Purchased provenance remain distinguishable.</w:t>
      </w:r>
    </w:p>
    <w:p>
      <w:pPr>
        <w:pStyle w:val="ListBullet"/>
      </w:pPr>
      <w:r>
        <w:t>Unauthorized client cannot fabricate confirmed-payment grant input.</w:t>
      </w:r>
    </w:p>
    <w:p>
      <w:pPr>
        <w:pStyle w:val="ListBullet"/>
      </w:pPr>
      <w:r>
        <w:t>Reconciliation detects payment-confirmed/LP-missing and duplicate/mismatch scenarios.</w:t>
      </w:r>
    </w:p>
    <w:p>
      <w:pPr>
        <w:pStyle w:val="Heading1"/>
      </w:pPr>
      <w:r>
        <w:t>17. Gate Result</w:t>
      </w:r>
    </w:p>
    <w:p>
      <w:r>
        <w:t>PASS WITH CONTROLLED INTEGRATION CONTRACT.</w:t>
        <w:br/>
        <w:br/>
        <w:t>The semantic Payment ↔ Learning handoff is sufficiently defined for the next API impact stage. The contract preserves the approved Commercial/Payment authority, Learning ledger/provenance authority, idempotent fulfillment, reconciliation and historical integrity. Provider and transport implementation remain explicitly deferred.</w:t>
      </w:r>
    </w:p>
    <w:p>
      <w:pPr>
        <w:pStyle w:val="Heading1"/>
      </w:pPr>
      <w:r>
        <w:t>18. Next Step</w:t>
      </w:r>
    </w:p>
    <w:p>
      <w:r>
        <w:t>Proceed to AEP #2 API Impact Specification. The API stage must translate this semantic contract into endpoint/event/service capability requirements while preserving the same ownership and trust boundaries.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