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API Impact Specification</w:t>
      </w:r>
    </w:p>
    <w:p>
      <w:r>
        <w:t>RumahAgen | Internal Learning / Learning Economy | Controlled Downstream Synchronization Artifact</w:t>
      </w:r>
    </w:p>
    <w:p>
      <w:pPr>
        <w:pStyle w:val="Heading1"/>
      </w:pPr>
      <w:r>
        <w:t>1. Purpose</w:t>
      </w:r>
    </w:p>
    <w:p>
      <w:r>
        <w:t>Translate the approved Learning Economy domain, schema requirements and Payment↔Learning integration contract into API capability requirements. This is a semantic/API-boundary impact specification, not a final endpoint contract. The existing API baseline remains the current downstream source and must be reconciled against these requirements before implementation.</w:t>
      </w:r>
    </w:p>
    <w:p>
      <w:pPr>
        <w:pStyle w:val="Heading1"/>
      </w:pPr>
      <w:r>
        <w:t>2. Source Evidence / Baseline</w:t>
      </w:r>
    </w:p>
    <w:p>
      <w:pPr>
        <w:pStyle w:val="ListBullet"/>
      </w:pPr>
      <w:r>
        <w:t>The project inventory identifies API-Specification-RUMAHAGEN-v1_3-FINAL.md as CURRENT / GOVERNING and API-Specification-RUMAHAGEN-v1_3-FINAL-FIXED.md as CURRENT DOWNSTREAM. fileciteturn37file10</w:t>
      </w:r>
    </w:p>
    <w:p>
      <w:pPr>
        <w:pStyle w:val="ListBullet"/>
      </w:pPr>
      <w:r>
        <w:t>A commercial/payment evidence pass explicitly states that the current API file was not retrieved in that pass and therefore no current endpoint conflict should be inferred. fileciteturn36file3</w:t>
      </w:r>
    </w:p>
    <w:p>
      <w:pPr>
        <w:pStyle w:val="ListBullet"/>
      </w:pPr>
      <w:r>
        <w:t>AEP Learning Economy defines API / Integration as the downstream layer after ERD, Schema and Payment Learning Integration Contract. fileciteturn37file11</w:t>
      </w:r>
    </w:p>
    <w:p>
      <w:pPr>
        <w:pStyle w:val="ListBullet"/>
      </w:pPr>
      <w:r>
        <w:t>Learning Business Rules require traceability through API/Integration and prohibit downstream reinterpretation of the Learning Economy into pay-to-pass. fileciteturn37file0turn37file13</w:t>
      </w:r>
    </w:p>
    <w:p>
      <w:pPr>
        <w:pStyle w:val="Heading1"/>
      </w:pPr>
      <w:r>
        <w:t>3. API Authority Boundary</w:t>
      </w:r>
    </w:p>
    <w:p>
      <w:pPr>
        <w:pStyle w:val="ListBullet"/>
      </w:pPr>
      <w:r>
        <w:t>API is a contract/interface layer, not the authority for business rules.</w:t>
      </w:r>
    </w:p>
    <w:p>
      <w:pPr>
        <w:pStyle w:val="ListBullet"/>
      </w:pPr>
      <w:r>
        <w:t>Learning API operations must enforce/route to the governing Learning domain rules rather than duplicate them as divergent client logic.</w:t>
      </w:r>
    </w:p>
    <w:p>
      <w:pPr>
        <w:pStyle w:val="ListBullet"/>
      </w:pPr>
      <w:r>
        <w:t>Payment-owned operations remain under Commercial/Payment API boundaries.</w:t>
      </w:r>
    </w:p>
    <w:p>
      <w:pPr>
        <w:pStyle w:val="ListBullet"/>
      </w:pPr>
      <w:r>
        <w:t>Awarding-owned operations remain under Awarding/Title API boundaries.</w:t>
      </w:r>
    </w:p>
    <w:p>
      <w:pPr>
        <w:pStyle w:val="ListBullet"/>
      </w:pPr>
      <w:r>
        <w:t>RBAC/authorization remains enforced independently of Learning Point balance.</w:t>
      </w:r>
    </w:p>
    <w:p>
      <w:pPr>
        <w:pStyle w:val="ListBullet"/>
      </w:pPr>
      <w:r>
        <w:t>Client-visible Learning state must not expose internal trust assumptions that allow client-side mutation of official points or competency.</w:t>
      </w:r>
    </w:p>
    <w:p>
      <w:pPr>
        <w:pStyle w:val="Heading1"/>
      </w:pPr>
      <w:r>
        <w:t>4. Learning Point API Capability</w:t>
      </w:r>
    </w:p>
    <w:p>
      <w:pPr>
        <w:pStyle w:val="ListBullet"/>
      </w:pPr>
      <w:r>
        <w:t>Read learner Learning Point balance/account state.</w:t>
      </w:r>
    </w:p>
    <w:p>
      <w:pPr>
        <w:pStyle w:val="ListBullet"/>
      </w:pPr>
      <w:r>
        <w:t>Read Learning Point transaction history with provenance sufficient for audit.</w:t>
      </w:r>
    </w:p>
    <w:p>
      <w:pPr>
        <w:pStyle w:val="ListBullet"/>
      </w:pPr>
      <w:r>
        <w:t>Distinguish Earned, Purchased and Redeemed/Used transaction types.</w:t>
      </w:r>
    </w:p>
    <w:p>
      <w:pPr>
        <w:pStyle w:val="ListBullet"/>
      </w:pPr>
      <w:r>
        <w:t>Expose source/provenance references at an appropriate level without exposing sensitive internal payment/provider secrets.</w:t>
      </w:r>
    </w:p>
    <w:p>
      <w:pPr>
        <w:pStyle w:val="ListBullet"/>
      </w:pPr>
      <w:r>
        <w:t>Provide controlled redemption/use capability where the configured learning path requires it.</w:t>
      </w:r>
    </w:p>
    <w:p>
      <w:pPr>
        <w:pStyle w:val="ListBullet"/>
      </w:pPr>
      <w:r>
        <w:t>Provide learner-safe status for pending/confirmed purchased-point grant where applicable.</w:t>
      </w:r>
    </w:p>
    <w:p>
      <w:pPr>
        <w:pStyle w:val="ListBullet"/>
      </w:pPr>
      <w:r>
        <w:t>No learner endpoint may directly set balance or create an official point transaction.</w:t>
      </w:r>
    </w:p>
    <w:p>
      <w:pPr>
        <w:pStyle w:val="Heading1"/>
      </w:pPr>
      <w:r>
        <w:t>5. Earned Point API Capability</w:t>
      </w:r>
    </w:p>
    <w:p>
      <w:pPr>
        <w:pStyle w:val="ListBullet"/>
      </w:pPr>
      <w:r>
        <w:t>Learning activity completion is the source event/capability for earned points where configured.</w:t>
      </w:r>
    </w:p>
    <w:p>
      <w:pPr>
        <w:pStyle w:val="ListBullet"/>
      </w:pPr>
      <w:r>
        <w:t>Completion endpoints must not blindly grant points from client claims; completion must be validated against the applicable activity/completion rule.</w:t>
      </w:r>
    </w:p>
    <w:p>
      <w:pPr>
        <w:pStyle w:val="ListBullet"/>
      </w:pPr>
      <w:r>
        <w:t>The API must preserve earned-point provenance to Activity/Completion/source.</w:t>
      </w:r>
    </w:p>
    <w:p>
      <w:pPr>
        <w:pStyle w:val="ListBullet"/>
      </w:pPr>
      <w:r>
        <w:t>Duplicate completion/reward processing must not create unintended duplicate earned transactions when idempotency is required by the rule.</w:t>
      </w:r>
    </w:p>
    <w:p>
      <w:pPr>
        <w:pStyle w:val="Heading1"/>
      </w:pPr>
      <w:r>
        <w:t>6. Purchased Point API / Integration Capability</w:t>
      </w:r>
    </w:p>
    <w:p>
      <w:pPr>
        <w:pStyle w:val="ListBullet"/>
      </w:pPr>
      <w:r>
        <w:t>Purchased points must be initiated through the approved Commercial/Payment purchase flow, not a learner-created point mutation endpoint.</w:t>
      </w:r>
    </w:p>
    <w:p>
      <w:pPr>
        <w:pStyle w:val="ListBullet"/>
      </w:pPr>
      <w:r>
        <w:t>Learning receives confirmed purchase outcome through the Payment↔Learning integration contract.</w:t>
      </w:r>
    </w:p>
    <w:p>
      <w:pPr>
        <w:pStyle w:val="ListBullet"/>
      </w:pPr>
      <w:r>
        <w:t>The API/integration must support Payment Confirmed → Point Grant Pending → Purchased Point Transaction Confirmed semantics.</w:t>
      </w:r>
    </w:p>
    <w:p>
      <w:pPr>
        <w:pStyle w:val="ListBullet"/>
      </w:pPr>
      <w:r>
        <w:t>Repeated delivery/retry of the same confirmed purchase must not duplicate the Purchased Learning Point transaction.</w:t>
      </w:r>
    </w:p>
    <w:p>
      <w:pPr>
        <w:pStyle w:val="ListBullet"/>
      </w:pPr>
      <w:r>
        <w:t>The purchased transaction must remain traceable to the originating order/payment reference.</w:t>
      </w:r>
    </w:p>
    <w:p>
      <w:pPr>
        <w:pStyle w:val="Heading1"/>
      </w:pPr>
      <w:r>
        <w:t>7. Learning Activity API Capability</w:t>
      </w:r>
    </w:p>
    <w:p>
      <w:pPr>
        <w:pStyle w:val="ListBullet"/>
      </w:pPr>
      <w:r>
        <w:t>Read/serve configured learning activity information.</w:t>
      </w:r>
    </w:p>
    <w:p>
      <w:pPr>
        <w:pStyle w:val="ListBullet"/>
      </w:pPr>
      <w:r>
        <w:t>Support activity completion submission/recording according to the actual activity type and completion rule.</w:t>
      </w:r>
    </w:p>
    <w:p>
      <w:pPr>
        <w:pStyle w:val="ListBullet"/>
      </w:pPr>
      <w:r>
        <w:t>Activity types must remain extensible; API design must not hard-code video-only semantics.</w:t>
      </w:r>
    </w:p>
    <w:p>
      <w:pPr>
        <w:pStyle w:val="ListBullet"/>
      </w:pPr>
      <w:r>
        <w:t>Completion state must be distinct from earned-point transaction state.</w:t>
      </w:r>
    </w:p>
    <w:p>
      <w:pPr>
        <w:pStyle w:val="ListBullet"/>
      </w:pPr>
      <w:r>
        <w:t>Activity configuration fields such as reward, completion condition, prerequisite, availability, progression relationship and assessment requirement must be supported where applicable.</w:t>
      </w:r>
    </w:p>
    <w:p>
      <w:pPr>
        <w:pStyle w:val="ListBullet"/>
      </w:pPr>
      <w:r>
        <w:t>Final API semantics for Learning Activity remain conditional on MADCR-049 evidence/re-evaluation.</w:t>
      </w:r>
    </w:p>
    <w:p>
      <w:pPr>
        <w:pStyle w:val="Heading1"/>
      </w:pPr>
      <w:r>
        <w:t>8. Learning Path / Unlock / Progression API</w:t>
      </w:r>
    </w:p>
    <w:p>
      <w:pPr>
        <w:pStyle w:val="ListBullet"/>
      </w:pPr>
      <w:r>
        <w:t>Expose available learning paths and learner progression.</w:t>
      </w:r>
    </w:p>
    <w:p>
      <w:pPr>
        <w:pStyle w:val="ListBullet"/>
      </w:pPr>
      <w:r>
        <w:t>Expose unlock/access state separately from competency state.</w:t>
      </w:r>
    </w:p>
    <w:p>
      <w:pPr>
        <w:pStyle w:val="ListBullet"/>
      </w:pPr>
      <w:r>
        <w:t>Support point-based unlock/progression only when configured.</w:t>
      </w:r>
    </w:p>
    <w:p>
      <w:pPr>
        <w:pStyle w:val="ListBullet"/>
      </w:pPr>
      <w:r>
        <w:t>Do not infer competency from unlock or point balance.</w:t>
      </w:r>
    </w:p>
    <w:p>
      <w:pPr>
        <w:pStyle w:val="ListBullet"/>
      </w:pPr>
      <w:r>
        <w:t>Do not force purchase for a path that has a genuine free progression route.</w:t>
      </w:r>
    </w:p>
    <w:p>
      <w:pPr>
        <w:pStyle w:val="Heading1"/>
      </w:pPr>
      <w:r>
        <w:t>9. Assessment / Competency API</w:t>
      </w:r>
    </w:p>
    <w:p>
      <w:pPr>
        <w:pStyle w:val="ListBullet"/>
      </w:pPr>
      <w:r>
        <w:t>Assessment submission and result must be separate from Learning Point operations.</w:t>
      </w:r>
    </w:p>
    <w:p>
      <w:pPr>
        <w:pStyle w:val="ListBullet"/>
      </w:pPr>
      <w:r>
        <w:t>Assessment endpoints must enforce the applicable assessment/attempt/evidence rules.</w:t>
      </w:r>
    </w:p>
    <w:p>
      <w:pPr>
        <w:pStyle w:val="ListBullet"/>
      </w:pPr>
      <w:r>
        <w:t>Purchased points must never be accepted as an assessment pass.</w:t>
      </w:r>
    </w:p>
    <w:p>
      <w:pPr>
        <w:pStyle w:val="ListBullet"/>
      </w:pPr>
      <w:r>
        <w:t>Official Skill/Credential issuance must be governed and must not rely solely on client-side completion state.</w:t>
      </w:r>
    </w:p>
    <w:p>
      <w:pPr>
        <w:pStyle w:val="ListBullet"/>
      </w:pPr>
      <w:r>
        <w:t>Assessment authority and credential/skill issuance authority require separate authorization controls.</w:t>
      </w:r>
    </w:p>
    <w:p>
      <w:pPr>
        <w:pStyle w:val="Heading1"/>
      </w:pPr>
      <w:r>
        <w:t>10. Partnership Learning API</w:t>
      </w:r>
    </w:p>
    <w:p>
      <w:pPr>
        <w:pStyle w:val="ListBullet"/>
      </w:pPr>
      <w:r>
        <w:t>Partner result ingestion/recording must preserve partner/provider provenance.</w:t>
      </w:r>
    </w:p>
    <w:p>
      <w:pPr>
        <w:pStyle w:val="ListBullet"/>
      </w:pPr>
      <w:r>
        <w:t>Partner Credential must not automatically be represented as RumahAgen Verified Skill.</w:t>
      </w:r>
    </w:p>
    <w:p>
      <w:pPr>
        <w:pStyle w:val="ListBullet"/>
      </w:pPr>
      <w:r>
        <w:t>Recognition of partner evidence must follow configured recognition/Awarding rules.</w:t>
      </w:r>
    </w:p>
    <w:p>
      <w:pPr>
        <w:pStyle w:val="ListBullet"/>
      </w:pPr>
      <w:r>
        <w:t>Agent Profile aggregation may expose both Internal and Partnership outcomes but must preserve source.</w:t>
      </w:r>
    </w:p>
    <w:p>
      <w:pPr>
        <w:pStyle w:val="Heading1"/>
      </w:pPr>
      <w:r>
        <w:t>11. Configuration / Administration API</w:t>
      </w:r>
    </w:p>
    <w:p>
      <w:pPr>
        <w:pStyle w:val="ListBullet"/>
      </w:pPr>
      <w:r>
        <w:t>Authorized administrative/business roles may manage Learning Economy configuration.</w:t>
      </w:r>
    </w:p>
    <w:p>
      <w:pPr>
        <w:pStyle w:val="ListBullet"/>
      </w:pPr>
      <w:r>
        <w:t>Configurable parameters include reward points, unlock/progression thresholds, purchase packages, price, bonus, earning limits, expiration policy if introduced and redemption rules.</w:t>
      </w:r>
    </w:p>
    <w:p>
      <w:pPr>
        <w:pStyle w:val="ListBullet"/>
      </w:pPr>
      <w:r>
        <w:t>Configuration APIs must not mutate historical point transactions, assessment results, competencies or credentials.</w:t>
      </w:r>
    </w:p>
    <w:p>
      <w:pPr>
        <w:pStyle w:val="ListBullet"/>
      </w:pPr>
      <w:r>
        <w:t>Manual point adjustment, if allowed, must require authorized role, reason and audit/provenance.</w:t>
      </w:r>
    </w:p>
    <w:p>
      <w:pPr>
        <w:pStyle w:val="ListBullet"/>
      </w:pPr>
      <w:r>
        <w:t>Configuration changes should preserve effective/historical context needed for audit.</w:t>
      </w:r>
    </w:p>
    <w:p>
      <w:pPr>
        <w:pStyle w:val="Heading1"/>
      </w:pPr>
      <w:r>
        <w:t>12. Payment Integration API Boundary</w:t>
      </w:r>
    </w:p>
    <w:p>
      <w:pPr>
        <w:pStyle w:val="ListBullet"/>
      </w:pPr>
      <w:r>
        <w:t>Learning API must consume a trusted confirmed-payment outcome; it must not accept arbitrary client-supplied payment-confirmed claims.</w:t>
      </w:r>
    </w:p>
    <w:p>
      <w:pPr>
        <w:pStyle w:val="ListBullet"/>
      </w:pPr>
      <w:r>
        <w:t>Provider-specific payment endpoints/SDKs remain outside Learning API.</w:t>
      </w:r>
    </w:p>
    <w:p>
      <w:pPr>
        <w:pStyle w:val="ListBullet"/>
      </w:pPr>
      <w:r>
        <w:t>The contract must permit reconciliation between Order/Payment and Purchased LP transaction.</w:t>
      </w:r>
    </w:p>
    <w:p>
      <w:pPr>
        <w:pStyle w:val="ListBullet"/>
      </w:pPr>
      <w:r>
        <w:t>Payment failure/cancel/expiry must not create confirmed purchased points.</w:t>
      </w:r>
    </w:p>
    <w:p>
      <w:pPr>
        <w:pStyle w:val="ListBullet"/>
      </w:pPr>
      <w:r>
        <w:t>Payment confirmed but grant failure must remain queryable/reconcilable.</w:t>
      </w:r>
    </w:p>
    <w:p>
      <w:pPr>
        <w:pStyle w:val="Heading1"/>
      </w:pPr>
      <w:r>
        <w:t>13. Authorization / RBAC API Requirements</w:t>
      </w:r>
    </w:p>
    <w:p>
      <w:pPr>
        <w:pStyle w:val="ListBullet"/>
      </w:pPr>
      <w:r>
        <w:t>Agent: read own points/progression; perform permitted learning activities; cannot create official point transactions.</w:t>
      </w:r>
    </w:p>
    <w:p>
      <w:pPr>
        <w:pStyle w:val="ListBullet"/>
      </w:pPr>
      <w:r>
        <w:t>Authorized learning administration: configure learning economy and activities according to role/scope.</w:t>
      </w:r>
    </w:p>
    <w:p>
      <w:pPr>
        <w:pStyle w:val="ListBullet"/>
      </w:pPr>
      <w:r>
        <w:t>Assessment/reviewer authority: perform assessment/review/competency actions.</w:t>
      </w:r>
    </w:p>
    <w:p>
      <w:pPr>
        <w:pStyle w:val="ListBullet"/>
      </w:pPr>
      <w:r>
        <w:t>Credential/Skill authority: perform governed issuance actions.</w:t>
      </w:r>
    </w:p>
    <w:p>
      <w:pPr>
        <w:pStyle w:val="ListBullet"/>
      </w:pPr>
      <w:r>
        <w:t>Partner administration: ingest/maintain partner results according to scope.</w:t>
      </w:r>
    </w:p>
    <w:p>
      <w:pPr>
        <w:pStyle w:val="ListBullet"/>
      </w:pPr>
      <w:r>
        <w:t>Reconciliation/admin authority: investigate payment-to-points exceptions.</w:t>
      </w:r>
    </w:p>
    <w:p>
      <w:pPr>
        <w:pStyle w:val="ListBullet"/>
      </w:pPr>
      <w:r>
        <w:t>Exact permission IDs and role matrix are intentionally downstream and remain open.</w:t>
      </w:r>
    </w:p>
    <w:p>
      <w:pPr>
        <w:pStyle w:val="Heading1"/>
      </w:pPr>
      <w:r>
        <w:t>14. API Response / State Semantics</w:t>
      </w:r>
    </w:p>
    <w:p>
      <w:pPr>
        <w:pStyle w:val="ListBullet"/>
      </w:pPr>
      <w:r>
        <w:t>Learning Point balance should be distinguishable from transaction history.</w:t>
      </w:r>
    </w:p>
    <w:p>
      <w:pPr>
        <w:pStyle w:val="ListBullet"/>
      </w:pPr>
      <w:r>
        <w:t>Transaction states should allow at least semantic distinction between pending/confirmed/failed/reversed where applicable.</w:t>
      </w:r>
    </w:p>
    <w:p>
      <w:pPr>
        <w:pStyle w:val="ListBullet"/>
      </w:pPr>
      <w:r>
        <w:t>Unlock/access state must not be represented as competency.</w:t>
      </w:r>
    </w:p>
    <w:p>
      <w:pPr>
        <w:pStyle w:val="ListBullet"/>
      </w:pPr>
      <w:r>
        <w:t>Assessment result must not be inferred from point balance.</w:t>
      </w:r>
    </w:p>
    <w:p>
      <w:pPr>
        <w:pStyle w:val="ListBullet"/>
      </w:pPr>
      <w:r>
        <w:t>Purchased-point grant pending must remain distinguishable from confirmed grant.</w:t>
      </w:r>
    </w:p>
    <w:p>
      <w:pPr>
        <w:pStyle w:val="ListBullet"/>
      </w:pPr>
      <w:r>
        <w:t>Historical transaction context must remain stable after configuration changes.</w:t>
      </w:r>
    </w:p>
    <w:p>
      <w:pPr>
        <w:pStyle w:val="Heading1"/>
      </w:pPr>
      <w:r>
        <w:t>15. Error / Consistency Semantics</w:t>
      </w:r>
    </w:p>
    <w:p>
      <w:pPr>
        <w:pStyle w:val="ListBullet"/>
      </w:pPr>
      <w:r>
        <w:t>Unauthorized point mutation → rejected.</w:t>
      </w:r>
    </w:p>
    <w:p>
      <w:pPr>
        <w:pStyle w:val="ListBullet"/>
      </w:pPr>
      <w:r>
        <w:t>Unverified payment → no confirmed Purchased LP grant.</w:t>
      </w:r>
    </w:p>
    <w:p>
      <w:pPr>
        <w:pStyle w:val="ListBullet"/>
      </w:pPr>
      <w:r>
        <w:t>Duplicate confirmed-payment delivery → idempotent/no duplicate grant.</w:t>
      </w:r>
    </w:p>
    <w:p>
      <w:pPr>
        <w:pStyle w:val="ListBullet"/>
      </w:pPr>
      <w:r>
        <w:t>Payment confirmed + LP allocation failure → detectable pending/reconciliation state.</w:t>
      </w:r>
    </w:p>
    <w:p>
      <w:pPr>
        <w:pStyle w:val="ListBullet"/>
      </w:pPr>
      <w:r>
        <w:t>Invalid/missing learning configuration → no silent incorrect reward.</w:t>
      </w:r>
    </w:p>
    <w:p>
      <w:pPr>
        <w:pStyle w:val="ListBullet"/>
      </w:pPr>
      <w:r>
        <w:t>Completion without valid completion evidence → no automatic reward.</w:t>
      </w:r>
    </w:p>
    <w:p>
      <w:pPr>
        <w:pStyle w:val="ListBullet"/>
      </w:pPr>
      <w:r>
        <w:t>Client-only completion claim → insufficient for governed Skill/Credential issuance.</w:t>
      </w:r>
    </w:p>
    <w:p>
      <w:pPr>
        <w:pStyle w:val="Heading1"/>
      </w:pPr>
      <w:r>
        <w:t>16. Conceptual API / Event Capability Inventory</w:t>
      </w:r>
    </w:p>
    <w:p>
      <w:pPr>
        <w:pStyle w:val="ListBullet"/>
      </w:pPr>
      <w:r>
        <w:t>Learning Point Account / Balance read.</w:t>
      </w:r>
    </w:p>
    <w:p>
      <w:pPr>
        <w:pStyle w:val="ListBullet"/>
      </w:pPr>
      <w:r>
        <w:t>Learning Point Transaction list/detail.</w:t>
      </w:r>
    </w:p>
    <w:p>
      <w:pPr>
        <w:pStyle w:val="ListBullet"/>
      </w:pPr>
      <w:r>
        <w:t>Learning Activity list/detail.</w:t>
      </w:r>
    </w:p>
    <w:p>
      <w:pPr>
        <w:pStyle w:val="ListBullet"/>
      </w:pPr>
      <w:r>
        <w:t>Learning Activity Completion submit/status.</w:t>
      </w:r>
    </w:p>
    <w:p>
      <w:pPr>
        <w:pStyle w:val="ListBullet"/>
      </w:pPr>
      <w:r>
        <w:t>Learning Path list/detail/progress.</w:t>
      </w:r>
    </w:p>
    <w:p>
      <w:pPr>
        <w:pStyle w:val="ListBullet"/>
      </w:pPr>
      <w:r>
        <w:t>Unlock / Progression status.</w:t>
      </w:r>
    </w:p>
    <w:p>
      <w:pPr>
        <w:pStyle w:val="ListBullet"/>
      </w:pPr>
      <w:r>
        <w:t>Assessment submit/status/result.</w:t>
      </w:r>
    </w:p>
    <w:p>
      <w:pPr>
        <w:pStyle w:val="ListBullet"/>
      </w:pPr>
      <w:r>
        <w:t>Skill / Credential status or governed issuance capability.</w:t>
      </w:r>
    </w:p>
    <w:p>
      <w:pPr>
        <w:pStyle w:val="ListBullet"/>
      </w:pPr>
      <w:r>
        <w:t>Partner Learning Result record/status.</w:t>
      </w:r>
    </w:p>
    <w:p>
      <w:pPr>
        <w:pStyle w:val="ListBullet"/>
      </w:pPr>
      <w:r>
        <w:t>Learning Economy Configuration read/manage.</w:t>
      </w:r>
    </w:p>
    <w:p>
      <w:pPr>
        <w:pStyle w:val="ListBullet"/>
      </w:pPr>
      <w:r>
        <w:t>Manual Point Adjustment manage, if enabled.</w:t>
      </w:r>
    </w:p>
    <w:p>
      <w:pPr>
        <w:pStyle w:val="ListBullet"/>
      </w:pPr>
      <w:r>
        <w:t>Payment→Purchased LP integration consumer/handler.</w:t>
      </w:r>
    </w:p>
    <w:p>
      <w:pPr>
        <w:pStyle w:val="ListBullet"/>
      </w:pPr>
      <w:r>
        <w:t>Reconciliation status/investigation capability.</w:t>
      </w:r>
    </w:p>
    <w:p>
      <w:pPr>
        <w:pStyle w:val="Heading1"/>
      </w:pPr>
      <w:r>
        <w:t>17. Explicitly Not Authorized / Deferred</w:t>
      </w:r>
    </w:p>
    <w:p>
      <w:pPr>
        <w:pStyle w:val="ListBullet"/>
      </w:pPr>
      <w:r>
        <w:t>Final endpoint paths.</w:t>
      </w:r>
    </w:p>
    <w:p>
      <w:pPr>
        <w:pStyle w:val="ListBullet"/>
      </w:pPr>
      <w:r>
        <w:t>HTTP verbs/status code matrix.</w:t>
      </w:r>
    </w:p>
    <w:p>
      <w:pPr>
        <w:pStyle w:val="ListBullet"/>
      </w:pPr>
      <w:r>
        <w:t>Exact request/response JSON schema.</w:t>
      </w:r>
    </w:p>
    <w:p>
      <w:pPr>
        <w:pStyle w:val="ListBullet"/>
      </w:pPr>
      <w:r>
        <w:t>Webhook endpoint design.</w:t>
      </w:r>
    </w:p>
    <w:p>
      <w:pPr>
        <w:pStyle w:val="ListBullet"/>
      </w:pPr>
      <w:r>
        <w:t>Event bus/queue technology.</w:t>
      </w:r>
    </w:p>
    <w:p>
      <w:pPr>
        <w:pStyle w:val="ListBullet"/>
      </w:pPr>
      <w:r>
        <w:t>Synchronous/asynchronous transport choice.</w:t>
      </w:r>
    </w:p>
    <w:p>
      <w:pPr>
        <w:pStyle w:val="ListBullet"/>
      </w:pPr>
      <w:r>
        <w:t>Provider-specific API/SDK.</w:t>
      </w:r>
    </w:p>
    <w:p>
      <w:pPr>
        <w:pStyle w:val="ListBullet"/>
      </w:pPr>
      <w:r>
        <w:t>Exact idempotency header/key format.</w:t>
      </w:r>
    </w:p>
    <w:p>
      <w:pPr>
        <w:pStyle w:val="ListBullet"/>
      </w:pPr>
      <w:r>
        <w:t>Physical database implementation.</w:t>
      </w:r>
    </w:p>
    <w:p>
      <w:pPr>
        <w:pStyle w:val="ListBullet"/>
      </w:pPr>
      <w:r>
        <w:t>Final RBAC permission IDs.</w:t>
      </w:r>
    </w:p>
    <w:p>
      <w:pPr>
        <w:pStyle w:val="ListBullet"/>
      </w:pPr>
      <w:r>
        <w:t>Learning Session API; deferred to AEP #4.</w:t>
      </w:r>
    </w:p>
    <w:p>
      <w:pPr>
        <w:pStyle w:val="Heading1"/>
      </w:pPr>
      <w:r>
        <w:t>18. Traceability</w:t>
      </w:r>
    </w:p>
    <w:p>
      <w:pPr>
        <w:pStyle w:val="ListBullet"/>
      </w:pPr>
      <w:r>
        <w:t>LE-006–009 → Learning Point ledger/provenance API.</w:t>
      </w:r>
    </w:p>
    <w:p>
      <w:pPr>
        <w:pStyle w:val="ListBullet"/>
      </w:pPr>
      <w:r>
        <w:t>LE-011–014 → Learning Activity/completion API.</w:t>
      </w:r>
    </w:p>
    <w:p>
      <w:pPr>
        <w:pStyle w:val="ListBullet"/>
      </w:pPr>
      <w:r>
        <w:t>LE-015–018 → Path/progression/unlock API.</w:t>
      </w:r>
    </w:p>
    <w:p>
      <w:pPr>
        <w:pStyle w:val="ListBullet"/>
      </w:pPr>
      <w:r>
        <w:t>LE-019–023 → Assessment/competency API.</w:t>
      </w:r>
    </w:p>
    <w:p>
      <w:pPr>
        <w:pStyle w:val="ListBullet"/>
      </w:pPr>
      <w:r>
        <w:t>LE-024–032 → Awarding/Skill/Credential integration boundary.</w:t>
      </w:r>
    </w:p>
    <w:p>
      <w:pPr>
        <w:pStyle w:val="ListBullet"/>
      </w:pPr>
      <w:r>
        <w:t>LE-033–036 → Partnership result/provenance API.</w:t>
      </w:r>
    </w:p>
    <w:p>
      <w:pPr>
        <w:pStyle w:val="ListBullet"/>
      </w:pPr>
      <w:r>
        <w:t>LE-037–042 → Payment↔Learning integration.</w:t>
      </w:r>
    </w:p>
    <w:p>
      <w:pPr>
        <w:pStyle w:val="ListBullet"/>
      </w:pPr>
      <w:r>
        <w:t>LE-043–047 → RBAC/issuance API authorization.</w:t>
      </w:r>
    </w:p>
    <w:p>
      <w:pPr>
        <w:pStyle w:val="ListBullet"/>
      </w:pPr>
      <w:r>
        <w:t>LE-048–052 → audit/provenance API.</w:t>
      </w:r>
    </w:p>
    <w:p>
      <w:pPr>
        <w:pStyle w:val="ListBullet"/>
      </w:pPr>
      <w:r>
        <w:t>LE-053–055 → configuration API/history protection.</w:t>
      </w:r>
    </w:p>
    <w:p>
      <w:pPr>
        <w:pStyle w:val="ListBullet"/>
      </w:pPr>
      <w:r>
        <w:t>LE-056–059 → failure/idempotency/reconciliation behavior.</w:t>
      </w:r>
    </w:p>
    <w:p>
      <w:pPr>
        <w:pStyle w:val="Heading1"/>
      </w:pPr>
      <w:r>
        <w:t>19. Gate Result</w:t>
      </w:r>
    </w:p>
    <w:p>
      <w:r>
        <w:t>PASS WITH CURRENT-API-EVIDENCE CONDITION.</w:t>
        <w:br/>
        <w:br/>
        <w:t>The Learning Economy API capability boundary is sufficiently defined to proceed to RBAC/Permission Impact. The current API baseline is identified as governing/current downstream, but its exact endpoint content was not independently retrieved in this impact pass; therefore this artifact does not claim exact endpoint conflicts or prescribe final endpoint replacements. The semantic API obligations are source-supported by the AEP and LE business rules.</w:t>
      </w:r>
    </w:p>
    <w:p>
      <w:pPr>
        <w:pStyle w:val="Heading1"/>
      </w:pPr>
      <w:r>
        <w:t>20. Next Step</w:t>
      </w:r>
    </w:p>
    <w:p>
      <w:r>
        <w:t>Proceed to AEP #2 RBAC / Permission Impact Specification, using LE-043–047 and the API capability boundaries above. Exact permission IDs will only be proposed where supported by the existing RBAC baseline; otherwise they remain downstream/open.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