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AEP #2 — Learning Economy User Flow Impact Specification</w:t>
      </w:r>
    </w:p>
    <w:p>
      <w:r>
        <w:t>RumahAgen | Internal Learning / Learning Economy | Controlled Downstream Synchronization Artifact</w:t>
      </w:r>
    </w:p>
    <w:p>
      <w:pPr>
        <w:pStyle w:val="Heading1"/>
      </w:pPr>
      <w:r>
        <w:t>1. Purpose</w:t>
      </w:r>
    </w:p>
    <w:p>
      <w:r>
        <w:t>Translate the locked Learning Economy decisions and completed domain/ERD/schema/API/RBAC impacts into user-flow requirements. This artifact defines state transitions, user-visible outcomes, exception paths and authority boundaries. It is not a screen-by-screen UI specification and does not replace the current User Flow baseline.</w:t>
      </w:r>
    </w:p>
    <w:p>
      <w:pPr>
        <w:pStyle w:val="Heading1"/>
      </w:pPr>
      <w:r>
        <w:t>2. Current Baseline Evidence</w:t>
      </w:r>
    </w:p>
    <w:p>
      <w:pPr>
        <w:pStyle w:val="ListBullet"/>
      </w:pPr>
      <w:r>
        <w:t>Project inventory identifies User-Flow-RUMAHAGEN-v1_2-FINAL.md as CURRENT DOWNSTREAM, with status signals APPROVED, BASELINE, ACTIVE, OPEN, DRAFT. fileciteturn38file13</w:t>
      </w:r>
    </w:p>
    <w:p>
      <w:pPr>
        <w:pStyle w:val="ListBullet"/>
      </w:pPr>
      <w:r>
        <w:t>Project Knowledge Refresh identifies User Flow v1.2 FINAL as the current interaction baseline. fileciteturn38file1</w:t>
      </w:r>
    </w:p>
    <w:p>
      <w:pPr>
        <w:pStyle w:val="ListBullet"/>
      </w:pPr>
      <w:r>
        <w:t>Canonical Knowledge State warns that exact downstream files must be individually retrieved before claiming semantic inspection; therefore this artifact defines controlled AEP impact rather than claiming exact current-screen conflicts. fileciteturn38file15</w:t>
      </w:r>
    </w:p>
    <w:p>
      <w:pPr>
        <w:pStyle w:val="Heading1"/>
      </w:pPr>
      <w:r>
        <w:t>3. Core Learner Journey</w:t>
      </w:r>
    </w:p>
    <w:p>
      <w:pPr>
        <w:pStyle w:val="ListBullet"/>
      </w:pPr>
      <w:r>
        <w:t>Discover Learning → select Learning Program/Path → inspect prerequisites/unlock requirements → begin eligible Activity → complete Activity → completion validated → earned Learning Points issued when configured → progression/unlock state recalculated → continue path.</w:t>
      </w:r>
    </w:p>
    <w:p>
      <w:pPr>
        <w:pStyle w:val="ListBullet"/>
      </w:pPr>
      <w:r>
        <w:t>The learner must be able to understand the difference between completion, earned points, unlock/progression and competency.</w:t>
      </w:r>
    </w:p>
    <w:p>
      <w:pPr>
        <w:pStyle w:val="ListBullet"/>
      </w:pPr>
      <w:r>
        <w:t>A learner must not see a purchased-point balance as equivalent to competency or certification.</w:t>
      </w:r>
    </w:p>
    <w:p>
      <w:pPr>
        <w:pStyle w:val="Heading1"/>
      </w:pPr>
      <w:r>
        <w:t>4. Learning Point Experience</w:t>
      </w:r>
    </w:p>
    <w:p>
      <w:pPr>
        <w:pStyle w:val="ListBullet"/>
      </w:pPr>
      <w:r>
        <w:t>Learner can view current Learning Point balance/account.</w:t>
      </w:r>
    </w:p>
    <w:p>
      <w:pPr>
        <w:pStyle w:val="ListBullet"/>
      </w:pPr>
      <w:r>
        <w:t>Learner can view transaction history with meaningful provenance labels such as Earned, Purchased and Redeemed/Used.</w:t>
      </w:r>
    </w:p>
    <w:p>
      <w:pPr>
        <w:pStyle w:val="ListBullet"/>
      </w:pPr>
      <w:r>
        <w:t>Earned points show the learning activity/source context where appropriate.</w:t>
      </w:r>
    </w:p>
    <w:p>
      <w:pPr>
        <w:pStyle w:val="ListBullet"/>
      </w:pPr>
      <w:r>
        <w:t>Purchased points show purchase/order provenance at an appropriate user-visible level.</w:t>
      </w:r>
    </w:p>
    <w:p>
      <w:pPr>
        <w:pStyle w:val="ListBullet"/>
      </w:pPr>
      <w:r>
        <w:t>Point balance is a projection of ledger state; UI must not imply that editing balance is a user operation.</w:t>
      </w:r>
    </w:p>
    <w:p>
      <w:pPr>
        <w:pStyle w:val="ListBullet"/>
      </w:pPr>
      <w:r>
        <w:t>Manual adjustment, if exposed to administration, must show actor/reason/audit context according to authorization.</w:t>
      </w:r>
    </w:p>
    <w:p>
      <w:pPr>
        <w:pStyle w:val="Heading1"/>
      </w:pPr>
      <w:r>
        <w:t>5. Free-to-Learn Flow</w:t>
      </w:r>
    </w:p>
    <w:p>
      <w:pPr>
        <w:pStyle w:val="ListBullet"/>
      </w:pPr>
      <w:r>
        <w:t>Learner selects a free learning path/activity.</w:t>
      </w:r>
    </w:p>
    <w:p>
      <w:pPr>
        <w:pStyle w:val="ListBullet"/>
      </w:pPr>
      <w:r>
        <w:t>System evaluates eligibility/prerequisite/access conditions.</w:t>
      </w:r>
    </w:p>
    <w:p>
      <w:pPr>
        <w:pStyle w:val="ListBullet"/>
      </w:pPr>
      <w:r>
        <w:t>Learner completes the activity.</w:t>
      </w:r>
    </w:p>
    <w:p>
      <w:pPr>
        <w:pStyle w:val="ListBullet"/>
      </w:pPr>
      <w:r>
        <w:t>System validates completion.</w:t>
      </w:r>
    </w:p>
    <w:p>
      <w:pPr>
        <w:pStyle w:val="ListBullet"/>
      </w:pPr>
      <w:r>
        <w:t>If the configured activity has an earning reward, the system creates an Earned LP transaction.</w:t>
      </w:r>
    </w:p>
    <w:p>
      <w:pPr>
        <w:pStyle w:val="ListBullet"/>
      </w:pPr>
      <w:r>
        <w:t>Progression/unlock is recalculated after the transaction.</w:t>
      </w:r>
    </w:p>
    <w:p>
      <w:pPr>
        <w:pStyle w:val="ListBullet"/>
      </w:pPr>
      <w:r>
        <w:t>Learner can continue without being forced to purchase points where a genuine free path is defined.</w:t>
      </w:r>
    </w:p>
    <w:p>
      <w:pPr>
        <w:pStyle w:val="Heading1"/>
      </w:pPr>
      <w:r>
        <w:t>6. Pay-to-Accelerate Flow</w:t>
      </w:r>
    </w:p>
    <w:p>
      <w:pPr>
        <w:pStyle w:val="ListBullet"/>
      </w:pPr>
      <w:r>
        <w:t>Learner may choose to purchase Learning Points through the commercial purchase flow.</w:t>
      </w:r>
    </w:p>
    <w:p>
      <w:pPr>
        <w:pStyle w:val="ListBullet"/>
      </w:pPr>
      <w:r>
        <w:t>Payment is processed by Commercial/Payment, not Learning.</w:t>
      </w:r>
    </w:p>
    <w:p>
      <w:pPr>
        <w:pStyle w:val="ListBullet"/>
      </w:pPr>
      <w:r>
        <w:t>Only a verified Confirmed Payment can initiate the purchased-point grant.</w:t>
      </w:r>
    </w:p>
    <w:p>
      <w:pPr>
        <w:pStyle w:val="ListBullet"/>
      </w:pPr>
      <w:r>
        <w:t>Purchased LP is shown with Purchased provenance.</w:t>
      </w:r>
    </w:p>
    <w:p>
      <w:pPr>
        <w:pStyle w:val="ListBullet"/>
      </w:pPr>
      <w:r>
        <w:t>Purchased LP may accelerate an eligible unlock/progression path.</w:t>
      </w:r>
    </w:p>
    <w:p>
      <w:pPr>
        <w:pStyle w:val="ListBullet"/>
      </w:pPr>
      <w:r>
        <w:t>The UI must never present purchased LP as a substitute for required assessment or competency.</w:t>
      </w:r>
    </w:p>
    <w:p>
      <w:pPr>
        <w:pStyle w:val="ListBullet"/>
      </w:pPr>
      <w:r>
        <w:t>Where assessment is mandatory, the learner still reaches the assessment/competency gate.</w:t>
      </w:r>
    </w:p>
    <w:p>
      <w:pPr>
        <w:pStyle w:val="Heading1"/>
      </w:pPr>
      <w:r>
        <w:t>7. Purchased LP Success / Retry / Failure Flow</w:t>
      </w:r>
    </w:p>
    <w:p>
      <w:pPr>
        <w:pStyle w:val="ListBullet"/>
      </w:pPr>
      <w:r>
        <w:t>Purchase initiated → Payment processing → pending status may be shown where applicable.</w:t>
      </w:r>
    </w:p>
    <w:p>
      <w:pPr>
        <w:pStyle w:val="ListBullet"/>
      </w:pPr>
      <w:r>
        <w:t>Payment not confirmed / failed / cancelled / expired → no confirmed Purchased LP grant.</w:t>
      </w:r>
    </w:p>
    <w:p>
      <w:pPr>
        <w:pStyle w:val="ListBullet"/>
      </w:pPr>
      <w:r>
        <w:t>Payment confirmed → Learning Point grant processing.</w:t>
      </w:r>
    </w:p>
    <w:p>
      <w:pPr>
        <w:pStyle w:val="ListBullet"/>
      </w:pPr>
      <w:r>
        <w:t>Grant confirmed → Purchased LP transaction visible in learner history.</w:t>
      </w:r>
    </w:p>
    <w:p>
      <w:pPr>
        <w:pStyle w:val="ListBullet"/>
      </w:pPr>
      <w:r>
        <w:t>Repeated callback/retry → same economic outcome, no duplicate grant.</w:t>
      </w:r>
    </w:p>
    <w:p>
      <w:pPr>
        <w:pStyle w:val="ListBullet"/>
      </w:pPr>
      <w:r>
        <w:t>Payment confirmed but LP grant processing fails → user-facing state should avoid claiming successful points until grant is confirmed; backend must retain a reconcilable exception.</w:t>
      </w:r>
    </w:p>
    <w:p>
      <w:pPr>
        <w:pStyle w:val="ListBullet"/>
      </w:pPr>
      <w:r>
        <w:t>Reconciliation/operations may investigate the exception; detection does not silently change commercial or learning state.</w:t>
      </w:r>
    </w:p>
    <w:p>
      <w:pPr>
        <w:pStyle w:val="Heading1"/>
      </w:pPr>
      <w:r>
        <w:t>8. Learning Activity Completion Flow</w:t>
      </w:r>
    </w:p>
    <w:p>
      <w:pPr>
        <w:pStyle w:val="ListBullet"/>
      </w:pPr>
      <w:r>
        <w:t>Open Activity → view requirements → perform activity → submit/complete → system validates completion → Completion state recorded.</w:t>
      </w:r>
    </w:p>
    <w:p>
      <w:pPr>
        <w:pStyle w:val="ListBullet"/>
      </w:pPr>
      <w:r>
        <w:t>Completion and reward are separate semantic steps.</w:t>
      </w:r>
    </w:p>
    <w:p>
      <w:pPr>
        <w:pStyle w:val="ListBullet"/>
      </w:pPr>
      <w:r>
        <w:t>Invalid or incomplete completion evidence must not silently grant points.</w:t>
      </w:r>
    </w:p>
    <w:p>
      <w:pPr>
        <w:pStyle w:val="ListBullet"/>
      </w:pPr>
      <w:r>
        <w:t>Activity types remain extensible; flow must not assume video-only completion.</w:t>
      </w:r>
    </w:p>
    <w:p>
      <w:pPr>
        <w:pStyle w:val="ListBullet"/>
      </w:pPr>
      <w:r>
        <w:t>Where assessment is required, completion routes to the applicable assessment gate rather than directly to Skill/Credential.</w:t>
      </w:r>
    </w:p>
    <w:p>
      <w:pPr>
        <w:pStyle w:val="Heading1"/>
      </w:pPr>
      <w:r>
        <w:t>9. Unlock / Progression Flow</w:t>
      </w:r>
    </w:p>
    <w:p>
      <w:pPr>
        <w:pStyle w:val="ListBullet"/>
      </w:pPr>
      <w:r>
        <w:t>System evaluates Learning Path configuration and learner state.</w:t>
      </w:r>
    </w:p>
    <w:p>
      <w:pPr>
        <w:pStyle w:val="ListBullet"/>
      </w:pPr>
      <w:r>
        <w:t>If required conditions are satisfied, Unlock/Access becomes available.</w:t>
      </w:r>
    </w:p>
    <w:p>
      <w:pPr>
        <w:pStyle w:val="ListBullet"/>
      </w:pPr>
      <w:r>
        <w:t>If LP threshold is required, LP state is checked.</w:t>
      </w:r>
    </w:p>
    <w:p>
      <w:pPr>
        <w:pStyle w:val="ListBullet"/>
      </w:pPr>
      <w:r>
        <w:t>Unlock/access state is displayed separately from competency.</w:t>
      </w:r>
    </w:p>
    <w:p>
      <w:pPr>
        <w:pStyle w:val="ListBullet"/>
      </w:pPr>
      <w:r>
        <w:t>Unlock does not automatically issue Skill/Credential.</w:t>
      </w:r>
    </w:p>
    <w:p>
      <w:pPr>
        <w:pStyle w:val="ListBullet"/>
      </w:pPr>
      <w:r>
        <w:t>A purchased LP acceleration path must converge on the same competency/assessment requirements when those are mandatory.</w:t>
      </w:r>
    </w:p>
    <w:p>
      <w:pPr>
        <w:pStyle w:val="Heading1"/>
      </w:pPr>
      <w:r>
        <w:t>10. Assessment / Competency Flow</w:t>
      </w:r>
    </w:p>
    <w:p>
      <w:pPr>
        <w:pStyle w:val="ListBullet"/>
      </w:pPr>
      <w:r>
        <w:t>Learner reaches assessment when the applicable path/rule requires it.</w:t>
      </w:r>
    </w:p>
    <w:p>
      <w:pPr>
        <w:pStyle w:val="ListBullet"/>
      </w:pPr>
      <w:r>
        <w:t>Learner submits assessment/attempt.</w:t>
      </w:r>
    </w:p>
    <w:p>
      <w:pPr>
        <w:pStyle w:val="ListBullet"/>
      </w:pPr>
      <w:r>
        <w:t>Authorized assessment/reviewer process evaluates evidence/result.</w:t>
      </w:r>
    </w:p>
    <w:p>
      <w:pPr>
        <w:pStyle w:val="ListBullet"/>
      </w:pPr>
      <w:r>
        <w:t>Pass → competency/eligible outcome can proceed according to applicable rules.</w:t>
      </w:r>
    </w:p>
    <w:p>
      <w:pPr>
        <w:pStyle w:val="ListBullet"/>
      </w:pPr>
      <w:r>
        <w:t>Fail → learner receives appropriate result and may retry only according to configured rule.</w:t>
      </w:r>
    </w:p>
    <w:p>
      <w:pPr>
        <w:pStyle w:val="ListBullet"/>
      </w:pPr>
      <w:r>
        <w:t>LP balance does not itself create a pass.</w:t>
      </w:r>
    </w:p>
    <w:p>
      <w:pPr>
        <w:pStyle w:val="ListBullet"/>
      </w:pPr>
      <w:r>
        <w:t>Completion alone does not automatically create Skill/Credential unless the applicable rule explicitly defines that outcome.</w:t>
      </w:r>
    </w:p>
    <w:p>
      <w:pPr>
        <w:pStyle w:val="Heading1"/>
      </w:pPr>
      <w:r>
        <w:t>11. Skill / Credential Flow</w:t>
      </w:r>
    </w:p>
    <w:p>
      <w:pPr>
        <w:pStyle w:val="ListBullet"/>
      </w:pPr>
      <w:r>
        <w:t>Learning completion and/or assessment/evidence satisfy the applicable Skill/Credential rule.</w:t>
      </w:r>
    </w:p>
    <w:p>
      <w:pPr>
        <w:pStyle w:val="ListBullet"/>
      </w:pPr>
      <w:r>
        <w:t>Governed issuance/verification occurs through authorized capability.</w:t>
      </w:r>
    </w:p>
    <w:p>
      <w:pPr>
        <w:pStyle w:val="ListBullet"/>
      </w:pPr>
      <w:r>
        <w:t>Credential and Skill are presented as distinct outcomes where both exist.</w:t>
      </w:r>
    </w:p>
    <w:p>
      <w:pPr>
        <w:pStyle w:val="ListBullet"/>
      </w:pPr>
      <w:r>
        <w:t>Credential is not automatically a Title/Award Instance.</w:t>
      </w:r>
    </w:p>
    <w:p>
      <w:pPr>
        <w:pStyle w:val="ListBullet"/>
      </w:pPr>
      <w:r>
        <w:t>Where learning contributes to Title qualification, the flow references the governed Awarding Path/Rule semantics rather than making Learning the Title authority.</w:t>
      </w:r>
    </w:p>
    <w:p>
      <w:pPr>
        <w:pStyle w:val="Heading1"/>
      </w:pPr>
      <w:r>
        <w:t>12. Partnership Learning Flow</w:t>
      </w:r>
    </w:p>
    <w:p>
      <w:pPr>
        <w:pStyle w:val="ListBullet"/>
      </w:pPr>
      <w:r>
        <w:t>Learner accesses a partner learning offering under the partner model.</w:t>
      </w:r>
    </w:p>
    <w:p>
      <w:pPr>
        <w:pStyle w:val="ListBullet"/>
      </w:pPr>
      <w:r>
        <w:t>Partner result/credential is recorded with partner/provider provenance.</w:t>
      </w:r>
    </w:p>
    <w:p>
      <w:pPr>
        <w:pStyle w:val="ListBullet"/>
      </w:pPr>
      <w:r>
        <w:t>Partner learning does not require Internal Learning Points unless an explicit recognition rule says otherwise.</w:t>
      </w:r>
    </w:p>
    <w:p>
      <w:pPr>
        <w:pStyle w:val="ListBullet"/>
      </w:pPr>
      <w:r>
        <w:t>Partner Credential is not silently presented as RumahAgen Verified Skill.</w:t>
      </w:r>
    </w:p>
    <w:p>
      <w:pPr>
        <w:pStyle w:val="ListBullet"/>
      </w:pPr>
      <w:r>
        <w:t>If RumahAgen recognizes partner evidence, the recognition path is explicit and governed.</w:t>
      </w:r>
    </w:p>
    <w:p>
      <w:pPr>
        <w:pStyle w:val="ListBullet"/>
      </w:pPr>
      <w:r>
        <w:t>Agent Profile may aggregate the result while retaining its partner source.</w:t>
      </w:r>
    </w:p>
    <w:p>
      <w:pPr>
        <w:pStyle w:val="Heading1"/>
      </w:pPr>
      <w:r>
        <w:t>13. Agent Profile Outcome Flow</w:t>
      </w:r>
    </w:p>
    <w:p>
      <w:pPr>
        <w:pStyle w:val="ListBullet"/>
      </w:pPr>
      <w:r>
        <w:t>Profile may present Learning Progress, Learning Points, Skills, Credentials and Partner Results.</w:t>
      </w:r>
    </w:p>
    <w:p>
      <w:pPr>
        <w:pStyle w:val="ListBullet"/>
      </w:pPr>
      <w:r>
        <w:t>Each outcome must retain its semantic identity and provenance.</w:t>
      </w:r>
    </w:p>
    <w:p>
      <w:pPr>
        <w:pStyle w:val="ListBullet"/>
      </w:pPr>
      <w:r>
        <w:t>Title/Award Instance is displayed as an Awarding outcome, not as a generic Learning completion outcome.</w:t>
      </w:r>
    </w:p>
    <w:p>
      <w:pPr>
        <w:pStyle w:val="ListBullet"/>
      </w:pPr>
      <w:r>
        <w:t>The profile must not imply that possession of LP automatically equals competency or title eligibility.</w:t>
      </w:r>
    </w:p>
    <w:p>
      <w:pPr>
        <w:pStyle w:val="Heading1"/>
      </w:pPr>
      <w:r>
        <w:t>14. Administration / Configuration Flow</w:t>
      </w:r>
    </w:p>
    <w:p>
      <w:pPr>
        <w:pStyle w:val="ListBullet"/>
      </w:pPr>
      <w:r>
        <w:t>Authorized Learning Admin opens Learning Economy configuration.</w:t>
      </w:r>
    </w:p>
    <w:p>
      <w:pPr>
        <w:pStyle w:val="ListBullet"/>
      </w:pPr>
      <w:r>
        <w:t>Admin changes configurable reward/threshold/package/bonus/earning-limit/redemption parameters where enabled.</w:t>
      </w:r>
    </w:p>
    <w:p>
      <w:pPr>
        <w:pStyle w:val="ListBullet"/>
      </w:pPr>
      <w:r>
        <w:t>System records configuration change with authorization/audit.</w:t>
      </w:r>
    </w:p>
    <w:p>
      <w:pPr>
        <w:pStyle w:val="ListBullet"/>
      </w:pPr>
      <w:r>
        <w:t>New eligible operations use the applicable configuration.</w:t>
      </w:r>
    </w:p>
    <w:p>
      <w:pPr>
        <w:pStyle w:val="ListBullet"/>
      </w:pPr>
      <w:r>
        <w:t>Historical LP transactions, purchases, assessments and credentials are not rewritten.</w:t>
      </w:r>
    </w:p>
    <w:p>
      <w:pPr>
        <w:pStyle w:val="ListBullet"/>
      </w:pPr>
      <w:r>
        <w:t>Manual point adjustment, if enabled, requires reason and produces traceable transaction/audit context.</w:t>
      </w:r>
    </w:p>
    <w:p>
      <w:pPr>
        <w:pStyle w:val="Heading1"/>
      </w:pPr>
      <w:r>
        <w:t>15. Reconciliation / Exception Flow</w:t>
      </w:r>
    </w:p>
    <w:p>
      <w:pPr>
        <w:pStyle w:val="ListBullet"/>
      </w:pPr>
      <w:r>
        <w:t>System detects or receives an exception such as confirmed payment without LP grant, duplicate grant, mismatched provenance or other consistency issue.</w:t>
      </w:r>
    </w:p>
    <w:p>
      <w:pPr>
        <w:pStyle w:val="ListBullet"/>
      </w:pPr>
      <w:r>
        <w:t>Exception is recorded and visible to authorized operations/reconciliation role.</w:t>
      </w:r>
    </w:p>
    <w:p>
      <w:pPr>
        <w:pStyle w:val="ListBullet"/>
      </w:pPr>
      <w:r>
        <w:t>Operator investigates correlated Order/Payment/LP Transaction state.</w:t>
      </w:r>
    </w:p>
    <w:p>
      <w:pPr>
        <w:pStyle w:val="ListBullet"/>
      </w:pPr>
      <w:r>
        <w:t>Any correction follows an authorized remediation process.</w:t>
      </w:r>
    </w:p>
    <w:p>
      <w:pPr>
        <w:pStyle w:val="ListBullet"/>
      </w:pPr>
      <w:r>
        <w:t>The UI must not imply that reconciliation detection automatically reversed, restored or changed state.</w:t>
      </w:r>
    </w:p>
    <w:p>
      <w:pPr>
        <w:pStyle w:val="ListBullet"/>
      </w:pPr>
      <w:r>
        <w:t>Historical evidence remains preserved.</w:t>
      </w:r>
    </w:p>
    <w:p>
      <w:pPr>
        <w:pStyle w:val="Heading1"/>
      </w:pPr>
      <w:r>
        <w:t>16. RBAC User-Flow Boundaries</w:t>
      </w:r>
    </w:p>
    <w:p>
      <w:pPr>
        <w:pStyle w:val="ListBullet"/>
      </w:pPr>
      <w:r>
        <w:t>Learner: own learning/points/progression/outcomes only.</w:t>
      </w:r>
    </w:p>
    <w:p>
      <w:pPr>
        <w:pStyle w:val="ListBullet"/>
      </w:pPr>
      <w:r>
        <w:t>Learning Admin: configuration/content/progression management within scope.</w:t>
      </w:r>
    </w:p>
    <w:p>
      <w:pPr>
        <w:pStyle w:val="ListBullet"/>
      </w:pPr>
      <w:r>
        <w:t>Assessment Reviewer: assessment/evidence/competency actions within scope.</w:t>
      </w:r>
    </w:p>
    <w:p>
      <w:pPr>
        <w:pStyle w:val="ListBullet"/>
      </w:pPr>
      <w:r>
        <w:t>Skill/Credential Authority: governed issuance/verification.</w:t>
      </w:r>
    </w:p>
    <w:p>
      <w:pPr>
        <w:pStyle w:val="ListBullet"/>
      </w:pPr>
      <w:r>
        <w:t>Partner Admin: partner-result management within scope.</w:t>
      </w:r>
    </w:p>
    <w:p>
      <w:pPr>
        <w:pStyle w:val="ListBullet"/>
      </w:pPr>
      <w:r>
        <w:t>Payment/Commercial: payment/order authority.</w:t>
      </w:r>
    </w:p>
    <w:p>
      <w:pPr>
        <w:pStyle w:val="ListBullet"/>
      </w:pPr>
      <w:r>
        <w:t>Reconciliation/Ops: investigation/reconciliation authority.</w:t>
      </w:r>
    </w:p>
    <w:p>
      <w:pPr>
        <w:pStyle w:val="ListBullet"/>
      </w:pPr>
      <w:r>
        <w:t>Role capabilities do not become Learning Point state, and Learning Point state does not become RBAC permission.</w:t>
      </w:r>
    </w:p>
    <w:p>
      <w:pPr>
        <w:pStyle w:val="Heading1"/>
      </w:pPr>
      <w:r>
        <w:t>17. Required UX State Distinctions</w:t>
      </w:r>
    </w:p>
    <w:p>
      <w:pPr>
        <w:pStyle w:val="ListBullet"/>
      </w:pPr>
      <w:r>
        <w:t>Learning Completion</w:t>
      </w:r>
    </w:p>
    <w:p>
      <w:pPr>
        <w:pStyle w:val="ListBullet"/>
      </w:pPr>
      <w:r>
        <w:t>Learning Point Balance</w:t>
      </w:r>
    </w:p>
    <w:p>
      <w:pPr>
        <w:pStyle w:val="ListBullet"/>
      </w:pPr>
      <w:r>
        <w:t>Learning Point Transaction</w:t>
      </w:r>
    </w:p>
    <w:p>
      <w:pPr>
        <w:pStyle w:val="ListBullet"/>
      </w:pPr>
      <w:r>
        <w:t>Earned vs Purchased Point Provenance</w:t>
      </w:r>
    </w:p>
    <w:p>
      <w:pPr>
        <w:pStyle w:val="ListBullet"/>
      </w:pPr>
      <w:r>
        <w:t>Unlock/Access</w:t>
      </w:r>
    </w:p>
    <w:p>
      <w:pPr>
        <w:pStyle w:val="ListBullet"/>
      </w:pPr>
      <w:r>
        <w:t>Progression</w:t>
      </w:r>
    </w:p>
    <w:p>
      <w:pPr>
        <w:pStyle w:val="ListBullet"/>
      </w:pPr>
      <w:r>
        <w:t>Assessment Required</w:t>
      </w:r>
    </w:p>
    <w:p>
      <w:pPr>
        <w:pStyle w:val="ListBullet"/>
      </w:pPr>
      <w:r>
        <w:t>Assessment Result</w:t>
      </w:r>
    </w:p>
    <w:p>
      <w:pPr>
        <w:pStyle w:val="ListBullet"/>
      </w:pPr>
      <w:r>
        <w:t>Competency</w:t>
      </w:r>
    </w:p>
    <w:p>
      <w:pPr>
        <w:pStyle w:val="ListBullet"/>
      </w:pPr>
      <w:r>
        <w:t>Skill</w:t>
      </w:r>
    </w:p>
    <w:p>
      <w:pPr>
        <w:pStyle w:val="ListBullet"/>
      </w:pPr>
      <w:r>
        <w:t>Credential</w:t>
      </w:r>
    </w:p>
    <w:p>
      <w:pPr>
        <w:pStyle w:val="ListBullet"/>
      </w:pPr>
      <w:r>
        <w:t>Partner Result</w:t>
      </w:r>
    </w:p>
    <w:p>
      <w:pPr>
        <w:pStyle w:val="ListBullet"/>
      </w:pPr>
      <w:r>
        <w:t>Title/Award Instance</w:t>
      </w:r>
    </w:p>
    <w:p>
      <w:pPr>
        <w:pStyle w:val="ListBullet"/>
      </w:pPr>
      <w:r>
        <w:t>Payment Pending/Confirmed/Failed where exposed</w:t>
      </w:r>
    </w:p>
    <w:p>
      <w:pPr>
        <w:pStyle w:val="ListBullet"/>
      </w:pPr>
      <w:r>
        <w:t>Purchased LP Grant Pending/Confirmed</w:t>
      </w:r>
    </w:p>
    <w:p>
      <w:pPr>
        <w:pStyle w:val="ListBullet"/>
      </w:pPr>
      <w:r>
        <w:t>Reconciliation/Exception state</w:t>
      </w:r>
    </w:p>
    <w:p>
      <w:pPr>
        <w:pStyle w:val="Heading1"/>
      </w:pPr>
      <w:r>
        <w:t>18. Learning Session Boundary</w:t>
      </w:r>
    </w:p>
    <w:p>
      <w:pPr>
        <w:pStyle w:val="ListBullet"/>
      </w:pPr>
      <w:r>
        <w:t>Live Learning / Learning Session is not part of the core AEP #2 User Flow.</w:t>
      </w:r>
    </w:p>
    <w:p>
      <w:pPr>
        <w:pStyle w:val="ListBullet"/>
      </w:pPr>
      <w:r>
        <w:t>Any Learning Session linkage remains deferred to AEP #4 according to the locked AEP execution order.</w:t>
      </w:r>
    </w:p>
    <w:p>
      <w:pPr>
        <w:pStyle w:val="ListBullet"/>
      </w:pPr>
      <w:r>
        <w:t>AEP #2 should not invent live-session screens or workflows.</w:t>
      </w:r>
    </w:p>
    <w:p>
      <w:pPr>
        <w:pStyle w:val="Heading1"/>
      </w:pPr>
      <w:r>
        <w:t>19. Current User Flow Evidence Condition</w:t>
      </w:r>
    </w:p>
    <w:p>
      <w:r>
        <w:t>The current User Flow v1.2 is identified as a current downstream interaction baseline, but exact screen-by-screen content was not independently retrieved in this impact pass. Therefore this document does not claim that any specific existing screen is contradictory. The next PRD/UX reconciliation must compare these state and journey requirements against the actual User Flow baseline.</w:t>
      </w:r>
    </w:p>
    <w:p>
      <w:pPr>
        <w:pStyle w:val="Heading1"/>
      </w:pPr>
      <w:r>
        <w:t>20. Traceability</w:t>
      </w:r>
    </w:p>
    <w:p>
      <w:pPr>
        <w:pStyle w:val="ListBullet"/>
      </w:pPr>
      <w:r>
        <w:t>LE-001–005 → Free-to-Learn, Earn, Pay-to-Accelerate, Never-Pay-to-Pass, Prove-to-Certify journey.</w:t>
      </w:r>
    </w:p>
    <w:p>
      <w:pPr>
        <w:pStyle w:val="ListBullet"/>
      </w:pPr>
      <w:r>
        <w:t>LE-006–009 → Learning Point balance/transaction/provenance flows.</w:t>
      </w:r>
    </w:p>
    <w:p>
      <w:pPr>
        <w:pStyle w:val="ListBullet"/>
      </w:pPr>
      <w:r>
        <w:t>LE-011–014 → Activity/completion/reward flow.</w:t>
      </w:r>
    </w:p>
    <w:p>
      <w:pPr>
        <w:pStyle w:val="ListBullet"/>
      </w:pPr>
      <w:r>
        <w:t>LE-015–018 → Path/unlock/progression flow.</w:t>
      </w:r>
    </w:p>
    <w:p>
      <w:pPr>
        <w:pStyle w:val="ListBullet"/>
      </w:pPr>
      <w:r>
        <w:t>LE-019–023 → Assessment/competency flow.</w:t>
      </w:r>
    </w:p>
    <w:p>
      <w:pPr>
        <w:pStyle w:val="ListBullet"/>
      </w:pPr>
      <w:r>
        <w:t>LE-024–032 → Skill/Credential/Title-Awarding outcome boundary.</w:t>
      </w:r>
    </w:p>
    <w:p>
      <w:pPr>
        <w:pStyle w:val="ListBullet"/>
      </w:pPr>
      <w:r>
        <w:t>LE-033–036 → Partnership Learning flow.</w:t>
      </w:r>
    </w:p>
    <w:p>
      <w:pPr>
        <w:pStyle w:val="ListBullet"/>
      </w:pPr>
      <w:r>
        <w:t>LE-037–042 → Payment/purchased-point flow.</w:t>
      </w:r>
    </w:p>
    <w:p>
      <w:pPr>
        <w:pStyle w:val="ListBullet"/>
      </w:pPr>
      <w:r>
        <w:t>LE-043–047 → RBAC/authorization flow.</w:t>
      </w:r>
    </w:p>
    <w:p>
      <w:pPr>
        <w:pStyle w:val="ListBullet"/>
      </w:pPr>
      <w:r>
        <w:t>LE-048–052 → audit/provenance flow.</w:t>
      </w:r>
    </w:p>
    <w:p>
      <w:pPr>
        <w:pStyle w:val="ListBullet"/>
      </w:pPr>
      <w:r>
        <w:t>LE-053–055 → configuration/history flow.</w:t>
      </w:r>
    </w:p>
    <w:p>
      <w:pPr>
        <w:pStyle w:val="ListBullet"/>
      </w:pPr>
      <w:r>
        <w:t>LE-056–059 → failure/idempotency/reconciliation flow.</w:t>
      </w:r>
    </w:p>
    <w:p>
      <w:pPr>
        <w:pStyle w:val="Heading1"/>
      </w:pPr>
      <w:r>
        <w:t>21. Gate Result</w:t>
      </w:r>
    </w:p>
    <w:p>
      <w:r>
        <w:t>PASS WITH CURRENT-USER-FLOW-EVIDENCE CONDITION.</w:t>
        <w:br/>
        <w:br/>
        <w:t>The required Learning Economy user journeys and state distinctions are defined and consistent with the locked AEP #2 decisions. Exact current-screen reconciliation remains evidence-limited until User-Flow-RUMAHAGEN-v1_2-FINAL.md is independently retrieved and compared. No UI rewrite is authorized by this artifact.</w:t>
      </w:r>
    </w:p>
    <w:p>
      <w:pPr>
        <w:pStyle w:val="Heading1"/>
      </w:pPr>
      <w:r>
        <w:t>22. Next Step</w:t>
      </w:r>
    </w:p>
    <w:p>
      <w:r>
        <w:t>Proceed to AEP #2 PRD Impact Specification. PRD impact must translate these journeys into product requirements and acceptance criteria while preserving Free-to-Learn, Pay-to-Accelerate, Never-Pay-to-Pass, Prove-to-Certify, provenance and Internal-vs-Partnership boundaries.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